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mbeddings/Microsoft_Visio___1.vsdx" ContentType="application/vnd.ms-visio.drawing"/>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4BD1E16">
      <w:pPr>
        <w:jc w:val="left"/>
        <w:rPr>
          <w:sz w:val="48"/>
          <w:szCs w:val="48"/>
        </w:rPr>
      </w:pPr>
    </w:p>
    <w:p w14:paraId="40390389"/>
    <w:p w14:paraId="28DFEDDA">
      <w:pPr>
        <w:pStyle w:val="234"/>
      </w:pPr>
    </w:p>
    <w:p w14:paraId="7FDE0426">
      <w:pPr>
        <w:pStyle w:val="234"/>
        <w:ind w:firstLine="0" w:firstLineChars="0"/>
        <w:jc w:val="center"/>
        <w:rPr>
          <w:b/>
          <w:sz w:val="44"/>
          <w:szCs w:val="44"/>
        </w:rPr>
      </w:pPr>
      <w:r>
        <w:rPr>
          <w:rFonts w:hint="eastAsia"/>
          <w:b/>
          <w:sz w:val="44"/>
          <w:szCs w:val="44"/>
        </w:rPr>
        <w:t>潜江－韶关输气管道28号阀室新增下载点</w:t>
      </w:r>
    </w:p>
    <w:p w14:paraId="55E2C8F8">
      <w:pPr>
        <w:pStyle w:val="234"/>
        <w:ind w:firstLine="0" w:firstLineChars="0"/>
        <w:jc w:val="center"/>
        <w:rPr>
          <w:b/>
          <w:sz w:val="44"/>
          <w:szCs w:val="44"/>
        </w:rPr>
      </w:pPr>
      <w:r>
        <w:rPr>
          <w:rFonts w:hint="eastAsia"/>
          <w:b/>
          <w:sz w:val="44"/>
          <w:szCs w:val="44"/>
        </w:rPr>
        <w:t>改扩建项目</w:t>
      </w:r>
    </w:p>
    <w:p w14:paraId="4070D6A1">
      <w:pPr>
        <w:pStyle w:val="234"/>
        <w:ind w:firstLine="0" w:firstLineChars="0"/>
        <w:jc w:val="center"/>
        <w:rPr>
          <w:b/>
          <w:sz w:val="48"/>
          <w:szCs w:val="48"/>
        </w:rPr>
      </w:pPr>
      <w:r>
        <w:rPr>
          <w:b/>
          <w:sz w:val="72"/>
          <w:szCs w:val="72"/>
        </w:rPr>
        <w:t>环境影响报告书</w:t>
      </w:r>
    </w:p>
    <w:p w14:paraId="3FF92083">
      <w:pPr>
        <w:pStyle w:val="234"/>
        <w:ind w:firstLine="911"/>
        <w:jc w:val="center"/>
        <w:rPr>
          <w:b/>
          <w:w w:val="95"/>
          <w:sz w:val="48"/>
          <w:szCs w:val="48"/>
        </w:rPr>
      </w:pPr>
    </w:p>
    <w:p w14:paraId="59379033">
      <w:pPr>
        <w:pStyle w:val="234"/>
        <w:ind w:firstLine="600"/>
        <w:jc w:val="center"/>
        <w:rPr>
          <w:b/>
          <w:w w:val="95"/>
          <w:sz w:val="48"/>
          <w:szCs w:val="48"/>
        </w:rPr>
      </w:pPr>
      <w:r>
        <w:rPr>
          <w:sz w:val="30"/>
        </w:rPr>
        <w:drawing>
          <wp:inline distT="0" distB="0" distL="0" distR="0">
            <wp:extent cx="3218180" cy="3335020"/>
            <wp:effectExtent l="0" t="0" r="1270" b="0"/>
            <wp:docPr id="31" name="图片 31" descr="海纳报告书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海纳报告书封面"/>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3242059" cy="3359364"/>
                    </a:xfrm>
                    <a:prstGeom prst="rect">
                      <a:avLst/>
                    </a:prstGeom>
                    <a:noFill/>
                    <a:ln>
                      <a:noFill/>
                    </a:ln>
                    <a:effectLst/>
                  </pic:spPr>
                </pic:pic>
              </a:graphicData>
            </a:graphic>
          </wp:inline>
        </w:drawing>
      </w:r>
    </w:p>
    <w:p w14:paraId="27E7EDA2">
      <w:pPr>
        <w:pStyle w:val="234"/>
        <w:ind w:firstLine="911"/>
        <w:jc w:val="center"/>
        <w:rPr>
          <w:b/>
          <w:w w:val="95"/>
          <w:sz w:val="48"/>
          <w:szCs w:val="48"/>
        </w:rPr>
      </w:pPr>
    </w:p>
    <w:p w14:paraId="37CD83C2">
      <w:pPr>
        <w:pStyle w:val="234"/>
        <w:adjustRightInd w:val="0"/>
        <w:snapToGrid w:val="0"/>
        <w:ind w:firstLine="320" w:firstLineChars="0"/>
        <w:jc w:val="center"/>
        <w:rPr>
          <w:b/>
          <w:sz w:val="32"/>
          <w:szCs w:val="44"/>
        </w:rPr>
      </w:pPr>
      <w:r>
        <w:rPr>
          <w:b/>
          <w:sz w:val="32"/>
          <w:szCs w:val="44"/>
        </w:rPr>
        <w:t>建设单位：</w:t>
      </w:r>
      <w:r>
        <w:rPr>
          <w:rFonts w:hint="eastAsia"/>
          <w:b/>
          <w:w w:val="90"/>
          <w:sz w:val="32"/>
          <w:szCs w:val="44"/>
        </w:rPr>
        <w:t>国家管网集团新疆煤制天然气外输管道有限责任公司</w:t>
      </w:r>
    </w:p>
    <w:p w14:paraId="05E79BE8">
      <w:pPr>
        <w:pStyle w:val="234"/>
        <w:adjustRightInd w:val="0"/>
        <w:snapToGrid w:val="0"/>
        <w:ind w:firstLine="0" w:firstLineChars="0"/>
        <w:jc w:val="center"/>
        <w:rPr>
          <w:b/>
          <w:sz w:val="32"/>
          <w:szCs w:val="44"/>
        </w:rPr>
      </w:pPr>
      <w:r>
        <w:rPr>
          <w:b/>
          <w:sz w:val="32"/>
          <w:szCs w:val="44"/>
        </w:rPr>
        <w:t>编制单位：山东海纳环境工程有限公司</w:t>
      </w:r>
    </w:p>
    <w:p w14:paraId="58F33CED">
      <w:pPr>
        <w:pStyle w:val="234"/>
        <w:adjustRightInd w:val="0"/>
        <w:snapToGrid w:val="0"/>
        <w:ind w:firstLine="0" w:firstLineChars="0"/>
        <w:jc w:val="center"/>
        <w:rPr>
          <w:b/>
          <w:sz w:val="36"/>
          <w:szCs w:val="48"/>
        </w:rPr>
        <w:sectPr>
          <w:headerReference r:id="rId5" w:type="first"/>
          <w:headerReference r:id="rId3" w:type="default"/>
          <w:footerReference r:id="rId6" w:type="default"/>
          <w:headerReference r:id="rId4" w:type="even"/>
          <w:footerReference r:id="rId7" w:type="even"/>
          <w:pgSz w:w="11906" w:h="16838"/>
          <w:pgMar w:top="1440" w:right="1418" w:bottom="1440" w:left="1418" w:header="851" w:footer="992" w:gutter="0"/>
          <w:pgNumType w:start="1"/>
          <w:cols w:space="720" w:num="1"/>
          <w:titlePg/>
          <w:docGrid w:linePitch="326" w:charSpace="0"/>
        </w:sectPr>
      </w:pPr>
      <w:r>
        <w:rPr>
          <w:b/>
          <w:sz w:val="36"/>
          <w:szCs w:val="48"/>
        </w:rPr>
        <w:t>二O二</w:t>
      </w:r>
      <w:r>
        <w:rPr>
          <w:rFonts w:hint="eastAsia"/>
          <w:b/>
          <w:sz w:val="36"/>
          <w:szCs w:val="48"/>
        </w:rPr>
        <w:t>四</w:t>
      </w:r>
      <w:r>
        <w:rPr>
          <w:b/>
          <w:sz w:val="36"/>
          <w:szCs w:val="48"/>
        </w:rPr>
        <w:t>年</w:t>
      </w:r>
      <w:r>
        <w:rPr>
          <w:rFonts w:hint="eastAsia"/>
          <w:b/>
          <w:sz w:val="36"/>
          <w:szCs w:val="48"/>
        </w:rPr>
        <w:t>九</w:t>
      </w:r>
      <w:r>
        <w:rPr>
          <w:b/>
          <w:sz w:val="36"/>
          <w:szCs w:val="48"/>
        </w:rPr>
        <w:t>月</w:t>
      </w:r>
    </w:p>
    <w:p w14:paraId="49B5BEEA">
      <w:pPr>
        <w:pStyle w:val="234"/>
        <w:adjustRightInd w:val="0"/>
        <w:snapToGrid w:val="0"/>
        <w:ind w:firstLine="0" w:firstLineChars="0"/>
        <w:jc w:val="center"/>
        <w:sectPr>
          <w:pgSz w:w="11906" w:h="16838"/>
          <w:pgMar w:top="1440" w:right="1418" w:bottom="1440" w:left="1418" w:header="851" w:footer="992" w:gutter="0"/>
          <w:pgNumType w:start="1"/>
          <w:cols w:space="720" w:num="1"/>
          <w:titlePg/>
          <w:docGrid w:linePitch="326" w:charSpace="0"/>
        </w:sectPr>
      </w:pPr>
      <w:r>
        <w:drawing>
          <wp:inline distT="0" distB="0" distL="114300" distR="114300">
            <wp:extent cx="5757545" cy="7831455"/>
            <wp:effectExtent l="0" t="0" r="14605" b="17145"/>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17"/>
                    <a:stretch>
                      <a:fillRect/>
                    </a:stretch>
                  </pic:blipFill>
                  <pic:spPr>
                    <a:xfrm>
                      <a:off x="0" y="0"/>
                      <a:ext cx="5757545" cy="7831455"/>
                    </a:xfrm>
                    <a:prstGeom prst="rect">
                      <a:avLst/>
                    </a:prstGeom>
                    <a:noFill/>
                    <a:ln>
                      <a:noFill/>
                    </a:ln>
                  </pic:spPr>
                </pic:pic>
              </a:graphicData>
            </a:graphic>
          </wp:inline>
        </w:drawing>
      </w:r>
    </w:p>
    <w:p w14:paraId="7552185B">
      <w:pPr>
        <w:pStyle w:val="234"/>
        <w:adjustRightInd w:val="0"/>
        <w:snapToGrid w:val="0"/>
        <w:ind w:firstLine="0" w:firstLineChars="0"/>
        <w:jc w:val="center"/>
        <w:rPr>
          <w:rFonts w:hint="eastAsia" w:eastAsiaTheme="minorEastAsia"/>
          <w:lang w:eastAsia="zh-CN"/>
        </w:rPr>
        <w:sectPr>
          <w:pgSz w:w="16838" w:h="11906" w:orient="landscape"/>
          <w:pgMar w:top="1418" w:right="1440" w:bottom="1418" w:left="1440" w:header="851" w:footer="992" w:gutter="0"/>
          <w:pgNumType w:start="1"/>
          <w:cols w:space="720" w:num="1"/>
          <w:titlePg/>
          <w:docGrid w:linePitch="326" w:charSpace="0"/>
        </w:sectPr>
      </w:pPr>
      <w:r>
        <w:rPr>
          <w:rFonts w:hint="eastAsia" w:eastAsiaTheme="minorEastAsia"/>
          <w:lang w:eastAsia="zh-CN"/>
        </w:rPr>
        <w:drawing>
          <wp:inline distT="0" distB="0" distL="114300" distR="114300">
            <wp:extent cx="8338185" cy="5896610"/>
            <wp:effectExtent l="0" t="0" r="5715" b="8890"/>
            <wp:docPr id="23" name="图片 23" descr="aaeb35cfc77be9fa10ed96e6b194a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aaeb35cfc77be9fa10ed96e6b194aad"/>
                    <pic:cNvPicPr>
                      <a:picLocks noChangeAspect="1"/>
                    </pic:cNvPicPr>
                  </pic:nvPicPr>
                  <pic:blipFill>
                    <a:blip r:embed="rId18"/>
                    <a:stretch>
                      <a:fillRect/>
                    </a:stretch>
                  </pic:blipFill>
                  <pic:spPr>
                    <a:xfrm>
                      <a:off x="0" y="0"/>
                      <a:ext cx="8338185" cy="5896610"/>
                    </a:xfrm>
                    <a:prstGeom prst="rect">
                      <a:avLst/>
                    </a:prstGeom>
                  </pic:spPr>
                </pic:pic>
              </a:graphicData>
            </a:graphic>
          </wp:inline>
        </w:drawing>
      </w:r>
    </w:p>
    <w:p w14:paraId="7C64908A">
      <w:pPr>
        <w:pStyle w:val="234"/>
        <w:adjustRightInd w:val="0"/>
        <w:snapToGrid w:val="0"/>
        <w:ind w:firstLine="0" w:firstLineChars="0"/>
        <w:jc w:val="center"/>
        <w:rPr>
          <w:rFonts w:hint="eastAsia" w:eastAsiaTheme="minorEastAsia"/>
          <w:lang w:eastAsia="zh-CN"/>
        </w:rPr>
        <w:sectPr>
          <w:pgSz w:w="11906" w:h="16838"/>
          <w:pgMar w:top="1440" w:right="1418" w:bottom="1440" w:left="1418" w:header="851" w:footer="992" w:gutter="0"/>
          <w:pgNumType w:start="1"/>
          <w:cols w:space="720" w:num="1"/>
          <w:titlePg/>
          <w:docGrid w:linePitch="326" w:charSpace="0"/>
        </w:sectPr>
      </w:pPr>
      <w:r>
        <w:drawing>
          <wp:inline distT="0" distB="0" distL="114300" distR="114300">
            <wp:extent cx="6183630" cy="2982595"/>
            <wp:effectExtent l="0" t="0" r="7620" b="825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9"/>
                    <a:stretch>
                      <a:fillRect/>
                    </a:stretch>
                  </pic:blipFill>
                  <pic:spPr>
                    <a:xfrm>
                      <a:off x="0" y="0"/>
                      <a:ext cx="6183630" cy="2982595"/>
                    </a:xfrm>
                    <a:prstGeom prst="rect">
                      <a:avLst/>
                    </a:prstGeom>
                    <a:noFill/>
                    <a:ln>
                      <a:noFill/>
                    </a:ln>
                  </pic:spPr>
                </pic:pic>
              </a:graphicData>
            </a:graphic>
          </wp:inline>
        </w:drawing>
      </w:r>
      <w:r>
        <w:drawing>
          <wp:inline distT="0" distB="0" distL="114300" distR="114300">
            <wp:extent cx="6184900" cy="2907665"/>
            <wp:effectExtent l="0" t="0" r="6350"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0"/>
                    <a:stretch>
                      <a:fillRect/>
                    </a:stretch>
                  </pic:blipFill>
                  <pic:spPr>
                    <a:xfrm>
                      <a:off x="0" y="0"/>
                      <a:ext cx="6184900" cy="2907665"/>
                    </a:xfrm>
                    <a:prstGeom prst="rect">
                      <a:avLst/>
                    </a:prstGeom>
                    <a:noFill/>
                    <a:ln>
                      <a:noFill/>
                    </a:ln>
                  </pic:spPr>
                </pic:pic>
              </a:graphicData>
            </a:graphic>
          </wp:inline>
        </w:drawing>
      </w:r>
      <w:r>
        <w:drawing>
          <wp:inline distT="0" distB="0" distL="114300" distR="114300">
            <wp:extent cx="6181725" cy="2811145"/>
            <wp:effectExtent l="0" t="0" r="9525" b="825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1"/>
                    <a:stretch>
                      <a:fillRect/>
                    </a:stretch>
                  </pic:blipFill>
                  <pic:spPr>
                    <a:xfrm>
                      <a:off x="0" y="0"/>
                      <a:ext cx="6181725" cy="2811145"/>
                    </a:xfrm>
                    <a:prstGeom prst="rect">
                      <a:avLst/>
                    </a:prstGeom>
                    <a:noFill/>
                    <a:ln>
                      <a:noFill/>
                    </a:ln>
                  </pic:spPr>
                </pic:pic>
              </a:graphicData>
            </a:graphic>
          </wp:inline>
        </w:drawing>
      </w:r>
    </w:p>
    <w:p w14:paraId="5EB2ED3C">
      <w:pPr>
        <w:pStyle w:val="234"/>
        <w:adjustRightInd w:val="0"/>
        <w:snapToGrid w:val="0"/>
        <w:ind w:firstLine="0" w:firstLineChars="0"/>
        <w:jc w:val="center"/>
        <w:rPr>
          <w:rFonts w:hint="eastAsia" w:eastAsiaTheme="minorEastAsia"/>
          <w:lang w:eastAsia="zh-CN"/>
        </w:rPr>
        <w:sectPr>
          <w:pgSz w:w="16838" w:h="11906" w:orient="landscape"/>
          <w:pgMar w:top="1418" w:right="1440" w:bottom="1418" w:left="1440" w:header="851" w:footer="992" w:gutter="0"/>
          <w:pgNumType w:start="1"/>
          <w:cols w:space="720" w:num="1"/>
          <w:titlePg/>
          <w:docGrid w:linePitch="326" w:charSpace="0"/>
        </w:sectPr>
      </w:pPr>
      <w:r>
        <w:rPr>
          <w:rFonts w:hint="eastAsia" w:eastAsiaTheme="minorEastAsia"/>
          <w:lang w:eastAsia="zh-CN"/>
        </w:rPr>
        <w:drawing>
          <wp:inline distT="0" distB="0" distL="114300" distR="114300">
            <wp:extent cx="8009255" cy="5673725"/>
            <wp:effectExtent l="0" t="0" r="10795" b="3175"/>
            <wp:docPr id="35" name="图片 35" descr="ae29655d769f4d5c30dcf9ffc47d8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ae29655d769f4d5c30dcf9ffc47d8d3"/>
                    <pic:cNvPicPr>
                      <a:picLocks noChangeAspect="1"/>
                    </pic:cNvPicPr>
                  </pic:nvPicPr>
                  <pic:blipFill>
                    <a:blip r:embed="rId22"/>
                    <a:stretch>
                      <a:fillRect/>
                    </a:stretch>
                  </pic:blipFill>
                  <pic:spPr>
                    <a:xfrm>
                      <a:off x="0" y="0"/>
                      <a:ext cx="8009255" cy="5673725"/>
                    </a:xfrm>
                    <a:prstGeom prst="rect">
                      <a:avLst/>
                    </a:prstGeom>
                  </pic:spPr>
                </pic:pic>
              </a:graphicData>
            </a:graphic>
          </wp:inline>
        </w:drawing>
      </w:r>
    </w:p>
    <w:p w14:paraId="154CEDDC">
      <w:pPr>
        <w:pStyle w:val="234"/>
        <w:adjustRightInd w:val="0"/>
        <w:snapToGrid w:val="0"/>
        <w:ind w:firstLine="0" w:firstLineChars="0"/>
        <w:jc w:val="center"/>
        <w:rPr>
          <w:rFonts w:hint="eastAsia" w:eastAsiaTheme="minorEastAsia"/>
          <w:lang w:eastAsia="zh-CN"/>
        </w:rPr>
        <w:sectPr>
          <w:pgSz w:w="16838" w:h="11906" w:orient="landscape"/>
          <w:pgMar w:top="1418" w:right="1440" w:bottom="1418" w:left="1440" w:header="851" w:footer="992" w:gutter="0"/>
          <w:pgNumType w:start="1"/>
          <w:cols w:space="720" w:num="1"/>
          <w:titlePg/>
          <w:docGrid w:linePitch="326" w:charSpace="0"/>
        </w:sectPr>
      </w:pPr>
      <w:r>
        <w:drawing>
          <wp:inline distT="0" distB="0" distL="114300" distR="114300">
            <wp:extent cx="8752840" cy="3668395"/>
            <wp:effectExtent l="0" t="0" r="10160" b="8255"/>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23"/>
                    <a:stretch>
                      <a:fillRect/>
                    </a:stretch>
                  </pic:blipFill>
                  <pic:spPr>
                    <a:xfrm>
                      <a:off x="0" y="0"/>
                      <a:ext cx="8752840" cy="3668395"/>
                    </a:xfrm>
                    <a:prstGeom prst="rect">
                      <a:avLst/>
                    </a:prstGeom>
                    <a:noFill/>
                    <a:ln>
                      <a:noFill/>
                    </a:ln>
                  </pic:spPr>
                </pic:pic>
              </a:graphicData>
            </a:graphic>
          </wp:inline>
        </w:drawing>
      </w:r>
      <w:r>
        <w:drawing>
          <wp:inline distT="0" distB="0" distL="114300" distR="114300">
            <wp:extent cx="8837930" cy="1508760"/>
            <wp:effectExtent l="0" t="0" r="1270" b="15240"/>
            <wp:docPr id="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pic:cNvPicPr>
                      <a:picLocks noChangeAspect="1"/>
                    </pic:cNvPicPr>
                  </pic:nvPicPr>
                  <pic:blipFill>
                    <a:blip r:embed="rId24"/>
                    <a:stretch>
                      <a:fillRect/>
                    </a:stretch>
                  </pic:blipFill>
                  <pic:spPr>
                    <a:xfrm>
                      <a:off x="0" y="0"/>
                      <a:ext cx="8837930" cy="1508760"/>
                    </a:xfrm>
                    <a:prstGeom prst="rect">
                      <a:avLst/>
                    </a:prstGeom>
                    <a:noFill/>
                    <a:ln>
                      <a:noFill/>
                    </a:ln>
                  </pic:spPr>
                </pic:pic>
              </a:graphicData>
            </a:graphic>
          </wp:inline>
        </w:drawing>
      </w:r>
    </w:p>
    <w:p w14:paraId="44E5BE7E">
      <w:pPr>
        <w:pStyle w:val="234"/>
        <w:adjustRightInd w:val="0"/>
        <w:snapToGrid w:val="0"/>
        <w:ind w:firstLine="0" w:firstLineChars="0"/>
        <w:jc w:val="center"/>
        <w:rPr>
          <w:b/>
          <w:sz w:val="36"/>
          <w:szCs w:val="48"/>
        </w:rPr>
        <w:sectPr>
          <w:pgSz w:w="11906" w:h="16838"/>
          <w:pgMar w:top="1440" w:right="1418" w:bottom="1440" w:left="1418" w:header="851" w:footer="992" w:gutter="0"/>
          <w:pgNumType w:start="1"/>
          <w:cols w:space="720" w:num="1"/>
          <w:titlePg/>
          <w:docGrid w:linePitch="326" w:charSpace="0"/>
        </w:sectPr>
      </w:pPr>
      <w:r>
        <w:drawing>
          <wp:inline distT="0" distB="0" distL="114300" distR="114300">
            <wp:extent cx="5755640" cy="8065770"/>
            <wp:effectExtent l="0" t="0" r="0" b="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25"/>
                    <a:srcRect t="828"/>
                    <a:stretch>
                      <a:fillRect/>
                    </a:stretch>
                  </pic:blipFill>
                  <pic:spPr>
                    <a:xfrm>
                      <a:off x="0" y="0"/>
                      <a:ext cx="5755640" cy="8065770"/>
                    </a:xfrm>
                    <a:prstGeom prst="rect">
                      <a:avLst/>
                    </a:prstGeom>
                    <a:noFill/>
                    <a:ln>
                      <a:noFill/>
                    </a:ln>
                  </pic:spPr>
                </pic:pic>
              </a:graphicData>
            </a:graphic>
          </wp:inline>
        </w:drawing>
      </w:r>
    </w:p>
    <w:p w14:paraId="52F8FF2E">
      <w:pPr>
        <w:jc w:val="center"/>
        <w:sectPr>
          <w:pgSz w:w="11906" w:h="16838"/>
          <w:pgMar w:top="1440" w:right="1418" w:bottom="1440" w:left="1418" w:header="851" w:footer="992" w:gutter="0"/>
          <w:pgNumType w:start="1"/>
          <w:cols w:space="720" w:num="1"/>
          <w:titlePg/>
          <w:docGrid w:linePitch="326" w:charSpace="0"/>
        </w:sectPr>
      </w:pPr>
      <w:r>
        <w:drawing>
          <wp:inline distT="0" distB="0" distL="114300" distR="114300">
            <wp:extent cx="6187440" cy="8766810"/>
            <wp:effectExtent l="0" t="0" r="3810" b="1524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26"/>
                    <a:stretch>
                      <a:fillRect/>
                    </a:stretch>
                  </pic:blipFill>
                  <pic:spPr>
                    <a:xfrm>
                      <a:off x="0" y="0"/>
                      <a:ext cx="6187440" cy="8766810"/>
                    </a:xfrm>
                    <a:prstGeom prst="rect">
                      <a:avLst/>
                    </a:prstGeom>
                    <a:noFill/>
                    <a:ln>
                      <a:noFill/>
                    </a:ln>
                  </pic:spPr>
                </pic:pic>
              </a:graphicData>
            </a:graphic>
          </wp:inline>
        </w:drawing>
      </w:r>
    </w:p>
    <w:p w14:paraId="39EF9CE1">
      <w:pPr>
        <w:jc w:val="center"/>
        <w:sectPr>
          <w:footerReference r:id="rId9" w:type="first"/>
          <w:footerReference r:id="rId8" w:type="default"/>
          <w:pgSz w:w="11906" w:h="16838"/>
          <w:pgMar w:top="1440" w:right="1418" w:bottom="1440" w:left="1418" w:header="851" w:footer="992" w:gutter="0"/>
          <w:pgNumType w:start="1"/>
          <w:cols w:space="720" w:num="1"/>
          <w:titlePg/>
          <w:docGrid w:linePitch="326" w:charSpace="0"/>
        </w:sectPr>
      </w:pPr>
      <w:r>
        <w:drawing>
          <wp:inline distT="0" distB="0" distL="114300" distR="114300">
            <wp:extent cx="6186805" cy="8766810"/>
            <wp:effectExtent l="0" t="0" r="4445" b="1524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7"/>
                    <a:stretch>
                      <a:fillRect/>
                    </a:stretch>
                  </pic:blipFill>
                  <pic:spPr>
                    <a:xfrm>
                      <a:off x="0" y="0"/>
                      <a:ext cx="6186805" cy="8766810"/>
                    </a:xfrm>
                    <a:prstGeom prst="rect">
                      <a:avLst/>
                    </a:prstGeom>
                    <a:noFill/>
                    <a:ln>
                      <a:noFill/>
                    </a:ln>
                  </pic:spPr>
                </pic:pic>
              </a:graphicData>
            </a:graphic>
          </wp:inline>
        </w:drawing>
      </w:r>
    </w:p>
    <w:p w14:paraId="276CE6D8">
      <w:pPr>
        <w:jc w:val="center"/>
        <w:rPr>
          <w:bCs/>
          <w:sz w:val="32"/>
          <w:szCs w:val="32"/>
        </w:rPr>
        <w:sectPr>
          <w:footerReference r:id="rId11" w:type="first"/>
          <w:footerReference r:id="rId10" w:type="default"/>
          <w:pgSz w:w="11906" w:h="16838"/>
          <w:pgMar w:top="1440" w:right="1418" w:bottom="1440" w:left="1418" w:header="851" w:footer="992" w:gutter="0"/>
          <w:pgNumType w:start="1"/>
          <w:cols w:space="720" w:num="1"/>
          <w:docGrid w:linePitch="326" w:charSpace="0"/>
        </w:sectPr>
      </w:pPr>
      <w:r>
        <w:drawing>
          <wp:inline distT="0" distB="0" distL="114300" distR="114300">
            <wp:extent cx="6184265" cy="8778240"/>
            <wp:effectExtent l="0" t="0" r="6985" b="38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28"/>
                    <a:stretch>
                      <a:fillRect/>
                    </a:stretch>
                  </pic:blipFill>
                  <pic:spPr>
                    <a:xfrm>
                      <a:off x="0" y="0"/>
                      <a:ext cx="6184265" cy="8778240"/>
                    </a:xfrm>
                    <a:prstGeom prst="rect">
                      <a:avLst/>
                    </a:prstGeom>
                    <a:noFill/>
                    <a:ln>
                      <a:noFill/>
                    </a:ln>
                  </pic:spPr>
                </pic:pic>
              </a:graphicData>
            </a:graphic>
          </wp:inline>
        </w:drawing>
      </w:r>
      <w:r>
        <w:drawing>
          <wp:inline distT="0" distB="0" distL="114300" distR="114300">
            <wp:extent cx="5757545" cy="8056880"/>
            <wp:effectExtent l="0" t="0" r="14605" b="1270"/>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29"/>
                    <a:stretch>
                      <a:fillRect/>
                    </a:stretch>
                  </pic:blipFill>
                  <pic:spPr>
                    <a:xfrm>
                      <a:off x="0" y="0"/>
                      <a:ext cx="5757545" cy="8056880"/>
                    </a:xfrm>
                    <a:prstGeom prst="rect">
                      <a:avLst/>
                    </a:prstGeom>
                    <a:noFill/>
                    <a:ln>
                      <a:noFill/>
                    </a:ln>
                  </pic:spPr>
                </pic:pic>
              </a:graphicData>
            </a:graphic>
          </wp:inline>
        </w:drawing>
      </w:r>
      <w:r>
        <w:drawing>
          <wp:inline distT="0" distB="0" distL="114300" distR="114300">
            <wp:extent cx="5581650" cy="8248650"/>
            <wp:effectExtent l="0" t="0" r="0" b="0"/>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30"/>
                    <a:stretch>
                      <a:fillRect/>
                    </a:stretch>
                  </pic:blipFill>
                  <pic:spPr>
                    <a:xfrm>
                      <a:off x="0" y="0"/>
                      <a:ext cx="5581650" cy="8248650"/>
                    </a:xfrm>
                    <a:prstGeom prst="rect">
                      <a:avLst/>
                    </a:prstGeom>
                    <a:noFill/>
                    <a:ln>
                      <a:noFill/>
                    </a:ln>
                  </pic:spPr>
                </pic:pic>
              </a:graphicData>
            </a:graphic>
          </wp:inline>
        </w:drawing>
      </w:r>
    </w:p>
    <w:p w14:paraId="46EB940B">
      <w:pPr>
        <w:snapToGrid w:val="0"/>
        <w:spacing w:line="360" w:lineRule="auto"/>
        <w:jc w:val="center"/>
        <w:rPr>
          <w:rFonts w:eastAsia="楷体_GB2312"/>
          <w:b/>
          <w:bCs/>
          <w:caps/>
          <w:sz w:val="24"/>
        </w:rPr>
      </w:pPr>
      <w:r>
        <w:rPr>
          <w:b/>
          <w:sz w:val="36"/>
          <w:szCs w:val="36"/>
        </w:rPr>
        <w:t>目   录</w:t>
      </w:r>
      <w:r>
        <w:rPr>
          <w:rFonts w:eastAsia="楷体_GB2312"/>
          <w:sz w:val="24"/>
        </w:rPr>
        <w:fldChar w:fldCharType="begin"/>
      </w:r>
      <w:r>
        <w:rPr>
          <w:rFonts w:eastAsia="楷体_GB2312"/>
          <w:sz w:val="24"/>
        </w:rPr>
        <w:instrText xml:space="preserve"> TO</w:instrText>
      </w:r>
      <w:r>
        <w:rPr>
          <w:sz w:val="24"/>
        </w:rPr>
        <w:instrText xml:space="preserve">C</w:instrText>
      </w:r>
      <w:r>
        <w:rPr>
          <w:rFonts w:eastAsia="楷体_GB2312"/>
          <w:sz w:val="24"/>
        </w:rPr>
        <w:instrText xml:space="preserve"> \o "1-2" \h \z \u </w:instrText>
      </w:r>
      <w:r>
        <w:rPr>
          <w:rFonts w:eastAsia="楷体_GB2312"/>
          <w:sz w:val="24"/>
        </w:rPr>
        <w:fldChar w:fldCharType="separate"/>
      </w:r>
    </w:p>
    <w:p w14:paraId="046D3092">
      <w:pPr>
        <w:pStyle w:val="60"/>
        <w:tabs>
          <w:tab w:val="right" w:leader="dot" w:pos="9071"/>
        </w:tabs>
        <w:rPr>
          <w:rFonts w:eastAsia="黑体"/>
          <w:b w:val="0"/>
          <w:sz w:val="24"/>
          <w:szCs w:val="24"/>
        </w:rPr>
      </w:pPr>
      <w:r>
        <w:fldChar w:fldCharType="begin"/>
      </w:r>
      <w:r>
        <w:instrText xml:space="preserve"> HYPERLINK \l "_Toc31511" </w:instrText>
      </w:r>
      <w:r>
        <w:fldChar w:fldCharType="separate"/>
      </w:r>
      <w:r>
        <w:rPr>
          <w:rFonts w:eastAsia="黑体"/>
          <w:b w:val="0"/>
          <w:caps w:val="0"/>
          <w:sz w:val="24"/>
          <w:szCs w:val="24"/>
          <w14:scene3d>
            <w14:lightRig w14:rig="threePt" w14:dir="t">
              <w14:rot w14:lat="0" w14:lon="0" w14:rev="0"/>
            </w14:lightRig>
          </w14:scene3d>
        </w:rPr>
        <w:t xml:space="preserve">1 </w:t>
      </w:r>
      <w:r>
        <w:rPr>
          <w:rFonts w:eastAsia="黑体"/>
          <w:b w:val="0"/>
          <w:sz w:val="24"/>
          <w:szCs w:val="24"/>
        </w:rPr>
        <w:t>概述</w:t>
      </w:r>
      <w:r>
        <w:rPr>
          <w:rFonts w:eastAsia="黑体"/>
          <w:b w:val="0"/>
          <w:sz w:val="24"/>
          <w:szCs w:val="24"/>
        </w:rPr>
        <w:tab/>
      </w:r>
      <w:r>
        <w:rPr>
          <w:rFonts w:eastAsia="黑体"/>
          <w:b w:val="0"/>
          <w:sz w:val="24"/>
          <w:szCs w:val="24"/>
        </w:rPr>
        <w:fldChar w:fldCharType="begin"/>
      </w:r>
      <w:r>
        <w:rPr>
          <w:rFonts w:eastAsia="黑体"/>
          <w:b w:val="0"/>
          <w:sz w:val="24"/>
          <w:szCs w:val="24"/>
        </w:rPr>
        <w:instrText xml:space="preserve"> PAGEREF _Toc31511 \h </w:instrText>
      </w:r>
      <w:r>
        <w:rPr>
          <w:rFonts w:eastAsia="黑体"/>
          <w:b w:val="0"/>
          <w:sz w:val="24"/>
          <w:szCs w:val="24"/>
        </w:rPr>
        <w:fldChar w:fldCharType="separate"/>
      </w:r>
      <w:r>
        <w:rPr>
          <w:rFonts w:eastAsia="黑体"/>
          <w:b w:val="0"/>
          <w:sz w:val="24"/>
          <w:szCs w:val="24"/>
        </w:rPr>
        <w:t>1</w:t>
      </w:r>
      <w:r>
        <w:rPr>
          <w:rFonts w:eastAsia="黑体"/>
          <w:b w:val="0"/>
          <w:sz w:val="24"/>
          <w:szCs w:val="24"/>
        </w:rPr>
        <w:fldChar w:fldCharType="end"/>
      </w:r>
      <w:r>
        <w:rPr>
          <w:rFonts w:eastAsia="黑体"/>
          <w:b w:val="0"/>
          <w:sz w:val="24"/>
          <w:szCs w:val="24"/>
        </w:rPr>
        <w:fldChar w:fldCharType="end"/>
      </w:r>
    </w:p>
    <w:p w14:paraId="4EBB0A14">
      <w:pPr>
        <w:pStyle w:val="75"/>
        <w:tabs>
          <w:tab w:val="right" w:leader="dot" w:pos="9071"/>
          <w:tab w:val="clear" w:pos="840"/>
          <w:tab w:val="clear" w:pos="9060"/>
        </w:tabs>
        <w:rPr>
          <w:sz w:val="24"/>
          <w:szCs w:val="24"/>
        </w:rPr>
      </w:pPr>
      <w:r>
        <w:fldChar w:fldCharType="begin"/>
      </w:r>
      <w:r>
        <w:instrText xml:space="preserve"> HYPERLINK \l "_Toc629" </w:instrText>
      </w:r>
      <w:r>
        <w:fldChar w:fldCharType="separate"/>
      </w:r>
      <w:r>
        <w:rPr>
          <w:bCs/>
          <w:smallCaps w:val="0"/>
          <w:sz w:val="24"/>
          <w:szCs w:val="24"/>
        </w:rPr>
        <w:t xml:space="preserve">1.1 </w:t>
      </w:r>
      <w:r>
        <w:rPr>
          <w:sz w:val="24"/>
          <w:szCs w:val="24"/>
        </w:rPr>
        <w:t>项目由来</w:t>
      </w:r>
      <w:r>
        <w:rPr>
          <w:sz w:val="24"/>
          <w:szCs w:val="24"/>
        </w:rPr>
        <w:tab/>
      </w:r>
      <w:r>
        <w:rPr>
          <w:sz w:val="24"/>
          <w:szCs w:val="24"/>
        </w:rPr>
        <w:fldChar w:fldCharType="begin"/>
      </w:r>
      <w:r>
        <w:rPr>
          <w:sz w:val="24"/>
          <w:szCs w:val="24"/>
        </w:rPr>
        <w:instrText xml:space="preserve"> PAGEREF _Toc629 \h </w:instrText>
      </w:r>
      <w:r>
        <w:rPr>
          <w:sz w:val="24"/>
          <w:szCs w:val="24"/>
        </w:rPr>
        <w:fldChar w:fldCharType="separate"/>
      </w:r>
      <w:r>
        <w:rPr>
          <w:sz w:val="24"/>
          <w:szCs w:val="24"/>
        </w:rPr>
        <w:t>1</w:t>
      </w:r>
      <w:r>
        <w:rPr>
          <w:sz w:val="24"/>
          <w:szCs w:val="24"/>
        </w:rPr>
        <w:fldChar w:fldCharType="end"/>
      </w:r>
      <w:r>
        <w:rPr>
          <w:sz w:val="24"/>
          <w:szCs w:val="24"/>
        </w:rPr>
        <w:fldChar w:fldCharType="end"/>
      </w:r>
    </w:p>
    <w:p w14:paraId="65063B64">
      <w:pPr>
        <w:pStyle w:val="75"/>
        <w:tabs>
          <w:tab w:val="right" w:leader="dot" w:pos="9071"/>
          <w:tab w:val="clear" w:pos="840"/>
          <w:tab w:val="clear" w:pos="9060"/>
        </w:tabs>
        <w:rPr>
          <w:sz w:val="24"/>
          <w:szCs w:val="24"/>
        </w:rPr>
      </w:pPr>
      <w:r>
        <w:fldChar w:fldCharType="begin"/>
      </w:r>
      <w:r>
        <w:instrText xml:space="preserve"> HYPERLINK \l "_Toc1210" </w:instrText>
      </w:r>
      <w:r>
        <w:fldChar w:fldCharType="separate"/>
      </w:r>
      <w:r>
        <w:rPr>
          <w:bCs/>
          <w:smallCaps w:val="0"/>
          <w:sz w:val="24"/>
          <w:szCs w:val="24"/>
        </w:rPr>
        <w:t xml:space="preserve">1.2 </w:t>
      </w:r>
      <w:r>
        <w:rPr>
          <w:rFonts w:hint="eastAsia"/>
          <w:sz w:val="24"/>
          <w:szCs w:val="24"/>
        </w:rPr>
        <w:t>建设项目特点</w:t>
      </w:r>
      <w:r>
        <w:rPr>
          <w:sz w:val="24"/>
          <w:szCs w:val="24"/>
        </w:rPr>
        <w:tab/>
      </w:r>
      <w:r>
        <w:rPr>
          <w:sz w:val="24"/>
          <w:szCs w:val="24"/>
        </w:rPr>
        <w:fldChar w:fldCharType="begin"/>
      </w:r>
      <w:r>
        <w:rPr>
          <w:sz w:val="24"/>
          <w:szCs w:val="24"/>
        </w:rPr>
        <w:instrText xml:space="preserve"> PAGEREF _Toc1210 \h </w:instrText>
      </w:r>
      <w:r>
        <w:rPr>
          <w:sz w:val="24"/>
          <w:szCs w:val="24"/>
        </w:rPr>
        <w:fldChar w:fldCharType="separate"/>
      </w:r>
      <w:r>
        <w:rPr>
          <w:sz w:val="24"/>
          <w:szCs w:val="24"/>
        </w:rPr>
        <w:t>2</w:t>
      </w:r>
      <w:r>
        <w:rPr>
          <w:sz w:val="24"/>
          <w:szCs w:val="24"/>
        </w:rPr>
        <w:fldChar w:fldCharType="end"/>
      </w:r>
      <w:r>
        <w:rPr>
          <w:sz w:val="24"/>
          <w:szCs w:val="24"/>
        </w:rPr>
        <w:fldChar w:fldCharType="end"/>
      </w:r>
    </w:p>
    <w:p w14:paraId="78CB526D">
      <w:pPr>
        <w:pStyle w:val="75"/>
        <w:tabs>
          <w:tab w:val="right" w:leader="dot" w:pos="9071"/>
          <w:tab w:val="clear" w:pos="840"/>
          <w:tab w:val="clear" w:pos="9060"/>
        </w:tabs>
        <w:rPr>
          <w:sz w:val="24"/>
          <w:szCs w:val="24"/>
        </w:rPr>
      </w:pPr>
      <w:r>
        <w:fldChar w:fldCharType="begin"/>
      </w:r>
      <w:r>
        <w:instrText xml:space="preserve"> HYPERLINK \l "_Toc32251" </w:instrText>
      </w:r>
      <w:r>
        <w:fldChar w:fldCharType="separate"/>
      </w:r>
      <w:r>
        <w:rPr>
          <w:bCs/>
          <w:smallCaps w:val="0"/>
          <w:sz w:val="24"/>
          <w:szCs w:val="24"/>
        </w:rPr>
        <w:t xml:space="preserve">1.3 </w:t>
      </w:r>
      <w:r>
        <w:rPr>
          <w:sz w:val="24"/>
          <w:szCs w:val="24"/>
        </w:rPr>
        <w:t>环境影响评价的工作过程</w:t>
      </w:r>
      <w:r>
        <w:rPr>
          <w:sz w:val="24"/>
          <w:szCs w:val="24"/>
        </w:rPr>
        <w:tab/>
      </w:r>
      <w:r>
        <w:rPr>
          <w:sz w:val="24"/>
          <w:szCs w:val="24"/>
        </w:rPr>
        <w:fldChar w:fldCharType="begin"/>
      </w:r>
      <w:r>
        <w:rPr>
          <w:sz w:val="24"/>
          <w:szCs w:val="24"/>
        </w:rPr>
        <w:instrText xml:space="preserve"> PAGEREF _Toc32251 \h </w:instrText>
      </w:r>
      <w:r>
        <w:rPr>
          <w:sz w:val="24"/>
          <w:szCs w:val="24"/>
        </w:rPr>
        <w:fldChar w:fldCharType="separate"/>
      </w:r>
      <w:r>
        <w:rPr>
          <w:sz w:val="24"/>
          <w:szCs w:val="24"/>
        </w:rPr>
        <w:t>2</w:t>
      </w:r>
      <w:r>
        <w:rPr>
          <w:sz w:val="24"/>
          <w:szCs w:val="24"/>
        </w:rPr>
        <w:fldChar w:fldCharType="end"/>
      </w:r>
      <w:r>
        <w:rPr>
          <w:sz w:val="24"/>
          <w:szCs w:val="24"/>
        </w:rPr>
        <w:fldChar w:fldCharType="end"/>
      </w:r>
    </w:p>
    <w:p w14:paraId="287ED722">
      <w:pPr>
        <w:pStyle w:val="75"/>
        <w:tabs>
          <w:tab w:val="right" w:leader="dot" w:pos="9071"/>
          <w:tab w:val="clear" w:pos="840"/>
          <w:tab w:val="clear" w:pos="9060"/>
        </w:tabs>
        <w:rPr>
          <w:sz w:val="24"/>
          <w:szCs w:val="24"/>
        </w:rPr>
      </w:pPr>
      <w:r>
        <w:fldChar w:fldCharType="begin"/>
      </w:r>
      <w:r>
        <w:instrText xml:space="preserve"> HYPERLINK \l "_Toc30334" </w:instrText>
      </w:r>
      <w:r>
        <w:fldChar w:fldCharType="separate"/>
      </w:r>
      <w:r>
        <w:rPr>
          <w:bCs/>
          <w:smallCaps w:val="0"/>
          <w:sz w:val="24"/>
          <w:szCs w:val="24"/>
        </w:rPr>
        <w:t xml:space="preserve">1.4 </w:t>
      </w:r>
      <w:r>
        <w:rPr>
          <w:sz w:val="24"/>
          <w:szCs w:val="24"/>
        </w:rPr>
        <w:t>分析判定相关情况</w:t>
      </w:r>
      <w:r>
        <w:rPr>
          <w:sz w:val="24"/>
          <w:szCs w:val="24"/>
        </w:rPr>
        <w:tab/>
      </w:r>
      <w:r>
        <w:rPr>
          <w:sz w:val="24"/>
          <w:szCs w:val="24"/>
        </w:rPr>
        <w:fldChar w:fldCharType="begin"/>
      </w:r>
      <w:r>
        <w:rPr>
          <w:sz w:val="24"/>
          <w:szCs w:val="24"/>
        </w:rPr>
        <w:instrText xml:space="preserve"> PAGEREF _Toc30334 \h </w:instrText>
      </w:r>
      <w:r>
        <w:rPr>
          <w:sz w:val="24"/>
          <w:szCs w:val="24"/>
        </w:rPr>
        <w:fldChar w:fldCharType="separate"/>
      </w:r>
      <w:r>
        <w:rPr>
          <w:sz w:val="24"/>
          <w:szCs w:val="24"/>
        </w:rPr>
        <w:t>4</w:t>
      </w:r>
      <w:r>
        <w:rPr>
          <w:sz w:val="24"/>
          <w:szCs w:val="24"/>
        </w:rPr>
        <w:fldChar w:fldCharType="end"/>
      </w:r>
      <w:r>
        <w:rPr>
          <w:sz w:val="24"/>
          <w:szCs w:val="24"/>
        </w:rPr>
        <w:fldChar w:fldCharType="end"/>
      </w:r>
    </w:p>
    <w:p w14:paraId="5274B784">
      <w:pPr>
        <w:pStyle w:val="75"/>
        <w:tabs>
          <w:tab w:val="right" w:leader="dot" w:pos="9071"/>
          <w:tab w:val="clear" w:pos="840"/>
          <w:tab w:val="clear" w:pos="9060"/>
        </w:tabs>
        <w:rPr>
          <w:sz w:val="24"/>
          <w:szCs w:val="24"/>
        </w:rPr>
      </w:pPr>
      <w:r>
        <w:fldChar w:fldCharType="begin"/>
      </w:r>
      <w:r>
        <w:instrText xml:space="preserve"> HYPERLINK \l "_Toc29397" </w:instrText>
      </w:r>
      <w:r>
        <w:fldChar w:fldCharType="separate"/>
      </w:r>
      <w:r>
        <w:rPr>
          <w:bCs/>
          <w:smallCaps w:val="0"/>
          <w:sz w:val="24"/>
          <w:szCs w:val="24"/>
        </w:rPr>
        <w:t xml:space="preserve">1.5 </w:t>
      </w:r>
      <w:r>
        <w:rPr>
          <w:sz w:val="24"/>
          <w:szCs w:val="24"/>
        </w:rPr>
        <w:t>关注的主要环境问题及环境影响</w:t>
      </w:r>
      <w:r>
        <w:rPr>
          <w:sz w:val="24"/>
          <w:szCs w:val="24"/>
        </w:rPr>
        <w:tab/>
      </w:r>
      <w:r>
        <w:rPr>
          <w:sz w:val="24"/>
          <w:szCs w:val="24"/>
        </w:rPr>
        <w:fldChar w:fldCharType="begin"/>
      </w:r>
      <w:r>
        <w:rPr>
          <w:sz w:val="24"/>
          <w:szCs w:val="24"/>
        </w:rPr>
        <w:instrText xml:space="preserve"> PAGEREF _Toc29397 \h </w:instrText>
      </w:r>
      <w:r>
        <w:rPr>
          <w:sz w:val="24"/>
          <w:szCs w:val="24"/>
        </w:rPr>
        <w:fldChar w:fldCharType="separate"/>
      </w:r>
      <w:r>
        <w:rPr>
          <w:sz w:val="24"/>
          <w:szCs w:val="24"/>
        </w:rPr>
        <w:t>4</w:t>
      </w:r>
      <w:r>
        <w:rPr>
          <w:sz w:val="24"/>
          <w:szCs w:val="24"/>
        </w:rPr>
        <w:fldChar w:fldCharType="end"/>
      </w:r>
      <w:r>
        <w:rPr>
          <w:sz w:val="24"/>
          <w:szCs w:val="24"/>
        </w:rPr>
        <w:fldChar w:fldCharType="end"/>
      </w:r>
    </w:p>
    <w:p w14:paraId="1CB3FB61">
      <w:pPr>
        <w:pStyle w:val="75"/>
        <w:tabs>
          <w:tab w:val="right" w:leader="dot" w:pos="9071"/>
          <w:tab w:val="clear" w:pos="840"/>
          <w:tab w:val="clear" w:pos="9060"/>
        </w:tabs>
        <w:rPr>
          <w:sz w:val="24"/>
          <w:szCs w:val="24"/>
        </w:rPr>
      </w:pPr>
      <w:r>
        <w:fldChar w:fldCharType="begin"/>
      </w:r>
      <w:r>
        <w:instrText xml:space="preserve"> HYPERLINK \l "_Toc21531" </w:instrText>
      </w:r>
      <w:r>
        <w:fldChar w:fldCharType="separate"/>
      </w:r>
      <w:r>
        <w:rPr>
          <w:bCs/>
          <w:smallCaps w:val="0"/>
          <w:sz w:val="24"/>
          <w:szCs w:val="24"/>
        </w:rPr>
        <w:t xml:space="preserve">1.6 </w:t>
      </w:r>
      <w:r>
        <w:rPr>
          <w:sz w:val="24"/>
          <w:szCs w:val="24"/>
        </w:rPr>
        <w:t>环境影响报告书主要结论</w:t>
      </w:r>
      <w:r>
        <w:rPr>
          <w:sz w:val="24"/>
          <w:szCs w:val="24"/>
        </w:rPr>
        <w:tab/>
      </w:r>
      <w:r>
        <w:rPr>
          <w:sz w:val="24"/>
          <w:szCs w:val="24"/>
        </w:rPr>
        <w:fldChar w:fldCharType="begin"/>
      </w:r>
      <w:r>
        <w:rPr>
          <w:sz w:val="24"/>
          <w:szCs w:val="24"/>
        </w:rPr>
        <w:instrText xml:space="preserve"> PAGEREF _Toc21531 \h </w:instrText>
      </w:r>
      <w:r>
        <w:rPr>
          <w:sz w:val="24"/>
          <w:szCs w:val="24"/>
        </w:rPr>
        <w:fldChar w:fldCharType="separate"/>
      </w:r>
      <w:r>
        <w:rPr>
          <w:sz w:val="24"/>
          <w:szCs w:val="24"/>
        </w:rPr>
        <w:t>6</w:t>
      </w:r>
      <w:r>
        <w:rPr>
          <w:sz w:val="24"/>
          <w:szCs w:val="24"/>
        </w:rPr>
        <w:fldChar w:fldCharType="end"/>
      </w:r>
      <w:r>
        <w:rPr>
          <w:sz w:val="24"/>
          <w:szCs w:val="24"/>
        </w:rPr>
        <w:fldChar w:fldCharType="end"/>
      </w:r>
    </w:p>
    <w:p w14:paraId="3C02A907">
      <w:pPr>
        <w:pStyle w:val="60"/>
        <w:tabs>
          <w:tab w:val="right" w:leader="dot" w:pos="9071"/>
        </w:tabs>
        <w:rPr>
          <w:rFonts w:eastAsia="黑体"/>
          <w:b w:val="0"/>
          <w:sz w:val="24"/>
          <w:szCs w:val="24"/>
        </w:rPr>
      </w:pPr>
      <w:r>
        <w:fldChar w:fldCharType="begin"/>
      </w:r>
      <w:r>
        <w:instrText xml:space="preserve"> HYPERLINK \l "_Toc21910" </w:instrText>
      </w:r>
      <w:r>
        <w:fldChar w:fldCharType="separate"/>
      </w:r>
      <w:r>
        <w:rPr>
          <w:rFonts w:eastAsia="黑体"/>
          <w:b w:val="0"/>
          <w:sz w:val="24"/>
          <w:szCs w:val="24"/>
        </w:rPr>
        <w:t xml:space="preserve">2 </w:t>
      </w:r>
      <w:r>
        <w:rPr>
          <w:rFonts w:hint="eastAsia" w:eastAsia="黑体"/>
          <w:b w:val="0"/>
          <w:sz w:val="24"/>
          <w:szCs w:val="24"/>
        </w:rPr>
        <w:t>总则</w:t>
      </w:r>
      <w:r>
        <w:rPr>
          <w:rFonts w:eastAsia="黑体"/>
          <w:b w:val="0"/>
          <w:sz w:val="24"/>
          <w:szCs w:val="24"/>
        </w:rPr>
        <w:tab/>
      </w:r>
      <w:r>
        <w:rPr>
          <w:rFonts w:eastAsia="黑体"/>
          <w:b w:val="0"/>
          <w:sz w:val="24"/>
          <w:szCs w:val="24"/>
        </w:rPr>
        <w:fldChar w:fldCharType="begin"/>
      </w:r>
      <w:r>
        <w:rPr>
          <w:rFonts w:eastAsia="黑体"/>
          <w:b w:val="0"/>
          <w:sz w:val="24"/>
          <w:szCs w:val="24"/>
        </w:rPr>
        <w:instrText xml:space="preserve"> PAGEREF _Toc21910 \h </w:instrText>
      </w:r>
      <w:r>
        <w:rPr>
          <w:rFonts w:eastAsia="黑体"/>
          <w:b w:val="0"/>
          <w:sz w:val="24"/>
          <w:szCs w:val="24"/>
        </w:rPr>
        <w:fldChar w:fldCharType="separate"/>
      </w:r>
      <w:r>
        <w:rPr>
          <w:rFonts w:eastAsia="黑体"/>
          <w:b w:val="0"/>
          <w:sz w:val="24"/>
          <w:szCs w:val="24"/>
        </w:rPr>
        <w:t>7</w:t>
      </w:r>
      <w:r>
        <w:rPr>
          <w:rFonts w:eastAsia="黑体"/>
          <w:b w:val="0"/>
          <w:sz w:val="24"/>
          <w:szCs w:val="24"/>
        </w:rPr>
        <w:fldChar w:fldCharType="end"/>
      </w:r>
      <w:r>
        <w:rPr>
          <w:rFonts w:eastAsia="黑体"/>
          <w:b w:val="0"/>
          <w:sz w:val="24"/>
          <w:szCs w:val="24"/>
        </w:rPr>
        <w:fldChar w:fldCharType="end"/>
      </w:r>
    </w:p>
    <w:p w14:paraId="10093CF2">
      <w:pPr>
        <w:pStyle w:val="75"/>
        <w:tabs>
          <w:tab w:val="right" w:leader="dot" w:pos="9071"/>
          <w:tab w:val="clear" w:pos="840"/>
          <w:tab w:val="clear" w:pos="9060"/>
        </w:tabs>
        <w:rPr>
          <w:sz w:val="24"/>
          <w:szCs w:val="24"/>
        </w:rPr>
      </w:pPr>
      <w:r>
        <w:fldChar w:fldCharType="begin"/>
      </w:r>
      <w:r>
        <w:instrText xml:space="preserve"> HYPERLINK \l "_Toc10419" </w:instrText>
      </w:r>
      <w:r>
        <w:fldChar w:fldCharType="separate"/>
      </w:r>
      <w:r>
        <w:rPr>
          <w:bCs/>
          <w:smallCaps w:val="0"/>
          <w:snapToGrid w:val="0"/>
          <w:sz w:val="24"/>
          <w:szCs w:val="24"/>
        </w:rPr>
        <w:t xml:space="preserve">2.1 </w:t>
      </w:r>
      <w:r>
        <w:rPr>
          <w:snapToGrid w:val="0"/>
          <w:sz w:val="24"/>
          <w:szCs w:val="24"/>
        </w:rPr>
        <w:t>编制依据</w:t>
      </w:r>
      <w:r>
        <w:rPr>
          <w:sz w:val="24"/>
          <w:szCs w:val="24"/>
        </w:rPr>
        <w:tab/>
      </w:r>
      <w:r>
        <w:rPr>
          <w:sz w:val="24"/>
          <w:szCs w:val="24"/>
        </w:rPr>
        <w:fldChar w:fldCharType="begin"/>
      </w:r>
      <w:r>
        <w:rPr>
          <w:sz w:val="24"/>
          <w:szCs w:val="24"/>
        </w:rPr>
        <w:instrText xml:space="preserve"> PAGEREF _Toc10419 \h </w:instrText>
      </w:r>
      <w:r>
        <w:rPr>
          <w:sz w:val="24"/>
          <w:szCs w:val="24"/>
        </w:rPr>
        <w:fldChar w:fldCharType="separate"/>
      </w:r>
      <w:r>
        <w:rPr>
          <w:sz w:val="24"/>
          <w:szCs w:val="24"/>
        </w:rPr>
        <w:t>7</w:t>
      </w:r>
      <w:r>
        <w:rPr>
          <w:sz w:val="24"/>
          <w:szCs w:val="24"/>
        </w:rPr>
        <w:fldChar w:fldCharType="end"/>
      </w:r>
      <w:r>
        <w:rPr>
          <w:sz w:val="24"/>
          <w:szCs w:val="24"/>
        </w:rPr>
        <w:fldChar w:fldCharType="end"/>
      </w:r>
    </w:p>
    <w:p w14:paraId="31579AF7">
      <w:pPr>
        <w:pStyle w:val="75"/>
        <w:tabs>
          <w:tab w:val="right" w:leader="dot" w:pos="9071"/>
          <w:tab w:val="clear" w:pos="840"/>
          <w:tab w:val="clear" w:pos="9060"/>
        </w:tabs>
        <w:rPr>
          <w:sz w:val="24"/>
          <w:szCs w:val="24"/>
        </w:rPr>
      </w:pPr>
      <w:r>
        <w:fldChar w:fldCharType="begin"/>
      </w:r>
      <w:r>
        <w:instrText xml:space="preserve"> HYPERLINK \l "_Toc4705" </w:instrText>
      </w:r>
      <w:r>
        <w:fldChar w:fldCharType="separate"/>
      </w:r>
      <w:r>
        <w:rPr>
          <w:bCs/>
          <w:smallCaps w:val="0"/>
          <w:snapToGrid w:val="0"/>
          <w:sz w:val="24"/>
          <w:szCs w:val="24"/>
        </w:rPr>
        <w:t xml:space="preserve">2.2 </w:t>
      </w:r>
      <w:r>
        <w:rPr>
          <w:snapToGrid w:val="0"/>
          <w:sz w:val="24"/>
          <w:szCs w:val="24"/>
        </w:rPr>
        <w:t>评价目的及原则</w:t>
      </w:r>
      <w:r>
        <w:rPr>
          <w:sz w:val="24"/>
          <w:szCs w:val="24"/>
        </w:rPr>
        <w:tab/>
      </w:r>
      <w:r>
        <w:rPr>
          <w:sz w:val="24"/>
          <w:szCs w:val="24"/>
        </w:rPr>
        <w:fldChar w:fldCharType="begin"/>
      </w:r>
      <w:r>
        <w:rPr>
          <w:sz w:val="24"/>
          <w:szCs w:val="24"/>
        </w:rPr>
        <w:instrText xml:space="preserve"> PAGEREF _Toc4705 \h </w:instrText>
      </w:r>
      <w:r>
        <w:rPr>
          <w:sz w:val="24"/>
          <w:szCs w:val="24"/>
        </w:rPr>
        <w:fldChar w:fldCharType="separate"/>
      </w:r>
      <w:r>
        <w:rPr>
          <w:sz w:val="24"/>
          <w:szCs w:val="24"/>
        </w:rPr>
        <w:t>12</w:t>
      </w:r>
      <w:r>
        <w:rPr>
          <w:sz w:val="24"/>
          <w:szCs w:val="24"/>
        </w:rPr>
        <w:fldChar w:fldCharType="end"/>
      </w:r>
      <w:r>
        <w:rPr>
          <w:sz w:val="24"/>
          <w:szCs w:val="24"/>
        </w:rPr>
        <w:fldChar w:fldCharType="end"/>
      </w:r>
    </w:p>
    <w:p w14:paraId="587E0138">
      <w:pPr>
        <w:pStyle w:val="75"/>
        <w:tabs>
          <w:tab w:val="right" w:leader="dot" w:pos="9071"/>
          <w:tab w:val="clear" w:pos="840"/>
          <w:tab w:val="clear" w:pos="9060"/>
        </w:tabs>
        <w:rPr>
          <w:sz w:val="24"/>
          <w:szCs w:val="24"/>
        </w:rPr>
      </w:pPr>
      <w:r>
        <w:fldChar w:fldCharType="begin"/>
      </w:r>
      <w:r>
        <w:instrText xml:space="preserve"> HYPERLINK \l "_Toc12090" </w:instrText>
      </w:r>
      <w:r>
        <w:fldChar w:fldCharType="separate"/>
      </w:r>
      <w:r>
        <w:rPr>
          <w:bCs/>
          <w:smallCaps w:val="0"/>
          <w:kern w:val="0"/>
          <w:sz w:val="24"/>
          <w:szCs w:val="24"/>
        </w:rPr>
        <w:t xml:space="preserve">2.3 </w:t>
      </w:r>
      <w:r>
        <w:rPr>
          <w:sz w:val="24"/>
          <w:szCs w:val="24"/>
        </w:rPr>
        <w:t>评价方法及重点</w:t>
      </w:r>
      <w:r>
        <w:rPr>
          <w:sz w:val="24"/>
          <w:szCs w:val="24"/>
        </w:rPr>
        <w:tab/>
      </w:r>
      <w:r>
        <w:rPr>
          <w:sz w:val="24"/>
          <w:szCs w:val="24"/>
        </w:rPr>
        <w:fldChar w:fldCharType="begin"/>
      </w:r>
      <w:r>
        <w:rPr>
          <w:sz w:val="24"/>
          <w:szCs w:val="24"/>
        </w:rPr>
        <w:instrText xml:space="preserve"> PAGEREF _Toc12090 \h </w:instrText>
      </w:r>
      <w:r>
        <w:rPr>
          <w:sz w:val="24"/>
          <w:szCs w:val="24"/>
        </w:rPr>
        <w:fldChar w:fldCharType="separate"/>
      </w:r>
      <w:r>
        <w:rPr>
          <w:sz w:val="24"/>
          <w:szCs w:val="24"/>
        </w:rPr>
        <w:t>12</w:t>
      </w:r>
      <w:r>
        <w:rPr>
          <w:sz w:val="24"/>
          <w:szCs w:val="24"/>
        </w:rPr>
        <w:fldChar w:fldCharType="end"/>
      </w:r>
      <w:r>
        <w:rPr>
          <w:sz w:val="24"/>
          <w:szCs w:val="24"/>
        </w:rPr>
        <w:fldChar w:fldCharType="end"/>
      </w:r>
    </w:p>
    <w:p w14:paraId="769A7BF4">
      <w:pPr>
        <w:pStyle w:val="75"/>
        <w:tabs>
          <w:tab w:val="right" w:leader="dot" w:pos="9071"/>
          <w:tab w:val="clear" w:pos="840"/>
          <w:tab w:val="clear" w:pos="9060"/>
        </w:tabs>
        <w:rPr>
          <w:sz w:val="24"/>
          <w:szCs w:val="24"/>
        </w:rPr>
      </w:pPr>
      <w:r>
        <w:fldChar w:fldCharType="begin"/>
      </w:r>
      <w:r>
        <w:instrText xml:space="preserve"> HYPERLINK \l "_Toc562" </w:instrText>
      </w:r>
      <w:r>
        <w:fldChar w:fldCharType="separate"/>
      </w:r>
      <w:r>
        <w:rPr>
          <w:bCs/>
          <w:smallCaps w:val="0"/>
          <w:snapToGrid w:val="0"/>
          <w:sz w:val="24"/>
          <w:szCs w:val="24"/>
        </w:rPr>
        <w:t xml:space="preserve">2.4 </w:t>
      </w:r>
      <w:r>
        <w:rPr>
          <w:sz w:val="24"/>
          <w:szCs w:val="24"/>
        </w:rPr>
        <w:t>环境影响因素识别及评价因子筛选</w:t>
      </w:r>
      <w:r>
        <w:rPr>
          <w:sz w:val="24"/>
          <w:szCs w:val="24"/>
        </w:rPr>
        <w:tab/>
      </w:r>
      <w:r>
        <w:rPr>
          <w:sz w:val="24"/>
          <w:szCs w:val="24"/>
        </w:rPr>
        <w:fldChar w:fldCharType="begin"/>
      </w:r>
      <w:r>
        <w:rPr>
          <w:sz w:val="24"/>
          <w:szCs w:val="24"/>
        </w:rPr>
        <w:instrText xml:space="preserve"> PAGEREF _Toc562 \h </w:instrText>
      </w:r>
      <w:r>
        <w:rPr>
          <w:sz w:val="24"/>
          <w:szCs w:val="24"/>
        </w:rPr>
        <w:fldChar w:fldCharType="separate"/>
      </w:r>
      <w:r>
        <w:rPr>
          <w:sz w:val="24"/>
          <w:szCs w:val="24"/>
        </w:rPr>
        <w:t>13</w:t>
      </w:r>
      <w:r>
        <w:rPr>
          <w:sz w:val="24"/>
          <w:szCs w:val="24"/>
        </w:rPr>
        <w:fldChar w:fldCharType="end"/>
      </w:r>
      <w:r>
        <w:rPr>
          <w:sz w:val="24"/>
          <w:szCs w:val="24"/>
        </w:rPr>
        <w:fldChar w:fldCharType="end"/>
      </w:r>
    </w:p>
    <w:p w14:paraId="548BB360">
      <w:pPr>
        <w:pStyle w:val="75"/>
        <w:tabs>
          <w:tab w:val="right" w:leader="dot" w:pos="9071"/>
          <w:tab w:val="clear" w:pos="840"/>
          <w:tab w:val="clear" w:pos="9060"/>
        </w:tabs>
        <w:rPr>
          <w:sz w:val="24"/>
          <w:szCs w:val="24"/>
        </w:rPr>
      </w:pPr>
      <w:r>
        <w:fldChar w:fldCharType="begin"/>
      </w:r>
      <w:r>
        <w:instrText xml:space="preserve"> HYPERLINK \l "_Toc10032" </w:instrText>
      </w:r>
      <w:r>
        <w:fldChar w:fldCharType="separate"/>
      </w:r>
      <w:r>
        <w:rPr>
          <w:bCs/>
          <w:smallCaps w:val="0"/>
          <w:snapToGrid w:val="0"/>
          <w:sz w:val="24"/>
          <w:szCs w:val="24"/>
        </w:rPr>
        <w:t xml:space="preserve">2.5 </w:t>
      </w:r>
      <w:r>
        <w:rPr>
          <w:snapToGrid w:val="0"/>
          <w:sz w:val="24"/>
          <w:szCs w:val="24"/>
        </w:rPr>
        <w:t>评价等级及评价范围</w:t>
      </w:r>
      <w:r>
        <w:rPr>
          <w:sz w:val="24"/>
          <w:szCs w:val="24"/>
        </w:rPr>
        <w:tab/>
      </w:r>
      <w:r>
        <w:rPr>
          <w:sz w:val="24"/>
          <w:szCs w:val="24"/>
        </w:rPr>
        <w:fldChar w:fldCharType="begin"/>
      </w:r>
      <w:r>
        <w:rPr>
          <w:sz w:val="24"/>
          <w:szCs w:val="24"/>
        </w:rPr>
        <w:instrText xml:space="preserve"> PAGEREF _Toc10032 \h </w:instrText>
      </w:r>
      <w:r>
        <w:rPr>
          <w:sz w:val="24"/>
          <w:szCs w:val="24"/>
        </w:rPr>
        <w:fldChar w:fldCharType="separate"/>
      </w:r>
      <w:r>
        <w:rPr>
          <w:sz w:val="24"/>
          <w:szCs w:val="24"/>
        </w:rPr>
        <w:t>17</w:t>
      </w:r>
      <w:r>
        <w:rPr>
          <w:sz w:val="24"/>
          <w:szCs w:val="24"/>
        </w:rPr>
        <w:fldChar w:fldCharType="end"/>
      </w:r>
      <w:r>
        <w:rPr>
          <w:sz w:val="24"/>
          <w:szCs w:val="24"/>
        </w:rPr>
        <w:fldChar w:fldCharType="end"/>
      </w:r>
    </w:p>
    <w:p w14:paraId="1EF16571">
      <w:pPr>
        <w:pStyle w:val="75"/>
        <w:tabs>
          <w:tab w:val="right" w:leader="dot" w:pos="9071"/>
          <w:tab w:val="clear" w:pos="840"/>
          <w:tab w:val="clear" w:pos="9060"/>
        </w:tabs>
        <w:rPr>
          <w:sz w:val="24"/>
          <w:szCs w:val="24"/>
        </w:rPr>
      </w:pPr>
      <w:r>
        <w:fldChar w:fldCharType="begin"/>
      </w:r>
      <w:r>
        <w:instrText xml:space="preserve"> HYPERLINK \l "_Toc20280" </w:instrText>
      </w:r>
      <w:r>
        <w:fldChar w:fldCharType="separate"/>
      </w:r>
      <w:r>
        <w:rPr>
          <w:bCs/>
          <w:smallCaps w:val="0"/>
          <w:sz w:val="24"/>
          <w:szCs w:val="24"/>
        </w:rPr>
        <w:t xml:space="preserve">2.6 </w:t>
      </w:r>
      <w:r>
        <w:rPr>
          <w:rFonts w:hint="eastAsia"/>
          <w:sz w:val="24"/>
          <w:szCs w:val="24"/>
        </w:rPr>
        <w:t>环境功能区划</w:t>
      </w:r>
      <w:r>
        <w:rPr>
          <w:sz w:val="24"/>
          <w:szCs w:val="24"/>
        </w:rPr>
        <w:tab/>
      </w:r>
      <w:r>
        <w:rPr>
          <w:sz w:val="24"/>
          <w:szCs w:val="24"/>
        </w:rPr>
        <w:fldChar w:fldCharType="begin"/>
      </w:r>
      <w:r>
        <w:rPr>
          <w:sz w:val="24"/>
          <w:szCs w:val="24"/>
        </w:rPr>
        <w:instrText xml:space="preserve"> PAGEREF _Toc20280 \h </w:instrText>
      </w:r>
      <w:r>
        <w:rPr>
          <w:sz w:val="24"/>
          <w:szCs w:val="24"/>
        </w:rPr>
        <w:fldChar w:fldCharType="separate"/>
      </w:r>
      <w:r>
        <w:rPr>
          <w:sz w:val="24"/>
          <w:szCs w:val="24"/>
        </w:rPr>
        <w:t>22</w:t>
      </w:r>
      <w:r>
        <w:rPr>
          <w:sz w:val="24"/>
          <w:szCs w:val="24"/>
        </w:rPr>
        <w:fldChar w:fldCharType="end"/>
      </w:r>
      <w:r>
        <w:rPr>
          <w:sz w:val="24"/>
          <w:szCs w:val="24"/>
        </w:rPr>
        <w:fldChar w:fldCharType="end"/>
      </w:r>
    </w:p>
    <w:p w14:paraId="284E869C">
      <w:pPr>
        <w:pStyle w:val="75"/>
        <w:tabs>
          <w:tab w:val="right" w:leader="dot" w:pos="9071"/>
          <w:tab w:val="clear" w:pos="840"/>
          <w:tab w:val="clear" w:pos="9060"/>
        </w:tabs>
        <w:rPr>
          <w:sz w:val="24"/>
          <w:szCs w:val="24"/>
        </w:rPr>
      </w:pPr>
      <w:r>
        <w:fldChar w:fldCharType="begin"/>
      </w:r>
      <w:r>
        <w:instrText xml:space="preserve"> HYPERLINK \l "_Toc6" </w:instrText>
      </w:r>
      <w:r>
        <w:fldChar w:fldCharType="separate"/>
      </w:r>
      <w:r>
        <w:rPr>
          <w:bCs/>
          <w:smallCaps w:val="0"/>
          <w:snapToGrid w:val="0"/>
          <w:sz w:val="24"/>
          <w:szCs w:val="24"/>
        </w:rPr>
        <w:t xml:space="preserve">2.7 </w:t>
      </w:r>
      <w:r>
        <w:rPr>
          <w:snapToGrid w:val="0"/>
          <w:sz w:val="24"/>
          <w:szCs w:val="24"/>
        </w:rPr>
        <w:t>评价标准</w:t>
      </w:r>
      <w:r>
        <w:rPr>
          <w:sz w:val="24"/>
          <w:szCs w:val="24"/>
        </w:rPr>
        <w:tab/>
      </w:r>
      <w:r>
        <w:rPr>
          <w:sz w:val="24"/>
          <w:szCs w:val="24"/>
        </w:rPr>
        <w:fldChar w:fldCharType="begin"/>
      </w:r>
      <w:r>
        <w:rPr>
          <w:sz w:val="24"/>
          <w:szCs w:val="24"/>
        </w:rPr>
        <w:instrText xml:space="preserve"> PAGEREF _Toc6 \h </w:instrText>
      </w:r>
      <w:r>
        <w:rPr>
          <w:sz w:val="24"/>
          <w:szCs w:val="24"/>
        </w:rPr>
        <w:fldChar w:fldCharType="separate"/>
      </w:r>
      <w:r>
        <w:rPr>
          <w:sz w:val="24"/>
          <w:szCs w:val="24"/>
        </w:rPr>
        <w:t>23</w:t>
      </w:r>
      <w:r>
        <w:rPr>
          <w:sz w:val="24"/>
          <w:szCs w:val="24"/>
        </w:rPr>
        <w:fldChar w:fldCharType="end"/>
      </w:r>
      <w:r>
        <w:rPr>
          <w:sz w:val="24"/>
          <w:szCs w:val="24"/>
        </w:rPr>
        <w:fldChar w:fldCharType="end"/>
      </w:r>
    </w:p>
    <w:p w14:paraId="332154F2">
      <w:pPr>
        <w:pStyle w:val="75"/>
        <w:tabs>
          <w:tab w:val="right" w:leader="dot" w:pos="9071"/>
          <w:tab w:val="clear" w:pos="840"/>
          <w:tab w:val="clear" w:pos="9060"/>
        </w:tabs>
        <w:rPr>
          <w:sz w:val="24"/>
          <w:szCs w:val="24"/>
        </w:rPr>
      </w:pPr>
      <w:r>
        <w:fldChar w:fldCharType="begin"/>
      </w:r>
      <w:r>
        <w:instrText xml:space="preserve"> HYPERLINK \l "_Toc26901" </w:instrText>
      </w:r>
      <w:r>
        <w:fldChar w:fldCharType="separate"/>
      </w:r>
      <w:r>
        <w:rPr>
          <w:bCs/>
          <w:smallCaps w:val="0"/>
          <w:sz w:val="24"/>
          <w:szCs w:val="24"/>
        </w:rPr>
        <w:t xml:space="preserve">2.8 </w:t>
      </w:r>
      <w:r>
        <w:rPr>
          <w:sz w:val="24"/>
          <w:szCs w:val="24"/>
        </w:rPr>
        <w:t>环境保护目标</w:t>
      </w:r>
      <w:r>
        <w:rPr>
          <w:sz w:val="24"/>
          <w:szCs w:val="24"/>
        </w:rPr>
        <w:tab/>
      </w:r>
      <w:r>
        <w:rPr>
          <w:sz w:val="24"/>
          <w:szCs w:val="24"/>
        </w:rPr>
        <w:fldChar w:fldCharType="begin"/>
      </w:r>
      <w:r>
        <w:rPr>
          <w:sz w:val="24"/>
          <w:szCs w:val="24"/>
        </w:rPr>
        <w:instrText xml:space="preserve"> PAGEREF _Toc26901 \h </w:instrText>
      </w:r>
      <w:r>
        <w:rPr>
          <w:sz w:val="24"/>
          <w:szCs w:val="24"/>
        </w:rPr>
        <w:fldChar w:fldCharType="separate"/>
      </w:r>
      <w:r>
        <w:rPr>
          <w:sz w:val="24"/>
          <w:szCs w:val="24"/>
        </w:rPr>
        <w:t>26</w:t>
      </w:r>
      <w:r>
        <w:rPr>
          <w:sz w:val="24"/>
          <w:szCs w:val="24"/>
        </w:rPr>
        <w:fldChar w:fldCharType="end"/>
      </w:r>
      <w:r>
        <w:rPr>
          <w:sz w:val="24"/>
          <w:szCs w:val="24"/>
        </w:rPr>
        <w:fldChar w:fldCharType="end"/>
      </w:r>
    </w:p>
    <w:p w14:paraId="04340258">
      <w:pPr>
        <w:pStyle w:val="60"/>
        <w:tabs>
          <w:tab w:val="right" w:leader="dot" w:pos="9071"/>
        </w:tabs>
        <w:rPr>
          <w:rFonts w:eastAsia="黑体"/>
          <w:b w:val="0"/>
          <w:sz w:val="24"/>
          <w:szCs w:val="24"/>
        </w:rPr>
      </w:pPr>
      <w:r>
        <w:fldChar w:fldCharType="begin"/>
      </w:r>
      <w:r>
        <w:instrText xml:space="preserve"> HYPERLINK \l "_Toc6383" </w:instrText>
      </w:r>
      <w:r>
        <w:fldChar w:fldCharType="separate"/>
      </w:r>
      <w:r>
        <w:rPr>
          <w:rFonts w:eastAsia="黑体"/>
          <w:b w:val="0"/>
          <w:sz w:val="24"/>
          <w:szCs w:val="24"/>
        </w:rPr>
        <w:t>3 建设项目概况与工程分析</w:t>
      </w:r>
      <w:r>
        <w:rPr>
          <w:rFonts w:eastAsia="黑体"/>
          <w:b w:val="0"/>
          <w:sz w:val="24"/>
          <w:szCs w:val="24"/>
        </w:rPr>
        <w:tab/>
      </w:r>
      <w:r>
        <w:rPr>
          <w:rFonts w:eastAsia="黑体"/>
          <w:b w:val="0"/>
          <w:sz w:val="24"/>
          <w:szCs w:val="24"/>
        </w:rPr>
        <w:fldChar w:fldCharType="begin"/>
      </w:r>
      <w:r>
        <w:rPr>
          <w:rFonts w:eastAsia="黑体"/>
          <w:b w:val="0"/>
          <w:sz w:val="24"/>
          <w:szCs w:val="24"/>
        </w:rPr>
        <w:instrText xml:space="preserve"> PAGEREF _Toc6383 \h </w:instrText>
      </w:r>
      <w:r>
        <w:rPr>
          <w:rFonts w:eastAsia="黑体"/>
          <w:b w:val="0"/>
          <w:sz w:val="24"/>
          <w:szCs w:val="24"/>
        </w:rPr>
        <w:fldChar w:fldCharType="separate"/>
      </w:r>
      <w:r>
        <w:rPr>
          <w:rFonts w:eastAsia="黑体"/>
          <w:b w:val="0"/>
          <w:sz w:val="24"/>
          <w:szCs w:val="24"/>
        </w:rPr>
        <w:t>31</w:t>
      </w:r>
      <w:r>
        <w:rPr>
          <w:rFonts w:eastAsia="黑体"/>
          <w:b w:val="0"/>
          <w:sz w:val="24"/>
          <w:szCs w:val="24"/>
        </w:rPr>
        <w:fldChar w:fldCharType="end"/>
      </w:r>
      <w:r>
        <w:rPr>
          <w:rFonts w:eastAsia="黑体"/>
          <w:b w:val="0"/>
          <w:sz w:val="24"/>
          <w:szCs w:val="24"/>
        </w:rPr>
        <w:fldChar w:fldCharType="end"/>
      </w:r>
    </w:p>
    <w:p w14:paraId="57CD0486">
      <w:pPr>
        <w:pStyle w:val="75"/>
        <w:tabs>
          <w:tab w:val="right" w:leader="dot" w:pos="9071"/>
          <w:tab w:val="clear" w:pos="840"/>
          <w:tab w:val="clear" w:pos="9060"/>
        </w:tabs>
        <w:rPr>
          <w:sz w:val="24"/>
          <w:szCs w:val="24"/>
        </w:rPr>
      </w:pPr>
      <w:r>
        <w:fldChar w:fldCharType="begin"/>
      </w:r>
      <w:r>
        <w:instrText xml:space="preserve"> HYPERLINK \l "_Toc28671" </w:instrText>
      </w:r>
      <w:r>
        <w:fldChar w:fldCharType="separate"/>
      </w:r>
      <w:r>
        <w:rPr>
          <w:bCs/>
          <w:smallCaps w:val="0"/>
          <w:sz w:val="24"/>
          <w:szCs w:val="24"/>
        </w:rPr>
        <w:t xml:space="preserve">3.1 </w:t>
      </w:r>
      <w:r>
        <w:rPr>
          <w:rFonts w:hint="eastAsia"/>
          <w:sz w:val="24"/>
          <w:szCs w:val="24"/>
        </w:rPr>
        <w:t>现有工程基本情况</w:t>
      </w:r>
      <w:r>
        <w:rPr>
          <w:sz w:val="24"/>
          <w:szCs w:val="24"/>
        </w:rPr>
        <w:tab/>
      </w:r>
      <w:r>
        <w:rPr>
          <w:sz w:val="24"/>
          <w:szCs w:val="24"/>
        </w:rPr>
        <w:fldChar w:fldCharType="begin"/>
      </w:r>
      <w:r>
        <w:rPr>
          <w:sz w:val="24"/>
          <w:szCs w:val="24"/>
        </w:rPr>
        <w:instrText xml:space="preserve"> PAGEREF _Toc28671 \h </w:instrText>
      </w:r>
      <w:r>
        <w:rPr>
          <w:sz w:val="24"/>
          <w:szCs w:val="24"/>
        </w:rPr>
        <w:fldChar w:fldCharType="separate"/>
      </w:r>
      <w:r>
        <w:rPr>
          <w:sz w:val="24"/>
          <w:szCs w:val="24"/>
        </w:rPr>
        <w:t>31</w:t>
      </w:r>
      <w:r>
        <w:rPr>
          <w:sz w:val="24"/>
          <w:szCs w:val="24"/>
        </w:rPr>
        <w:fldChar w:fldCharType="end"/>
      </w:r>
      <w:r>
        <w:rPr>
          <w:sz w:val="24"/>
          <w:szCs w:val="24"/>
        </w:rPr>
        <w:fldChar w:fldCharType="end"/>
      </w:r>
    </w:p>
    <w:p w14:paraId="31E58C23">
      <w:pPr>
        <w:pStyle w:val="75"/>
        <w:tabs>
          <w:tab w:val="right" w:leader="dot" w:pos="9071"/>
          <w:tab w:val="clear" w:pos="840"/>
          <w:tab w:val="clear" w:pos="9060"/>
        </w:tabs>
        <w:rPr>
          <w:sz w:val="24"/>
          <w:szCs w:val="24"/>
        </w:rPr>
      </w:pPr>
      <w:r>
        <w:fldChar w:fldCharType="begin"/>
      </w:r>
      <w:r>
        <w:instrText xml:space="preserve"> HYPERLINK \l "_Toc32742" </w:instrText>
      </w:r>
      <w:r>
        <w:fldChar w:fldCharType="separate"/>
      </w:r>
      <w:r>
        <w:rPr>
          <w:bCs/>
          <w:smallCaps w:val="0"/>
          <w:sz w:val="24"/>
          <w:szCs w:val="24"/>
        </w:rPr>
        <w:t xml:space="preserve">3.2 </w:t>
      </w:r>
      <w:r>
        <w:rPr>
          <w:sz w:val="24"/>
          <w:szCs w:val="24"/>
        </w:rPr>
        <w:t>拟建工程基本情况</w:t>
      </w:r>
      <w:r>
        <w:rPr>
          <w:sz w:val="24"/>
          <w:szCs w:val="24"/>
        </w:rPr>
        <w:tab/>
      </w:r>
      <w:r>
        <w:rPr>
          <w:sz w:val="24"/>
          <w:szCs w:val="24"/>
        </w:rPr>
        <w:fldChar w:fldCharType="begin"/>
      </w:r>
      <w:r>
        <w:rPr>
          <w:sz w:val="24"/>
          <w:szCs w:val="24"/>
        </w:rPr>
        <w:instrText xml:space="preserve"> PAGEREF _Toc32742 \h </w:instrText>
      </w:r>
      <w:r>
        <w:rPr>
          <w:sz w:val="24"/>
          <w:szCs w:val="24"/>
        </w:rPr>
        <w:fldChar w:fldCharType="separate"/>
      </w:r>
      <w:r>
        <w:rPr>
          <w:sz w:val="24"/>
          <w:szCs w:val="24"/>
        </w:rPr>
        <w:t>37</w:t>
      </w:r>
      <w:r>
        <w:rPr>
          <w:sz w:val="24"/>
          <w:szCs w:val="24"/>
        </w:rPr>
        <w:fldChar w:fldCharType="end"/>
      </w:r>
      <w:r>
        <w:rPr>
          <w:sz w:val="24"/>
          <w:szCs w:val="24"/>
        </w:rPr>
        <w:fldChar w:fldCharType="end"/>
      </w:r>
    </w:p>
    <w:p w14:paraId="2622D682">
      <w:pPr>
        <w:pStyle w:val="75"/>
        <w:tabs>
          <w:tab w:val="right" w:leader="dot" w:pos="9071"/>
          <w:tab w:val="clear" w:pos="840"/>
          <w:tab w:val="clear" w:pos="9060"/>
        </w:tabs>
        <w:rPr>
          <w:sz w:val="24"/>
          <w:szCs w:val="24"/>
        </w:rPr>
      </w:pPr>
      <w:r>
        <w:fldChar w:fldCharType="begin"/>
      </w:r>
      <w:r>
        <w:instrText xml:space="preserve"> HYPERLINK \l "_Toc30236" </w:instrText>
      </w:r>
      <w:r>
        <w:fldChar w:fldCharType="separate"/>
      </w:r>
      <w:r>
        <w:rPr>
          <w:bCs/>
          <w:smallCaps w:val="0"/>
          <w:sz w:val="24"/>
          <w:szCs w:val="24"/>
        </w:rPr>
        <w:t xml:space="preserve">3.3 </w:t>
      </w:r>
      <w:r>
        <w:rPr>
          <w:sz w:val="24"/>
          <w:szCs w:val="24"/>
        </w:rPr>
        <w:t>工程概况</w:t>
      </w:r>
      <w:r>
        <w:rPr>
          <w:sz w:val="24"/>
          <w:szCs w:val="24"/>
        </w:rPr>
        <w:tab/>
      </w:r>
      <w:r>
        <w:rPr>
          <w:sz w:val="24"/>
          <w:szCs w:val="24"/>
        </w:rPr>
        <w:fldChar w:fldCharType="begin"/>
      </w:r>
      <w:r>
        <w:rPr>
          <w:sz w:val="24"/>
          <w:szCs w:val="24"/>
        </w:rPr>
        <w:instrText xml:space="preserve"> PAGEREF _Toc30236 \h </w:instrText>
      </w:r>
      <w:r>
        <w:rPr>
          <w:sz w:val="24"/>
          <w:szCs w:val="24"/>
        </w:rPr>
        <w:fldChar w:fldCharType="separate"/>
      </w:r>
      <w:r>
        <w:rPr>
          <w:sz w:val="24"/>
          <w:szCs w:val="24"/>
        </w:rPr>
        <w:t>38</w:t>
      </w:r>
      <w:r>
        <w:rPr>
          <w:sz w:val="24"/>
          <w:szCs w:val="24"/>
        </w:rPr>
        <w:fldChar w:fldCharType="end"/>
      </w:r>
      <w:r>
        <w:rPr>
          <w:sz w:val="24"/>
          <w:szCs w:val="24"/>
        </w:rPr>
        <w:fldChar w:fldCharType="end"/>
      </w:r>
    </w:p>
    <w:p w14:paraId="0341EADC">
      <w:pPr>
        <w:pStyle w:val="75"/>
        <w:tabs>
          <w:tab w:val="right" w:leader="dot" w:pos="9071"/>
          <w:tab w:val="clear" w:pos="840"/>
          <w:tab w:val="clear" w:pos="9060"/>
        </w:tabs>
        <w:rPr>
          <w:sz w:val="24"/>
          <w:szCs w:val="24"/>
        </w:rPr>
      </w:pPr>
      <w:r>
        <w:fldChar w:fldCharType="begin"/>
      </w:r>
      <w:r>
        <w:instrText xml:space="preserve"> HYPERLINK \l "_Toc12845" </w:instrText>
      </w:r>
      <w:r>
        <w:fldChar w:fldCharType="separate"/>
      </w:r>
      <w:r>
        <w:rPr>
          <w:bCs/>
          <w:smallCaps w:val="0"/>
          <w:sz w:val="24"/>
          <w:szCs w:val="24"/>
        </w:rPr>
        <w:t xml:space="preserve">3.4 </w:t>
      </w:r>
      <w:r>
        <w:rPr>
          <w:sz w:val="24"/>
          <w:szCs w:val="24"/>
        </w:rPr>
        <w:t>工程分析</w:t>
      </w:r>
      <w:r>
        <w:rPr>
          <w:sz w:val="24"/>
          <w:szCs w:val="24"/>
        </w:rPr>
        <w:tab/>
      </w:r>
      <w:r>
        <w:rPr>
          <w:sz w:val="24"/>
          <w:szCs w:val="24"/>
        </w:rPr>
        <w:fldChar w:fldCharType="begin"/>
      </w:r>
      <w:r>
        <w:rPr>
          <w:sz w:val="24"/>
          <w:szCs w:val="24"/>
        </w:rPr>
        <w:instrText xml:space="preserve"> PAGEREF _Toc12845 \h </w:instrText>
      </w:r>
      <w:r>
        <w:rPr>
          <w:sz w:val="24"/>
          <w:szCs w:val="24"/>
        </w:rPr>
        <w:fldChar w:fldCharType="separate"/>
      </w:r>
      <w:r>
        <w:rPr>
          <w:sz w:val="24"/>
          <w:szCs w:val="24"/>
        </w:rPr>
        <w:t>59</w:t>
      </w:r>
      <w:r>
        <w:rPr>
          <w:sz w:val="24"/>
          <w:szCs w:val="24"/>
        </w:rPr>
        <w:fldChar w:fldCharType="end"/>
      </w:r>
      <w:r>
        <w:rPr>
          <w:sz w:val="24"/>
          <w:szCs w:val="24"/>
        </w:rPr>
        <w:fldChar w:fldCharType="end"/>
      </w:r>
    </w:p>
    <w:p w14:paraId="3559DFCD">
      <w:pPr>
        <w:pStyle w:val="60"/>
        <w:tabs>
          <w:tab w:val="right" w:leader="dot" w:pos="9071"/>
        </w:tabs>
        <w:rPr>
          <w:rFonts w:eastAsia="黑体"/>
          <w:b w:val="0"/>
          <w:sz w:val="24"/>
          <w:szCs w:val="24"/>
        </w:rPr>
      </w:pPr>
      <w:r>
        <w:fldChar w:fldCharType="begin"/>
      </w:r>
      <w:r>
        <w:instrText xml:space="preserve"> HYPERLINK \l "_Toc12700" </w:instrText>
      </w:r>
      <w:r>
        <w:fldChar w:fldCharType="separate"/>
      </w:r>
      <w:r>
        <w:rPr>
          <w:rFonts w:eastAsia="黑体"/>
          <w:b w:val="0"/>
          <w:sz w:val="24"/>
          <w:szCs w:val="24"/>
        </w:rPr>
        <w:t>4 环境现状及调查</w:t>
      </w:r>
      <w:r>
        <w:rPr>
          <w:rFonts w:eastAsia="黑体"/>
          <w:b w:val="0"/>
          <w:sz w:val="24"/>
          <w:szCs w:val="24"/>
        </w:rPr>
        <w:tab/>
      </w:r>
      <w:r>
        <w:rPr>
          <w:rFonts w:eastAsia="黑体"/>
          <w:b w:val="0"/>
          <w:sz w:val="24"/>
          <w:szCs w:val="24"/>
        </w:rPr>
        <w:fldChar w:fldCharType="begin"/>
      </w:r>
      <w:r>
        <w:rPr>
          <w:rFonts w:eastAsia="黑体"/>
          <w:b w:val="0"/>
          <w:sz w:val="24"/>
          <w:szCs w:val="24"/>
        </w:rPr>
        <w:instrText xml:space="preserve"> PAGEREF _Toc12700 \h </w:instrText>
      </w:r>
      <w:r>
        <w:rPr>
          <w:rFonts w:eastAsia="黑体"/>
          <w:b w:val="0"/>
          <w:sz w:val="24"/>
          <w:szCs w:val="24"/>
        </w:rPr>
        <w:fldChar w:fldCharType="separate"/>
      </w:r>
      <w:r>
        <w:rPr>
          <w:rFonts w:eastAsia="黑体"/>
          <w:b w:val="0"/>
          <w:sz w:val="24"/>
          <w:szCs w:val="24"/>
        </w:rPr>
        <w:t>80</w:t>
      </w:r>
      <w:r>
        <w:rPr>
          <w:rFonts w:eastAsia="黑体"/>
          <w:b w:val="0"/>
          <w:sz w:val="24"/>
          <w:szCs w:val="24"/>
        </w:rPr>
        <w:fldChar w:fldCharType="end"/>
      </w:r>
      <w:r>
        <w:rPr>
          <w:rFonts w:eastAsia="黑体"/>
          <w:b w:val="0"/>
          <w:sz w:val="24"/>
          <w:szCs w:val="24"/>
        </w:rPr>
        <w:fldChar w:fldCharType="end"/>
      </w:r>
    </w:p>
    <w:p w14:paraId="1D47F116">
      <w:pPr>
        <w:pStyle w:val="75"/>
        <w:tabs>
          <w:tab w:val="right" w:leader="dot" w:pos="9071"/>
          <w:tab w:val="clear" w:pos="840"/>
          <w:tab w:val="clear" w:pos="9060"/>
        </w:tabs>
        <w:rPr>
          <w:sz w:val="24"/>
          <w:szCs w:val="24"/>
        </w:rPr>
      </w:pPr>
      <w:r>
        <w:fldChar w:fldCharType="begin"/>
      </w:r>
      <w:r>
        <w:instrText xml:space="preserve"> HYPERLINK \l "_Toc15882" </w:instrText>
      </w:r>
      <w:r>
        <w:fldChar w:fldCharType="separate"/>
      </w:r>
      <w:r>
        <w:rPr>
          <w:bCs/>
          <w:smallCaps w:val="0"/>
          <w:sz w:val="24"/>
          <w:szCs w:val="24"/>
        </w:rPr>
        <w:t xml:space="preserve">4.1 </w:t>
      </w:r>
      <w:r>
        <w:rPr>
          <w:sz w:val="24"/>
          <w:szCs w:val="24"/>
        </w:rPr>
        <w:t>自然环境概况</w:t>
      </w:r>
      <w:r>
        <w:rPr>
          <w:sz w:val="24"/>
          <w:szCs w:val="24"/>
        </w:rPr>
        <w:tab/>
      </w:r>
      <w:r>
        <w:rPr>
          <w:sz w:val="24"/>
          <w:szCs w:val="24"/>
        </w:rPr>
        <w:fldChar w:fldCharType="begin"/>
      </w:r>
      <w:r>
        <w:rPr>
          <w:sz w:val="24"/>
          <w:szCs w:val="24"/>
        </w:rPr>
        <w:instrText xml:space="preserve"> PAGEREF _Toc15882 \h </w:instrText>
      </w:r>
      <w:r>
        <w:rPr>
          <w:sz w:val="24"/>
          <w:szCs w:val="24"/>
        </w:rPr>
        <w:fldChar w:fldCharType="separate"/>
      </w:r>
      <w:r>
        <w:rPr>
          <w:sz w:val="24"/>
          <w:szCs w:val="24"/>
        </w:rPr>
        <w:t>80</w:t>
      </w:r>
      <w:r>
        <w:rPr>
          <w:sz w:val="24"/>
          <w:szCs w:val="24"/>
        </w:rPr>
        <w:fldChar w:fldCharType="end"/>
      </w:r>
      <w:r>
        <w:rPr>
          <w:sz w:val="24"/>
          <w:szCs w:val="24"/>
        </w:rPr>
        <w:fldChar w:fldCharType="end"/>
      </w:r>
    </w:p>
    <w:p w14:paraId="594D0309">
      <w:pPr>
        <w:pStyle w:val="75"/>
        <w:tabs>
          <w:tab w:val="right" w:leader="dot" w:pos="9071"/>
          <w:tab w:val="clear" w:pos="840"/>
          <w:tab w:val="clear" w:pos="9060"/>
        </w:tabs>
        <w:rPr>
          <w:sz w:val="24"/>
          <w:szCs w:val="24"/>
        </w:rPr>
      </w:pPr>
      <w:r>
        <w:fldChar w:fldCharType="begin"/>
      </w:r>
      <w:r>
        <w:instrText xml:space="preserve"> HYPERLINK \l "_Toc7534" </w:instrText>
      </w:r>
      <w:r>
        <w:fldChar w:fldCharType="separate"/>
      </w:r>
      <w:r>
        <w:rPr>
          <w:bCs/>
          <w:smallCaps w:val="0"/>
          <w:sz w:val="24"/>
          <w:szCs w:val="24"/>
        </w:rPr>
        <w:t xml:space="preserve">4.2 </w:t>
      </w:r>
      <w:r>
        <w:rPr>
          <w:sz w:val="24"/>
          <w:szCs w:val="24"/>
        </w:rPr>
        <w:t>环境质量现状评价</w:t>
      </w:r>
      <w:r>
        <w:rPr>
          <w:sz w:val="24"/>
          <w:szCs w:val="24"/>
        </w:rPr>
        <w:tab/>
      </w:r>
      <w:r>
        <w:rPr>
          <w:sz w:val="24"/>
          <w:szCs w:val="24"/>
        </w:rPr>
        <w:fldChar w:fldCharType="begin"/>
      </w:r>
      <w:r>
        <w:rPr>
          <w:sz w:val="24"/>
          <w:szCs w:val="24"/>
        </w:rPr>
        <w:instrText xml:space="preserve"> PAGEREF _Toc7534 \h </w:instrText>
      </w:r>
      <w:r>
        <w:rPr>
          <w:sz w:val="24"/>
          <w:szCs w:val="24"/>
        </w:rPr>
        <w:fldChar w:fldCharType="separate"/>
      </w:r>
      <w:r>
        <w:rPr>
          <w:sz w:val="24"/>
          <w:szCs w:val="24"/>
        </w:rPr>
        <w:t>85</w:t>
      </w:r>
      <w:r>
        <w:rPr>
          <w:sz w:val="24"/>
          <w:szCs w:val="24"/>
        </w:rPr>
        <w:fldChar w:fldCharType="end"/>
      </w:r>
      <w:r>
        <w:rPr>
          <w:sz w:val="24"/>
          <w:szCs w:val="24"/>
        </w:rPr>
        <w:fldChar w:fldCharType="end"/>
      </w:r>
    </w:p>
    <w:p w14:paraId="0EFB0960">
      <w:pPr>
        <w:pStyle w:val="75"/>
        <w:tabs>
          <w:tab w:val="right" w:leader="dot" w:pos="9071"/>
          <w:tab w:val="clear" w:pos="840"/>
          <w:tab w:val="clear" w:pos="9060"/>
        </w:tabs>
        <w:rPr>
          <w:sz w:val="24"/>
          <w:szCs w:val="24"/>
        </w:rPr>
      </w:pPr>
      <w:r>
        <w:fldChar w:fldCharType="begin"/>
      </w:r>
      <w:r>
        <w:instrText xml:space="preserve"> HYPERLINK \l "_Toc5866" </w:instrText>
      </w:r>
      <w:r>
        <w:fldChar w:fldCharType="separate"/>
      </w:r>
      <w:r>
        <w:rPr>
          <w:bCs/>
          <w:smallCaps w:val="0"/>
          <w:sz w:val="24"/>
          <w:szCs w:val="24"/>
        </w:rPr>
        <w:t xml:space="preserve">4.3 </w:t>
      </w:r>
      <w:r>
        <w:rPr>
          <w:sz w:val="24"/>
          <w:szCs w:val="24"/>
        </w:rPr>
        <w:t>生态环境现状调查与评价</w:t>
      </w:r>
      <w:r>
        <w:rPr>
          <w:sz w:val="24"/>
          <w:szCs w:val="24"/>
        </w:rPr>
        <w:tab/>
      </w:r>
      <w:r>
        <w:rPr>
          <w:sz w:val="24"/>
          <w:szCs w:val="24"/>
        </w:rPr>
        <w:fldChar w:fldCharType="begin"/>
      </w:r>
      <w:r>
        <w:rPr>
          <w:sz w:val="24"/>
          <w:szCs w:val="24"/>
        </w:rPr>
        <w:instrText xml:space="preserve"> PAGEREF _Toc5866 \h </w:instrText>
      </w:r>
      <w:r>
        <w:rPr>
          <w:sz w:val="24"/>
          <w:szCs w:val="24"/>
        </w:rPr>
        <w:fldChar w:fldCharType="separate"/>
      </w:r>
      <w:r>
        <w:rPr>
          <w:sz w:val="24"/>
          <w:szCs w:val="24"/>
        </w:rPr>
        <w:t>97</w:t>
      </w:r>
      <w:r>
        <w:rPr>
          <w:sz w:val="24"/>
          <w:szCs w:val="24"/>
        </w:rPr>
        <w:fldChar w:fldCharType="end"/>
      </w:r>
      <w:r>
        <w:rPr>
          <w:sz w:val="24"/>
          <w:szCs w:val="24"/>
        </w:rPr>
        <w:fldChar w:fldCharType="end"/>
      </w:r>
    </w:p>
    <w:p w14:paraId="77E65085">
      <w:pPr>
        <w:pStyle w:val="60"/>
        <w:tabs>
          <w:tab w:val="right" w:leader="dot" w:pos="9071"/>
        </w:tabs>
        <w:rPr>
          <w:rFonts w:eastAsia="黑体"/>
          <w:b w:val="0"/>
          <w:sz w:val="24"/>
          <w:szCs w:val="24"/>
        </w:rPr>
      </w:pPr>
      <w:r>
        <w:fldChar w:fldCharType="begin"/>
      </w:r>
      <w:r>
        <w:instrText xml:space="preserve"> HYPERLINK \l "_Toc12911" </w:instrText>
      </w:r>
      <w:r>
        <w:fldChar w:fldCharType="separate"/>
      </w:r>
      <w:r>
        <w:rPr>
          <w:rFonts w:eastAsia="黑体"/>
          <w:b w:val="0"/>
          <w:sz w:val="24"/>
          <w:szCs w:val="24"/>
        </w:rPr>
        <w:t xml:space="preserve">5 </w:t>
      </w:r>
      <w:r>
        <w:rPr>
          <w:rFonts w:hint="eastAsia" w:eastAsia="黑体"/>
          <w:b w:val="0"/>
          <w:sz w:val="24"/>
          <w:szCs w:val="24"/>
        </w:rPr>
        <w:t>管线</w:t>
      </w:r>
      <w:r>
        <w:rPr>
          <w:rFonts w:eastAsia="黑体"/>
          <w:b w:val="0"/>
          <w:sz w:val="24"/>
          <w:szCs w:val="24"/>
        </w:rPr>
        <w:t>路由</w:t>
      </w:r>
      <w:r>
        <w:rPr>
          <w:rFonts w:hint="eastAsia" w:eastAsia="黑体"/>
          <w:b w:val="0"/>
          <w:sz w:val="24"/>
          <w:szCs w:val="24"/>
        </w:rPr>
        <w:t>选择与建设合理性分析</w:t>
      </w:r>
      <w:r>
        <w:rPr>
          <w:rFonts w:eastAsia="黑体"/>
          <w:b w:val="0"/>
          <w:sz w:val="24"/>
          <w:szCs w:val="24"/>
        </w:rPr>
        <w:tab/>
      </w:r>
      <w:r>
        <w:rPr>
          <w:rFonts w:eastAsia="黑体"/>
          <w:b w:val="0"/>
          <w:sz w:val="24"/>
          <w:szCs w:val="24"/>
        </w:rPr>
        <w:fldChar w:fldCharType="begin"/>
      </w:r>
      <w:r>
        <w:rPr>
          <w:rFonts w:eastAsia="黑体"/>
          <w:b w:val="0"/>
          <w:sz w:val="24"/>
          <w:szCs w:val="24"/>
        </w:rPr>
        <w:instrText xml:space="preserve"> PAGEREF _Toc12911 \h </w:instrText>
      </w:r>
      <w:r>
        <w:rPr>
          <w:rFonts w:eastAsia="黑体"/>
          <w:b w:val="0"/>
          <w:sz w:val="24"/>
          <w:szCs w:val="24"/>
        </w:rPr>
        <w:fldChar w:fldCharType="separate"/>
      </w:r>
      <w:r>
        <w:rPr>
          <w:rFonts w:eastAsia="黑体"/>
          <w:b w:val="0"/>
          <w:sz w:val="24"/>
          <w:szCs w:val="24"/>
        </w:rPr>
        <w:t>115</w:t>
      </w:r>
      <w:r>
        <w:rPr>
          <w:rFonts w:eastAsia="黑体"/>
          <w:b w:val="0"/>
          <w:sz w:val="24"/>
          <w:szCs w:val="24"/>
        </w:rPr>
        <w:fldChar w:fldCharType="end"/>
      </w:r>
      <w:r>
        <w:rPr>
          <w:rFonts w:eastAsia="黑体"/>
          <w:b w:val="0"/>
          <w:sz w:val="24"/>
          <w:szCs w:val="24"/>
        </w:rPr>
        <w:fldChar w:fldCharType="end"/>
      </w:r>
    </w:p>
    <w:p w14:paraId="01BB9362">
      <w:pPr>
        <w:pStyle w:val="75"/>
        <w:tabs>
          <w:tab w:val="right" w:leader="dot" w:pos="9071"/>
          <w:tab w:val="clear" w:pos="840"/>
          <w:tab w:val="clear" w:pos="9060"/>
        </w:tabs>
        <w:rPr>
          <w:sz w:val="24"/>
          <w:szCs w:val="24"/>
        </w:rPr>
      </w:pPr>
      <w:r>
        <w:fldChar w:fldCharType="begin"/>
      </w:r>
      <w:r>
        <w:instrText xml:space="preserve"> HYPERLINK \l "_Toc6944" </w:instrText>
      </w:r>
      <w:r>
        <w:fldChar w:fldCharType="separate"/>
      </w:r>
      <w:r>
        <w:rPr>
          <w:bCs/>
          <w:smallCaps w:val="0"/>
          <w:sz w:val="24"/>
          <w:szCs w:val="24"/>
        </w:rPr>
        <w:t xml:space="preserve">5.1 </w:t>
      </w:r>
      <w:r>
        <w:rPr>
          <w:sz w:val="24"/>
          <w:szCs w:val="24"/>
        </w:rPr>
        <w:t>路由选择</w:t>
      </w:r>
      <w:r>
        <w:rPr>
          <w:rFonts w:hint="eastAsia"/>
          <w:sz w:val="24"/>
          <w:szCs w:val="24"/>
        </w:rPr>
        <w:t>合理性分析</w:t>
      </w:r>
      <w:r>
        <w:rPr>
          <w:sz w:val="24"/>
          <w:szCs w:val="24"/>
        </w:rPr>
        <w:tab/>
      </w:r>
      <w:r>
        <w:rPr>
          <w:sz w:val="24"/>
          <w:szCs w:val="24"/>
        </w:rPr>
        <w:fldChar w:fldCharType="begin"/>
      </w:r>
      <w:r>
        <w:rPr>
          <w:sz w:val="24"/>
          <w:szCs w:val="24"/>
        </w:rPr>
        <w:instrText xml:space="preserve"> PAGEREF _Toc6944 \h </w:instrText>
      </w:r>
      <w:r>
        <w:rPr>
          <w:sz w:val="24"/>
          <w:szCs w:val="24"/>
        </w:rPr>
        <w:fldChar w:fldCharType="separate"/>
      </w:r>
      <w:r>
        <w:rPr>
          <w:sz w:val="24"/>
          <w:szCs w:val="24"/>
        </w:rPr>
        <w:t>115</w:t>
      </w:r>
      <w:r>
        <w:rPr>
          <w:sz w:val="24"/>
          <w:szCs w:val="24"/>
        </w:rPr>
        <w:fldChar w:fldCharType="end"/>
      </w:r>
      <w:r>
        <w:rPr>
          <w:sz w:val="24"/>
          <w:szCs w:val="24"/>
        </w:rPr>
        <w:fldChar w:fldCharType="end"/>
      </w:r>
    </w:p>
    <w:p w14:paraId="37442CB2">
      <w:pPr>
        <w:pStyle w:val="75"/>
        <w:tabs>
          <w:tab w:val="right" w:leader="dot" w:pos="9071"/>
          <w:tab w:val="clear" w:pos="840"/>
          <w:tab w:val="clear" w:pos="9060"/>
        </w:tabs>
        <w:rPr>
          <w:sz w:val="24"/>
          <w:szCs w:val="24"/>
        </w:rPr>
      </w:pPr>
      <w:r>
        <w:fldChar w:fldCharType="begin"/>
      </w:r>
      <w:r>
        <w:instrText xml:space="preserve"> HYPERLINK \l "_Toc30145" </w:instrText>
      </w:r>
      <w:r>
        <w:fldChar w:fldCharType="separate"/>
      </w:r>
      <w:r>
        <w:rPr>
          <w:bCs/>
          <w:smallCaps w:val="0"/>
          <w:sz w:val="24"/>
          <w:szCs w:val="24"/>
        </w:rPr>
        <w:t xml:space="preserve">5.2 </w:t>
      </w:r>
      <w:r>
        <w:rPr>
          <w:rFonts w:hint="eastAsia"/>
          <w:sz w:val="24"/>
          <w:szCs w:val="24"/>
        </w:rPr>
        <w:t>产业政策及选址可行性分析</w:t>
      </w:r>
      <w:r>
        <w:rPr>
          <w:sz w:val="24"/>
          <w:szCs w:val="24"/>
        </w:rPr>
        <w:tab/>
      </w:r>
      <w:r>
        <w:rPr>
          <w:sz w:val="24"/>
          <w:szCs w:val="24"/>
        </w:rPr>
        <w:fldChar w:fldCharType="begin"/>
      </w:r>
      <w:r>
        <w:rPr>
          <w:sz w:val="24"/>
          <w:szCs w:val="24"/>
        </w:rPr>
        <w:instrText xml:space="preserve"> PAGEREF _Toc30145 \h </w:instrText>
      </w:r>
      <w:r>
        <w:rPr>
          <w:sz w:val="24"/>
          <w:szCs w:val="24"/>
        </w:rPr>
        <w:fldChar w:fldCharType="separate"/>
      </w:r>
      <w:r>
        <w:rPr>
          <w:sz w:val="24"/>
          <w:szCs w:val="24"/>
        </w:rPr>
        <w:t>121</w:t>
      </w:r>
      <w:r>
        <w:rPr>
          <w:sz w:val="24"/>
          <w:szCs w:val="24"/>
        </w:rPr>
        <w:fldChar w:fldCharType="end"/>
      </w:r>
      <w:r>
        <w:rPr>
          <w:sz w:val="24"/>
          <w:szCs w:val="24"/>
        </w:rPr>
        <w:fldChar w:fldCharType="end"/>
      </w:r>
    </w:p>
    <w:p w14:paraId="6FB5D6FE">
      <w:pPr>
        <w:pStyle w:val="60"/>
        <w:tabs>
          <w:tab w:val="right" w:leader="dot" w:pos="9071"/>
        </w:tabs>
        <w:rPr>
          <w:rFonts w:eastAsia="黑体"/>
          <w:b w:val="0"/>
          <w:sz w:val="24"/>
          <w:szCs w:val="24"/>
        </w:rPr>
      </w:pPr>
      <w:r>
        <w:fldChar w:fldCharType="begin"/>
      </w:r>
      <w:r>
        <w:instrText xml:space="preserve"> HYPERLINK \l "_Toc5236" </w:instrText>
      </w:r>
      <w:r>
        <w:fldChar w:fldCharType="separate"/>
      </w:r>
      <w:r>
        <w:rPr>
          <w:rFonts w:eastAsia="黑体"/>
          <w:b w:val="0"/>
          <w:sz w:val="24"/>
          <w:szCs w:val="24"/>
        </w:rPr>
        <w:t>6 环境影响评价与预测</w:t>
      </w:r>
      <w:r>
        <w:rPr>
          <w:rFonts w:eastAsia="黑体"/>
          <w:b w:val="0"/>
          <w:sz w:val="24"/>
          <w:szCs w:val="24"/>
        </w:rPr>
        <w:tab/>
      </w:r>
      <w:r>
        <w:rPr>
          <w:rFonts w:eastAsia="黑体"/>
          <w:b w:val="0"/>
          <w:sz w:val="24"/>
          <w:szCs w:val="24"/>
        </w:rPr>
        <w:fldChar w:fldCharType="begin"/>
      </w:r>
      <w:r>
        <w:rPr>
          <w:rFonts w:eastAsia="黑体"/>
          <w:b w:val="0"/>
          <w:sz w:val="24"/>
          <w:szCs w:val="24"/>
        </w:rPr>
        <w:instrText xml:space="preserve"> PAGEREF _Toc5236 \h </w:instrText>
      </w:r>
      <w:r>
        <w:rPr>
          <w:rFonts w:eastAsia="黑体"/>
          <w:b w:val="0"/>
          <w:sz w:val="24"/>
          <w:szCs w:val="24"/>
        </w:rPr>
        <w:fldChar w:fldCharType="separate"/>
      </w:r>
      <w:r>
        <w:rPr>
          <w:rFonts w:eastAsia="黑体"/>
          <w:b w:val="0"/>
          <w:sz w:val="24"/>
          <w:szCs w:val="24"/>
        </w:rPr>
        <w:t>135</w:t>
      </w:r>
      <w:r>
        <w:rPr>
          <w:rFonts w:eastAsia="黑体"/>
          <w:b w:val="0"/>
          <w:sz w:val="24"/>
          <w:szCs w:val="24"/>
        </w:rPr>
        <w:fldChar w:fldCharType="end"/>
      </w:r>
      <w:r>
        <w:rPr>
          <w:rFonts w:eastAsia="黑体"/>
          <w:b w:val="0"/>
          <w:sz w:val="24"/>
          <w:szCs w:val="24"/>
        </w:rPr>
        <w:fldChar w:fldCharType="end"/>
      </w:r>
    </w:p>
    <w:p w14:paraId="1BD9E9D4">
      <w:pPr>
        <w:pStyle w:val="75"/>
        <w:tabs>
          <w:tab w:val="right" w:leader="dot" w:pos="9071"/>
          <w:tab w:val="clear" w:pos="840"/>
          <w:tab w:val="clear" w:pos="9060"/>
        </w:tabs>
        <w:rPr>
          <w:sz w:val="24"/>
          <w:szCs w:val="24"/>
        </w:rPr>
      </w:pPr>
      <w:r>
        <w:fldChar w:fldCharType="begin"/>
      </w:r>
      <w:r>
        <w:instrText xml:space="preserve"> HYPERLINK \l "_Toc9865" </w:instrText>
      </w:r>
      <w:r>
        <w:fldChar w:fldCharType="separate"/>
      </w:r>
      <w:r>
        <w:rPr>
          <w:bCs/>
          <w:smallCaps w:val="0"/>
          <w:sz w:val="24"/>
          <w:szCs w:val="24"/>
        </w:rPr>
        <w:t xml:space="preserve">6.1 </w:t>
      </w:r>
      <w:r>
        <w:rPr>
          <w:sz w:val="24"/>
          <w:szCs w:val="24"/>
        </w:rPr>
        <w:t>施工期环境影响分析</w:t>
      </w:r>
      <w:r>
        <w:rPr>
          <w:sz w:val="24"/>
          <w:szCs w:val="24"/>
        </w:rPr>
        <w:tab/>
      </w:r>
      <w:r>
        <w:rPr>
          <w:sz w:val="24"/>
          <w:szCs w:val="24"/>
        </w:rPr>
        <w:fldChar w:fldCharType="begin"/>
      </w:r>
      <w:r>
        <w:rPr>
          <w:sz w:val="24"/>
          <w:szCs w:val="24"/>
        </w:rPr>
        <w:instrText xml:space="preserve"> PAGEREF _Toc9865 \h </w:instrText>
      </w:r>
      <w:r>
        <w:rPr>
          <w:sz w:val="24"/>
          <w:szCs w:val="24"/>
        </w:rPr>
        <w:fldChar w:fldCharType="separate"/>
      </w:r>
      <w:r>
        <w:rPr>
          <w:sz w:val="24"/>
          <w:szCs w:val="24"/>
        </w:rPr>
        <w:t>135</w:t>
      </w:r>
      <w:r>
        <w:rPr>
          <w:sz w:val="24"/>
          <w:szCs w:val="24"/>
        </w:rPr>
        <w:fldChar w:fldCharType="end"/>
      </w:r>
      <w:r>
        <w:rPr>
          <w:sz w:val="24"/>
          <w:szCs w:val="24"/>
        </w:rPr>
        <w:fldChar w:fldCharType="end"/>
      </w:r>
    </w:p>
    <w:p w14:paraId="400C056A">
      <w:pPr>
        <w:pStyle w:val="75"/>
        <w:tabs>
          <w:tab w:val="right" w:leader="dot" w:pos="9071"/>
          <w:tab w:val="clear" w:pos="840"/>
          <w:tab w:val="clear" w:pos="9060"/>
        </w:tabs>
        <w:rPr>
          <w:sz w:val="24"/>
          <w:szCs w:val="24"/>
        </w:rPr>
      </w:pPr>
      <w:r>
        <w:fldChar w:fldCharType="begin"/>
      </w:r>
      <w:r>
        <w:instrText xml:space="preserve"> HYPERLINK \l "_Toc30702" </w:instrText>
      </w:r>
      <w:r>
        <w:fldChar w:fldCharType="separate"/>
      </w:r>
      <w:r>
        <w:rPr>
          <w:bCs/>
          <w:smallCaps w:val="0"/>
          <w:sz w:val="24"/>
          <w:szCs w:val="24"/>
        </w:rPr>
        <w:t xml:space="preserve">6.2 </w:t>
      </w:r>
      <w:r>
        <w:rPr>
          <w:sz w:val="24"/>
          <w:szCs w:val="24"/>
        </w:rPr>
        <w:t>营运期环境影响预测与评价</w:t>
      </w:r>
      <w:r>
        <w:rPr>
          <w:sz w:val="24"/>
          <w:szCs w:val="24"/>
        </w:rPr>
        <w:tab/>
      </w:r>
      <w:r>
        <w:rPr>
          <w:sz w:val="24"/>
          <w:szCs w:val="24"/>
        </w:rPr>
        <w:fldChar w:fldCharType="begin"/>
      </w:r>
      <w:r>
        <w:rPr>
          <w:sz w:val="24"/>
          <w:szCs w:val="24"/>
        </w:rPr>
        <w:instrText xml:space="preserve"> PAGEREF _Toc30702 \h </w:instrText>
      </w:r>
      <w:r>
        <w:rPr>
          <w:sz w:val="24"/>
          <w:szCs w:val="24"/>
        </w:rPr>
        <w:fldChar w:fldCharType="separate"/>
      </w:r>
      <w:r>
        <w:rPr>
          <w:sz w:val="24"/>
          <w:szCs w:val="24"/>
        </w:rPr>
        <w:t>143</w:t>
      </w:r>
      <w:r>
        <w:rPr>
          <w:sz w:val="24"/>
          <w:szCs w:val="24"/>
        </w:rPr>
        <w:fldChar w:fldCharType="end"/>
      </w:r>
      <w:r>
        <w:rPr>
          <w:sz w:val="24"/>
          <w:szCs w:val="24"/>
        </w:rPr>
        <w:fldChar w:fldCharType="end"/>
      </w:r>
    </w:p>
    <w:p w14:paraId="0221EF3F">
      <w:pPr>
        <w:pStyle w:val="75"/>
        <w:tabs>
          <w:tab w:val="right" w:leader="dot" w:pos="9071"/>
          <w:tab w:val="clear" w:pos="840"/>
          <w:tab w:val="clear" w:pos="9060"/>
        </w:tabs>
        <w:rPr>
          <w:sz w:val="24"/>
          <w:szCs w:val="24"/>
        </w:rPr>
      </w:pPr>
      <w:r>
        <w:fldChar w:fldCharType="begin"/>
      </w:r>
      <w:r>
        <w:instrText xml:space="preserve"> HYPERLINK \l "_Toc13893" </w:instrText>
      </w:r>
      <w:r>
        <w:fldChar w:fldCharType="separate"/>
      </w:r>
      <w:r>
        <w:rPr>
          <w:bCs/>
          <w:smallCaps w:val="0"/>
          <w:sz w:val="24"/>
          <w:szCs w:val="24"/>
        </w:rPr>
        <w:t xml:space="preserve">6.3 </w:t>
      </w:r>
      <w:r>
        <w:rPr>
          <w:sz w:val="24"/>
          <w:szCs w:val="24"/>
        </w:rPr>
        <w:t>生态环境影响评价</w:t>
      </w:r>
      <w:r>
        <w:rPr>
          <w:sz w:val="24"/>
          <w:szCs w:val="24"/>
        </w:rPr>
        <w:tab/>
      </w:r>
      <w:r>
        <w:rPr>
          <w:sz w:val="24"/>
          <w:szCs w:val="24"/>
        </w:rPr>
        <w:fldChar w:fldCharType="begin"/>
      </w:r>
      <w:r>
        <w:rPr>
          <w:sz w:val="24"/>
          <w:szCs w:val="24"/>
        </w:rPr>
        <w:instrText xml:space="preserve"> PAGEREF _Toc13893 \h </w:instrText>
      </w:r>
      <w:r>
        <w:rPr>
          <w:sz w:val="24"/>
          <w:szCs w:val="24"/>
        </w:rPr>
        <w:fldChar w:fldCharType="separate"/>
      </w:r>
      <w:r>
        <w:rPr>
          <w:sz w:val="24"/>
          <w:szCs w:val="24"/>
        </w:rPr>
        <w:t>153</w:t>
      </w:r>
      <w:r>
        <w:rPr>
          <w:sz w:val="24"/>
          <w:szCs w:val="24"/>
        </w:rPr>
        <w:fldChar w:fldCharType="end"/>
      </w:r>
      <w:r>
        <w:rPr>
          <w:sz w:val="24"/>
          <w:szCs w:val="24"/>
        </w:rPr>
        <w:fldChar w:fldCharType="end"/>
      </w:r>
    </w:p>
    <w:p w14:paraId="7F0B83AF">
      <w:pPr>
        <w:pStyle w:val="60"/>
        <w:tabs>
          <w:tab w:val="right" w:leader="dot" w:pos="9071"/>
        </w:tabs>
        <w:rPr>
          <w:rFonts w:eastAsia="黑体"/>
          <w:b w:val="0"/>
          <w:sz w:val="24"/>
          <w:szCs w:val="24"/>
        </w:rPr>
      </w:pPr>
      <w:r>
        <w:fldChar w:fldCharType="begin"/>
      </w:r>
      <w:r>
        <w:instrText xml:space="preserve"> HYPERLINK \l "_Toc18272" </w:instrText>
      </w:r>
      <w:r>
        <w:fldChar w:fldCharType="separate"/>
      </w:r>
      <w:r>
        <w:rPr>
          <w:rFonts w:eastAsia="黑体"/>
          <w:b w:val="0"/>
          <w:sz w:val="24"/>
          <w:szCs w:val="24"/>
        </w:rPr>
        <w:t>7 环境风险评价</w:t>
      </w:r>
      <w:r>
        <w:rPr>
          <w:rFonts w:eastAsia="黑体"/>
          <w:b w:val="0"/>
          <w:sz w:val="24"/>
          <w:szCs w:val="24"/>
        </w:rPr>
        <w:tab/>
      </w:r>
      <w:r>
        <w:rPr>
          <w:rFonts w:eastAsia="黑体"/>
          <w:b w:val="0"/>
          <w:sz w:val="24"/>
          <w:szCs w:val="24"/>
        </w:rPr>
        <w:fldChar w:fldCharType="begin"/>
      </w:r>
      <w:r>
        <w:rPr>
          <w:rFonts w:eastAsia="黑体"/>
          <w:b w:val="0"/>
          <w:sz w:val="24"/>
          <w:szCs w:val="24"/>
        </w:rPr>
        <w:instrText xml:space="preserve"> PAGEREF _Toc18272 \h </w:instrText>
      </w:r>
      <w:r>
        <w:rPr>
          <w:rFonts w:eastAsia="黑体"/>
          <w:b w:val="0"/>
          <w:sz w:val="24"/>
          <w:szCs w:val="24"/>
        </w:rPr>
        <w:fldChar w:fldCharType="separate"/>
      </w:r>
      <w:r>
        <w:rPr>
          <w:rFonts w:eastAsia="黑体"/>
          <w:b w:val="0"/>
          <w:sz w:val="24"/>
          <w:szCs w:val="24"/>
        </w:rPr>
        <w:t>168</w:t>
      </w:r>
      <w:r>
        <w:rPr>
          <w:rFonts w:eastAsia="黑体"/>
          <w:b w:val="0"/>
          <w:sz w:val="24"/>
          <w:szCs w:val="24"/>
        </w:rPr>
        <w:fldChar w:fldCharType="end"/>
      </w:r>
      <w:r>
        <w:rPr>
          <w:rFonts w:eastAsia="黑体"/>
          <w:b w:val="0"/>
          <w:sz w:val="24"/>
          <w:szCs w:val="24"/>
        </w:rPr>
        <w:fldChar w:fldCharType="end"/>
      </w:r>
    </w:p>
    <w:p w14:paraId="173F8641">
      <w:pPr>
        <w:pStyle w:val="75"/>
        <w:tabs>
          <w:tab w:val="right" w:leader="dot" w:pos="9071"/>
          <w:tab w:val="clear" w:pos="840"/>
          <w:tab w:val="clear" w:pos="9060"/>
        </w:tabs>
        <w:rPr>
          <w:sz w:val="24"/>
          <w:szCs w:val="24"/>
        </w:rPr>
      </w:pPr>
      <w:r>
        <w:fldChar w:fldCharType="begin"/>
      </w:r>
      <w:r>
        <w:instrText xml:space="preserve"> HYPERLINK \l "_Toc17566" </w:instrText>
      </w:r>
      <w:r>
        <w:fldChar w:fldCharType="separate"/>
      </w:r>
      <w:r>
        <w:rPr>
          <w:bCs/>
          <w:smallCaps w:val="0"/>
          <w:sz w:val="24"/>
          <w:szCs w:val="24"/>
        </w:rPr>
        <w:t xml:space="preserve">7.1 </w:t>
      </w:r>
      <w:r>
        <w:rPr>
          <w:rFonts w:hint="eastAsia"/>
          <w:sz w:val="24"/>
          <w:szCs w:val="24"/>
        </w:rPr>
        <w:t>评价依据</w:t>
      </w:r>
      <w:r>
        <w:rPr>
          <w:sz w:val="24"/>
          <w:szCs w:val="24"/>
        </w:rPr>
        <w:tab/>
      </w:r>
      <w:r>
        <w:rPr>
          <w:sz w:val="24"/>
          <w:szCs w:val="24"/>
        </w:rPr>
        <w:fldChar w:fldCharType="begin"/>
      </w:r>
      <w:r>
        <w:rPr>
          <w:sz w:val="24"/>
          <w:szCs w:val="24"/>
        </w:rPr>
        <w:instrText xml:space="preserve"> PAGEREF _Toc17566 \h </w:instrText>
      </w:r>
      <w:r>
        <w:rPr>
          <w:sz w:val="24"/>
          <w:szCs w:val="24"/>
        </w:rPr>
        <w:fldChar w:fldCharType="separate"/>
      </w:r>
      <w:r>
        <w:rPr>
          <w:sz w:val="24"/>
          <w:szCs w:val="24"/>
        </w:rPr>
        <w:t>168</w:t>
      </w:r>
      <w:r>
        <w:rPr>
          <w:sz w:val="24"/>
          <w:szCs w:val="24"/>
        </w:rPr>
        <w:fldChar w:fldCharType="end"/>
      </w:r>
      <w:r>
        <w:rPr>
          <w:sz w:val="24"/>
          <w:szCs w:val="24"/>
        </w:rPr>
        <w:fldChar w:fldCharType="end"/>
      </w:r>
    </w:p>
    <w:p w14:paraId="534E8C93">
      <w:pPr>
        <w:pStyle w:val="75"/>
        <w:tabs>
          <w:tab w:val="right" w:leader="dot" w:pos="9071"/>
          <w:tab w:val="clear" w:pos="840"/>
          <w:tab w:val="clear" w:pos="9060"/>
        </w:tabs>
        <w:rPr>
          <w:sz w:val="24"/>
          <w:szCs w:val="24"/>
        </w:rPr>
      </w:pPr>
      <w:r>
        <w:fldChar w:fldCharType="begin"/>
      </w:r>
      <w:r>
        <w:instrText xml:space="preserve"> HYPERLINK \l "_Toc15464" </w:instrText>
      </w:r>
      <w:r>
        <w:fldChar w:fldCharType="separate"/>
      </w:r>
      <w:r>
        <w:rPr>
          <w:rFonts w:hint="eastAsia"/>
          <w:bCs/>
          <w:smallCaps w:val="0"/>
          <w:sz w:val="24"/>
          <w:szCs w:val="24"/>
        </w:rPr>
        <w:t xml:space="preserve">7.2 </w:t>
      </w:r>
      <w:r>
        <w:rPr>
          <w:rFonts w:hint="eastAsia"/>
          <w:sz w:val="24"/>
          <w:szCs w:val="24"/>
        </w:rPr>
        <w:t>环境敏感目标调查</w:t>
      </w:r>
      <w:r>
        <w:rPr>
          <w:sz w:val="24"/>
          <w:szCs w:val="24"/>
        </w:rPr>
        <w:tab/>
      </w:r>
      <w:r>
        <w:rPr>
          <w:sz w:val="24"/>
          <w:szCs w:val="24"/>
        </w:rPr>
        <w:fldChar w:fldCharType="begin"/>
      </w:r>
      <w:r>
        <w:rPr>
          <w:sz w:val="24"/>
          <w:szCs w:val="24"/>
        </w:rPr>
        <w:instrText xml:space="preserve"> PAGEREF _Toc15464 \h </w:instrText>
      </w:r>
      <w:r>
        <w:rPr>
          <w:sz w:val="24"/>
          <w:szCs w:val="24"/>
        </w:rPr>
        <w:fldChar w:fldCharType="separate"/>
      </w:r>
      <w:r>
        <w:rPr>
          <w:sz w:val="24"/>
          <w:szCs w:val="24"/>
        </w:rPr>
        <w:t>170</w:t>
      </w:r>
      <w:r>
        <w:rPr>
          <w:sz w:val="24"/>
          <w:szCs w:val="24"/>
        </w:rPr>
        <w:fldChar w:fldCharType="end"/>
      </w:r>
      <w:r>
        <w:rPr>
          <w:sz w:val="24"/>
          <w:szCs w:val="24"/>
        </w:rPr>
        <w:fldChar w:fldCharType="end"/>
      </w:r>
    </w:p>
    <w:p w14:paraId="3B38EBD0">
      <w:pPr>
        <w:pStyle w:val="75"/>
        <w:tabs>
          <w:tab w:val="right" w:leader="dot" w:pos="9071"/>
          <w:tab w:val="clear" w:pos="840"/>
          <w:tab w:val="clear" w:pos="9060"/>
        </w:tabs>
        <w:rPr>
          <w:sz w:val="24"/>
          <w:szCs w:val="24"/>
        </w:rPr>
      </w:pPr>
      <w:r>
        <w:fldChar w:fldCharType="begin"/>
      </w:r>
      <w:r>
        <w:instrText xml:space="preserve"> HYPERLINK \l "_Toc17132" </w:instrText>
      </w:r>
      <w:r>
        <w:fldChar w:fldCharType="separate"/>
      </w:r>
      <w:r>
        <w:rPr>
          <w:bCs/>
          <w:smallCaps w:val="0"/>
          <w:sz w:val="24"/>
          <w:szCs w:val="24"/>
        </w:rPr>
        <w:t xml:space="preserve">7.3 </w:t>
      </w:r>
      <w:r>
        <w:rPr>
          <w:rFonts w:hint="eastAsia"/>
          <w:sz w:val="24"/>
          <w:szCs w:val="24"/>
        </w:rPr>
        <w:t>环境</w:t>
      </w:r>
      <w:r>
        <w:rPr>
          <w:sz w:val="24"/>
          <w:szCs w:val="24"/>
        </w:rPr>
        <w:t>风险识别</w:t>
      </w:r>
      <w:r>
        <w:rPr>
          <w:sz w:val="24"/>
          <w:szCs w:val="24"/>
        </w:rPr>
        <w:tab/>
      </w:r>
      <w:r>
        <w:rPr>
          <w:sz w:val="24"/>
          <w:szCs w:val="24"/>
        </w:rPr>
        <w:fldChar w:fldCharType="begin"/>
      </w:r>
      <w:r>
        <w:rPr>
          <w:sz w:val="24"/>
          <w:szCs w:val="24"/>
        </w:rPr>
        <w:instrText xml:space="preserve"> PAGEREF _Toc17132 \h </w:instrText>
      </w:r>
      <w:r>
        <w:rPr>
          <w:sz w:val="24"/>
          <w:szCs w:val="24"/>
        </w:rPr>
        <w:fldChar w:fldCharType="separate"/>
      </w:r>
      <w:r>
        <w:rPr>
          <w:sz w:val="24"/>
          <w:szCs w:val="24"/>
        </w:rPr>
        <w:t>170</w:t>
      </w:r>
      <w:r>
        <w:rPr>
          <w:sz w:val="24"/>
          <w:szCs w:val="24"/>
        </w:rPr>
        <w:fldChar w:fldCharType="end"/>
      </w:r>
      <w:r>
        <w:rPr>
          <w:sz w:val="24"/>
          <w:szCs w:val="24"/>
        </w:rPr>
        <w:fldChar w:fldCharType="end"/>
      </w:r>
    </w:p>
    <w:p w14:paraId="05B9363B">
      <w:pPr>
        <w:pStyle w:val="75"/>
        <w:tabs>
          <w:tab w:val="right" w:leader="dot" w:pos="9071"/>
          <w:tab w:val="clear" w:pos="840"/>
          <w:tab w:val="clear" w:pos="9060"/>
        </w:tabs>
        <w:rPr>
          <w:sz w:val="24"/>
          <w:szCs w:val="24"/>
        </w:rPr>
      </w:pPr>
      <w:r>
        <w:fldChar w:fldCharType="begin"/>
      </w:r>
      <w:r>
        <w:instrText xml:space="preserve"> HYPERLINK \l "_Toc28776" </w:instrText>
      </w:r>
      <w:r>
        <w:fldChar w:fldCharType="separate"/>
      </w:r>
      <w:r>
        <w:rPr>
          <w:bCs/>
          <w:smallCaps w:val="0"/>
          <w:sz w:val="24"/>
          <w:szCs w:val="24"/>
        </w:rPr>
        <w:t xml:space="preserve">7.4 </w:t>
      </w:r>
      <w:r>
        <w:rPr>
          <w:rFonts w:hint="eastAsia"/>
          <w:sz w:val="24"/>
          <w:szCs w:val="24"/>
        </w:rPr>
        <w:t>环境</w:t>
      </w:r>
      <w:r>
        <w:rPr>
          <w:sz w:val="24"/>
          <w:szCs w:val="24"/>
        </w:rPr>
        <w:t>风险</w:t>
      </w:r>
      <w:r>
        <w:rPr>
          <w:rFonts w:hint="eastAsia"/>
          <w:sz w:val="24"/>
          <w:szCs w:val="24"/>
        </w:rPr>
        <w:t>分析</w:t>
      </w:r>
      <w:r>
        <w:rPr>
          <w:sz w:val="24"/>
          <w:szCs w:val="24"/>
        </w:rPr>
        <w:tab/>
      </w:r>
      <w:r>
        <w:rPr>
          <w:sz w:val="24"/>
          <w:szCs w:val="24"/>
        </w:rPr>
        <w:fldChar w:fldCharType="begin"/>
      </w:r>
      <w:r>
        <w:rPr>
          <w:sz w:val="24"/>
          <w:szCs w:val="24"/>
        </w:rPr>
        <w:instrText xml:space="preserve"> PAGEREF _Toc28776 \h </w:instrText>
      </w:r>
      <w:r>
        <w:rPr>
          <w:sz w:val="24"/>
          <w:szCs w:val="24"/>
        </w:rPr>
        <w:fldChar w:fldCharType="separate"/>
      </w:r>
      <w:r>
        <w:rPr>
          <w:sz w:val="24"/>
          <w:szCs w:val="24"/>
        </w:rPr>
        <w:t>176</w:t>
      </w:r>
      <w:r>
        <w:rPr>
          <w:sz w:val="24"/>
          <w:szCs w:val="24"/>
        </w:rPr>
        <w:fldChar w:fldCharType="end"/>
      </w:r>
      <w:r>
        <w:rPr>
          <w:sz w:val="24"/>
          <w:szCs w:val="24"/>
        </w:rPr>
        <w:fldChar w:fldCharType="end"/>
      </w:r>
    </w:p>
    <w:p w14:paraId="760D552A">
      <w:pPr>
        <w:pStyle w:val="75"/>
        <w:tabs>
          <w:tab w:val="right" w:leader="dot" w:pos="9071"/>
          <w:tab w:val="clear" w:pos="840"/>
          <w:tab w:val="clear" w:pos="9060"/>
        </w:tabs>
        <w:rPr>
          <w:sz w:val="24"/>
          <w:szCs w:val="24"/>
        </w:rPr>
      </w:pPr>
      <w:r>
        <w:fldChar w:fldCharType="begin"/>
      </w:r>
      <w:r>
        <w:instrText xml:space="preserve"> HYPERLINK \l "_Toc17614" </w:instrText>
      </w:r>
      <w:r>
        <w:fldChar w:fldCharType="separate"/>
      </w:r>
      <w:r>
        <w:rPr>
          <w:bCs/>
          <w:smallCaps w:val="0"/>
          <w:sz w:val="24"/>
          <w:szCs w:val="24"/>
        </w:rPr>
        <w:t xml:space="preserve">7.5 </w:t>
      </w:r>
      <w:r>
        <w:rPr>
          <w:sz w:val="24"/>
          <w:szCs w:val="24"/>
        </w:rPr>
        <w:t>环境风险防范措施</w:t>
      </w:r>
      <w:r>
        <w:rPr>
          <w:sz w:val="24"/>
          <w:szCs w:val="24"/>
        </w:rPr>
        <w:tab/>
      </w:r>
      <w:r>
        <w:rPr>
          <w:sz w:val="24"/>
          <w:szCs w:val="24"/>
        </w:rPr>
        <w:fldChar w:fldCharType="begin"/>
      </w:r>
      <w:r>
        <w:rPr>
          <w:sz w:val="24"/>
          <w:szCs w:val="24"/>
        </w:rPr>
        <w:instrText xml:space="preserve"> PAGEREF _Toc17614 \h </w:instrText>
      </w:r>
      <w:r>
        <w:rPr>
          <w:sz w:val="24"/>
          <w:szCs w:val="24"/>
        </w:rPr>
        <w:fldChar w:fldCharType="separate"/>
      </w:r>
      <w:r>
        <w:rPr>
          <w:sz w:val="24"/>
          <w:szCs w:val="24"/>
        </w:rPr>
        <w:t>178</w:t>
      </w:r>
      <w:r>
        <w:rPr>
          <w:sz w:val="24"/>
          <w:szCs w:val="24"/>
        </w:rPr>
        <w:fldChar w:fldCharType="end"/>
      </w:r>
      <w:r>
        <w:rPr>
          <w:sz w:val="24"/>
          <w:szCs w:val="24"/>
        </w:rPr>
        <w:fldChar w:fldCharType="end"/>
      </w:r>
    </w:p>
    <w:p w14:paraId="6667A046">
      <w:pPr>
        <w:pStyle w:val="75"/>
        <w:tabs>
          <w:tab w:val="right" w:leader="dot" w:pos="9071"/>
          <w:tab w:val="clear" w:pos="840"/>
          <w:tab w:val="clear" w:pos="9060"/>
        </w:tabs>
        <w:rPr>
          <w:sz w:val="24"/>
          <w:szCs w:val="24"/>
        </w:rPr>
      </w:pPr>
      <w:r>
        <w:fldChar w:fldCharType="begin"/>
      </w:r>
      <w:r>
        <w:instrText xml:space="preserve"> HYPERLINK \l "_Toc4412" </w:instrText>
      </w:r>
      <w:r>
        <w:fldChar w:fldCharType="separate"/>
      </w:r>
      <w:r>
        <w:rPr>
          <w:bCs/>
          <w:smallCaps w:val="0"/>
          <w:sz w:val="24"/>
          <w:szCs w:val="24"/>
        </w:rPr>
        <w:t xml:space="preserve">7.6 </w:t>
      </w:r>
      <w:r>
        <w:rPr>
          <w:sz w:val="24"/>
          <w:szCs w:val="24"/>
        </w:rPr>
        <w:t>环境风险应急预案编制要求</w:t>
      </w:r>
      <w:r>
        <w:rPr>
          <w:sz w:val="24"/>
          <w:szCs w:val="24"/>
        </w:rPr>
        <w:tab/>
      </w:r>
      <w:r>
        <w:rPr>
          <w:sz w:val="24"/>
          <w:szCs w:val="24"/>
        </w:rPr>
        <w:fldChar w:fldCharType="begin"/>
      </w:r>
      <w:r>
        <w:rPr>
          <w:sz w:val="24"/>
          <w:szCs w:val="24"/>
        </w:rPr>
        <w:instrText xml:space="preserve"> PAGEREF _Toc4412 \h </w:instrText>
      </w:r>
      <w:r>
        <w:rPr>
          <w:sz w:val="24"/>
          <w:szCs w:val="24"/>
        </w:rPr>
        <w:fldChar w:fldCharType="separate"/>
      </w:r>
      <w:r>
        <w:rPr>
          <w:sz w:val="24"/>
          <w:szCs w:val="24"/>
        </w:rPr>
        <w:t>190</w:t>
      </w:r>
      <w:r>
        <w:rPr>
          <w:sz w:val="24"/>
          <w:szCs w:val="24"/>
        </w:rPr>
        <w:fldChar w:fldCharType="end"/>
      </w:r>
      <w:r>
        <w:rPr>
          <w:sz w:val="24"/>
          <w:szCs w:val="24"/>
        </w:rPr>
        <w:fldChar w:fldCharType="end"/>
      </w:r>
    </w:p>
    <w:p w14:paraId="0914E490">
      <w:pPr>
        <w:pStyle w:val="75"/>
        <w:tabs>
          <w:tab w:val="right" w:leader="dot" w:pos="9071"/>
          <w:tab w:val="clear" w:pos="840"/>
          <w:tab w:val="clear" w:pos="9060"/>
        </w:tabs>
        <w:rPr>
          <w:sz w:val="24"/>
          <w:szCs w:val="24"/>
        </w:rPr>
      </w:pPr>
      <w:r>
        <w:fldChar w:fldCharType="begin"/>
      </w:r>
      <w:r>
        <w:instrText xml:space="preserve"> HYPERLINK \l "_Toc28287" </w:instrText>
      </w:r>
      <w:r>
        <w:fldChar w:fldCharType="separate"/>
      </w:r>
      <w:r>
        <w:rPr>
          <w:bCs/>
          <w:smallCaps w:val="0"/>
          <w:sz w:val="24"/>
          <w:szCs w:val="24"/>
        </w:rPr>
        <w:t xml:space="preserve">7.7 </w:t>
      </w:r>
      <w:r>
        <w:rPr>
          <w:sz w:val="24"/>
          <w:szCs w:val="24"/>
        </w:rPr>
        <w:t>小结</w:t>
      </w:r>
      <w:r>
        <w:rPr>
          <w:sz w:val="24"/>
          <w:szCs w:val="24"/>
        </w:rPr>
        <w:tab/>
      </w:r>
      <w:r>
        <w:rPr>
          <w:sz w:val="24"/>
          <w:szCs w:val="24"/>
        </w:rPr>
        <w:fldChar w:fldCharType="begin"/>
      </w:r>
      <w:r>
        <w:rPr>
          <w:sz w:val="24"/>
          <w:szCs w:val="24"/>
        </w:rPr>
        <w:instrText xml:space="preserve"> PAGEREF _Toc28287 \h </w:instrText>
      </w:r>
      <w:r>
        <w:rPr>
          <w:sz w:val="24"/>
          <w:szCs w:val="24"/>
        </w:rPr>
        <w:fldChar w:fldCharType="separate"/>
      </w:r>
      <w:r>
        <w:rPr>
          <w:sz w:val="24"/>
          <w:szCs w:val="24"/>
        </w:rPr>
        <w:t>191</w:t>
      </w:r>
      <w:r>
        <w:rPr>
          <w:sz w:val="24"/>
          <w:szCs w:val="24"/>
        </w:rPr>
        <w:fldChar w:fldCharType="end"/>
      </w:r>
      <w:r>
        <w:rPr>
          <w:sz w:val="24"/>
          <w:szCs w:val="24"/>
        </w:rPr>
        <w:fldChar w:fldCharType="end"/>
      </w:r>
    </w:p>
    <w:p w14:paraId="0DB7C9BD">
      <w:pPr>
        <w:pStyle w:val="60"/>
        <w:tabs>
          <w:tab w:val="right" w:leader="dot" w:pos="9071"/>
        </w:tabs>
        <w:rPr>
          <w:rFonts w:eastAsia="黑体"/>
          <w:b w:val="0"/>
          <w:sz w:val="24"/>
          <w:szCs w:val="24"/>
        </w:rPr>
      </w:pPr>
      <w:r>
        <w:fldChar w:fldCharType="begin"/>
      </w:r>
      <w:r>
        <w:instrText xml:space="preserve"> HYPERLINK \l "_Toc28865" </w:instrText>
      </w:r>
      <w:r>
        <w:fldChar w:fldCharType="separate"/>
      </w:r>
      <w:r>
        <w:rPr>
          <w:rFonts w:eastAsia="黑体"/>
          <w:b w:val="0"/>
          <w:sz w:val="24"/>
          <w:szCs w:val="24"/>
        </w:rPr>
        <w:t>8 环境保护措施及其可行性论证</w:t>
      </w:r>
      <w:r>
        <w:rPr>
          <w:rFonts w:eastAsia="黑体"/>
          <w:b w:val="0"/>
          <w:sz w:val="24"/>
          <w:szCs w:val="24"/>
        </w:rPr>
        <w:tab/>
      </w:r>
      <w:r>
        <w:rPr>
          <w:rFonts w:eastAsia="黑体"/>
          <w:b w:val="0"/>
          <w:sz w:val="24"/>
          <w:szCs w:val="24"/>
        </w:rPr>
        <w:fldChar w:fldCharType="begin"/>
      </w:r>
      <w:r>
        <w:rPr>
          <w:rFonts w:eastAsia="黑体"/>
          <w:b w:val="0"/>
          <w:sz w:val="24"/>
          <w:szCs w:val="24"/>
        </w:rPr>
        <w:instrText xml:space="preserve"> PAGEREF _Toc28865 \h </w:instrText>
      </w:r>
      <w:r>
        <w:rPr>
          <w:rFonts w:eastAsia="黑体"/>
          <w:b w:val="0"/>
          <w:sz w:val="24"/>
          <w:szCs w:val="24"/>
        </w:rPr>
        <w:fldChar w:fldCharType="separate"/>
      </w:r>
      <w:r>
        <w:rPr>
          <w:rFonts w:eastAsia="黑体"/>
          <w:b w:val="0"/>
          <w:sz w:val="24"/>
          <w:szCs w:val="24"/>
        </w:rPr>
        <w:t>193</w:t>
      </w:r>
      <w:r>
        <w:rPr>
          <w:rFonts w:eastAsia="黑体"/>
          <w:b w:val="0"/>
          <w:sz w:val="24"/>
          <w:szCs w:val="24"/>
        </w:rPr>
        <w:fldChar w:fldCharType="end"/>
      </w:r>
      <w:r>
        <w:rPr>
          <w:rFonts w:eastAsia="黑体"/>
          <w:b w:val="0"/>
          <w:sz w:val="24"/>
          <w:szCs w:val="24"/>
        </w:rPr>
        <w:fldChar w:fldCharType="end"/>
      </w:r>
    </w:p>
    <w:p w14:paraId="44F5772D">
      <w:pPr>
        <w:pStyle w:val="75"/>
        <w:tabs>
          <w:tab w:val="right" w:leader="dot" w:pos="9071"/>
          <w:tab w:val="clear" w:pos="840"/>
          <w:tab w:val="clear" w:pos="9060"/>
        </w:tabs>
        <w:rPr>
          <w:sz w:val="24"/>
          <w:szCs w:val="24"/>
        </w:rPr>
      </w:pPr>
      <w:r>
        <w:fldChar w:fldCharType="begin"/>
      </w:r>
      <w:r>
        <w:instrText xml:space="preserve"> HYPERLINK \l "_Toc14029" </w:instrText>
      </w:r>
      <w:r>
        <w:fldChar w:fldCharType="separate"/>
      </w:r>
      <w:r>
        <w:rPr>
          <w:bCs/>
          <w:smallCaps w:val="0"/>
          <w:sz w:val="24"/>
          <w:szCs w:val="24"/>
        </w:rPr>
        <w:t xml:space="preserve">8.1 </w:t>
      </w:r>
      <w:r>
        <w:rPr>
          <w:sz w:val="24"/>
          <w:szCs w:val="24"/>
        </w:rPr>
        <w:t>施工期环境保护措施</w:t>
      </w:r>
      <w:r>
        <w:rPr>
          <w:sz w:val="24"/>
          <w:szCs w:val="24"/>
        </w:rPr>
        <w:tab/>
      </w:r>
      <w:r>
        <w:rPr>
          <w:sz w:val="24"/>
          <w:szCs w:val="24"/>
        </w:rPr>
        <w:fldChar w:fldCharType="begin"/>
      </w:r>
      <w:r>
        <w:rPr>
          <w:sz w:val="24"/>
          <w:szCs w:val="24"/>
        </w:rPr>
        <w:instrText xml:space="preserve"> PAGEREF _Toc14029 \h </w:instrText>
      </w:r>
      <w:r>
        <w:rPr>
          <w:sz w:val="24"/>
          <w:szCs w:val="24"/>
        </w:rPr>
        <w:fldChar w:fldCharType="separate"/>
      </w:r>
      <w:r>
        <w:rPr>
          <w:sz w:val="24"/>
          <w:szCs w:val="24"/>
        </w:rPr>
        <w:t>193</w:t>
      </w:r>
      <w:r>
        <w:rPr>
          <w:sz w:val="24"/>
          <w:szCs w:val="24"/>
        </w:rPr>
        <w:fldChar w:fldCharType="end"/>
      </w:r>
      <w:r>
        <w:rPr>
          <w:sz w:val="24"/>
          <w:szCs w:val="24"/>
        </w:rPr>
        <w:fldChar w:fldCharType="end"/>
      </w:r>
    </w:p>
    <w:p w14:paraId="587BFB25">
      <w:pPr>
        <w:pStyle w:val="75"/>
        <w:tabs>
          <w:tab w:val="right" w:leader="dot" w:pos="9071"/>
          <w:tab w:val="clear" w:pos="840"/>
          <w:tab w:val="clear" w:pos="9060"/>
        </w:tabs>
        <w:rPr>
          <w:sz w:val="24"/>
          <w:szCs w:val="24"/>
        </w:rPr>
      </w:pPr>
      <w:r>
        <w:fldChar w:fldCharType="begin"/>
      </w:r>
      <w:r>
        <w:instrText xml:space="preserve"> HYPERLINK \l "_Toc28003" </w:instrText>
      </w:r>
      <w:r>
        <w:fldChar w:fldCharType="separate"/>
      </w:r>
      <w:r>
        <w:rPr>
          <w:bCs/>
          <w:smallCaps w:val="0"/>
          <w:sz w:val="24"/>
          <w:szCs w:val="24"/>
        </w:rPr>
        <w:t xml:space="preserve">8.2 </w:t>
      </w:r>
      <w:r>
        <w:rPr>
          <w:sz w:val="24"/>
          <w:szCs w:val="24"/>
        </w:rPr>
        <w:t>施工期污染防治措施</w:t>
      </w:r>
      <w:r>
        <w:rPr>
          <w:sz w:val="24"/>
          <w:szCs w:val="24"/>
        </w:rPr>
        <w:tab/>
      </w:r>
      <w:r>
        <w:rPr>
          <w:sz w:val="24"/>
          <w:szCs w:val="24"/>
        </w:rPr>
        <w:fldChar w:fldCharType="begin"/>
      </w:r>
      <w:r>
        <w:rPr>
          <w:sz w:val="24"/>
          <w:szCs w:val="24"/>
        </w:rPr>
        <w:instrText xml:space="preserve"> PAGEREF _Toc28003 \h </w:instrText>
      </w:r>
      <w:r>
        <w:rPr>
          <w:sz w:val="24"/>
          <w:szCs w:val="24"/>
        </w:rPr>
        <w:fldChar w:fldCharType="separate"/>
      </w:r>
      <w:r>
        <w:rPr>
          <w:sz w:val="24"/>
          <w:szCs w:val="24"/>
        </w:rPr>
        <w:t>199</w:t>
      </w:r>
      <w:r>
        <w:rPr>
          <w:sz w:val="24"/>
          <w:szCs w:val="24"/>
        </w:rPr>
        <w:fldChar w:fldCharType="end"/>
      </w:r>
      <w:r>
        <w:rPr>
          <w:sz w:val="24"/>
          <w:szCs w:val="24"/>
        </w:rPr>
        <w:fldChar w:fldCharType="end"/>
      </w:r>
    </w:p>
    <w:p w14:paraId="2ECF6699">
      <w:pPr>
        <w:pStyle w:val="75"/>
        <w:tabs>
          <w:tab w:val="right" w:leader="dot" w:pos="9071"/>
          <w:tab w:val="clear" w:pos="840"/>
          <w:tab w:val="clear" w:pos="9060"/>
        </w:tabs>
        <w:rPr>
          <w:sz w:val="24"/>
          <w:szCs w:val="24"/>
        </w:rPr>
      </w:pPr>
      <w:r>
        <w:fldChar w:fldCharType="begin"/>
      </w:r>
      <w:r>
        <w:instrText xml:space="preserve"> HYPERLINK \l "_Toc8674" </w:instrText>
      </w:r>
      <w:r>
        <w:fldChar w:fldCharType="separate"/>
      </w:r>
      <w:r>
        <w:rPr>
          <w:bCs/>
          <w:smallCaps w:val="0"/>
          <w:sz w:val="24"/>
          <w:szCs w:val="24"/>
        </w:rPr>
        <w:t xml:space="preserve">8.3 </w:t>
      </w:r>
      <w:r>
        <w:rPr>
          <w:sz w:val="24"/>
          <w:szCs w:val="24"/>
        </w:rPr>
        <w:t>运营期污染防治措施</w:t>
      </w:r>
      <w:r>
        <w:rPr>
          <w:sz w:val="24"/>
          <w:szCs w:val="24"/>
        </w:rPr>
        <w:tab/>
      </w:r>
      <w:r>
        <w:rPr>
          <w:sz w:val="24"/>
          <w:szCs w:val="24"/>
        </w:rPr>
        <w:fldChar w:fldCharType="begin"/>
      </w:r>
      <w:r>
        <w:rPr>
          <w:sz w:val="24"/>
          <w:szCs w:val="24"/>
        </w:rPr>
        <w:instrText xml:space="preserve"> PAGEREF _Toc8674 \h </w:instrText>
      </w:r>
      <w:r>
        <w:rPr>
          <w:sz w:val="24"/>
          <w:szCs w:val="24"/>
        </w:rPr>
        <w:fldChar w:fldCharType="separate"/>
      </w:r>
      <w:r>
        <w:rPr>
          <w:sz w:val="24"/>
          <w:szCs w:val="24"/>
        </w:rPr>
        <w:t>204</w:t>
      </w:r>
      <w:r>
        <w:rPr>
          <w:sz w:val="24"/>
          <w:szCs w:val="24"/>
        </w:rPr>
        <w:fldChar w:fldCharType="end"/>
      </w:r>
      <w:r>
        <w:rPr>
          <w:sz w:val="24"/>
          <w:szCs w:val="24"/>
        </w:rPr>
        <w:fldChar w:fldCharType="end"/>
      </w:r>
    </w:p>
    <w:p w14:paraId="055CE471">
      <w:pPr>
        <w:pStyle w:val="60"/>
        <w:tabs>
          <w:tab w:val="right" w:leader="dot" w:pos="9071"/>
        </w:tabs>
        <w:rPr>
          <w:rFonts w:eastAsia="黑体"/>
          <w:b w:val="0"/>
          <w:sz w:val="24"/>
          <w:szCs w:val="24"/>
        </w:rPr>
      </w:pPr>
      <w:r>
        <w:fldChar w:fldCharType="begin"/>
      </w:r>
      <w:r>
        <w:instrText xml:space="preserve"> HYPERLINK \l "_Toc25678" </w:instrText>
      </w:r>
      <w:r>
        <w:fldChar w:fldCharType="separate"/>
      </w:r>
      <w:r>
        <w:rPr>
          <w:rFonts w:eastAsia="黑体"/>
          <w:b w:val="0"/>
          <w:sz w:val="24"/>
          <w:szCs w:val="24"/>
        </w:rPr>
        <w:t>9 环境经济损益分析</w:t>
      </w:r>
      <w:r>
        <w:rPr>
          <w:rFonts w:eastAsia="黑体"/>
          <w:b w:val="0"/>
          <w:sz w:val="24"/>
          <w:szCs w:val="24"/>
        </w:rPr>
        <w:tab/>
      </w:r>
      <w:r>
        <w:rPr>
          <w:rFonts w:eastAsia="黑体"/>
          <w:b w:val="0"/>
          <w:sz w:val="24"/>
          <w:szCs w:val="24"/>
        </w:rPr>
        <w:fldChar w:fldCharType="begin"/>
      </w:r>
      <w:r>
        <w:rPr>
          <w:rFonts w:eastAsia="黑体"/>
          <w:b w:val="0"/>
          <w:sz w:val="24"/>
          <w:szCs w:val="24"/>
        </w:rPr>
        <w:instrText xml:space="preserve"> PAGEREF _Toc25678 \h </w:instrText>
      </w:r>
      <w:r>
        <w:rPr>
          <w:rFonts w:eastAsia="黑体"/>
          <w:b w:val="0"/>
          <w:sz w:val="24"/>
          <w:szCs w:val="24"/>
        </w:rPr>
        <w:fldChar w:fldCharType="separate"/>
      </w:r>
      <w:r>
        <w:rPr>
          <w:rFonts w:eastAsia="黑体"/>
          <w:b w:val="0"/>
          <w:sz w:val="24"/>
          <w:szCs w:val="24"/>
        </w:rPr>
        <w:t>208</w:t>
      </w:r>
      <w:r>
        <w:rPr>
          <w:rFonts w:eastAsia="黑体"/>
          <w:b w:val="0"/>
          <w:sz w:val="24"/>
          <w:szCs w:val="24"/>
        </w:rPr>
        <w:fldChar w:fldCharType="end"/>
      </w:r>
      <w:r>
        <w:rPr>
          <w:rFonts w:eastAsia="黑体"/>
          <w:b w:val="0"/>
          <w:sz w:val="24"/>
          <w:szCs w:val="24"/>
        </w:rPr>
        <w:fldChar w:fldCharType="end"/>
      </w:r>
    </w:p>
    <w:p w14:paraId="736B6362">
      <w:pPr>
        <w:pStyle w:val="75"/>
        <w:tabs>
          <w:tab w:val="right" w:leader="dot" w:pos="9071"/>
          <w:tab w:val="clear" w:pos="840"/>
          <w:tab w:val="clear" w:pos="9060"/>
        </w:tabs>
        <w:rPr>
          <w:sz w:val="24"/>
          <w:szCs w:val="24"/>
        </w:rPr>
      </w:pPr>
      <w:r>
        <w:fldChar w:fldCharType="begin"/>
      </w:r>
      <w:r>
        <w:instrText xml:space="preserve"> HYPERLINK \l "_Toc833" </w:instrText>
      </w:r>
      <w:r>
        <w:fldChar w:fldCharType="separate"/>
      </w:r>
      <w:r>
        <w:rPr>
          <w:bCs/>
          <w:smallCaps w:val="0"/>
          <w:sz w:val="24"/>
          <w:szCs w:val="24"/>
        </w:rPr>
        <w:t xml:space="preserve">9.1 </w:t>
      </w:r>
      <w:r>
        <w:rPr>
          <w:sz w:val="24"/>
          <w:szCs w:val="24"/>
        </w:rPr>
        <w:t>环保投资估算</w:t>
      </w:r>
      <w:r>
        <w:rPr>
          <w:sz w:val="24"/>
          <w:szCs w:val="24"/>
        </w:rPr>
        <w:tab/>
      </w:r>
      <w:r>
        <w:rPr>
          <w:sz w:val="24"/>
          <w:szCs w:val="24"/>
        </w:rPr>
        <w:fldChar w:fldCharType="begin"/>
      </w:r>
      <w:r>
        <w:rPr>
          <w:sz w:val="24"/>
          <w:szCs w:val="24"/>
        </w:rPr>
        <w:instrText xml:space="preserve"> PAGEREF _Toc833 \h </w:instrText>
      </w:r>
      <w:r>
        <w:rPr>
          <w:sz w:val="24"/>
          <w:szCs w:val="24"/>
        </w:rPr>
        <w:fldChar w:fldCharType="separate"/>
      </w:r>
      <w:r>
        <w:rPr>
          <w:sz w:val="24"/>
          <w:szCs w:val="24"/>
        </w:rPr>
        <w:t>208</w:t>
      </w:r>
      <w:r>
        <w:rPr>
          <w:sz w:val="24"/>
          <w:szCs w:val="24"/>
        </w:rPr>
        <w:fldChar w:fldCharType="end"/>
      </w:r>
      <w:r>
        <w:rPr>
          <w:sz w:val="24"/>
          <w:szCs w:val="24"/>
        </w:rPr>
        <w:fldChar w:fldCharType="end"/>
      </w:r>
    </w:p>
    <w:p w14:paraId="5DEE400C">
      <w:pPr>
        <w:pStyle w:val="75"/>
        <w:tabs>
          <w:tab w:val="right" w:leader="dot" w:pos="9071"/>
          <w:tab w:val="clear" w:pos="840"/>
          <w:tab w:val="clear" w:pos="9060"/>
        </w:tabs>
        <w:rPr>
          <w:sz w:val="24"/>
          <w:szCs w:val="24"/>
        </w:rPr>
      </w:pPr>
      <w:r>
        <w:fldChar w:fldCharType="begin"/>
      </w:r>
      <w:r>
        <w:instrText xml:space="preserve"> HYPERLINK \l "_Toc8694" </w:instrText>
      </w:r>
      <w:r>
        <w:fldChar w:fldCharType="separate"/>
      </w:r>
      <w:r>
        <w:rPr>
          <w:bCs/>
          <w:smallCaps w:val="0"/>
          <w:sz w:val="24"/>
          <w:szCs w:val="24"/>
        </w:rPr>
        <w:t xml:space="preserve">9.2 </w:t>
      </w:r>
      <w:r>
        <w:rPr>
          <w:sz w:val="24"/>
          <w:szCs w:val="24"/>
        </w:rPr>
        <w:t>经济效益分析</w:t>
      </w:r>
      <w:r>
        <w:rPr>
          <w:sz w:val="24"/>
          <w:szCs w:val="24"/>
        </w:rPr>
        <w:tab/>
      </w:r>
      <w:r>
        <w:rPr>
          <w:sz w:val="24"/>
          <w:szCs w:val="24"/>
        </w:rPr>
        <w:fldChar w:fldCharType="begin"/>
      </w:r>
      <w:r>
        <w:rPr>
          <w:sz w:val="24"/>
          <w:szCs w:val="24"/>
        </w:rPr>
        <w:instrText xml:space="preserve"> PAGEREF _Toc8694 \h </w:instrText>
      </w:r>
      <w:r>
        <w:rPr>
          <w:sz w:val="24"/>
          <w:szCs w:val="24"/>
        </w:rPr>
        <w:fldChar w:fldCharType="separate"/>
      </w:r>
      <w:r>
        <w:rPr>
          <w:sz w:val="24"/>
          <w:szCs w:val="24"/>
        </w:rPr>
        <w:t>209</w:t>
      </w:r>
      <w:r>
        <w:rPr>
          <w:sz w:val="24"/>
          <w:szCs w:val="24"/>
        </w:rPr>
        <w:fldChar w:fldCharType="end"/>
      </w:r>
      <w:r>
        <w:rPr>
          <w:sz w:val="24"/>
          <w:szCs w:val="24"/>
        </w:rPr>
        <w:fldChar w:fldCharType="end"/>
      </w:r>
    </w:p>
    <w:p w14:paraId="2B24AA5B">
      <w:pPr>
        <w:pStyle w:val="75"/>
        <w:tabs>
          <w:tab w:val="right" w:leader="dot" w:pos="9071"/>
          <w:tab w:val="clear" w:pos="840"/>
          <w:tab w:val="clear" w:pos="9060"/>
        </w:tabs>
        <w:rPr>
          <w:sz w:val="24"/>
          <w:szCs w:val="24"/>
        </w:rPr>
      </w:pPr>
      <w:r>
        <w:fldChar w:fldCharType="begin"/>
      </w:r>
      <w:r>
        <w:instrText xml:space="preserve"> HYPERLINK \l "_Toc2202" </w:instrText>
      </w:r>
      <w:r>
        <w:fldChar w:fldCharType="separate"/>
      </w:r>
      <w:r>
        <w:rPr>
          <w:bCs/>
          <w:smallCaps w:val="0"/>
          <w:sz w:val="24"/>
          <w:szCs w:val="24"/>
        </w:rPr>
        <w:t xml:space="preserve">9.3 </w:t>
      </w:r>
      <w:r>
        <w:rPr>
          <w:sz w:val="24"/>
          <w:szCs w:val="24"/>
        </w:rPr>
        <w:t>社会效益分析</w:t>
      </w:r>
      <w:r>
        <w:rPr>
          <w:sz w:val="24"/>
          <w:szCs w:val="24"/>
        </w:rPr>
        <w:tab/>
      </w:r>
      <w:r>
        <w:rPr>
          <w:sz w:val="24"/>
          <w:szCs w:val="24"/>
        </w:rPr>
        <w:fldChar w:fldCharType="begin"/>
      </w:r>
      <w:r>
        <w:rPr>
          <w:sz w:val="24"/>
          <w:szCs w:val="24"/>
        </w:rPr>
        <w:instrText xml:space="preserve"> PAGEREF _Toc2202 \h </w:instrText>
      </w:r>
      <w:r>
        <w:rPr>
          <w:sz w:val="24"/>
          <w:szCs w:val="24"/>
        </w:rPr>
        <w:fldChar w:fldCharType="separate"/>
      </w:r>
      <w:r>
        <w:rPr>
          <w:sz w:val="24"/>
          <w:szCs w:val="24"/>
        </w:rPr>
        <w:t>209</w:t>
      </w:r>
      <w:r>
        <w:rPr>
          <w:sz w:val="24"/>
          <w:szCs w:val="24"/>
        </w:rPr>
        <w:fldChar w:fldCharType="end"/>
      </w:r>
      <w:r>
        <w:rPr>
          <w:sz w:val="24"/>
          <w:szCs w:val="24"/>
        </w:rPr>
        <w:fldChar w:fldCharType="end"/>
      </w:r>
    </w:p>
    <w:p w14:paraId="78EB9F4B">
      <w:pPr>
        <w:pStyle w:val="75"/>
        <w:tabs>
          <w:tab w:val="right" w:leader="dot" w:pos="9071"/>
          <w:tab w:val="clear" w:pos="840"/>
          <w:tab w:val="clear" w:pos="9060"/>
        </w:tabs>
        <w:rPr>
          <w:sz w:val="24"/>
          <w:szCs w:val="24"/>
        </w:rPr>
      </w:pPr>
      <w:r>
        <w:fldChar w:fldCharType="begin"/>
      </w:r>
      <w:r>
        <w:instrText xml:space="preserve"> HYPERLINK \l "_Toc11284" </w:instrText>
      </w:r>
      <w:r>
        <w:fldChar w:fldCharType="separate"/>
      </w:r>
      <w:r>
        <w:rPr>
          <w:bCs/>
          <w:smallCaps w:val="0"/>
          <w:sz w:val="24"/>
          <w:szCs w:val="24"/>
        </w:rPr>
        <w:t xml:space="preserve">9.4 </w:t>
      </w:r>
      <w:r>
        <w:rPr>
          <w:sz w:val="24"/>
          <w:szCs w:val="24"/>
        </w:rPr>
        <w:t>环境效益分析</w:t>
      </w:r>
      <w:r>
        <w:rPr>
          <w:sz w:val="24"/>
          <w:szCs w:val="24"/>
        </w:rPr>
        <w:tab/>
      </w:r>
      <w:r>
        <w:rPr>
          <w:sz w:val="24"/>
          <w:szCs w:val="24"/>
        </w:rPr>
        <w:fldChar w:fldCharType="begin"/>
      </w:r>
      <w:r>
        <w:rPr>
          <w:sz w:val="24"/>
          <w:szCs w:val="24"/>
        </w:rPr>
        <w:instrText xml:space="preserve"> PAGEREF _Toc11284 \h </w:instrText>
      </w:r>
      <w:r>
        <w:rPr>
          <w:sz w:val="24"/>
          <w:szCs w:val="24"/>
        </w:rPr>
        <w:fldChar w:fldCharType="separate"/>
      </w:r>
      <w:r>
        <w:rPr>
          <w:sz w:val="24"/>
          <w:szCs w:val="24"/>
        </w:rPr>
        <w:t>209</w:t>
      </w:r>
      <w:r>
        <w:rPr>
          <w:sz w:val="24"/>
          <w:szCs w:val="24"/>
        </w:rPr>
        <w:fldChar w:fldCharType="end"/>
      </w:r>
      <w:r>
        <w:rPr>
          <w:sz w:val="24"/>
          <w:szCs w:val="24"/>
        </w:rPr>
        <w:fldChar w:fldCharType="end"/>
      </w:r>
    </w:p>
    <w:p w14:paraId="456EEF13">
      <w:pPr>
        <w:pStyle w:val="75"/>
        <w:tabs>
          <w:tab w:val="right" w:leader="dot" w:pos="9071"/>
          <w:tab w:val="clear" w:pos="840"/>
          <w:tab w:val="clear" w:pos="9060"/>
        </w:tabs>
        <w:rPr>
          <w:sz w:val="24"/>
          <w:szCs w:val="24"/>
        </w:rPr>
      </w:pPr>
      <w:r>
        <w:fldChar w:fldCharType="begin"/>
      </w:r>
      <w:r>
        <w:instrText xml:space="preserve"> HYPERLINK \l "_Toc7275" </w:instrText>
      </w:r>
      <w:r>
        <w:fldChar w:fldCharType="separate"/>
      </w:r>
      <w:r>
        <w:rPr>
          <w:bCs/>
          <w:smallCaps w:val="0"/>
          <w:sz w:val="24"/>
          <w:szCs w:val="24"/>
        </w:rPr>
        <w:t xml:space="preserve">9.5 </w:t>
      </w:r>
      <w:r>
        <w:rPr>
          <w:sz w:val="24"/>
          <w:szCs w:val="24"/>
        </w:rPr>
        <w:t>经济损益分析小结</w:t>
      </w:r>
      <w:r>
        <w:rPr>
          <w:sz w:val="24"/>
          <w:szCs w:val="24"/>
        </w:rPr>
        <w:tab/>
      </w:r>
      <w:r>
        <w:rPr>
          <w:sz w:val="24"/>
          <w:szCs w:val="24"/>
        </w:rPr>
        <w:fldChar w:fldCharType="begin"/>
      </w:r>
      <w:r>
        <w:rPr>
          <w:sz w:val="24"/>
          <w:szCs w:val="24"/>
        </w:rPr>
        <w:instrText xml:space="preserve"> PAGEREF _Toc7275 \h </w:instrText>
      </w:r>
      <w:r>
        <w:rPr>
          <w:sz w:val="24"/>
          <w:szCs w:val="24"/>
        </w:rPr>
        <w:fldChar w:fldCharType="separate"/>
      </w:r>
      <w:r>
        <w:rPr>
          <w:sz w:val="24"/>
          <w:szCs w:val="24"/>
        </w:rPr>
        <w:t>211</w:t>
      </w:r>
      <w:r>
        <w:rPr>
          <w:sz w:val="24"/>
          <w:szCs w:val="24"/>
        </w:rPr>
        <w:fldChar w:fldCharType="end"/>
      </w:r>
      <w:r>
        <w:rPr>
          <w:sz w:val="24"/>
          <w:szCs w:val="24"/>
        </w:rPr>
        <w:fldChar w:fldCharType="end"/>
      </w:r>
    </w:p>
    <w:p w14:paraId="174AD5A8">
      <w:pPr>
        <w:pStyle w:val="60"/>
        <w:tabs>
          <w:tab w:val="right" w:leader="dot" w:pos="9071"/>
        </w:tabs>
        <w:rPr>
          <w:rFonts w:eastAsia="黑体"/>
          <w:b w:val="0"/>
          <w:sz w:val="24"/>
          <w:szCs w:val="24"/>
        </w:rPr>
      </w:pPr>
      <w:r>
        <w:fldChar w:fldCharType="begin"/>
      </w:r>
      <w:r>
        <w:instrText xml:space="preserve"> HYPERLINK \l "_Toc22596" </w:instrText>
      </w:r>
      <w:r>
        <w:fldChar w:fldCharType="separate"/>
      </w:r>
      <w:r>
        <w:rPr>
          <w:rFonts w:eastAsia="黑体"/>
          <w:b w:val="0"/>
          <w:sz w:val="24"/>
          <w:szCs w:val="24"/>
        </w:rPr>
        <w:t>10 环境管理与监测计划</w:t>
      </w:r>
      <w:r>
        <w:rPr>
          <w:rFonts w:eastAsia="黑体"/>
          <w:b w:val="0"/>
          <w:sz w:val="24"/>
          <w:szCs w:val="24"/>
        </w:rPr>
        <w:tab/>
      </w:r>
      <w:r>
        <w:rPr>
          <w:rFonts w:eastAsia="黑体"/>
          <w:b w:val="0"/>
          <w:sz w:val="24"/>
          <w:szCs w:val="24"/>
        </w:rPr>
        <w:fldChar w:fldCharType="begin"/>
      </w:r>
      <w:r>
        <w:rPr>
          <w:rFonts w:eastAsia="黑体"/>
          <w:b w:val="0"/>
          <w:sz w:val="24"/>
          <w:szCs w:val="24"/>
        </w:rPr>
        <w:instrText xml:space="preserve"> PAGEREF _Toc22596 \h </w:instrText>
      </w:r>
      <w:r>
        <w:rPr>
          <w:rFonts w:eastAsia="黑体"/>
          <w:b w:val="0"/>
          <w:sz w:val="24"/>
          <w:szCs w:val="24"/>
        </w:rPr>
        <w:fldChar w:fldCharType="separate"/>
      </w:r>
      <w:r>
        <w:rPr>
          <w:rFonts w:eastAsia="黑体"/>
          <w:b w:val="0"/>
          <w:sz w:val="24"/>
          <w:szCs w:val="24"/>
        </w:rPr>
        <w:t>212</w:t>
      </w:r>
      <w:r>
        <w:rPr>
          <w:rFonts w:eastAsia="黑体"/>
          <w:b w:val="0"/>
          <w:sz w:val="24"/>
          <w:szCs w:val="24"/>
        </w:rPr>
        <w:fldChar w:fldCharType="end"/>
      </w:r>
      <w:r>
        <w:rPr>
          <w:rFonts w:eastAsia="黑体"/>
          <w:b w:val="0"/>
          <w:sz w:val="24"/>
          <w:szCs w:val="24"/>
        </w:rPr>
        <w:fldChar w:fldCharType="end"/>
      </w:r>
    </w:p>
    <w:p w14:paraId="2051F4B0">
      <w:pPr>
        <w:pStyle w:val="75"/>
        <w:tabs>
          <w:tab w:val="right" w:leader="dot" w:pos="9071"/>
          <w:tab w:val="clear" w:pos="840"/>
          <w:tab w:val="clear" w:pos="9060"/>
        </w:tabs>
        <w:rPr>
          <w:sz w:val="24"/>
          <w:szCs w:val="24"/>
        </w:rPr>
      </w:pPr>
      <w:r>
        <w:fldChar w:fldCharType="begin"/>
      </w:r>
      <w:r>
        <w:instrText xml:space="preserve"> HYPERLINK \l "_Toc26252" </w:instrText>
      </w:r>
      <w:r>
        <w:fldChar w:fldCharType="separate"/>
      </w:r>
      <w:r>
        <w:rPr>
          <w:bCs/>
          <w:smallCaps w:val="0"/>
          <w:sz w:val="24"/>
          <w:szCs w:val="24"/>
        </w:rPr>
        <w:t xml:space="preserve">10.1 </w:t>
      </w:r>
      <w:r>
        <w:rPr>
          <w:sz w:val="24"/>
          <w:szCs w:val="24"/>
        </w:rPr>
        <w:t>环境管理</w:t>
      </w:r>
      <w:r>
        <w:rPr>
          <w:sz w:val="24"/>
          <w:szCs w:val="24"/>
        </w:rPr>
        <w:tab/>
      </w:r>
      <w:r>
        <w:rPr>
          <w:sz w:val="24"/>
          <w:szCs w:val="24"/>
        </w:rPr>
        <w:fldChar w:fldCharType="begin"/>
      </w:r>
      <w:r>
        <w:rPr>
          <w:sz w:val="24"/>
          <w:szCs w:val="24"/>
        </w:rPr>
        <w:instrText xml:space="preserve"> PAGEREF _Toc26252 \h </w:instrText>
      </w:r>
      <w:r>
        <w:rPr>
          <w:sz w:val="24"/>
          <w:szCs w:val="24"/>
        </w:rPr>
        <w:fldChar w:fldCharType="separate"/>
      </w:r>
      <w:r>
        <w:rPr>
          <w:sz w:val="24"/>
          <w:szCs w:val="24"/>
        </w:rPr>
        <w:t>212</w:t>
      </w:r>
      <w:r>
        <w:rPr>
          <w:sz w:val="24"/>
          <w:szCs w:val="24"/>
        </w:rPr>
        <w:fldChar w:fldCharType="end"/>
      </w:r>
      <w:r>
        <w:rPr>
          <w:sz w:val="24"/>
          <w:szCs w:val="24"/>
        </w:rPr>
        <w:fldChar w:fldCharType="end"/>
      </w:r>
    </w:p>
    <w:p w14:paraId="65253F71">
      <w:pPr>
        <w:pStyle w:val="75"/>
        <w:tabs>
          <w:tab w:val="right" w:leader="dot" w:pos="9071"/>
          <w:tab w:val="clear" w:pos="840"/>
          <w:tab w:val="clear" w:pos="9060"/>
        </w:tabs>
        <w:rPr>
          <w:sz w:val="24"/>
          <w:szCs w:val="24"/>
        </w:rPr>
      </w:pPr>
      <w:r>
        <w:fldChar w:fldCharType="begin"/>
      </w:r>
      <w:r>
        <w:instrText xml:space="preserve"> HYPERLINK \l "_Toc31982" </w:instrText>
      </w:r>
      <w:r>
        <w:fldChar w:fldCharType="separate"/>
      </w:r>
      <w:r>
        <w:rPr>
          <w:bCs/>
          <w:smallCaps w:val="0"/>
          <w:kern w:val="0"/>
          <w:sz w:val="24"/>
          <w:szCs w:val="24"/>
        </w:rPr>
        <w:t xml:space="preserve">10.2 </w:t>
      </w:r>
      <w:r>
        <w:rPr>
          <w:spacing w:val="-1"/>
          <w:sz w:val="24"/>
          <w:szCs w:val="24"/>
        </w:rPr>
        <w:t>环境监理</w:t>
      </w:r>
      <w:r>
        <w:rPr>
          <w:sz w:val="24"/>
          <w:szCs w:val="24"/>
        </w:rPr>
        <w:tab/>
      </w:r>
      <w:r>
        <w:rPr>
          <w:sz w:val="24"/>
          <w:szCs w:val="24"/>
        </w:rPr>
        <w:fldChar w:fldCharType="begin"/>
      </w:r>
      <w:r>
        <w:rPr>
          <w:sz w:val="24"/>
          <w:szCs w:val="24"/>
        </w:rPr>
        <w:instrText xml:space="preserve"> PAGEREF _Toc31982 \h </w:instrText>
      </w:r>
      <w:r>
        <w:rPr>
          <w:sz w:val="24"/>
          <w:szCs w:val="24"/>
        </w:rPr>
        <w:fldChar w:fldCharType="separate"/>
      </w:r>
      <w:r>
        <w:rPr>
          <w:sz w:val="24"/>
          <w:szCs w:val="24"/>
        </w:rPr>
        <w:t>216</w:t>
      </w:r>
      <w:r>
        <w:rPr>
          <w:sz w:val="24"/>
          <w:szCs w:val="24"/>
        </w:rPr>
        <w:fldChar w:fldCharType="end"/>
      </w:r>
      <w:r>
        <w:rPr>
          <w:sz w:val="24"/>
          <w:szCs w:val="24"/>
        </w:rPr>
        <w:fldChar w:fldCharType="end"/>
      </w:r>
    </w:p>
    <w:p w14:paraId="124C3522">
      <w:pPr>
        <w:pStyle w:val="75"/>
        <w:tabs>
          <w:tab w:val="right" w:leader="dot" w:pos="9071"/>
          <w:tab w:val="clear" w:pos="840"/>
          <w:tab w:val="clear" w:pos="9060"/>
        </w:tabs>
        <w:rPr>
          <w:sz w:val="24"/>
          <w:szCs w:val="24"/>
        </w:rPr>
      </w:pPr>
      <w:r>
        <w:fldChar w:fldCharType="begin"/>
      </w:r>
      <w:r>
        <w:instrText xml:space="preserve"> HYPERLINK \l "_Toc8714" </w:instrText>
      </w:r>
      <w:r>
        <w:fldChar w:fldCharType="separate"/>
      </w:r>
      <w:r>
        <w:rPr>
          <w:bCs/>
          <w:smallCaps w:val="0"/>
          <w:sz w:val="24"/>
          <w:szCs w:val="24"/>
        </w:rPr>
        <w:t xml:space="preserve">10.3 </w:t>
      </w:r>
      <w:r>
        <w:rPr>
          <w:sz w:val="24"/>
          <w:szCs w:val="24"/>
        </w:rPr>
        <w:t>环境监测计划</w:t>
      </w:r>
      <w:r>
        <w:rPr>
          <w:sz w:val="24"/>
          <w:szCs w:val="24"/>
        </w:rPr>
        <w:tab/>
      </w:r>
      <w:r>
        <w:rPr>
          <w:sz w:val="24"/>
          <w:szCs w:val="24"/>
        </w:rPr>
        <w:fldChar w:fldCharType="begin"/>
      </w:r>
      <w:r>
        <w:rPr>
          <w:sz w:val="24"/>
          <w:szCs w:val="24"/>
        </w:rPr>
        <w:instrText xml:space="preserve"> PAGEREF _Toc8714 \h </w:instrText>
      </w:r>
      <w:r>
        <w:rPr>
          <w:sz w:val="24"/>
          <w:szCs w:val="24"/>
        </w:rPr>
        <w:fldChar w:fldCharType="separate"/>
      </w:r>
      <w:r>
        <w:rPr>
          <w:sz w:val="24"/>
          <w:szCs w:val="24"/>
        </w:rPr>
        <w:t>217</w:t>
      </w:r>
      <w:r>
        <w:rPr>
          <w:sz w:val="24"/>
          <w:szCs w:val="24"/>
        </w:rPr>
        <w:fldChar w:fldCharType="end"/>
      </w:r>
      <w:r>
        <w:rPr>
          <w:sz w:val="24"/>
          <w:szCs w:val="24"/>
        </w:rPr>
        <w:fldChar w:fldCharType="end"/>
      </w:r>
    </w:p>
    <w:p w14:paraId="73741B53">
      <w:pPr>
        <w:pStyle w:val="75"/>
        <w:tabs>
          <w:tab w:val="right" w:leader="dot" w:pos="9071"/>
          <w:tab w:val="clear" w:pos="840"/>
          <w:tab w:val="clear" w:pos="9060"/>
        </w:tabs>
        <w:rPr>
          <w:sz w:val="24"/>
          <w:szCs w:val="24"/>
        </w:rPr>
      </w:pPr>
      <w:r>
        <w:fldChar w:fldCharType="begin"/>
      </w:r>
      <w:r>
        <w:instrText xml:space="preserve"> HYPERLINK \l "_Toc13857" </w:instrText>
      </w:r>
      <w:r>
        <w:fldChar w:fldCharType="separate"/>
      </w:r>
      <w:r>
        <w:rPr>
          <w:bCs/>
          <w:smallCaps w:val="0"/>
          <w:sz w:val="24"/>
          <w:szCs w:val="24"/>
        </w:rPr>
        <w:t xml:space="preserve">10.4 </w:t>
      </w:r>
      <w:r>
        <w:rPr>
          <w:sz w:val="24"/>
          <w:szCs w:val="24"/>
        </w:rPr>
        <w:t>污染物排放管理要求</w:t>
      </w:r>
      <w:r>
        <w:rPr>
          <w:sz w:val="24"/>
          <w:szCs w:val="24"/>
        </w:rPr>
        <w:tab/>
      </w:r>
      <w:r>
        <w:rPr>
          <w:sz w:val="24"/>
          <w:szCs w:val="24"/>
        </w:rPr>
        <w:fldChar w:fldCharType="begin"/>
      </w:r>
      <w:r>
        <w:rPr>
          <w:sz w:val="24"/>
          <w:szCs w:val="24"/>
        </w:rPr>
        <w:instrText xml:space="preserve"> PAGEREF _Toc13857 \h </w:instrText>
      </w:r>
      <w:r>
        <w:rPr>
          <w:sz w:val="24"/>
          <w:szCs w:val="24"/>
        </w:rPr>
        <w:fldChar w:fldCharType="separate"/>
      </w:r>
      <w:r>
        <w:rPr>
          <w:sz w:val="24"/>
          <w:szCs w:val="24"/>
        </w:rPr>
        <w:t>218</w:t>
      </w:r>
      <w:r>
        <w:rPr>
          <w:sz w:val="24"/>
          <w:szCs w:val="24"/>
        </w:rPr>
        <w:fldChar w:fldCharType="end"/>
      </w:r>
      <w:r>
        <w:rPr>
          <w:sz w:val="24"/>
          <w:szCs w:val="24"/>
        </w:rPr>
        <w:fldChar w:fldCharType="end"/>
      </w:r>
    </w:p>
    <w:p w14:paraId="490989FA">
      <w:pPr>
        <w:pStyle w:val="75"/>
        <w:tabs>
          <w:tab w:val="right" w:leader="dot" w:pos="9071"/>
          <w:tab w:val="clear" w:pos="840"/>
          <w:tab w:val="clear" w:pos="9060"/>
        </w:tabs>
        <w:rPr>
          <w:sz w:val="24"/>
          <w:szCs w:val="24"/>
        </w:rPr>
      </w:pPr>
      <w:r>
        <w:fldChar w:fldCharType="begin"/>
      </w:r>
      <w:r>
        <w:instrText xml:space="preserve"> HYPERLINK \l "_Toc31495" </w:instrText>
      </w:r>
      <w:r>
        <w:fldChar w:fldCharType="separate"/>
      </w:r>
      <w:r>
        <w:rPr>
          <w:bCs/>
          <w:smallCaps w:val="0"/>
          <w:sz w:val="24"/>
          <w:szCs w:val="24"/>
        </w:rPr>
        <w:t xml:space="preserve">10.5 </w:t>
      </w:r>
      <w:r>
        <w:rPr>
          <w:rFonts w:hint="eastAsia"/>
          <w:sz w:val="24"/>
          <w:szCs w:val="24"/>
        </w:rPr>
        <w:t>竣工环境保护验收</w:t>
      </w:r>
      <w:r>
        <w:rPr>
          <w:sz w:val="24"/>
          <w:szCs w:val="24"/>
        </w:rPr>
        <w:tab/>
      </w:r>
      <w:r>
        <w:rPr>
          <w:sz w:val="24"/>
          <w:szCs w:val="24"/>
        </w:rPr>
        <w:fldChar w:fldCharType="begin"/>
      </w:r>
      <w:r>
        <w:rPr>
          <w:sz w:val="24"/>
          <w:szCs w:val="24"/>
        </w:rPr>
        <w:instrText xml:space="preserve"> PAGEREF _Toc31495 \h </w:instrText>
      </w:r>
      <w:r>
        <w:rPr>
          <w:sz w:val="24"/>
          <w:szCs w:val="24"/>
        </w:rPr>
        <w:fldChar w:fldCharType="separate"/>
      </w:r>
      <w:r>
        <w:rPr>
          <w:sz w:val="24"/>
          <w:szCs w:val="24"/>
        </w:rPr>
        <w:t>221</w:t>
      </w:r>
      <w:r>
        <w:rPr>
          <w:sz w:val="24"/>
          <w:szCs w:val="24"/>
        </w:rPr>
        <w:fldChar w:fldCharType="end"/>
      </w:r>
      <w:r>
        <w:rPr>
          <w:sz w:val="24"/>
          <w:szCs w:val="24"/>
        </w:rPr>
        <w:fldChar w:fldCharType="end"/>
      </w:r>
    </w:p>
    <w:p w14:paraId="2584FC72">
      <w:pPr>
        <w:pStyle w:val="60"/>
        <w:tabs>
          <w:tab w:val="right" w:leader="dot" w:pos="9071"/>
        </w:tabs>
        <w:rPr>
          <w:rFonts w:eastAsia="黑体"/>
          <w:b w:val="0"/>
          <w:sz w:val="24"/>
          <w:szCs w:val="24"/>
        </w:rPr>
      </w:pPr>
      <w:r>
        <w:fldChar w:fldCharType="begin"/>
      </w:r>
      <w:r>
        <w:instrText xml:space="preserve"> HYPERLINK \l "_Toc31868" </w:instrText>
      </w:r>
      <w:r>
        <w:fldChar w:fldCharType="separate"/>
      </w:r>
      <w:r>
        <w:rPr>
          <w:rFonts w:eastAsia="黑体"/>
          <w:b w:val="0"/>
          <w:sz w:val="24"/>
          <w:szCs w:val="24"/>
        </w:rPr>
        <w:t>11 评价结论</w:t>
      </w:r>
      <w:r>
        <w:rPr>
          <w:rFonts w:eastAsia="黑体"/>
          <w:b w:val="0"/>
          <w:sz w:val="24"/>
          <w:szCs w:val="24"/>
        </w:rPr>
        <w:tab/>
      </w:r>
      <w:r>
        <w:rPr>
          <w:rFonts w:eastAsia="黑体"/>
          <w:b w:val="0"/>
          <w:sz w:val="24"/>
          <w:szCs w:val="24"/>
        </w:rPr>
        <w:fldChar w:fldCharType="begin"/>
      </w:r>
      <w:r>
        <w:rPr>
          <w:rFonts w:eastAsia="黑体"/>
          <w:b w:val="0"/>
          <w:sz w:val="24"/>
          <w:szCs w:val="24"/>
        </w:rPr>
        <w:instrText xml:space="preserve"> PAGEREF _Toc31868 \h </w:instrText>
      </w:r>
      <w:r>
        <w:rPr>
          <w:rFonts w:eastAsia="黑体"/>
          <w:b w:val="0"/>
          <w:sz w:val="24"/>
          <w:szCs w:val="24"/>
        </w:rPr>
        <w:fldChar w:fldCharType="separate"/>
      </w:r>
      <w:r>
        <w:rPr>
          <w:rFonts w:eastAsia="黑体"/>
          <w:b w:val="0"/>
          <w:sz w:val="24"/>
          <w:szCs w:val="24"/>
        </w:rPr>
        <w:t>224</w:t>
      </w:r>
      <w:r>
        <w:rPr>
          <w:rFonts w:eastAsia="黑体"/>
          <w:b w:val="0"/>
          <w:sz w:val="24"/>
          <w:szCs w:val="24"/>
        </w:rPr>
        <w:fldChar w:fldCharType="end"/>
      </w:r>
      <w:r>
        <w:rPr>
          <w:rFonts w:eastAsia="黑体"/>
          <w:b w:val="0"/>
          <w:sz w:val="24"/>
          <w:szCs w:val="24"/>
        </w:rPr>
        <w:fldChar w:fldCharType="end"/>
      </w:r>
    </w:p>
    <w:p w14:paraId="05F4AC2A">
      <w:pPr>
        <w:pStyle w:val="75"/>
        <w:tabs>
          <w:tab w:val="right" w:leader="dot" w:pos="9071"/>
          <w:tab w:val="clear" w:pos="840"/>
          <w:tab w:val="clear" w:pos="9060"/>
        </w:tabs>
        <w:rPr>
          <w:sz w:val="24"/>
          <w:szCs w:val="24"/>
        </w:rPr>
      </w:pPr>
      <w:r>
        <w:fldChar w:fldCharType="begin"/>
      </w:r>
      <w:r>
        <w:instrText xml:space="preserve"> HYPERLINK \l "_Toc7297" </w:instrText>
      </w:r>
      <w:r>
        <w:fldChar w:fldCharType="separate"/>
      </w:r>
      <w:r>
        <w:rPr>
          <w:bCs/>
          <w:smallCaps w:val="0"/>
          <w:sz w:val="24"/>
          <w:szCs w:val="24"/>
        </w:rPr>
        <w:t xml:space="preserve">11.1 </w:t>
      </w:r>
      <w:r>
        <w:rPr>
          <w:sz w:val="24"/>
          <w:szCs w:val="24"/>
        </w:rPr>
        <w:t>项目概况</w:t>
      </w:r>
      <w:r>
        <w:rPr>
          <w:sz w:val="24"/>
          <w:szCs w:val="24"/>
        </w:rPr>
        <w:tab/>
      </w:r>
      <w:r>
        <w:rPr>
          <w:sz w:val="24"/>
          <w:szCs w:val="24"/>
        </w:rPr>
        <w:fldChar w:fldCharType="begin"/>
      </w:r>
      <w:r>
        <w:rPr>
          <w:sz w:val="24"/>
          <w:szCs w:val="24"/>
        </w:rPr>
        <w:instrText xml:space="preserve"> PAGEREF _Toc7297 \h </w:instrText>
      </w:r>
      <w:r>
        <w:rPr>
          <w:sz w:val="24"/>
          <w:szCs w:val="24"/>
        </w:rPr>
        <w:fldChar w:fldCharType="separate"/>
      </w:r>
      <w:r>
        <w:rPr>
          <w:sz w:val="24"/>
          <w:szCs w:val="24"/>
        </w:rPr>
        <w:t>224</w:t>
      </w:r>
      <w:r>
        <w:rPr>
          <w:sz w:val="24"/>
          <w:szCs w:val="24"/>
        </w:rPr>
        <w:fldChar w:fldCharType="end"/>
      </w:r>
      <w:r>
        <w:rPr>
          <w:sz w:val="24"/>
          <w:szCs w:val="24"/>
        </w:rPr>
        <w:fldChar w:fldCharType="end"/>
      </w:r>
    </w:p>
    <w:p w14:paraId="728B23C2">
      <w:pPr>
        <w:pStyle w:val="75"/>
        <w:tabs>
          <w:tab w:val="right" w:leader="dot" w:pos="9071"/>
          <w:tab w:val="clear" w:pos="840"/>
          <w:tab w:val="clear" w:pos="9060"/>
        </w:tabs>
        <w:rPr>
          <w:sz w:val="24"/>
          <w:szCs w:val="24"/>
        </w:rPr>
      </w:pPr>
      <w:r>
        <w:fldChar w:fldCharType="begin"/>
      </w:r>
      <w:r>
        <w:instrText xml:space="preserve"> HYPERLINK \l "_Toc5381" </w:instrText>
      </w:r>
      <w:r>
        <w:fldChar w:fldCharType="separate"/>
      </w:r>
      <w:r>
        <w:rPr>
          <w:bCs/>
          <w:smallCaps w:val="0"/>
          <w:sz w:val="24"/>
          <w:szCs w:val="24"/>
        </w:rPr>
        <w:t xml:space="preserve">11.2 </w:t>
      </w:r>
      <w:r>
        <w:rPr>
          <w:sz w:val="24"/>
          <w:szCs w:val="24"/>
        </w:rPr>
        <w:t>项目选址与产业政策符合性</w:t>
      </w:r>
      <w:r>
        <w:rPr>
          <w:sz w:val="24"/>
          <w:szCs w:val="24"/>
        </w:rPr>
        <w:tab/>
      </w:r>
      <w:r>
        <w:rPr>
          <w:sz w:val="24"/>
          <w:szCs w:val="24"/>
        </w:rPr>
        <w:fldChar w:fldCharType="begin"/>
      </w:r>
      <w:r>
        <w:rPr>
          <w:sz w:val="24"/>
          <w:szCs w:val="24"/>
        </w:rPr>
        <w:instrText xml:space="preserve"> PAGEREF _Toc5381 \h </w:instrText>
      </w:r>
      <w:r>
        <w:rPr>
          <w:sz w:val="24"/>
          <w:szCs w:val="24"/>
        </w:rPr>
        <w:fldChar w:fldCharType="separate"/>
      </w:r>
      <w:r>
        <w:rPr>
          <w:sz w:val="24"/>
          <w:szCs w:val="24"/>
        </w:rPr>
        <w:t>224</w:t>
      </w:r>
      <w:r>
        <w:rPr>
          <w:sz w:val="24"/>
          <w:szCs w:val="24"/>
        </w:rPr>
        <w:fldChar w:fldCharType="end"/>
      </w:r>
      <w:r>
        <w:rPr>
          <w:sz w:val="24"/>
          <w:szCs w:val="24"/>
        </w:rPr>
        <w:fldChar w:fldCharType="end"/>
      </w:r>
    </w:p>
    <w:p w14:paraId="4F77925B">
      <w:pPr>
        <w:pStyle w:val="75"/>
        <w:tabs>
          <w:tab w:val="right" w:leader="dot" w:pos="9071"/>
          <w:tab w:val="clear" w:pos="840"/>
          <w:tab w:val="clear" w:pos="9060"/>
        </w:tabs>
        <w:rPr>
          <w:sz w:val="24"/>
          <w:szCs w:val="24"/>
        </w:rPr>
      </w:pPr>
      <w:r>
        <w:fldChar w:fldCharType="begin"/>
      </w:r>
      <w:r>
        <w:instrText xml:space="preserve"> HYPERLINK \l "_Toc1651" </w:instrText>
      </w:r>
      <w:r>
        <w:fldChar w:fldCharType="separate"/>
      </w:r>
      <w:r>
        <w:rPr>
          <w:bCs/>
          <w:smallCaps w:val="0"/>
          <w:sz w:val="24"/>
          <w:szCs w:val="24"/>
        </w:rPr>
        <w:t xml:space="preserve">11.3 </w:t>
      </w:r>
      <w:r>
        <w:rPr>
          <w:sz w:val="24"/>
          <w:szCs w:val="24"/>
        </w:rPr>
        <w:t>环境质量现状</w:t>
      </w:r>
      <w:r>
        <w:rPr>
          <w:sz w:val="24"/>
          <w:szCs w:val="24"/>
        </w:rPr>
        <w:tab/>
      </w:r>
      <w:r>
        <w:rPr>
          <w:sz w:val="24"/>
          <w:szCs w:val="24"/>
        </w:rPr>
        <w:fldChar w:fldCharType="begin"/>
      </w:r>
      <w:r>
        <w:rPr>
          <w:sz w:val="24"/>
          <w:szCs w:val="24"/>
        </w:rPr>
        <w:instrText xml:space="preserve"> PAGEREF _Toc1651 \h </w:instrText>
      </w:r>
      <w:r>
        <w:rPr>
          <w:sz w:val="24"/>
          <w:szCs w:val="24"/>
        </w:rPr>
        <w:fldChar w:fldCharType="separate"/>
      </w:r>
      <w:r>
        <w:rPr>
          <w:sz w:val="24"/>
          <w:szCs w:val="24"/>
        </w:rPr>
        <w:t>224</w:t>
      </w:r>
      <w:r>
        <w:rPr>
          <w:sz w:val="24"/>
          <w:szCs w:val="24"/>
        </w:rPr>
        <w:fldChar w:fldCharType="end"/>
      </w:r>
      <w:r>
        <w:rPr>
          <w:sz w:val="24"/>
          <w:szCs w:val="24"/>
        </w:rPr>
        <w:fldChar w:fldCharType="end"/>
      </w:r>
    </w:p>
    <w:p w14:paraId="3588DC4F">
      <w:pPr>
        <w:pStyle w:val="75"/>
        <w:tabs>
          <w:tab w:val="right" w:leader="dot" w:pos="9071"/>
          <w:tab w:val="clear" w:pos="840"/>
          <w:tab w:val="clear" w:pos="9060"/>
        </w:tabs>
        <w:rPr>
          <w:sz w:val="24"/>
          <w:szCs w:val="24"/>
        </w:rPr>
      </w:pPr>
      <w:r>
        <w:fldChar w:fldCharType="begin"/>
      </w:r>
      <w:r>
        <w:instrText xml:space="preserve"> HYPERLINK \l "_Toc13095" </w:instrText>
      </w:r>
      <w:r>
        <w:fldChar w:fldCharType="separate"/>
      </w:r>
      <w:r>
        <w:rPr>
          <w:bCs/>
          <w:smallCaps w:val="0"/>
          <w:sz w:val="24"/>
          <w:szCs w:val="24"/>
        </w:rPr>
        <w:t xml:space="preserve">11.4 </w:t>
      </w:r>
      <w:r>
        <w:rPr>
          <w:sz w:val="24"/>
          <w:szCs w:val="24"/>
        </w:rPr>
        <w:t>环境影响评价</w:t>
      </w:r>
      <w:r>
        <w:rPr>
          <w:sz w:val="24"/>
          <w:szCs w:val="24"/>
        </w:rPr>
        <w:tab/>
      </w:r>
      <w:r>
        <w:rPr>
          <w:sz w:val="24"/>
          <w:szCs w:val="24"/>
        </w:rPr>
        <w:fldChar w:fldCharType="begin"/>
      </w:r>
      <w:r>
        <w:rPr>
          <w:sz w:val="24"/>
          <w:szCs w:val="24"/>
        </w:rPr>
        <w:instrText xml:space="preserve"> PAGEREF _Toc13095 \h </w:instrText>
      </w:r>
      <w:r>
        <w:rPr>
          <w:sz w:val="24"/>
          <w:szCs w:val="24"/>
        </w:rPr>
        <w:fldChar w:fldCharType="separate"/>
      </w:r>
      <w:r>
        <w:rPr>
          <w:sz w:val="24"/>
          <w:szCs w:val="24"/>
        </w:rPr>
        <w:t>225</w:t>
      </w:r>
      <w:r>
        <w:rPr>
          <w:sz w:val="24"/>
          <w:szCs w:val="24"/>
        </w:rPr>
        <w:fldChar w:fldCharType="end"/>
      </w:r>
      <w:r>
        <w:rPr>
          <w:sz w:val="24"/>
          <w:szCs w:val="24"/>
        </w:rPr>
        <w:fldChar w:fldCharType="end"/>
      </w:r>
    </w:p>
    <w:p w14:paraId="1B7A50AC">
      <w:pPr>
        <w:pStyle w:val="75"/>
        <w:tabs>
          <w:tab w:val="right" w:leader="dot" w:pos="9071"/>
          <w:tab w:val="clear" w:pos="840"/>
          <w:tab w:val="clear" w:pos="9060"/>
        </w:tabs>
        <w:rPr>
          <w:sz w:val="24"/>
          <w:szCs w:val="24"/>
        </w:rPr>
      </w:pPr>
      <w:r>
        <w:fldChar w:fldCharType="begin"/>
      </w:r>
      <w:r>
        <w:instrText xml:space="preserve"> HYPERLINK \l "_Toc13381" </w:instrText>
      </w:r>
      <w:r>
        <w:fldChar w:fldCharType="separate"/>
      </w:r>
      <w:r>
        <w:rPr>
          <w:bCs/>
          <w:smallCaps w:val="0"/>
          <w:sz w:val="24"/>
          <w:szCs w:val="24"/>
        </w:rPr>
        <w:t xml:space="preserve">11.5 </w:t>
      </w:r>
      <w:r>
        <w:rPr>
          <w:sz w:val="24"/>
          <w:szCs w:val="24"/>
        </w:rPr>
        <w:t>环境经济损益分析</w:t>
      </w:r>
      <w:r>
        <w:rPr>
          <w:sz w:val="24"/>
          <w:szCs w:val="24"/>
        </w:rPr>
        <w:tab/>
      </w:r>
      <w:r>
        <w:rPr>
          <w:sz w:val="24"/>
          <w:szCs w:val="24"/>
        </w:rPr>
        <w:fldChar w:fldCharType="begin"/>
      </w:r>
      <w:r>
        <w:rPr>
          <w:sz w:val="24"/>
          <w:szCs w:val="24"/>
        </w:rPr>
        <w:instrText xml:space="preserve"> PAGEREF _Toc13381 \h </w:instrText>
      </w:r>
      <w:r>
        <w:rPr>
          <w:sz w:val="24"/>
          <w:szCs w:val="24"/>
        </w:rPr>
        <w:fldChar w:fldCharType="separate"/>
      </w:r>
      <w:r>
        <w:rPr>
          <w:sz w:val="24"/>
          <w:szCs w:val="24"/>
        </w:rPr>
        <w:t>229</w:t>
      </w:r>
      <w:r>
        <w:rPr>
          <w:sz w:val="24"/>
          <w:szCs w:val="24"/>
        </w:rPr>
        <w:fldChar w:fldCharType="end"/>
      </w:r>
      <w:r>
        <w:rPr>
          <w:sz w:val="24"/>
          <w:szCs w:val="24"/>
        </w:rPr>
        <w:fldChar w:fldCharType="end"/>
      </w:r>
    </w:p>
    <w:p w14:paraId="21BAABC5">
      <w:pPr>
        <w:pStyle w:val="75"/>
        <w:tabs>
          <w:tab w:val="right" w:leader="dot" w:pos="9071"/>
          <w:tab w:val="clear" w:pos="840"/>
          <w:tab w:val="clear" w:pos="9060"/>
        </w:tabs>
        <w:rPr>
          <w:sz w:val="24"/>
          <w:szCs w:val="24"/>
        </w:rPr>
      </w:pPr>
      <w:r>
        <w:fldChar w:fldCharType="begin"/>
      </w:r>
      <w:r>
        <w:instrText xml:space="preserve"> HYPERLINK \l "_Toc15534" </w:instrText>
      </w:r>
      <w:r>
        <w:fldChar w:fldCharType="separate"/>
      </w:r>
      <w:r>
        <w:rPr>
          <w:bCs/>
          <w:smallCaps w:val="0"/>
          <w:sz w:val="24"/>
          <w:szCs w:val="24"/>
        </w:rPr>
        <w:t xml:space="preserve">11.6 </w:t>
      </w:r>
      <w:r>
        <w:rPr>
          <w:sz w:val="24"/>
          <w:szCs w:val="24"/>
        </w:rPr>
        <w:t>环境管理与监测计划</w:t>
      </w:r>
      <w:r>
        <w:rPr>
          <w:sz w:val="24"/>
          <w:szCs w:val="24"/>
        </w:rPr>
        <w:tab/>
      </w:r>
      <w:r>
        <w:rPr>
          <w:sz w:val="24"/>
          <w:szCs w:val="24"/>
        </w:rPr>
        <w:fldChar w:fldCharType="begin"/>
      </w:r>
      <w:r>
        <w:rPr>
          <w:sz w:val="24"/>
          <w:szCs w:val="24"/>
        </w:rPr>
        <w:instrText xml:space="preserve"> PAGEREF _Toc15534 \h </w:instrText>
      </w:r>
      <w:r>
        <w:rPr>
          <w:sz w:val="24"/>
          <w:szCs w:val="24"/>
        </w:rPr>
        <w:fldChar w:fldCharType="separate"/>
      </w:r>
      <w:r>
        <w:rPr>
          <w:sz w:val="24"/>
          <w:szCs w:val="24"/>
        </w:rPr>
        <w:t>229</w:t>
      </w:r>
      <w:r>
        <w:rPr>
          <w:sz w:val="24"/>
          <w:szCs w:val="24"/>
        </w:rPr>
        <w:fldChar w:fldCharType="end"/>
      </w:r>
      <w:r>
        <w:rPr>
          <w:sz w:val="24"/>
          <w:szCs w:val="24"/>
        </w:rPr>
        <w:fldChar w:fldCharType="end"/>
      </w:r>
    </w:p>
    <w:p w14:paraId="23636699">
      <w:pPr>
        <w:pStyle w:val="75"/>
        <w:tabs>
          <w:tab w:val="right" w:leader="dot" w:pos="9071"/>
          <w:tab w:val="clear" w:pos="840"/>
          <w:tab w:val="clear" w:pos="9060"/>
        </w:tabs>
        <w:rPr>
          <w:sz w:val="24"/>
          <w:szCs w:val="24"/>
        </w:rPr>
      </w:pPr>
      <w:r>
        <w:fldChar w:fldCharType="begin"/>
      </w:r>
      <w:r>
        <w:instrText xml:space="preserve"> HYPERLINK \l "_Toc23512" </w:instrText>
      </w:r>
      <w:r>
        <w:fldChar w:fldCharType="separate"/>
      </w:r>
      <w:r>
        <w:rPr>
          <w:bCs/>
          <w:smallCaps w:val="0"/>
          <w:sz w:val="24"/>
          <w:szCs w:val="24"/>
        </w:rPr>
        <w:t xml:space="preserve">11.7 </w:t>
      </w:r>
      <w:r>
        <w:rPr>
          <w:sz w:val="24"/>
          <w:szCs w:val="24"/>
        </w:rPr>
        <w:t>公众</w:t>
      </w:r>
      <w:r>
        <w:rPr>
          <w:rFonts w:hint="eastAsia"/>
          <w:sz w:val="24"/>
          <w:szCs w:val="24"/>
        </w:rPr>
        <w:t>意见采纳情况</w:t>
      </w:r>
      <w:r>
        <w:rPr>
          <w:sz w:val="24"/>
          <w:szCs w:val="24"/>
        </w:rPr>
        <w:tab/>
      </w:r>
      <w:r>
        <w:rPr>
          <w:sz w:val="24"/>
          <w:szCs w:val="24"/>
        </w:rPr>
        <w:fldChar w:fldCharType="begin"/>
      </w:r>
      <w:r>
        <w:rPr>
          <w:sz w:val="24"/>
          <w:szCs w:val="24"/>
        </w:rPr>
        <w:instrText xml:space="preserve"> PAGEREF _Toc23512 \h </w:instrText>
      </w:r>
      <w:r>
        <w:rPr>
          <w:sz w:val="24"/>
          <w:szCs w:val="24"/>
        </w:rPr>
        <w:fldChar w:fldCharType="separate"/>
      </w:r>
      <w:r>
        <w:rPr>
          <w:sz w:val="24"/>
          <w:szCs w:val="24"/>
        </w:rPr>
        <w:t>230</w:t>
      </w:r>
      <w:r>
        <w:rPr>
          <w:sz w:val="24"/>
          <w:szCs w:val="24"/>
        </w:rPr>
        <w:fldChar w:fldCharType="end"/>
      </w:r>
      <w:r>
        <w:rPr>
          <w:sz w:val="24"/>
          <w:szCs w:val="24"/>
        </w:rPr>
        <w:fldChar w:fldCharType="end"/>
      </w:r>
    </w:p>
    <w:p w14:paraId="01CE188E">
      <w:pPr>
        <w:pStyle w:val="75"/>
        <w:tabs>
          <w:tab w:val="right" w:leader="dot" w:pos="9071"/>
          <w:tab w:val="clear" w:pos="840"/>
          <w:tab w:val="clear" w:pos="9060"/>
        </w:tabs>
        <w:rPr>
          <w:sz w:val="24"/>
          <w:szCs w:val="24"/>
        </w:rPr>
      </w:pPr>
      <w:r>
        <w:fldChar w:fldCharType="begin"/>
      </w:r>
      <w:r>
        <w:instrText xml:space="preserve"> HYPERLINK \l "_Toc535" </w:instrText>
      </w:r>
      <w:r>
        <w:fldChar w:fldCharType="separate"/>
      </w:r>
      <w:r>
        <w:rPr>
          <w:bCs/>
          <w:smallCaps w:val="0"/>
          <w:sz w:val="24"/>
          <w:szCs w:val="24"/>
        </w:rPr>
        <w:t xml:space="preserve">11.8 </w:t>
      </w:r>
      <w:r>
        <w:rPr>
          <w:rFonts w:hint="eastAsia"/>
          <w:sz w:val="24"/>
          <w:szCs w:val="24"/>
        </w:rPr>
        <w:t>建议</w:t>
      </w:r>
      <w:r>
        <w:rPr>
          <w:sz w:val="24"/>
          <w:szCs w:val="24"/>
        </w:rPr>
        <w:tab/>
      </w:r>
      <w:r>
        <w:rPr>
          <w:sz w:val="24"/>
          <w:szCs w:val="24"/>
        </w:rPr>
        <w:fldChar w:fldCharType="begin"/>
      </w:r>
      <w:r>
        <w:rPr>
          <w:sz w:val="24"/>
          <w:szCs w:val="24"/>
        </w:rPr>
        <w:instrText xml:space="preserve"> PAGEREF _Toc535 \h </w:instrText>
      </w:r>
      <w:r>
        <w:rPr>
          <w:sz w:val="24"/>
          <w:szCs w:val="24"/>
        </w:rPr>
        <w:fldChar w:fldCharType="separate"/>
      </w:r>
      <w:r>
        <w:rPr>
          <w:sz w:val="24"/>
          <w:szCs w:val="24"/>
        </w:rPr>
        <w:t>230</w:t>
      </w:r>
      <w:r>
        <w:rPr>
          <w:sz w:val="24"/>
          <w:szCs w:val="24"/>
        </w:rPr>
        <w:fldChar w:fldCharType="end"/>
      </w:r>
      <w:r>
        <w:rPr>
          <w:sz w:val="24"/>
          <w:szCs w:val="24"/>
        </w:rPr>
        <w:fldChar w:fldCharType="end"/>
      </w:r>
    </w:p>
    <w:p w14:paraId="4EDC2E7B">
      <w:pPr>
        <w:pStyle w:val="75"/>
        <w:tabs>
          <w:tab w:val="right" w:leader="dot" w:pos="9071"/>
          <w:tab w:val="clear" w:pos="840"/>
          <w:tab w:val="clear" w:pos="9060"/>
        </w:tabs>
        <w:rPr>
          <w:sz w:val="24"/>
          <w:szCs w:val="24"/>
        </w:rPr>
      </w:pPr>
      <w:r>
        <w:fldChar w:fldCharType="begin"/>
      </w:r>
      <w:r>
        <w:instrText xml:space="preserve"> HYPERLINK \l "_Toc15700" </w:instrText>
      </w:r>
      <w:r>
        <w:fldChar w:fldCharType="separate"/>
      </w:r>
      <w:r>
        <w:rPr>
          <w:bCs/>
          <w:smallCaps w:val="0"/>
          <w:sz w:val="24"/>
          <w:szCs w:val="24"/>
        </w:rPr>
        <w:t xml:space="preserve">11.9 </w:t>
      </w:r>
      <w:r>
        <w:rPr>
          <w:sz w:val="24"/>
          <w:szCs w:val="24"/>
        </w:rPr>
        <w:t>总结论</w:t>
      </w:r>
      <w:r>
        <w:rPr>
          <w:sz w:val="24"/>
          <w:szCs w:val="24"/>
        </w:rPr>
        <w:tab/>
      </w:r>
      <w:r>
        <w:rPr>
          <w:sz w:val="24"/>
          <w:szCs w:val="24"/>
        </w:rPr>
        <w:fldChar w:fldCharType="begin"/>
      </w:r>
      <w:r>
        <w:rPr>
          <w:sz w:val="24"/>
          <w:szCs w:val="24"/>
        </w:rPr>
        <w:instrText xml:space="preserve"> PAGEREF _Toc15700 \h </w:instrText>
      </w:r>
      <w:r>
        <w:rPr>
          <w:sz w:val="24"/>
          <w:szCs w:val="24"/>
        </w:rPr>
        <w:fldChar w:fldCharType="separate"/>
      </w:r>
      <w:r>
        <w:rPr>
          <w:sz w:val="24"/>
          <w:szCs w:val="24"/>
        </w:rPr>
        <w:t>231</w:t>
      </w:r>
      <w:r>
        <w:rPr>
          <w:sz w:val="24"/>
          <w:szCs w:val="24"/>
        </w:rPr>
        <w:fldChar w:fldCharType="end"/>
      </w:r>
      <w:r>
        <w:rPr>
          <w:sz w:val="24"/>
          <w:szCs w:val="24"/>
        </w:rPr>
        <w:fldChar w:fldCharType="end"/>
      </w:r>
    </w:p>
    <w:p w14:paraId="49D23856">
      <w:pPr>
        <w:pStyle w:val="60"/>
        <w:tabs>
          <w:tab w:val="right" w:leader="dot" w:pos="9071"/>
        </w:tabs>
        <w:rPr>
          <w:rFonts w:eastAsia="黑体"/>
          <w:b w:val="0"/>
          <w:sz w:val="24"/>
          <w:szCs w:val="24"/>
        </w:rPr>
      </w:pPr>
      <w:r>
        <w:fldChar w:fldCharType="begin"/>
      </w:r>
      <w:r>
        <w:instrText xml:space="preserve"> HYPERLINK \l "_Toc5662" </w:instrText>
      </w:r>
      <w:r>
        <w:fldChar w:fldCharType="separate"/>
      </w:r>
      <w:r>
        <w:rPr>
          <w:rFonts w:eastAsia="黑体"/>
          <w:b w:val="0"/>
          <w:sz w:val="24"/>
          <w:szCs w:val="24"/>
        </w:rPr>
        <w:t>附表1 大气环境影响评价自查表</w:t>
      </w:r>
      <w:r>
        <w:rPr>
          <w:rFonts w:eastAsia="黑体"/>
          <w:b w:val="0"/>
          <w:sz w:val="24"/>
          <w:szCs w:val="24"/>
        </w:rPr>
        <w:tab/>
      </w:r>
      <w:r>
        <w:rPr>
          <w:rFonts w:eastAsia="黑体"/>
          <w:b w:val="0"/>
          <w:sz w:val="24"/>
          <w:szCs w:val="24"/>
        </w:rPr>
        <w:fldChar w:fldCharType="begin"/>
      </w:r>
      <w:r>
        <w:rPr>
          <w:rFonts w:eastAsia="黑体"/>
          <w:b w:val="0"/>
          <w:sz w:val="24"/>
          <w:szCs w:val="24"/>
        </w:rPr>
        <w:instrText xml:space="preserve"> PAGEREF _Toc5662 \h </w:instrText>
      </w:r>
      <w:r>
        <w:rPr>
          <w:rFonts w:eastAsia="黑体"/>
          <w:b w:val="0"/>
          <w:sz w:val="24"/>
          <w:szCs w:val="24"/>
        </w:rPr>
        <w:fldChar w:fldCharType="separate"/>
      </w:r>
      <w:r>
        <w:rPr>
          <w:rFonts w:eastAsia="黑体"/>
          <w:b w:val="0"/>
          <w:sz w:val="24"/>
          <w:szCs w:val="24"/>
        </w:rPr>
        <w:t>232</w:t>
      </w:r>
      <w:r>
        <w:rPr>
          <w:rFonts w:eastAsia="黑体"/>
          <w:b w:val="0"/>
          <w:sz w:val="24"/>
          <w:szCs w:val="24"/>
        </w:rPr>
        <w:fldChar w:fldCharType="end"/>
      </w:r>
      <w:r>
        <w:rPr>
          <w:rFonts w:eastAsia="黑体"/>
          <w:b w:val="0"/>
          <w:sz w:val="24"/>
          <w:szCs w:val="24"/>
        </w:rPr>
        <w:fldChar w:fldCharType="end"/>
      </w:r>
    </w:p>
    <w:p w14:paraId="2A04075A">
      <w:pPr>
        <w:pStyle w:val="60"/>
        <w:tabs>
          <w:tab w:val="right" w:leader="dot" w:pos="9071"/>
        </w:tabs>
        <w:rPr>
          <w:rFonts w:eastAsia="黑体"/>
          <w:b w:val="0"/>
          <w:sz w:val="24"/>
          <w:szCs w:val="24"/>
        </w:rPr>
      </w:pPr>
      <w:r>
        <w:fldChar w:fldCharType="begin"/>
      </w:r>
      <w:r>
        <w:instrText xml:space="preserve"> HYPERLINK \l "_Toc28397" </w:instrText>
      </w:r>
      <w:r>
        <w:fldChar w:fldCharType="separate"/>
      </w:r>
      <w:r>
        <w:rPr>
          <w:rFonts w:eastAsia="黑体"/>
          <w:b w:val="0"/>
          <w:sz w:val="24"/>
          <w:szCs w:val="24"/>
        </w:rPr>
        <w:t>附表2 地表水环境影响评价自查表</w:t>
      </w:r>
      <w:r>
        <w:rPr>
          <w:rFonts w:eastAsia="黑体"/>
          <w:b w:val="0"/>
          <w:sz w:val="24"/>
          <w:szCs w:val="24"/>
        </w:rPr>
        <w:tab/>
      </w:r>
      <w:r>
        <w:rPr>
          <w:rFonts w:eastAsia="黑体"/>
          <w:b w:val="0"/>
          <w:sz w:val="24"/>
          <w:szCs w:val="24"/>
        </w:rPr>
        <w:fldChar w:fldCharType="begin"/>
      </w:r>
      <w:r>
        <w:rPr>
          <w:rFonts w:eastAsia="黑体"/>
          <w:b w:val="0"/>
          <w:sz w:val="24"/>
          <w:szCs w:val="24"/>
        </w:rPr>
        <w:instrText xml:space="preserve"> PAGEREF _Toc28397 \h </w:instrText>
      </w:r>
      <w:r>
        <w:rPr>
          <w:rFonts w:eastAsia="黑体"/>
          <w:b w:val="0"/>
          <w:sz w:val="24"/>
          <w:szCs w:val="24"/>
        </w:rPr>
        <w:fldChar w:fldCharType="separate"/>
      </w:r>
      <w:r>
        <w:rPr>
          <w:rFonts w:eastAsia="黑体"/>
          <w:b w:val="0"/>
          <w:sz w:val="24"/>
          <w:szCs w:val="24"/>
        </w:rPr>
        <w:t>233</w:t>
      </w:r>
      <w:r>
        <w:rPr>
          <w:rFonts w:eastAsia="黑体"/>
          <w:b w:val="0"/>
          <w:sz w:val="24"/>
          <w:szCs w:val="24"/>
        </w:rPr>
        <w:fldChar w:fldCharType="end"/>
      </w:r>
      <w:r>
        <w:rPr>
          <w:rFonts w:eastAsia="黑体"/>
          <w:b w:val="0"/>
          <w:sz w:val="24"/>
          <w:szCs w:val="24"/>
        </w:rPr>
        <w:fldChar w:fldCharType="end"/>
      </w:r>
    </w:p>
    <w:p w14:paraId="7FCBFB4A">
      <w:pPr>
        <w:pStyle w:val="60"/>
        <w:tabs>
          <w:tab w:val="right" w:leader="dot" w:pos="9071"/>
        </w:tabs>
        <w:rPr>
          <w:rFonts w:eastAsia="黑体"/>
          <w:b w:val="0"/>
          <w:sz w:val="24"/>
          <w:szCs w:val="24"/>
        </w:rPr>
      </w:pPr>
      <w:r>
        <w:fldChar w:fldCharType="begin"/>
      </w:r>
      <w:r>
        <w:instrText xml:space="preserve"> HYPERLINK \l "_Toc29416" </w:instrText>
      </w:r>
      <w:r>
        <w:fldChar w:fldCharType="separate"/>
      </w:r>
      <w:r>
        <w:rPr>
          <w:rFonts w:eastAsia="黑体"/>
          <w:b w:val="0"/>
          <w:sz w:val="24"/>
          <w:szCs w:val="24"/>
        </w:rPr>
        <w:t>附表3声环境影响评价自查表</w:t>
      </w:r>
      <w:r>
        <w:rPr>
          <w:rFonts w:eastAsia="黑体"/>
          <w:b w:val="0"/>
          <w:sz w:val="24"/>
          <w:szCs w:val="24"/>
        </w:rPr>
        <w:tab/>
      </w:r>
      <w:r>
        <w:rPr>
          <w:rFonts w:eastAsia="黑体"/>
          <w:b w:val="0"/>
          <w:sz w:val="24"/>
          <w:szCs w:val="24"/>
        </w:rPr>
        <w:fldChar w:fldCharType="begin"/>
      </w:r>
      <w:r>
        <w:rPr>
          <w:rFonts w:eastAsia="黑体"/>
          <w:b w:val="0"/>
          <w:sz w:val="24"/>
          <w:szCs w:val="24"/>
        </w:rPr>
        <w:instrText xml:space="preserve"> PAGEREF _Toc29416 \h </w:instrText>
      </w:r>
      <w:r>
        <w:rPr>
          <w:rFonts w:eastAsia="黑体"/>
          <w:b w:val="0"/>
          <w:sz w:val="24"/>
          <w:szCs w:val="24"/>
        </w:rPr>
        <w:fldChar w:fldCharType="separate"/>
      </w:r>
      <w:r>
        <w:rPr>
          <w:rFonts w:eastAsia="黑体"/>
          <w:b w:val="0"/>
          <w:sz w:val="24"/>
          <w:szCs w:val="24"/>
        </w:rPr>
        <w:t>235</w:t>
      </w:r>
      <w:r>
        <w:rPr>
          <w:rFonts w:eastAsia="黑体"/>
          <w:b w:val="0"/>
          <w:sz w:val="24"/>
          <w:szCs w:val="24"/>
        </w:rPr>
        <w:fldChar w:fldCharType="end"/>
      </w:r>
      <w:r>
        <w:rPr>
          <w:rFonts w:eastAsia="黑体"/>
          <w:b w:val="0"/>
          <w:sz w:val="24"/>
          <w:szCs w:val="24"/>
        </w:rPr>
        <w:fldChar w:fldCharType="end"/>
      </w:r>
    </w:p>
    <w:p w14:paraId="409CD9CB">
      <w:pPr>
        <w:pStyle w:val="60"/>
        <w:tabs>
          <w:tab w:val="right" w:leader="dot" w:pos="9071"/>
        </w:tabs>
        <w:rPr>
          <w:rFonts w:eastAsia="黑体"/>
          <w:b w:val="0"/>
          <w:sz w:val="24"/>
          <w:szCs w:val="24"/>
        </w:rPr>
      </w:pPr>
      <w:r>
        <w:fldChar w:fldCharType="begin"/>
      </w:r>
      <w:r>
        <w:instrText xml:space="preserve"> HYPERLINK \l "_Toc21486" </w:instrText>
      </w:r>
      <w:r>
        <w:fldChar w:fldCharType="separate"/>
      </w:r>
      <w:r>
        <w:rPr>
          <w:rFonts w:eastAsia="黑体"/>
          <w:b w:val="0"/>
          <w:sz w:val="24"/>
          <w:szCs w:val="24"/>
        </w:rPr>
        <w:t>附表4 生态环境影响评价自查表</w:t>
      </w:r>
      <w:r>
        <w:rPr>
          <w:rFonts w:eastAsia="黑体"/>
          <w:b w:val="0"/>
          <w:sz w:val="24"/>
          <w:szCs w:val="24"/>
        </w:rPr>
        <w:tab/>
      </w:r>
      <w:r>
        <w:rPr>
          <w:rFonts w:eastAsia="黑体"/>
          <w:b w:val="0"/>
          <w:sz w:val="24"/>
          <w:szCs w:val="24"/>
        </w:rPr>
        <w:fldChar w:fldCharType="begin"/>
      </w:r>
      <w:r>
        <w:rPr>
          <w:rFonts w:eastAsia="黑体"/>
          <w:b w:val="0"/>
          <w:sz w:val="24"/>
          <w:szCs w:val="24"/>
        </w:rPr>
        <w:instrText xml:space="preserve"> PAGEREF _Toc21486 \h </w:instrText>
      </w:r>
      <w:r>
        <w:rPr>
          <w:rFonts w:eastAsia="黑体"/>
          <w:b w:val="0"/>
          <w:sz w:val="24"/>
          <w:szCs w:val="24"/>
        </w:rPr>
        <w:fldChar w:fldCharType="separate"/>
      </w:r>
      <w:r>
        <w:rPr>
          <w:rFonts w:eastAsia="黑体"/>
          <w:b w:val="0"/>
          <w:sz w:val="24"/>
          <w:szCs w:val="24"/>
        </w:rPr>
        <w:t>236</w:t>
      </w:r>
      <w:r>
        <w:rPr>
          <w:rFonts w:eastAsia="黑体"/>
          <w:b w:val="0"/>
          <w:sz w:val="24"/>
          <w:szCs w:val="24"/>
        </w:rPr>
        <w:fldChar w:fldCharType="end"/>
      </w:r>
      <w:r>
        <w:rPr>
          <w:rFonts w:eastAsia="黑体"/>
          <w:b w:val="0"/>
          <w:sz w:val="24"/>
          <w:szCs w:val="24"/>
        </w:rPr>
        <w:fldChar w:fldCharType="end"/>
      </w:r>
    </w:p>
    <w:p w14:paraId="6CC6D162">
      <w:pPr>
        <w:pStyle w:val="60"/>
        <w:tabs>
          <w:tab w:val="right" w:leader="dot" w:pos="9071"/>
        </w:tabs>
        <w:rPr>
          <w:rFonts w:eastAsia="黑体"/>
          <w:b w:val="0"/>
          <w:sz w:val="24"/>
          <w:szCs w:val="24"/>
        </w:rPr>
      </w:pPr>
      <w:r>
        <w:fldChar w:fldCharType="begin"/>
      </w:r>
      <w:r>
        <w:instrText xml:space="preserve"> HYPERLINK \l "_Toc24936" </w:instrText>
      </w:r>
      <w:r>
        <w:fldChar w:fldCharType="separate"/>
      </w:r>
      <w:r>
        <w:rPr>
          <w:rFonts w:eastAsia="黑体"/>
          <w:b w:val="0"/>
          <w:sz w:val="24"/>
          <w:szCs w:val="24"/>
        </w:rPr>
        <w:t>附表5 环境风险评价自查表</w:t>
      </w:r>
      <w:r>
        <w:rPr>
          <w:rFonts w:eastAsia="黑体"/>
          <w:b w:val="0"/>
          <w:sz w:val="24"/>
          <w:szCs w:val="24"/>
        </w:rPr>
        <w:tab/>
      </w:r>
      <w:r>
        <w:rPr>
          <w:rFonts w:eastAsia="黑体"/>
          <w:b w:val="0"/>
          <w:sz w:val="24"/>
          <w:szCs w:val="24"/>
        </w:rPr>
        <w:fldChar w:fldCharType="begin"/>
      </w:r>
      <w:r>
        <w:rPr>
          <w:rFonts w:eastAsia="黑体"/>
          <w:b w:val="0"/>
          <w:sz w:val="24"/>
          <w:szCs w:val="24"/>
        </w:rPr>
        <w:instrText xml:space="preserve"> PAGEREF _Toc24936 \h </w:instrText>
      </w:r>
      <w:r>
        <w:rPr>
          <w:rFonts w:eastAsia="黑体"/>
          <w:b w:val="0"/>
          <w:sz w:val="24"/>
          <w:szCs w:val="24"/>
        </w:rPr>
        <w:fldChar w:fldCharType="separate"/>
      </w:r>
      <w:r>
        <w:rPr>
          <w:rFonts w:eastAsia="黑体"/>
          <w:b w:val="0"/>
          <w:sz w:val="24"/>
          <w:szCs w:val="24"/>
        </w:rPr>
        <w:t>237</w:t>
      </w:r>
      <w:r>
        <w:rPr>
          <w:rFonts w:eastAsia="黑体"/>
          <w:b w:val="0"/>
          <w:sz w:val="24"/>
          <w:szCs w:val="24"/>
        </w:rPr>
        <w:fldChar w:fldCharType="end"/>
      </w:r>
      <w:r>
        <w:rPr>
          <w:rFonts w:eastAsia="黑体"/>
          <w:b w:val="0"/>
          <w:sz w:val="24"/>
          <w:szCs w:val="24"/>
        </w:rPr>
        <w:fldChar w:fldCharType="end"/>
      </w:r>
    </w:p>
    <w:p w14:paraId="39C1CCA8">
      <w:pPr>
        <w:pStyle w:val="60"/>
        <w:tabs>
          <w:tab w:val="right" w:leader="dot" w:pos="9071"/>
        </w:tabs>
        <w:spacing w:before="240"/>
        <w:jc w:val="center"/>
        <w:rPr>
          <w:rFonts w:eastAsia="黑体"/>
          <w:b w:val="0"/>
          <w:bCs w:val="0"/>
          <w:sz w:val="32"/>
        </w:rPr>
      </w:pPr>
      <w:r>
        <w:rPr>
          <w:rFonts w:eastAsia="楷体_GB2312"/>
          <w:sz w:val="24"/>
          <w:szCs w:val="24"/>
        </w:rPr>
        <w:fldChar w:fldCharType="end"/>
      </w:r>
      <w:r>
        <w:rPr>
          <w:rFonts w:eastAsia="黑体"/>
          <w:b w:val="0"/>
          <w:bCs w:val="0"/>
          <w:sz w:val="32"/>
        </w:rPr>
        <w:t>图    件</w:t>
      </w:r>
    </w:p>
    <w:p w14:paraId="5FE469DE">
      <w:pPr>
        <w:snapToGrid w:val="0"/>
        <w:spacing w:line="360" w:lineRule="auto"/>
        <w:jc w:val="left"/>
        <w:rPr>
          <w:sz w:val="24"/>
        </w:rPr>
      </w:pPr>
      <w:r>
        <w:rPr>
          <w:sz w:val="24"/>
        </w:rPr>
        <w:t>图1.1-1 本工程地理位置示意图</w:t>
      </w:r>
    </w:p>
    <w:p w14:paraId="57444D9D">
      <w:pPr>
        <w:snapToGrid w:val="0"/>
        <w:spacing w:line="360" w:lineRule="auto"/>
        <w:jc w:val="left"/>
        <w:rPr>
          <w:sz w:val="24"/>
        </w:rPr>
      </w:pPr>
      <w:r>
        <w:rPr>
          <w:sz w:val="24"/>
        </w:rPr>
        <w:t>图2.5-</w:t>
      </w:r>
      <w:r>
        <w:rPr>
          <w:rFonts w:hint="eastAsia"/>
          <w:sz w:val="24"/>
        </w:rPr>
        <w:t>1</w:t>
      </w:r>
      <w:r>
        <w:rPr>
          <w:sz w:val="24"/>
        </w:rPr>
        <w:t>本工程评价范围及周边环境敏感目标图</w:t>
      </w:r>
    </w:p>
    <w:p w14:paraId="3649597D">
      <w:pPr>
        <w:snapToGrid w:val="0"/>
        <w:spacing w:line="360" w:lineRule="auto"/>
        <w:jc w:val="left"/>
        <w:rPr>
          <w:sz w:val="24"/>
        </w:rPr>
      </w:pPr>
      <w:r>
        <w:rPr>
          <w:rFonts w:hint="eastAsia"/>
          <w:sz w:val="24"/>
        </w:rPr>
        <w:t>图2.8-</w:t>
      </w:r>
      <w:r>
        <w:rPr>
          <w:sz w:val="24"/>
        </w:rPr>
        <w:t>1</w:t>
      </w:r>
      <w:r>
        <w:rPr>
          <w:rFonts w:hint="eastAsia"/>
          <w:sz w:val="24"/>
        </w:rPr>
        <w:t xml:space="preserve"> 本工程与耒阳市自然保护地位置关系图</w:t>
      </w:r>
    </w:p>
    <w:p w14:paraId="054C2522">
      <w:pPr>
        <w:snapToGrid w:val="0"/>
        <w:spacing w:line="360" w:lineRule="auto"/>
        <w:jc w:val="left"/>
        <w:rPr>
          <w:sz w:val="24"/>
        </w:rPr>
      </w:pPr>
      <w:r>
        <w:rPr>
          <w:rFonts w:hint="eastAsia"/>
          <w:sz w:val="24"/>
        </w:rPr>
        <w:t>图4.1-1 本工程与耒阳市地表水系位置关系图</w:t>
      </w:r>
    </w:p>
    <w:p w14:paraId="068F33B5">
      <w:pPr>
        <w:snapToGrid w:val="0"/>
        <w:spacing w:line="360" w:lineRule="auto"/>
        <w:jc w:val="left"/>
        <w:rPr>
          <w:sz w:val="24"/>
        </w:rPr>
      </w:pPr>
      <w:r>
        <w:rPr>
          <w:rFonts w:hint="eastAsia"/>
          <w:sz w:val="24"/>
        </w:rPr>
        <w:t>图4.2-1 本工程监测点位图</w:t>
      </w:r>
    </w:p>
    <w:p w14:paraId="13B94CA3">
      <w:pPr>
        <w:snapToGrid w:val="0"/>
        <w:spacing w:line="360" w:lineRule="auto"/>
        <w:jc w:val="left"/>
        <w:rPr>
          <w:sz w:val="24"/>
        </w:rPr>
      </w:pPr>
      <w:r>
        <w:rPr>
          <w:sz w:val="24"/>
        </w:rPr>
        <w:t>图4.3-1 本工程与全国生态功能区划位置关系图</w:t>
      </w:r>
    </w:p>
    <w:p w14:paraId="49AF9406">
      <w:pPr>
        <w:snapToGrid w:val="0"/>
        <w:spacing w:line="360" w:lineRule="auto"/>
        <w:jc w:val="left"/>
        <w:rPr>
          <w:sz w:val="24"/>
        </w:rPr>
      </w:pPr>
      <w:r>
        <w:rPr>
          <w:sz w:val="24"/>
        </w:rPr>
        <w:t>图4.3-2 本工程与全国重要生态功能区划位置关系图</w:t>
      </w:r>
    </w:p>
    <w:p w14:paraId="38D25B72">
      <w:pPr>
        <w:snapToGrid w:val="0"/>
        <w:spacing w:line="360" w:lineRule="auto"/>
        <w:jc w:val="left"/>
        <w:rPr>
          <w:sz w:val="24"/>
        </w:rPr>
      </w:pPr>
      <w:r>
        <w:rPr>
          <w:rFonts w:hint="eastAsia"/>
          <w:sz w:val="24"/>
        </w:rPr>
        <w:t>图4.3-3 本工程与湖南省主体功能区规划位置关系图</w:t>
      </w:r>
    </w:p>
    <w:p w14:paraId="748C0E75">
      <w:pPr>
        <w:snapToGrid w:val="0"/>
        <w:spacing w:line="360" w:lineRule="auto"/>
        <w:jc w:val="left"/>
        <w:rPr>
          <w:sz w:val="24"/>
        </w:rPr>
      </w:pPr>
      <w:r>
        <w:rPr>
          <w:sz w:val="24"/>
        </w:rPr>
        <w:t>图5.2</w:t>
      </w:r>
      <w:r>
        <w:rPr>
          <w:rFonts w:hint="eastAsia"/>
          <w:sz w:val="24"/>
        </w:rPr>
        <w:t>-</w:t>
      </w:r>
      <w:r>
        <w:rPr>
          <w:sz w:val="24"/>
        </w:rPr>
        <w:t xml:space="preserve">1 </w:t>
      </w:r>
      <w:r>
        <w:rPr>
          <w:rFonts w:hint="eastAsia"/>
          <w:sz w:val="24"/>
        </w:rPr>
        <w:t>本工程与耒阳市土地利用总体规划位置关系图</w:t>
      </w:r>
    </w:p>
    <w:p w14:paraId="1D4DBEB1">
      <w:pPr>
        <w:snapToGrid w:val="0"/>
        <w:spacing w:line="360" w:lineRule="auto"/>
        <w:jc w:val="left"/>
        <w:rPr>
          <w:sz w:val="24"/>
        </w:rPr>
      </w:pPr>
      <w:r>
        <w:rPr>
          <w:rFonts w:hint="eastAsia"/>
          <w:sz w:val="24"/>
        </w:rPr>
        <w:t>图5.2-2 本工程与湖南省环境管控单元的位置关系图</w:t>
      </w:r>
    </w:p>
    <w:p w14:paraId="629E57F4">
      <w:pPr>
        <w:snapToGrid w:val="0"/>
        <w:spacing w:line="360" w:lineRule="auto"/>
        <w:jc w:val="left"/>
        <w:rPr>
          <w:sz w:val="24"/>
        </w:rPr>
      </w:pPr>
      <w:r>
        <w:rPr>
          <w:rFonts w:hint="eastAsia"/>
          <w:sz w:val="24"/>
        </w:rPr>
        <w:t>图5.2-3 本工程与衡阳市环境管控单元的位置关系图</w:t>
      </w:r>
    </w:p>
    <w:p w14:paraId="070B87D6">
      <w:pPr>
        <w:snapToGrid w:val="0"/>
        <w:spacing w:line="360" w:lineRule="auto"/>
        <w:jc w:val="left"/>
        <w:rPr>
          <w:rFonts w:hint="eastAsia"/>
          <w:sz w:val="24"/>
        </w:rPr>
      </w:pPr>
      <w:r>
        <w:rPr>
          <w:rFonts w:hint="eastAsia"/>
          <w:sz w:val="24"/>
        </w:rPr>
        <w:t>图5.2-4 本工程与生态保护红线位置关系图</w:t>
      </w:r>
    </w:p>
    <w:p w14:paraId="3DB470CF">
      <w:pPr>
        <w:snapToGrid w:val="0"/>
        <w:spacing w:line="360" w:lineRule="auto"/>
        <w:jc w:val="left"/>
        <w:rPr>
          <w:rFonts w:hint="default" w:eastAsia="宋体"/>
          <w:i/>
          <w:iCs/>
          <w:color w:val="auto"/>
          <w:sz w:val="24"/>
          <w:u w:val="single"/>
          <w:lang w:val="en-US" w:eastAsia="zh-CN"/>
        </w:rPr>
      </w:pPr>
      <w:r>
        <w:rPr>
          <w:rFonts w:hint="eastAsia"/>
          <w:i/>
          <w:iCs/>
          <w:color w:val="auto"/>
          <w:sz w:val="24"/>
          <w:u w:val="single"/>
          <w:lang w:val="en-US" w:eastAsia="zh-CN"/>
        </w:rPr>
        <w:t>图8.1-1本工程生态措施空间布局图</w:t>
      </w:r>
    </w:p>
    <w:p w14:paraId="6A202626">
      <w:pPr>
        <w:snapToGrid w:val="0"/>
        <w:spacing w:before="120" w:beforeLines="50" w:line="360" w:lineRule="auto"/>
        <w:jc w:val="center"/>
        <w:rPr>
          <w:rFonts w:eastAsia="黑体"/>
          <w:sz w:val="32"/>
        </w:rPr>
      </w:pPr>
    </w:p>
    <w:p w14:paraId="6F7B11BE">
      <w:pPr>
        <w:snapToGrid w:val="0"/>
        <w:spacing w:before="120" w:beforeLines="50" w:line="360" w:lineRule="auto"/>
        <w:jc w:val="center"/>
        <w:rPr>
          <w:rFonts w:eastAsia="黑体"/>
          <w:sz w:val="32"/>
        </w:rPr>
      </w:pPr>
      <w:r>
        <w:rPr>
          <w:rFonts w:eastAsia="黑体"/>
          <w:sz w:val="32"/>
        </w:rPr>
        <w:t>附     件</w:t>
      </w:r>
    </w:p>
    <w:p w14:paraId="7E82583F">
      <w:pPr>
        <w:pStyle w:val="241"/>
        <w:snapToGrid w:val="0"/>
        <w:spacing w:line="480" w:lineRule="auto"/>
        <w:ind w:firstLine="480"/>
        <w:rPr>
          <w:sz w:val="24"/>
        </w:rPr>
      </w:pPr>
      <w:bookmarkStart w:id="0" w:name="_Hlk6561927"/>
      <w:r>
        <w:rPr>
          <w:bCs/>
          <w:sz w:val="24"/>
        </w:rPr>
        <w:t>附件1.</w:t>
      </w:r>
      <w:r>
        <w:rPr>
          <w:rFonts w:hint="eastAsia"/>
          <w:sz w:val="24"/>
        </w:rPr>
        <w:t>本工程</w:t>
      </w:r>
      <w:r>
        <w:rPr>
          <w:sz w:val="24"/>
        </w:rPr>
        <w:t>核准文件</w:t>
      </w:r>
      <w:r>
        <w:rPr>
          <w:rFonts w:hint="eastAsia"/>
          <w:sz w:val="24"/>
        </w:rPr>
        <w:t>；</w:t>
      </w:r>
    </w:p>
    <w:p w14:paraId="100EAAE0">
      <w:pPr>
        <w:pStyle w:val="241"/>
        <w:snapToGrid w:val="0"/>
        <w:spacing w:line="480" w:lineRule="auto"/>
        <w:ind w:firstLine="480" w:firstLineChars="0"/>
        <w:rPr>
          <w:i/>
          <w:iCs/>
          <w:color w:val="auto"/>
          <w:sz w:val="24"/>
          <w:u w:val="single"/>
        </w:rPr>
      </w:pPr>
      <w:r>
        <w:rPr>
          <w:bCs/>
          <w:i/>
          <w:iCs/>
          <w:color w:val="auto"/>
          <w:sz w:val="24"/>
          <w:u w:val="single"/>
        </w:rPr>
        <w:t>附件2.</w:t>
      </w:r>
      <w:r>
        <w:rPr>
          <w:rFonts w:hint="eastAsia"/>
          <w:i/>
          <w:iCs/>
          <w:color w:val="auto"/>
          <w:sz w:val="24"/>
          <w:u w:val="single"/>
        </w:rPr>
        <w:t>本</w:t>
      </w:r>
      <w:r>
        <w:rPr>
          <w:i/>
          <w:iCs/>
          <w:color w:val="auto"/>
          <w:sz w:val="24"/>
          <w:u w:val="single"/>
        </w:rPr>
        <w:t>工程</w:t>
      </w:r>
      <w:r>
        <w:rPr>
          <w:rFonts w:hint="eastAsia"/>
          <w:i/>
          <w:iCs/>
          <w:color w:val="auto"/>
          <w:sz w:val="24"/>
          <w:u w:val="single"/>
        </w:rPr>
        <w:t>初步设计</w:t>
      </w:r>
      <w:r>
        <w:rPr>
          <w:i/>
          <w:iCs/>
          <w:color w:val="auto"/>
          <w:sz w:val="24"/>
          <w:u w:val="single"/>
        </w:rPr>
        <w:t>批复</w:t>
      </w:r>
      <w:r>
        <w:rPr>
          <w:rFonts w:hint="eastAsia"/>
          <w:i/>
          <w:iCs/>
          <w:color w:val="auto"/>
          <w:sz w:val="24"/>
          <w:u w:val="single"/>
        </w:rPr>
        <w:t>；</w:t>
      </w:r>
    </w:p>
    <w:p w14:paraId="377FE0E7">
      <w:pPr>
        <w:pStyle w:val="241"/>
        <w:snapToGrid w:val="0"/>
        <w:spacing w:line="480" w:lineRule="auto"/>
        <w:ind w:firstLine="480" w:firstLineChars="0"/>
        <w:rPr>
          <w:sz w:val="24"/>
        </w:rPr>
      </w:pPr>
      <w:r>
        <w:rPr>
          <w:bCs/>
          <w:sz w:val="24"/>
        </w:rPr>
        <w:t>附件3.《关于</w:t>
      </w:r>
      <w:r>
        <w:rPr>
          <w:rFonts w:hint="eastAsia"/>
          <w:bCs/>
          <w:sz w:val="24"/>
        </w:rPr>
        <w:t>潜江—韶关输气管道28#阀室新增下载点改扩建项目建设用地预审与选址初审意见的报告</w:t>
      </w:r>
      <w:r>
        <w:rPr>
          <w:bCs/>
          <w:sz w:val="24"/>
        </w:rPr>
        <w:t>》耒阳市</w:t>
      </w:r>
      <w:r>
        <w:rPr>
          <w:rFonts w:hint="eastAsia"/>
          <w:bCs/>
          <w:sz w:val="24"/>
        </w:rPr>
        <w:t>自然资源局</w:t>
      </w:r>
      <w:r>
        <w:rPr>
          <w:sz w:val="24"/>
        </w:rPr>
        <w:t>；</w:t>
      </w:r>
    </w:p>
    <w:p w14:paraId="33F415F2">
      <w:pPr>
        <w:pStyle w:val="241"/>
        <w:snapToGrid w:val="0"/>
        <w:spacing w:line="480" w:lineRule="auto"/>
        <w:ind w:firstLine="480"/>
        <w:rPr>
          <w:bCs/>
          <w:sz w:val="24"/>
        </w:rPr>
      </w:pPr>
      <w:r>
        <w:rPr>
          <w:rFonts w:hint="eastAsia"/>
          <w:bCs/>
          <w:sz w:val="24"/>
        </w:rPr>
        <w:t>附件4.《建设项目用地预审与选址意见书》湖南省自然资源厅；</w:t>
      </w:r>
    </w:p>
    <w:p w14:paraId="5FBDCB41">
      <w:pPr>
        <w:pStyle w:val="241"/>
        <w:snapToGrid w:val="0"/>
        <w:spacing w:line="480" w:lineRule="auto"/>
        <w:ind w:firstLine="480"/>
        <w:rPr>
          <w:sz w:val="24"/>
        </w:rPr>
      </w:pPr>
      <w:r>
        <w:rPr>
          <w:bCs/>
          <w:sz w:val="24"/>
        </w:rPr>
        <w:t>附件</w:t>
      </w:r>
      <w:r>
        <w:rPr>
          <w:rFonts w:hint="eastAsia"/>
          <w:bCs/>
          <w:sz w:val="24"/>
        </w:rPr>
        <w:t>5</w:t>
      </w:r>
      <w:r>
        <w:rPr>
          <w:bCs/>
          <w:sz w:val="24"/>
        </w:rPr>
        <w:t>.</w:t>
      </w:r>
      <w:r>
        <w:rPr>
          <w:rFonts w:hint="eastAsia"/>
          <w:sz w:val="24"/>
        </w:rPr>
        <w:t>《关于同意开展潜江—韶关输气管道28号阀室新增下载点改扩建项目前期工作的函》湖南省能源局；</w:t>
      </w:r>
    </w:p>
    <w:p w14:paraId="0368DC6C">
      <w:pPr>
        <w:pStyle w:val="241"/>
        <w:snapToGrid w:val="0"/>
        <w:spacing w:line="480" w:lineRule="auto"/>
        <w:ind w:firstLine="480"/>
        <w:rPr>
          <w:sz w:val="24"/>
        </w:rPr>
      </w:pPr>
      <w:r>
        <w:rPr>
          <w:rFonts w:hint="eastAsia"/>
          <w:sz w:val="24"/>
        </w:rPr>
        <w:t>附件6.《关于潜江—韶关输气管道28号阀室为耒阳长城天然气有限公司新增下载点项目在耒阳市境内路由及场站选址征求意见的复函》耒阳市林业局；</w:t>
      </w:r>
    </w:p>
    <w:p w14:paraId="03AE3FE2">
      <w:pPr>
        <w:pStyle w:val="241"/>
        <w:snapToGrid w:val="0"/>
        <w:spacing w:line="480" w:lineRule="auto"/>
        <w:ind w:firstLine="480"/>
        <w:rPr>
          <w:sz w:val="24"/>
        </w:rPr>
      </w:pPr>
      <w:r>
        <w:rPr>
          <w:rFonts w:hint="eastAsia"/>
          <w:sz w:val="24"/>
        </w:rPr>
        <w:t>附件7.《关于潜江—韶关输气管道28号阀室为耒阳长城天然气有限公司新增下载点项目在耒阳市境内路由及场站选址征求意见的复函》耒阳市交通运输局；</w:t>
      </w:r>
    </w:p>
    <w:p w14:paraId="5FB380A9">
      <w:pPr>
        <w:pStyle w:val="241"/>
        <w:snapToGrid w:val="0"/>
        <w:spacing w:line="480" w:lineRule="auto"/>
        <w:ind w:firstLine="480"/>
        <w:rPr>
          <w:sz w:val="24"/>
        </w:rPr>
      </w:pPr>
      <w:r>
        <w:rPr>
          <w:rFonts w:hint="eastAsia"/>
          <w:sz w:val="24"/>
        </w:rPr>
        <w:t>附件8.《关于&lt;潜江—韶关输气管道28号阀室新增下载点项目&gt;建设项目压覆重要矿产资源查询情况的说明》湖南省自然资源厅；</w:t>
      </w:r>
    </w:p>
    <w:p w14:paraId="657C4987">
      <w:pPr>
        <w:pStyle w:val="241"/>
        <w:snapToGrid w:val="0"/>
        <w:spacing w:line="480" w:lineRule="auto"/>
        <w:ind w:firstLine="480"/>
        <w:rPr>
          <w:sz w:val="24"/>
        </w:rPr>
      </w:pPr>
      <w:r>
        <w:rPr>
          <w:rFonts w:hint="eastAsia"/>
          <w:sz w:val="24"/>
        </w:rPr>
        <w:t>附件9.《文物保护工作建议》湖南省文物考古研究院；</w:t>
      </w:r>
    </w:p>
    <w:p w14:paraId="397334D5">
      <w:pPr>
        <w:pStyle w:val="241"/>
        <w:snapToGrid w:val="0"/>
        <w:spacing w:line="480" w:lineRule="auto"/>
        <w:ind w:firstLine="480"/>
        <w:rPr>
          <w:bCs/>
          <w:sz w:val="24"/>
        </w:rPr>
      </w:pPr>
      <w:r>
        <w:rPr>
          <w:rFonts w:hint="eastAsia"/>
          <w:bCs/>
          <w:sz w:val="24"/>
        </w:rPr>
        <w:t>附件10.《关于潜江—韶关输气管道28#阀室新增下载点改扩建建设项目范围是否与耒阳市饮用水水源保护区重叠的核对说明》（衡阳市生态环境局耒阳市分局）</w:t>
      </w:r>
    </w:p>
    <w:p w14:paraId="05E20830">
      <w:pPr>
        <w:pStyle w:val="241"/>
        <w:snapToGrid w:val="0"/>
        <w:spacing w:line="480" w:lineRule="auto"/>
        <w:ind w:firstLine="480"/>
        <w:rPr>
          <w:bCs/>
          <w:sz w:val="24"/>
        </w:rPr>
      </w:pPr>
      <w:r>
        <w:rPr>
          <w:rFonts w:hint="eastAsia"/>
          <w:bCs/>
          <w:sz w:val="24"/>
        </w:rPr>
        <w:t>附件11.中国石化新疆煤制气外输管道工程（新粤浙管道）环境影响报告书的批复；</w:t>
      </w:r>
    </w:p>
    <w:p w14:paraId="76F5B0B7">
      <w:pPr>
        <w:pStyle w:val="241"/>
        <w:snapToGrid w:val="0"/>
        <w:spacing w:line="480" w:lineRule="auto"/>
        <w:ind w:firstLine="480"/>
        <w:rPr>
          <w:bCs/>
          <w:sz w:val="24"/>
        </w:rPr>
      </w:pPr>
      <w:r>
        <w:rPr>
          <w:rFonts w:hint="eastAsia"/>
          <w:bCs/>
          <w:sz w:val="24"/>
        </w:rPr>
        <w:t>附件12.新疆煤制气外输管道工程（新粤浙管道）一期工程（潜江至郴州段）竣工环境保护验收意见；</w:t>
      </w:r>
    </w:p>
    <w:p w14:paraId="40B56CCB">
      <w:pPr>
        <w:pStyle w:val="241"/>
        <w:snapToGrid w:val="0"/>
        <w:spacing w:line="480" w:lineRule="auto"/>
        <w:ind w:firstLine="480"/>
        <w:rPr>
          <w:sz w:val="24"/>
        </w:rPr>
      </w:pPr>
      <w:r>
        <w:rPr>
          <w:bCs/>
          <w:sz w:val="24"/>
        </w:rPr>
        <w:t>附件</w:t>
      </w:r>
      <w:r>
        <w:rPr>
          <w:rFonts w:hint="eastAsia"/>
          <w:bCs/>
          <w:sz w:val="24"/>
        </w:rPr>
        <w:t>13</w:t>
      </w:r>
      <w:r>
        <w:rPr>
          <w:bCs/>
          <w:sz w:val="24"/>
        </w:rPr>
        <w:t>.</w:t>
      </w:r>
      <w:r>
        <w:rPr>
          <w:sz w:val="24"/>
        </w:rPr>
        <w:t>本工程环境质量监测报告；</w:t>
      </w:r>
    </w:p>
    <w:p w14:paraId="075E582E">
      <w:pPr>
        <w:pStyle w:val="241"/>
        <w:snapToGrid w:val="0"/>
        <w:spacing w:line="480" w:lineRule="auto"/>
        <w:ind w:firstLine="480"/>
        <w:rPr>
          <w:sz w:val="24"/>
        </w:rPr>
      </w:pPr>
      <w:r>
        <w:rPr>
          <w:bCs/>
          <w:sz w:val="24"/>
        </w:rPr>
        <w:t>附件</w:t>
      </w:r>
      <w:r>
        <w:rPr>
          <w:rFonts w:hint="eastAsia"/>
          <w:bCs/>
          <w:sz w:val="24"/>
        </w:rPr>
        <w:t>14</w:t>
      </w:r>
      <w:r>
        <w:rPr>
          <w:bCs/>
          <w:sz w:val="24"/>
        </w:rPr>
        <w:t>.</w:t>
      </w:r>
      <w:r>
        <w:rPr>
          <w:rFonts w:hint="eastAsia"/>
          <w:sz w:val="24"/>
        </w:rPr>
        <w:t>危废处置合同；</w:t>
      </w:r>
    </w:p>
    <w:p w14:paraId="5C8D2752">
      <w:pPr>
        <w:pStyle w:val="241"/>
        <w:snapToGrid w:val="0"/>
        <w:spacing w:line="480" w:lineRule="auto"/>
        <w:ind w:firstLine="480"/>
        <w:rPr>
          <w:rFonts w:eastAsia="楷体_GB2312"/>
          <w:sz w:val="20"/>
          <w:szCs w:val="20"/>
        </w:rPr>
        <w:sectPr>
          <w:headerReference r:id="rId12" w:type="default"/>
          <w:footerReference r:id="rId13" w:type="default"/>
          <w:pgSz w:w="11907" w:h="16839"/>
          <w:pgMar w:top="1418" w:right="1418" w:bottom="1134" w:left="1418" w:header="964" w:footer="964" w:gutter="0"/>
          <w:pgNumType w:fmt="upperRoman"/>
          <w:cols w:space="720" w:num="1"/>
        </w:sectPr>
      </w:pPr>
      <w:r>
        <w:rPr>
          <w:bCs/>
          <w:sz w:val="24"/>
        </w:rPr>
        <w:t>附件</w:t>
      </w:r>
      <w:r>
        <w:rPr>
          <w:rFonts w:hint="eastAsia"/>
          <w:bCs/>
          <w:sz w:val="24"/>
        </w:rPr>
        <w:t>15</w:t>
      </w:r>
      <w:r>
        <w:rPr>
          <w:bCs/>
          <w:sz w:val="24"/>
        </w:rPr>
        <w:t>.</w:t>
      </w:r>
      <w:r>
        <w:rPr>
          <w:rFonts w:hint="eastAsia"/>
          <w:bCs/>
          <w:sz w:val="24"/>
        </w:rPr>
        <w:t>突发环境事件应急预案备案表</w:t>
      </w:r>
      <w:bookmarkEnd w:id="0"/>
      <w:r>
        <w:rPr>
          <w:rFonts w:eastAsia="楷体_GB2312"/>
          <w:sz w:val="20"/>
          <w:szCs w:val="20"/>
        </w:rPr>
        <w:tab/>
      </w:r>
      <w:r>
        <w:rPr>
          <w:rFonts w:hint="eastAsia" w:eastAsia="楷体_GB2312"/>
          <w:sz w:val="20"/>
          <w:szCs w:val="20"/>
        </w:rPr>
        <w:t>。</w:t>
      </w:r>
    </w:p>
    <w:p w14:paraId="22121186">
      <w:pPr>
        <w:pStyle w:val="3"/>
      </w:pPr>
      <w:bookmarkStart w:id="1" w:name="_Toc515432421"/>
      <w:bookmarkEnd w:id="1"/>
      <w:bookmarkStart w:id="2" w:name="_Toc515281065"/>
      <w:bookmarkEnd w:id="2"/>
      <w:bookmarkStart w:id="3" w:name="_Toc514913374"/>
      <w:bookmarkEnd w:id="3"/>
      <w:bookmarkStart w:id="4" w:name="_Toc31511"/>
      <w:r>
        <w:t>概述</w:t>
      </w:r>
      <w:bookmarkEnd w:id="4"/>
    </w:p>
    <w:p w14:paraId="270F24E6">
      <w:pPr>
        <w:pStyle w:val="4"/>
      </w:pPr>
      <w:bookmarkStart w:id="5" w:name="_Toc629"/>
      <w:r>
        <w:t>项目由来</w:t>
      </w:r>
      <w:bookmarkEnd w:id="5"/>
    </w:p>
    <w:p w14:paraId="55162DB3">
      <w:pPr>
        <w:spacing w:line="360" w:lineRule="auto"/>
        <w:ind w:firstLine="480" w:firstLineChars="200"/>
        <w:rPr>
          <w:sz w:val="24"/>
        </w:rPr>
      </w:pPr>
      <w:r>
        <w:rPr>
          <w:sz w:val="24"/>
        </w:rPr>
        <w:t>低碳经济与环境保护已成为当今世界发展主题，发展低碳经济首先要构筑稳定、经济、清洁、安全的能源供应体系。天然气作为一种高效、清洁、优质能源，对环境造成的污染远远小于石油和煤炭，是近几十年内发展低碳经济、实现节能减排的必然选择。我国也提出了</w:t>
      </w:r>
      <w:r>
        <w:rPr>
          <w:rFonts w:hint="eastAsia"/>
          <w:sz w:val="24"/>
        </w:rPr>
        <w:t>“</w:t>
      </w:r>
      <w:r>
        <w:rPr>
          <w:sz w:val="24"/>
        </w:rPr>
        <w:t>合理布局天然气管道及配套设施，基本形成覆盖全国的天然气基干管网，实现气源多元化、管道网络化、气库配套化、管理自动化、调度统一化</w:t>
      </w:r>
      <w:r>
        <w:rPr>
          <w:rFonts w:hint="eastAsia"/>
          <w:sz w:val="24"/>
        </w:rPr>
        <w:t>”</w:t>
      </w:r>
      <w:r>
        <w:rPr>
          <w:sz w:val="24"/>
        </w:rPr>
        <w:t>的天然气管道发展目标。</w:t>
      </w:r>
    </w:p>
    <w:p w14:paraId="0CB27215">
      <w:pPr>
        <w:pStyle w:val="234"/>
      </w:pPr>
      <w:r>
        <w:rPr>
          <w:rFonts w:hint="eastAsia"/>
        </w:rPr>
        <w:t>“气化湖南工程”于2015年起正式实施。至“十三五”末，湖南省天然气消费总量只占全国天然气消费总量约1.2%，远低于全国平均水平，且与湖南省社会经济不匹配。“十四五”时期是湖南省经济社会保持高质量发展的重要阶段，也是深化能源体制改革的关键时期，能源结构转型不断加快，能源消费需求不断扩大，2022年2月，湖南省发展和改革委员会及湖南省能源局制定发布了《</w:t>
      </w:r>
      <w:bookmarkStart w:id="6" w:name="_Hlk176383080"/>
      <w:r>
        <w:rPr>
          <w:rFonts w:hint="eastAsia"/>
        </w:rPr>
        <w:t>湖南省天然气长输管道建设中长期规划（2022—2030年）</w:t>
      </w:r>
      <w:bookmarkEnd w:id="6"/>
      <w:r>
        <w:rPr>
          <w:rFonts w:hint="eastAsia"/>
        </w:rPr>
        <w:t>》，按照规划，到2028年要实现大部分县市通管输天然气。</w:t>
      </w:r>
    </w:p>
    <w:p w14:paraId="15447DEC">
      <w:pPr>
        <w:pStyle w:val="234"/>
      </w:pPr>
      <w:r>
        <w:rPr>
          <w:rFonts w:hint="eastAsia"/>
        </w:rPr>
        <w:t>由于国家主干天然气管网—新疆煤制气外输管道在耒阳市暂无开口，耒阳市目前主要依靠运输液化天然气（LNG）供应，受气源和采购成本限制，耒阳市天然气利用进程受到严重的影响。为保证气源供应，尽快提升耒阳市天然气综合利用水平，落实国家“煤改气”相关环保政策，国家管网集团新疆煤制天然气外输管道有限责任公司决定投资建设“潜江—韶关输气管道28号阀室新增下载点改扩建项目”（以下简称“本项目”），项目建成后，下游连接耒阳长城天然气有限公司建设的耒阳门站（连接管道不属于本工程内容），将结束耒阳市无长输管道天然气的历史，对耒阳市的节能减排、改善民生、优化能源结构和生态文明建设有重大意义。</w:t>
      </w:r>
    </w:p>
    <w:p w14:paraId="038125D2">
      <w:pPr>
        <w:pStyle w:val="234"/>
      </w:pPr>
      <w:r>
        <w:t>本</w:t>
      </w:r>
      <w:r>
        <w:rPr>
          <w:rFonts w:hint="eastAsia"/>
        </w:rPr>
        <w:t>工程位于湖南省衡阳市耒阳市，地理位置见图1.1-1，</w:t>
      </w:r>
      <w:r>
        <w:t>新建</w:t>
      </w:r>
      <w:r>
        <w:rPr>
          <w:rFonts w:hint="eastAsia"/>
        </w:rPr>
        <w:t>天然气输气</w:t>
      </w:r>
      <w:r>
        <w:t>管道</w:t>
      </w:r>
      <w:r>
        <w:rPr>
          <w:rFonts w:hint="eastAsia"/>
          <w:highlight w:val="none"/>
          <w:lang w:val="en-US" w:eastAsia="zh-CN"/>
        </w:rPr>
        <w:t>0.760k</w:t>
      </w:r>
      <w:r>
        <w:rPr>
          <w:highlight w:val="none"/>
        </w:rPr>
        <w:t>m，</w:t>
      </w:r>
      <w:r>
        <w:t>管径</w:t>
      </w:r>
      <w:r>
        <w:rPr>
          <w:rFonts w:hint="eastAsia"/>
        </w:rPr>
        <w:t>DN300</w:t>
      </w:r>
      <w:r>
        <w:t>，设计压力10MPa，起点为</w:t>
      </w:r>
      <w:r>
        <w:rPr>
          <w:rFonts w:hint="eastAsia"/>
        </w:rPr>
        <w:t>潜江—韶关输气管道已建28号阀室</w:t>
      </w:r>
      <w:r>
        <w:t>，末点为</w:t>
      </w:r>
      <w:r>
        <w:rPr>
          <w:rFonts w:hint="eastAsia"/>
        </w:rPr>
        <w:t>新建耒阳</w:t>
      </w:r>
      <w:r>
        <w:t>分输站，设计输气规模为</w:t>
      </w:r>
      <w:r>
        <w:rPr>
          <w:rFonts w:hint="eastAsia"/>
        </w:rPr>
        <w:t>4.2</w:t>
      </w:r>
      <w:r>
        <w:t>×10</w:t>
      </w:r>
      <w:r>
        <w:rPr>
          <w:vertAlign w:val="superscript"/>
        </w:rPr>
        <w:t>8</w:t>
      </w:r>
      <w:r>
        <w:t>Nm</w:t>
      </w:r>
      <w:r>
        <w:rPr>
          <w:vertAlign w:val="superscript"/>
        </w:rPr>
        <w:t>3</w:t>
      </w:r>
      <w:r>
        <w:t>/a</w:t>
      </w:r>
      <w:r>
        <w:rPr>
          <w:rFonts w:hint="eastAsia"/>
        </w:rPr>
        <w:t>，并对28号阀室进行改造，在28号阀室内新增分输阀组一套。</w:t>
      </w:r>
    </w:p>
    <w:p w14:paraId="4613ABBB">
      <w:pPr>
        <w:pStyle w:val="234"/>
        <w:rPr>
          <w:rFonts w:hint="eastAsia" w:eastAsia="宋体"/>
          <w:i/>
          <w:iCs/>
          <w:color w:val="auto"/>
          <w:u w:val="single"/>
          <w:lang w:eastAsia="zh-CN"/>
        </w:rPr>
      </w:pPr>
      <w:r>
        <w:rPr>
          <w:i/>
          <w:iCs/>
          <w:color w:val="auto"/>
          <w:u w:val="single"/>
        </w:rPr>
        <w:t>通过本工程的建设，可完善衡阳市的输气管网，有效保障下游目标市场</w:t>
      </w:r>
      <w:r>
        <w:rPr>
          <w:rFonts w:hint="eastAsia"/>
          <w:i/>
          <w:iCs/>
          <w:color w:val="auto"/>
          <w:u w:val="single"/>
        </w:rPr>
        <w:t>耒阳市</w:t>
      </w:r>
      <w:r>
        <w:rPr>
          <w:i/>
          <w:iCs/>
          <w:color w:val="auto"/>
          <w:u w:val="single"/>
        </w:rPr>
        <w:t>的用气需求，为该区域的经济发展提供可靠的气源支持</w:t>
      </w:r>
      <w:r>
        <w:rPr>
          <w:rFonts w:hint="eastAsia"/>
          <w:i/>
          <w:iCs/>
          <w:color w:val="auto"/>
          <w:u w:val="single"/>
        </w:rPr>
        <w:t>。可满足</w:t>
      </w:r>
      <w:r>
        <w:rPr>
          <w:rFonts w:hint="eastAsia"/>
          <w:i/>
          <w:iCs/>
          <w:color w:val="auto"/>
          <w:u w:val="single"/>
          <w:lang w:val="en-US" w:eastAsia="zh-CN"/>
        </w:rPr>
        <w:t>耒阳市</w:t>
      </w:r>
      <w:r>
        <w:rPr>
          <w:rFonts w:hint="eastAsia"/>
          <w:i/>
          <w:iCs/>
          <w:color w:val="auto"/>
          <w:u w:val="single"/>
        </w:rPr>
        <w:t>全面推进天然气在城镇燃气、工业燃料、燃气发电等领域高效科学利用的要求，为加快推进工业燃料替代提供资源保障。基本实现供应安全、结构优化、效率提高、产业提升、体制创新的发展新格局，能源发展与生态环境趋于协调，建立清洁低碳、安全高效的现代能源体系</w:t>
      </w:r>
      <w:r>
        <w:rPr>
          <w:rFonts w:hint="eastAsia"/>
          <w:i/>
          <w:iCs/>
          <w:color w:val="auto"/>
          <w:u w:val="single"/>
          <w:lang w:eastAsia="zh-CN"/>
        </w:rPr>
        <w:t>。</w:t>
      </w:r>
    </w:p>
    <w:p w14:paraId="0B9FDE64">
      <w:pPr>
        <w:pStyle w:val="234"/>
      </w:pPr>
      <w:r>
        <w:rPr>
          <w:rFonts w:hint="eastAsia"/>
        </w:rPr>
        <w:t>本项目耒阳市林业局、耒阳市交通运输局出具的“路由及场站选址征求意见的复函”等文件中项目名称为“潜江-韶关输气管道28号阀室为耒阳长城燃气有限公司新增下载点项目”，由于湖南省能源局提出不符合地方基础建设项目取名要求，需变更项目名称为“潜江-韶关输气管道28号阀室新增下载点改扩建项目”，为同一工程项目</w:t>
      </w:r>
      <w:r>
        <w:t>。</w:t>
      </w:r>
    </w:p>
    <w:p w14:paraId="468E85C1">
      <w:pPr>
        <w:pStyle w:val="4"/>
        <w:spacing w:before="156" w:beforeLines="50"/>
      </w:pPr>
      <w:bookmarkStart w:id="7" w:name="_Toc1210"/>
      <w:bookmarkStart w:id="8" w:name="_Toc72672328"/>
      <w:r>
        <w:rPr>
          <w:rFonts w:hint="eastAsia"/>
          <w:lang w:val="en-US"/>
        </w:rPr>
        <w:t>建设项目特点</w:t>
      </w:r>
      <w:bookmarkEnd w:id="7"/>
    </w:p>
    <w:p w14:paraId="7643A539">
      <w:pPr>
        <w:pStyle w:val="234"/>
        <w:numPr>
          <w:ilvl w:val="0"/>
          <w:numId w:val="22"/>
        </w:numPr>
      </w:pPr>
      <w:r>
        <w:rPr>
          <w:rFonts w:hint="eastAsia"/>
        </w:rPr>
        <w:t>本工程为天然气管道建设项目，管线长度较短，输送物料具有较大的环境风险性；</w:t>
      </w:r>
    </w:p>
    <w:p w14:paraId="2A93D345">
      <w:pPr>
        <w:pStyle w:val="234"/>
        <w:numPr>
          <w:ilvl w:val="0"/>
          <w:numId w:val="22"/>
        </w:numPr>
      </w:pPr>
      <w:r>
        <w:rPr>
          <w:rFonts w:hint="eastAsia"/>
        </w:rPr>
        <w:t>工程占用永久基本农田和公益林，其中永久基本农田</w:t>
      </w:r>
      <w:r>
        <w:rPr>
          <w:rFonts w:hint="eastAsia"/>
          <w:lang w:val="en-US" w:eastAsia="zh-CN"/>
        </w:rPr>
        <w:t>全部</w:t>
      </w:r>
      <w:r>
        <w:rPr>
          <w:rFonts w:hint="eastAsia"/>
        </w:rPr>
        <w:t>为临时占用，公益林大部分为永久占用，改变土地功能，生态影响较为突出。</w:t>
      </w:r>
    </w:p>
    <w:p w14:paraId="58452057">
      <w:pPr>
        <w:pStyle w:val="4"/>
        <w:spacing w:before="156" w:beforeLines="50"/>
      </w:pPr>
      <w:bookmarkStart w:id="9" w:name="_Toc32251"/>
      <w:r>
        <w:t>环境影响评价的工作过程</w:t>
      </w:r>
      <w:bookmarkEnd w:id="8"/>
      <w:bookmarkEnd w:id="9"/>
    </w:p>
    <w:p w14:paraId="44F7BE42">
      <w:pPr>
        <w:pStyle w:val="234"/>
        <w:adjustRightInd w:val="0"/>
        <w:snapToGrid w:val="0"/>
      </w:pPr>
      <w:r>
        <w:t>根据</w:t>
      </w:r>
      <w:r>
        <w:rPr>
          <w:szCs w:val="32"/>
        </w:rPr>
        <w:t>《中华人民共和国环境保护法》</w:t>
      </w:r>
      <w:r>
        <w:t>《中华人民共和国环境影响评价法》《建设项目环境保护管理条例》等的</w:t>
      </w:r>
      <w:r>
        <w:rPr>
          <w:rFonts w:hint="eastAsia"/>
        </w:rPr>
        <w:t>有关规定</w:t>
      </w:r>
      <w:r>
        <w:t>，国家根据建设项目对环境的影响程度，对建设项目的环境保护实行分类管理</w:t>
      </w:r>
      <w:r>
        <w:rPr>
          <w:rFonts w:hint="eastAsia"/>
        </w:rPr>
        <w:t>，</w:t>
      </w:r>
      <w:r>
        <w:t>本工程需进行环境影响评价。</w:t>
      </w:r>
    </w:p>
    <w:p w14:paraId="0EB85D49">
      <w:pPr>
        <w:pStyle w:val="234"/>
      </w:pPr>
      <w:r>
        <w:t>根据《建设项目环境影响评价分类管理名录（2021版）》，本工程属于</w:t>
      </w:r>
      <w:r>
        <w:rPr>
          <w:rFonts w:hint="eastAsia"/>
        </w:rPr>
        <w:t>“五十二、交通运输业、管道运输业”中“</w:t>
      </w:r>
      <w:r>
        <w:t>147原油、成品油、天然气管线（不含城市天然气管线；不含城镇燃气管线；不含企业厂区内管道）</w:t>
      </w:r>
      <w:r>
        <w:rPr>
          <w:rFonts w:hint="eastAsia"/>
        </w:rPr>
        <w:t>”“</w:t>
      </w:r>
      <w:r>
        <w:t>涉及环境敏感区的</w:t>
      </w:r>
      <w:r>
        <w:rPr>
          <w:rFonts w:hint="eastAsia"/>
        </w:rPr>
        <w:t>”</w:t>
      </w:r>
      <w:r>
        <w:t>，其中环境敏感区指</w:t>
      </w:r>
      <w:r>
        <w:rPr>
          <w:rFonts w:hint="eastAsia"/>
        </w:rPr>
        <w:t>“</w:t>
      </w:r>
      <w:r>
        <w:t>第三条（一）中的全部区域；第三条（二）中的除（一）外的生态保护红线管控范围，永久基本农田、森林公园、地质公园、重要湿地、天然林；第三条（三）中的全部区域</w:t>
      </w:r>
      <w:r>
        <w:rPr>
          <w:rFonts w:hint="eastAsia"/>
        </w:rPr>
        <w:t>”</w:t>
      </w:r>
      <w:r>
        <w:t>，本工程</w:t>
      </w:r>
      <w:r>
        <w:rPr>
          <w:rFonts w:hint="eastAsia"/>
        </w:rPr>
        <w:t>临时用地</w:t>
      </w:r>
      <w:r>
        <w:t>涉及永久基本农田</w:t>
      </w:r>
      <w:r>
        <w:rPr>
          <w:rFonts w:hint="eastAsia"/>
        </w:rPr>
        <w:t>，</w:t>
      </w:r>
      <w:r>
        <w:t>应编制环境影响报告书。</w:t>
      </w:r>
    </w:p>
    <w:p w14:paraId="2F80719F">
      <w:pPr>
        <w:pStyle w:val="234"/>
      </w:pPr>
      <w:r>
        <w:rPr>
          <w:rFonts w:hint="eastAsia"/>
        </w:rPr>
        <w:t>2023年</w:t>
      </w:r>
      <w:r>
        <w:t>4</w:t>
      </w:r>
      <w:r>
        <w:rPr>
          <w:rFonts w:hint="eastAsia"/>
        </w:rPr>
        <w:t>月，</w:t>
      </w:r>
      <w:r>
        <w:t>建设单位</w:t>
      </w:r>
      <w:r>
        <w:rPr>
          <w:rFonts w:hint="eastAsia"/>
        </w:rPr>
        <w:t>国家管网集团新疆煤制天然气外输管道有限责任公司</w:t>
      </w:r>
      <w:r>
        <w:t>委托山东海纳环境工程有限公司承担本工程环境影响评价工作。山东海纳环境工程有限公司接受委托后，在调查项目所在地环境质量现状的基础上，通过工程分析，识别项目污染因子和环境影响因素，预测项目建设运营后对周围环境尤其</w:t>
      </w:r>
      <w:r>
        <w:rPr>
          <w:rFonts w:hint="eastAsia"/>
        </w:rPr>
        <w:t>是</w:t>
      </w:r>
      <w:r>
        <w:t>生态环境的影响范围和程度，论证项目实施的环境可行性，并对项目规划的合理性、环保措施的可行性作出评价，提出减轻和防治污染的具体对策及建议，为工程设计、环保决策提供科学依据。</w:t>
      </w:r>
    </w:p>
    <w:p w14:paraId="300C5CD3">
      <w:pPr>
        <w:pStyle w:val="234"/>
      </w:pPr>
      <w:r>
        <w:rPr>
          <w:rFonts w:hint="eastAsia"/>
        </w:rPr>
        <w:t>本工程环境影响报告书编制过程中建设单位</w:t>
      </w:r>
      <w:r>
        <w:t>采用网站公示、报纸公示、张贴公示等多种方式</w:t>
      </w:r>
      <w:r>
        <w:rPr>
          <w:rFonts w:hint="eastAsia"/>
        </w:rPr>
        <w:t>开展了</w:t>
      </w:r>
      <w:r>
        <w:t>公众</w:t>
      </w:r>
      <w:r>
        <w:rPr>
          <w:rFonts w:hint="eastAsia"/>
        </w:rPr>
        <w:t>参与工作，</w:t>
      </w:r>
      <w:r>
        <w:t>公示期间未收到公众对于本工程环境影响方面的质疑</w:t>
      </w:r>
      <w:r>
        <w:rPr>
          <w:rFonts w:hint="eastAsia"/>
        </w:rPr>
        <w:t>和意见</w:t>
      </w:r>
      <w:r>
        <w:t>。</w:t>
      </w:r>
    </w:p>
    <w:p w14:paraId="7DFDC410">
      <w:pPr>
        <w:pStyle w:val="234"/>
      </w:pPr>
      <w:r>
        <w:rPr>
          <w:rFonts w:hint="eastAsia"/>
        </w:rPr>
        <w:t>本工程环境影响报告书</w:t>
      </w:r>
      <w:r>
        <w:t>编制过程见图1.2-1。</w:t>
      </w:r>
    </w:p>
    <w:p w14:paraId="62607A76">
      <w:pPr>
        <w:pStyle w:val="1343"/>
      </w:pPr>
      <w:r>
        <w:drawing>
          <wp:inline distT="0" distB="0" distL="0" distR="0">
            <wp:extent cx="5492115" cy="4994275"/>
            <wp:effectExtent l="0" t="0" r="0" b="0"/>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图片 953"/>
                    <pic:cNvPicPr>
                      <a:picLocks noChangeAspect="1"/>
                    </pic:cNvPicPr>
                  </pic:nvPicPr>
                  <pic:blipFill>
                    <a:blip r:embed="rId31"/>
                    <a:stretch>
                      <a:fillRect/>
                    </a:stretch>
                  </pic:blipFill>
                  <pic:spPr>
                    <a:xfrm>
                      <a:off x="0" y="0"/>
                      <a:ext cx="5540029" cy="5038103"/>
                    </a:xfrm>
                    <a:prstGeom prst="rect">
                      <a:avLst/>
                    </a:prstGeom>
                  </pic:spPr>
                </pic:pic>
              </a:graphicData>
            </a:graphic>
          </wp:inline>
        </w:drawing>
      </w:r>
    </w:p>
    <w:p w14:paraId="6F25C99F">
      <w:pPr>
        <w:pStyle w:val="904"/>
      </w:pPr>
      <w:r>
        <w:t>图1.2-1本次环评工作路线图</w:t>
      </w:r>
    </w:p>
    <w:p w14:paraId="3407FF2D">
      <w:pPr>
        <w:pStyle w:val="1343"/>
      </w:pPr>
    </w:p>
    <w:p w14:paraId="0CDBE92D">
      <w:pPr>
        <w:pStyle w:val="4"/>
      </w:pPr>
      <w:r>
        <w:t xml:space="preserve"> </w:t>
      </w:r>
      <w:bookmarkStart w:id="10" w:name="_Toc72672329"/>
      <w:bookmarkStart w:id="11" w:name="_Toc30334"/>
      <w:r>
        <w:t>分析判定相关情况</w:t>
      </w:r>
      <w:bookmarkEnd w:id="10"/>
      <w:bookmarkEnd w:id="11"/>
    </w:p>
    <w:p w14:paraId="1A62DBFA">
      <w:pPr>
        <w:pStyle w:val="234"/>
      </w:pPr>
      <w:r>
        <w:t>本工程属于《产业结构调整指导目录（20</w:t>
      </w:r>
      <w:r>
        <w:rPr>
          <w:rFonts w:hint="eastAsia"/>
        </w:rPr>
        <w:t>24</w:t>
      </w:r>
      <w:r>
        <w:t>年本）》中鼓励类</w:t>
      </w:r>
      <w:r>
        <w:rPr>
          <w:rFonts w:hint="eastAsia"/>
        </w:rPr>
        <w:t>“</w:t>
      </w:r>
      <w:r>
        <w:t>七、石油天然气</w:t>
      </w:r>
      <w:r>
        <w:rPr>
          <w:rFonts w:hint="eastAsia"/>
        </w:rPr>
        <w:t>—2</w:t>
      </w:r>
      <w:r>
        <w:t>、</w:t>
      </w:r>
      <w:r>
        <w:rPr>
          <w:rFonts w:hint="eastAsia"/>
        </w:rPr>
        <w:t>油气管网</w:t>
      </w:r>
      <w:r>
        <w:t>建设</w:t>
      </w:r>
      <w:r>
        <w:rPr>
          <w:rFonts w:hint="eastAsia"/>
        </w:rPr>
        <w:t>”</w:t>
      </w:r>
      <w:r>
        <w:t>范畴，符合国家产业政策要求。</w:t>
      </w:r>
    </w:p>
    <w:p w14:paraId="026B1FF0">
      <w:pPr>
        <w:pStyle w:val="234"/>
      </w:pPr>
      <w:r>
        <w:t>本工程路由和</w:t>
      </w:r>
      <w:r>
        <w:rPr>
          <w:rFonts w:hint="eastAsia"/>
        </w:rPr>
        <w:t>站场选址</w:t>
      </w:r>
      <w:r>
        <w:t>已获得</w:t>
      </w:r>
      <w:r>
        <w:rPr>
          <w:rFonts w:hint="eastAsia"/>
        </w:rPr>
        <w:t>耒阳市自然资源局等部门</w:t>
      </w:r>
      <w:r>
        <w:t>许可，符合当地城市规划要求。</w:t>
      </w:r>
      <w:r>
        <w:rPr>
          <w:rFonts w:hint="eastAsia"/>
          <w:i/>
          <w:iCs/>
          <w:color w:val="auto"/>
          <w:highlight w:val="none"/>
          <w:u w:val="single"/>
          <w:lang w:val="en-US" w:eastAsia="zh-CN"/>
        </w:rPr>
        <w:t>根据耒阳市“三区三线”划定成果，本工程不占用生态保护红线，</w:t>
      </w:r>
      <w:r>
        <w:rPr>
          <w:i/>
          <w:iCs/>
          <w:color w:val="auto"/>
          <w:highlight w:val="none"/>
          <w:u w:val="single"/>
        </w:rPr>
        <w:t>施工期</w:t>
      </w:r>
      <w:r>
        <w:rPr>
          <w:rFonts w:hint="eastAsia"/>
          <w:i/>
          <w:iCs/>
          <w:color w:val="auto"/>
          <w:highlight w:val="none"/>
          <w:u w:val="single"/>
        </w:rPr>
        <w:t>临时</w:t>
      </w:r>
      <w:r>
        <w:rPr>
          <w:i/>
          <w:iCs/>
          <w:color w:val="auto"/>
          <w:highlight w:val="none"/>
          <w:u w:val="single"/>
        </w:rPr>
        <w:t>占用基本农田</w:t>
      </w:r>
      <w:r>
        <w:rPr>
          <w:rFonts w:hint="eastAsia"/>
          <w:i/>
          <w:iCs/>
          <w:color w:val="auto"/>
          <w:highlight w:val="none"/>
          <w:u w:val="single"/>
        </w:rPr>
        <w:t>面积7627m</w:t>
      </w:r>
      <w:r>
        <w:rPr>
          <w:rFonts w:hint="eastAsia"/>
          <w:i/>
          <w:iCs/>
          <w:color w:val="auto"/>
          <w:highlight w:val="none"/>
          <w:u w:val="single"/>
          <w:vertAlign w:val="superscript"/>
        </w:rPr>
        <w:t>2</w:t>
      </w:r>
      <w:r>
        <w:rPr>
          <w:rFonts w:hint="eastAsia"/>
          <w:i/>
          <w:iCs/>
          <w:color w:val="auto"/>
          <w:highlight w:val="none"/>
          <w:u w:val="single"/>
        </w:rPr>
        <w:t>，永久占用基本农田18m</w:t>
      </w:r>
      <w:r>
        <w:rPr>
          <w:rFonts w:hint="eastAsia"/>
          <w:i/>
          <w:iCs/>
          <w:color w:val="auto"/>
          <w:highlight w:val="none"/>
          <w:u w:val="single"/>
          <w:vertAlign w:val="superscript"/>
        </w:rPr>
        <w:t>2</w:t>
      </w:r>
      <w:r>
        <w:rPr>
          <w:rFonts w:hint="eastAsia"/>
          <w:i/>
          <w:iCs/>
          <w:color w:val="auto"/>
          <w:highlight w:val="none"/>
          <w:u w:val="single"/>
        </w:rPr>
        <w:t>（标志桩占地）；</w:t>
      </w:r>
      <w:r>
        <w:t>施工时表层耕植土剥离保护，将表土集中堆放在管沟一侧稍远处，生土堆放于表土内侧，表层土与生土采用土工布隔离堆放，施工完成后对按顺序回填恢复耕作，根据当地时节恢复耕种原有土著浅根作物，不会造成基本农田的面积减少</w:t>
      </w:r>
      <w:r>
        <w:rPr>
          <w:rFonts w:hint="eastAsia"/>
        </w:rPr>
        <w:t>，</w:t>
      </w:r>
      <w:r>
        <w:t>对基本农田影响较小。</w:t>
      </w:r>
      <w:r>
        <w:rPr>
          <w:rFonts w:hint="eastAsia"/>
        </w:rPr>
        <w:t>本工程永久占用省级公益林8011.4m</w:t>
      </w:r>
      <w:r>
        <w:rPr>
          <w:rFonts w:hint="eastAsia"/>
          <w:vertAlign w:val="superscript"/>
        </w:rPr>
        <w:t>2</w:t>
      </w:r>
      <w:r>
        <w:rPr>
          <w:rFonts w:hint="eastAsia"/>
        </w:rPr>
        <w:t>，临时占用省级公益林885m</w:t>
      </w:r>
      <w:r>
        <w:rPr>
          <w:rFonts w:hint="eastAsia"/>
          <w:vertAlign w:val="superscript"/>
        </w:rPr>
        <w:t>2</w:t>
      </w:r>
      <w:r>
        <w:rPr>
          <w:rFonts w:hint="eastAsia"/>
        </w:rPr>
        <w:t>，在建设前办理相关林业审批手续，并缴纳林地补偿费，临时占用的公益林施工期</w:t>
      </w:r>
      <w:r>
        <w:t>严格控制施工作业带开挖施工作业面，避免超挖破坏林地，并应在施工结束后立即整治利用，恢复植被</w:t>
      </w:r>
      <w:r>
        <w:rPr>
          <w:rFonts w:hint="eastAsia"/>
        </w:rPr>
        <w:t>。</w:t>
      </w:r>
    </w:p>
    <w:p w14:paraId="37158527">
      <w:pPr>
        <w:pStyle w:val="234"/>
      </w:pPr>
      <w:r>
        <w:t>本工程施工期对区域内环境影响较小，运营期污染物排放量较小，环境质量可保持现有水平，符合环境质量底线要求；采用管道输送天然气，具有清洁、低耗和输送效率高等明显特点，符合资源利用上线要求，本工程符合于</w:t>
      </w:r>
      <w:r>
        <w:rPr>
          <w:rFonts w:hint="eastAsia"/>
        </w:rPr>
        <w:t>衡阳市</w:t>
      </w:r>
      <w:r>
        <w:t>生态环境准入清单，本工程满足</w:t>
      </w:r>
      <w:r>
        <w:rPr>
          <w:rFonts w:hint="eastAsia"/>
        </w:rPr>
        <w:t>“</w:t>
      </w:r>
      <w:r>
        <w:t>三线一单</w:t>
      </w:r>
      <w:r>
        <w:rPr>
          <w:rFonts w:hint="eastAsia"/>
        </w:rPr>
        <w:t>”</w:t>
      </w:r>
      <w:r>
        <w:t>相关原则要求。</w:t>
      </w:r>
    </w:p>
    <w:p w14:paraId="2E01702C">
      <w:pPr>
        <w:pStyle w:val="234"/>
      </w:pPr>
      <w:r>
        <w:t>本工程建设亦满足《关于进一步加强环境影响评价管理防范环境风险的通知》</w:t>
      </w:r>
      <w:r>
        <w:rPr>
          <w:rFonts w:hint="eastAsia"/>
        </w:rPr>
        <w:t>（</w:t>
      </w:r>
      <w:r>
        <w:t>环发〔2012〕77号</w:t>
      </w:r>
      <w:r>
        <w:rPr>
          <w:rFonts w:hint="eastAsia"/>
        </w:rPr>
        <w:t>）</w:t>
      </w:r>
      <w:r>
        <w:t>、《关于切实加强风险防范严格环境影响评价管理的通知》</w:t>
      </w:r>
      <w:r>
        <w:rPr>
          <w:rFonts w:hint="eastAsia"/>
        </w:rPr>
        <w:t>（</w:t>
      </w:r>
      <w:r>
        <w:t>环发〔2012〕98号</w:t>
      </w:r>
      <w:r>
        <w:rPr>
          <w:rFonts w:hint="eastAsia"/>
        </w:rPr>
        <w:t>）、</w:t>
      </w:r>
      <w:r>
        <w:t>《关于以改善环境质量为核心加强环境影响评价管理的通知》</w:t>
      </w:r>
      <w:r>
        <w:rPr>
          <w:rFonts w:hint="eastAsia"/>
        </w:rPr>
        <w:t>（</w:t>
      </w:r>
      <w:r>
        <w:t>环环评〔2016〕150号</w:t>
      </w:r>
      <w:r>
        <w:rPr>
          <w:rFonts w:hint="eastAsia"/>
        </w:rPr>
        <w:t>）、《湖南省人民政府关于实施“三线一单”生态环境分区管控的意见》（湘政发〔2020〕12号）、《衡阳市人民政府关于实施“三线一单”生态环境分区管控的意见》（衡政发〔2020〕9号）</w:t>
      </w:r>
      <w:r>
        <w:t>等文件的要求。</w:t>
      </w:r>
    </w:p>
    <w:p w14:paraId="1B64C436">
      <w:pPr>
        <w:pStyle w:val="234"/>
        <w:rPr>
          <w:lang w:val="zh-CN"/>
        </w:rPr>
      </w:pPr>
      <w:r>
        <w:t>综合判定，</w:t>
      </w:r>
      <w:r>
        <w:rPr>
          <w:rFonts w:hint="eastAsia"/>
        </w:rPr>
        <w:t>本工程</w:t>
      </w:r>
      <w:r>
        <w:t>符合国家产业政策、符合国家和地方的相关规划，符合</w:t>
      </w:r>
      <w:r>
        <w:rPr>
          <w:rFonts w:hint="eastAsia"/>
        </w:rPr>
        <w:t>“</w:t>
      </w:r>
      <w:r>
        <w:t>三线一单</w:t>
      </w:r>
      <w:r>
        <w:rPr>
          <w:rFonts w:hint="eastAsia"/>
        </w:rPr>
        <w:t>”</w:t>
      </w:r>
      <w:r>
        <w:t>原则，</w:t>
      </w:r>
      <w:r>
        <w:rPr>
          <w:rFonts w:hint="eastAsia"/>
        </w:rPr>
        <w:t>工程</w:t>
      </w:r>
      <w:r>
        <w:t>建设与区域经济社会发展的方向和要求相协调（分析判定相关内容详见5.2章节）。</w:t>
      </w:r>
    </w:p>
    <w:p w14:paraId="58C60A3B">
      <w:pPr>
        <w:pStyle w:val="4"/>
      </w:pPr>
      <w:bookmarkStart w:id="12" w:name="_Toc72672330"/>
      <w:bookmarkStart w:id="13" w:name="_Toc29397"/>
      <w:r>
        <w:t>关注的主要环境问题及环境影响</w:t>
      </w:r>
      <w:bookmarkEnd w:id="12"/>
      <w:bookmarkEnd w:id="13"/>
    </w:p>
    <w:p w14:paraId="1BE49F77">
      <w:pPr>
        <w:pStyle w:val="234"/>
        <w:adjustRightInd w:val="0"/>
        <w:snapToGrid w:val="0"/>
      </w:pPr>
      <w:r>
        <w:t>本工程管道工程建设对环境的影响分为施工期和运行期两个阶段。施工期对环境的影响主要表现为各种施工活动对生态环境的影响；运营期对环境的影响主要表现在场站无组织废气、</w:t>
      </w:r>
      <w:r>
        <w:rPr>
          <w:rFonts w:hint="eastAsia"/>
        </w:rPr>
        <w:t>生活污水、</w:t>
      </w:r>
      <w:r>
        <w:t>噪声和</w:t>
      </w:r>
      <w:r>
        <w:rPr>
          <w:rFonts w:hint="eastAsia"/>
        </w:rPr>
        <w:t>分离器检修废渣、废滤芯和废铅酸蓄电池</w:t>
      </w:r>
      <w:r>
        <w:t>等固体废物及环境风险。关注的环境问题主要为：管道施工期对沿线生态环境的影响、管道运营期对沿线居民区和社会关注区域环境风险的影响。主要环境影响如下：</w:t>
      </w:r>
    </w:p>
    <w:p w14:paraId="2E423C96">
      <w:pPr>
        <w:pStyle w:val="234"/>
        <w:adjustRightInd w:val="0"/>
        <w:snapToGrid w:val="0"/>
      </w:pPr>
      <w:r>
        <w:t>（1）</w:t>
      </w:r>
      <w:r>
        <w:rPr>
          <w:rFonts w:hint="eastAsia"/>
        </w:rPr>
        <w:t>大气环境</w:t>
      </w:r>
    </w:p>
    <w:p w14:paraId="68011BE6">
      <w:pPr>
        <w:pStyle w:val="234"/>
        <w:adjustRightInd w:val="0"/>
        <w:snapToGrid w:val="0"/>
      </w:pPr>
      <w:r>
        <w:t>管道施工期主要污染物是施工扬尘、施工机械车辆排放的废气、焊接烟尘、防腐废气</w:t>
      </w:r>
      <w:r>
        <w:rPr>
          <w:rFonts w:hint="eastAsia"/>
        </w:rPr>
        <w:t>、涂装废气</w:t>
      </w:r>
      <w:r>
        <w:t>和放空废气，会对空气质量产生短期、轻微的影响，随着施工结束影响将会消失。本项目采用密闭管道输送天然气，运营期</w:t>
      </w:r>
      <w:r>
        <w:rPr>
          <w:rFonts w:hint="eastAsia"/>
        </w:rPr>
        <w:t>废气主要为新建耒阳分输站和28号阀室改造部分无组织挥发的非甲烷总烃，以及非正常工况下系统超压、过滤器检修等产生的放空废气、备用柴油发电机燃烧烟气。经预测分析，厂界处非甲烷总烃能够满足《大气污染物综合排放标准》(GB16297-1996)表2中非甲烷总烃厂界监控点浓度限值，非正常工况放空次数少，排放持续时间短，运营期</w:t>
      </w:r>
      <w:r>
        <w:t>对周边环境</w:t>
      </w:r>
      <w:r>
        <w:rPr>
          <w:rFonts w:hint="eastAsia"/>
        </w:rPr>
        <w:t>空气的</w:t>
      </w:r>
      <w:r>
        <w:t>影响</w:t>
      </w:r>
      <w:r>
        <w:rPr>
          <w:rFonts w:hint="eastAsia"/>
        </w:rPr>
        <w:t>较小</w:t>
      </w:r>
      <w:r>
        <w:t>。</w:t>
      </w:r>
    </w:p>
    <w:p w14:paraId="31FC5F11">
      <w:pPr>
        <w:pStyle w:val="234"/>
        <w:adjustRightInd w:val="0"/>
        <w:snapToGrid w:val="0"/>
      </w:pPr>
      <w:r>
        <w:t>（2）</w:t>
      </w:r>
      <w:r>
        <w:rPr>
          <w:rFonts w:hint="eastAsia"/>
        </w:rPr>
        <w:t>地表水环境</w:t>
      </w:r>
    </w:p>
    <w:p w14:paraId="6BD11CB9">
      <w:pPr>
        <w:pStyle w:val="234"/>
        <w:adjustRightInd w:val="0"/>
        <w:snapToGrid w:val="0"/>
      </w:pPr>
      <w:r>
        <w:rPr>
          <w:i/>
          <w:iCs/>
          <w:color w:val="auto"/>
          <w:u w:val="single"/>
        </w:rPr>
        <w:t>施工期废水主要来自试压废水、生活污水。</w:t>
      </w:r>
      <w:r>
        <w:rPr>
          <w:rFonts w:hint="eastAsia"/>
          <w:i/>
          <w:iCs/>
          <w:color w:val="auto"/>
          <w:u w:val="single"/>
        </w:rPr>
        <w:t>试压废水经过滤处理后用于农田灌溉或道路洒水，</w:t>
      </w:r>
      <w:r>
        <w:rPr>
          <w:i/>
          <w:iCs/>
          <w:color w:val="auto"/>
          <w:u w:val="single"/>
        </w:rPr>
        <w:t>施工期间不设置施工营地，生活污水依托当地</w:t>
      </w:r>
      <w:r>
        <w:rPr>
          <w:rFonts w:hint="eastAsia"/>
          <w:i/>
          <w:iCs/>
          <w:color w:val="auto"/>
          <w:u w:val="single"/>
        </w:rPr>
        <w:t>现有</w:t>
      </w:r>
      <w:r>
        <w:rPr>
          <w:i/>
          <w:iCs/>
          <w:color w:val="auto"/>
          <w:u w:val="single"/>
        </w:rPr>
        <w:t>的生活污水处理</w:t>
      </w:r>
      <w:r>
        <w:rPr>
          <w:rFonts w:hint="eastAsia"/>
          <w:i/>
          <w:iCs/>
          <w:color w:val="auto"/>
          <w:u w:val="single"/>
        </w:rPr>
        <w:t>设施</w:t>
      </w:r>
      <w:r>
        <w:rPr>
          <w:i/>
          <w:iCs/>
          <w:color w:val="auto"/>
          <w:u w:val="single"/>
        </w:rPr>
        <w:t>。</w:t>
      </w:r>
      <w:r>
        <w:t>运营期无新增定员，生活污水</w:t>
      </w:r>
      <w:r>
        <w:rPr>
          <w:rFonts w:hint="eastAsia"/>
        </w:rPr>
        <w:t>主要为巡检人员</w:t>
      </w:r>
      <w:r>
        <w:t>产生</w:t>
      </w:r>
      <w:r>
        <w:rPr>
          <w:rFonts w:hint="eastAsia"/>
        </w:rPr>
        <w:t>，废水量极少</w:t>
      </w:r>
      <w:r>
        <w:t>，</w:t>
      </w:r>
      <w:r>
        <w:rPr>
          <w:rFonts w:hint="eastAsia"/>
        </w:rPr>
        <w:t>定期委托拉运处理，</w:t>
      </w:r>
      <w:r>
        <w:t>运营期对周边地表水环境造成的影响很小。</w:t>
      </w:r>
    </w:p>
    <w:p w14:paraId="5CB30B30">
      <w:pPr>
        <w:pStyle w:val="234"/>
        <w:adjustRightInd w:val="0"/>
        <w:snapToGrid w:val="0"/>
      </w:pPr>
      <w:r>
        <w:t>（3）</w:t>
      </w:r>
      <w:r>
        <w:rPr>
          <w:rFonts w:hint="eastAsia"/>
        </w:rPr>
        <w:t>声环境影响</w:t>
      </w:r>
    </w:p>
    <w:p w14:paraId="156622B4">
      <w:pPr>
        <w:pStyle w:val="234"/>
        <w:adjustRightInd w:val="0"/>
        <w:snapToGrid w:val="0"/>
      </w:pPr>
      <w:r>
        <w:t>施工期噪声主要为施工机械和施工车辆噪声、放空噪声，本项目施工周期较短，影响时间较短，采取各项噪声防治措施后其产生的影响可接受。运营期噪声</w:t>
      </w:r>
      <w:r>
        <w:rPr>
          <w:rFonts w:hint="eastAsia"/>
        </w:rPr>
        <w:t>主要为耒阳分输站过滤分离器机械设备噪声及放空噪声</w:t>
      </w:r>
      <w:r>
        <w:t>，</w:t>
      </w:r>
      <w:r>
        <w:rPr>
          <w:rFonts w:hint="eastAsia"/>
        </w:rPr>
        <w:t>采取隔声、减振等噪声防治措施后</w:t>
      </w:r>
      <w:r>
        <w:t>对周边</w:t>
      </w:r>
      <w:r>
        <w:rPr>
          <w:rFonts w:hint="eastAsia"/>
        </w:rPr>
        <w:t>声</w:t>
      </w:r>
      <w:r>
        <w:t>环境影响</w:t>
      </w:r>
      <w:r>
        <w:rPr>
          <w:rFonts w:hint="eastAsia"/>
        </w:rPr>
        <w:t>较小。</w:t>
      </w:r>
    </w:p>
    <w:p w14:paraId="182ECF2B">
      <w:pPr>
        <w:pStyle w:val="234"/>
        <w:adjustRightInd w:val="0"/>
        <w:snapToGrid w:val="0"/>
      </w:pPr>
      <w:r>
        <w:rPr>
          <w:rFonts w:hint="eastAsia"/>
        </w:rPr>
        <w:t>（4）固体废物环境影响</w:t>
      </w:r>
    </w:p>
    <w:p w14:paraId="1A19132D">
      <w:pPr>
        <w:pStyle w:val="234"/>
        <w:adjustRightInd w:val="0"/>
        <w:snapToGrid w:val="0"/>
      </w:pPr>
      <w:r>
        <w:t>施工期产生的固体废物主要为施工废料、清管废渣、建筑垃圾</w:t>
      </w:r>
      <w:r>
        <w:rPr>
          <w:rFonts w:hint="eastAsia"/>
        </w:rPr>
        <w:t>、废油漆桶</w:t>
      </w:r>
      <w:r>
        <w:t>和生活垃圾等</w:t>
      </w:r>
      <w:r>
        <w:rPr>
          <w:rFonts w:hint="eastAsia"/>
        </w:rPr>
        <w:t>，均采取合理有效的方式处置</w:t>
      </w:r>
      <w:r>
        <w:t>。运营期产生固体废物</w:t>
      </w:r>
      <w:r>
        <w:rPr>
          <w:rFonts w:hint="eastAsia"/>
        </w:rPr>
        <w:t>主要为分离器检修产生的废渣、废滤芯和废铅酸蓄电池</w:t>
      </w:r>
      <w:r>
        <w:t>等，</w:t>
      </w:r>
      <w:r>
        <w:rPr>
          <w:rFonts w:hint="eastAsia"/>
        </w:rPr>
        <w:t>均委托有资质单位处置，</w:t>
      </w:r>
      <w:r>
        <w:t>对环境影响较小。</w:t>
      </w:r>
    </w:p>
    <w:p w14:paraId="4750E10A">
      <w:pPr>
        <w:pStyle w:val="234"/>
        <w:adjustRightInd w:val="0"/>
        <w:snapToGrid w:val="0"/>
      </w:pPr>
      <w:r>
        <w:rPr>
          <w:rFonts w:hint="eastAsia"/>
        </w:rPr>
        <w:t>（5）生态环境影响</w:t>
      </w:r>
    </w:p>
    <w:p w14:paraId="729FD122">
      <w:pPr>
        <w:pStyle w:val="234"/>
        <w:adjustRightInd w:val="0"/>
        <w:snapToGrid w:val="0"/>
      </w:pPr>
      <w:r>
        <w:t>本工程对生态环境的影响主要表现在施工期，本项目对生态环境的影响主要是占用土地造成植被破坏，施工对野生动植物的影响、对景观的影响等。随</w:t>
      </w:r>
      <w:r>
        <w:rPr>
          <w:rFonts w:hint="eastAsia"/>
        </w:rPr>
        <w:t>着</w:t>
      </w:r>
      <w:r>
        <w:t>施工</w:t>
      </w:r>
      <w:r>
        <w:rPr>
          <w:rFonts w:hint="eastAsia"/>
        </w:rPr>
        <w:t>结束</w:t>
      </w:r>
      <w:r>
        <w:t>和生态恢复，生态环境影响将逐渐消失</w:t>
      </w:r>
      <w:r>
        <w:rPr>
          <w:rFonts w:hint="eastAsia"/>
        </w:rPr>
        <w:t>。</w:t>
      </w:r>
    </w:p>
    <w:p w14:paraId="628C91E5">
      <w:pPr>
        <w:pStyle w:val="234"/>
        <w:adjustRightInd w:val="0"/>
        <w:snapToGrid w:val="0"/>
      </w:pPr>
      <w:r>
        <w:rPr>
          <w:rFonts w:hint="eastAsia"/>
        </w:rPr>
        <w:t>（6）环境风险影响分析</w:t>
      </w:r>
    </w:p>
    <w:p w14:paraId="684650C5">
      <w:pPr>
        <w:pStyle w:val="234"/>
        <w:adjustRightInd w:val="0"/>
        <w:snapToGrid w:val="0"/>
      </w:pPr>
      <w:r>
        <w:rPr>
          <w:lang w:bidi="ar"/>
        </w:rPr>
        <w:t>本工程环境风险类型主要天然气管道破裂等事故时危险物质甲烷的泄漏，以及火灾、爆炸等引发的伴生/次生CO污染物排放，</w:t>
      </w:r>
      <w:r>
        <w:rPr>
          <w:rFonts w:hint="eastAsia"/>
          <w:lang w:bidi="ar"/>
        </w:rPr>
        <w:t>经分析，</w:t>
      </w:r>
      <w:r>
        <w:rPr>
          <w:lang w:bidi="ar"/>
        </w:rPr>
        <w:t>项目发生泄漏产生的有毒有害物质对环境影响较小，环境风险可接受</w:t>
      </w:r>
      <w:r>
        <w:rPr>
          <w:rFonts w:hint="eastAsia"/>
        </w:rPr>
        <w:t>。</w:t>
      </w:r>
    </w:p>
    <w:p w14:paraId="146FCA8D">
      <w:pPr>
        <w:pStyle w:val="4"/>
      </w:pPr>
      <w:r>
        <w:t xml:space="preserve"> </w:t>
      </w:r>
      <w:bookmarkStart w:id="14" w:name="_Toc21531"/>
      <w:bookmarkStart w:id="15" w:name="_Toc72672331"/>
      <w:r>
        <w:t>环境影响报告书主要结论</w:t>
      </w:r>
      <w:bookmarkEnd w:id="14"/>
      <w:bookmarkEnd w:id="15"/>
    </w:p>
    <w:p w14:paraId="5079722E">
      <w:pPr>
        <w:pStyle w:val="234"/>
        <w:adjustRightInd w:val="0"/>
        <w:snapToGrid w:val="0"/>
      </w:pPr>
      <w:r>
        <w:rPr>
          <w:rFonts w:hint="eastAsia"/>
        </w:rPr>
        <w:t>潜江—韶关输气管道28号阀室新增下载点改扩建项目</w:t>
      </w:r>
      <w:r>
        <w:t>建设符合国家的产业政策，所选路由总体符合城市总体规划等相关规划的要求，经济、社会效益明显。工程建设和运行期间将会对工程区域的生态环境、大气环境、地表水环境、地下水环境、声环境等产生一定的不利影响，在工程施工及运行过程中，建设单位将认真落实工程设计和本报告中提出的生态环境保护预防恢复措施、污染防治措施、事故应急措施及突发环境事件应急预案，可以把工程对环境的影响降到最低程度</w:t>
      </w:r>
      <w:r>
        <w:rPr>
          <w:rFonts w:hint="eastAsia"/>
        </w:rPr>
        <w:t>，环境风险可防控</w:t>
      </w:r>
      <w:r>
        <w:t>。项目环评期间公众参与调查主要采用现场张贴、网上公示和报纸公示等形式进行，公众参与公示期间，未收到任何反馈意见。</w:t>
      </w:r>
    </w:p>
    <w:p w14:paraId="2BCA1393">
      <w:pPr>
        <w:pStyle w:val="234"/>
        <w:adjustRightInd w:val="0"/>
        <w:snapToGrid w:val="0"/>
        <w:sectPr>
          <w:pgSz w:w="11906" w:h="16838"/>
          <w:pgMar w:top="1701" w:right="1701" w:bottom="1701" w:left="1588" w:header="1089" w:footer="1026" w:gutter="0"/>
          <w:pgNumType w:start="1"/>
          <w:cols w:space="720" w:num="1"/>
          <w:docGrid w:type="lines" w:linePitch="312" w:charSpace="0"/>
        </w:sectPr>
      </w:pPr>
      <w:r>
        <w:t>因此，在落实各项污染防治措施、生态保护措施及风险控制措施和应急预案后，从环境保护角度考虑，本工程是可行的。</w:t>
      </w:r>
    </w:p>
    <w:p w14:paraId="53BB6D53">
      <w:pPr>
        <w:pStyle w:val="3"/>
        <w:adjustRightInd w:val="0"/>
        <w:snapToGrid w:val="0"/>
      </w:pPr>
      <w:bookmarkStart w:id="16" w:name="_Toc21910"/>
      <w:r>
        <w:rPr>
          <w:rFonts w:hint="eastAsia"/>
        </w:rPr>
        <w:t>总则</w:t>
      </w:r>
      <w:bookmarkEnd w:id="16"/>
    </w:p>
    <w:p w14:paraId="74D887D2">
      <w:pPr>
        <w:pStyle w:val="4"/>
        <w:rPr>
          <w:snapToGrid w:val="0"/>
        </w:rPr>
      </w:pPr>
      <w:bookmarkStart w:id="17" w:name="_Toc17388"/>
      <w:bookmarkStart w:id="18" w:name="_Toc5733"/>
      <w:bookmarkStart w:id="19" w:name="_Toc181976293"/>
      <w:bookmarkStart w:id="20" w:name="_Toc16953"/>
      <w:bookmarkStart w:id="21" w:name="_Toc391471557"/>
      <w:bookmarkStart w:id="22" w:name="_Toc76551558"/>
      <w:bookmarkStart w:id="23" w:name="_Toc226224898"/>
      <w:bookmarkStart w:id="24" w:name="_Toc387934193"/>
      <w:bookmarkStart w:id="25" w:name="_Toc144484577"/>
      <w:bookmarkStart w:id="26" w:name="_Toc234656824"/>
      <w:r>
        <w:rPr>
          <w:snapToGrid w:val="0"/>
        </w:rPr>
        <w:t xml:space="preserve"> </w:t>
      </w:r>
      <w:bookmarkStart w:id="27" w:name="_Toc10419"/>
      <w:bookmarkStart w:id="28" w:name="_Toc72672333"/>
      <w:r>
        <w:rPr>
          <w:snapToGrid w:val="0"/>
        </w:rPr>
        <w:t>编制依据</w:t>
      </w:r>
      <w:bookmarkEnd w:id="17"/>
      <w:bookmarkEnd w:id="18"/>
      <w:bookmarkEnd w:id="19"/>
      <w:bookmarkEnd w:id="20"/>
      <w:bookmarkEnd w:id="21"/>
      <w:bookmarkEnd w:id="22"/>
      <w:bookmarkEnd w:id="23"/>
      <w:bookmarkEnd w:id="24"/>
      <w:bookmarkEnd w:id="25"/>
      <w:bookmarkEnd w:id="26"/>
      <w:bookmarkEnd w:id="27"/>
      <w:bookmarkEnd w:id="28"/>
    </w:p>
    <w:p w14:paraId="5E5C6B30">
      <w:pPr>
        <w:pStyle w:val="5"/>
        <w:rPr>
          <w:snapToGrid w:val="0"/>
          <w:color w:val="auto"/>
        </w:rPr>
      </w:pPr>
      <w:bookmarkStart w:id="29" w:name="_Toc389740397"/>
      <w:bookmarkStart w:id="30" w:name="_Toc387934194"/>
      <w:bookmarkStart w:id="31" w:name="_Toc226224899"/>
      <w:bookmarkStart w:id="32" w:name="_Toc100"/>
      <w:bookmarkStart w:id="33" w:name="_Toc2233"/>
      <w:bookmarkStart w:id="34" w:name="_Toc391471558"/>
      <w:r>
        <w:rPr>
          <w:snapToGrid w:val="0"/>
          <w:color w:val="auto"/>
        </w:rPr>
        <w:t xml:space="preserve"> 国家法律</w:t>
      </w:r>
      <w:bookmarkEnd w:id="29"/>
      <w:bookmarkEnd w:id="30"/>
      <w:bookmarkEnd w:id="31"/>
      <w:bookmarkEnd w:id="32"/>
      <w:bookmarkEnd w:id="33"/>
      <w:bookmarkEnd w:id="34"/>
      <w:r>
        <w:rPr>
          <w:snapToGrid w:val="0"/>
          <w:color w:val="auto"/>
        </w:rPr>
        <w:t>法规及政策</w:t>
      </w:r>
    </w:p>
    <w:p w14:paraId="73ED442D">
      <w:pPr>
        <w:pStyle w:val="907"/>
        <w:ind w:firstLine="480"/>
      </w:pPr>
      <w:bookmarkStart w:id="35" w:name="_Toc17488"/>
      <w:bookmarkStart w:id="36" w:name="_Toc226224900"/>
      <w:bookmarkStart w:id="37" w:name="_Toc7219"/>
      <w:bookmarkStart w:id="38" w:name="_Toc391471559"/>
      <w:bookmarkStart w:id="39" w:name="_Toc387934195"/>
      <w:bookmarkStart w:id="40" w:name="_Toc389740398"/>
      <w:r>
        <w:t>《中华人民共和国环境保护法》（2015年1月1日</w:t>
      </w:r>
      <w:r>
        <w:rPr>
          <w:rFonts w:hint="eastAsia"/>
        </w:rPr>
        <w:t>起</w:t>
      </w:r>
      <w:r>
        <w:t>施行）；</w:t>
      </w:r>
    </w:p>
    <w:p w14:paraId="09ED115A">
      <w:pPr>
        <w:pStyle w:val="907"/>
        <w:ind w:firstLine="480"/>
      </w:pPr>
      <w:r>
        <w:t>《中华人民共和国环境影响评价法》（2018年12月29日</w:t>
      </w:r>
      <w:r>
        <w:rPr>
          <w:rFonts w:hint="eastAsia"/>
        </w:rPr>
        <w:t>修正</w:t>
      </w:r>
      <w:r>
        <w:t>）；</w:t>
      </w:r>
    </w:p>
    <w:p w14:paraId="635897FC">
      <w:pPr>
        <w:pStyle w:val="907"/>
        <w:ind w:firstLine="480"/>
      </w:pPr>
      <w:r>
        <w:t>《中华人民共和国水污染防治法》（2018年1月1日</w:t>
      </w:r>
      <w:r>
        <w:rPr>
          <w:rFonts w:hint="eastAsia"/>
        </w:rPr>
        <w:t>修正</w:t>
      </w:r>
      <w:r>
        <w:t>施行）；</w:t>
      </w:r>
    </w:p>
    <w:p w14:paraId="32968128">
      <w:pPr>
        <w:pStyle w:val="907"/>
        <w:ind w:firstLine="480"/>
      </w:pPr>
      <w:r>
        <w:t>《中华人民共和国大气污染防治法》（2018年10月26日修</w:t>
      </w:r>
      <w:r>
        <w:rPr>
          <w:rFonts w:hint="eastAsia"/>
        </w:rPr>
        <w:t>正</w:t>
      </w:r>
      <w:r>
        <w:t>）；</w:t>
      </w:r>
    </w:p>
    <w:p w14:paraId="0FF56BA8">
      <w:pPr>
        <w:pStyle w:val="907"/>
        <w:ind w:firstLine="480"/>
      </w:pPr>
      <w:r>
        <w:t>《中华人民共和国噪声污染防治法》（20</w:t>
      </w:r>
      <w:r>
        <w:rPr>
          <w:rFonts w:hint="eastAsia"/>
        </w:rPr>
        <w:t>22</w:t>
      </w:r>
      <w:r>
        <w:t>年</w:t>
      </w:r>
      <w:r>
        <w:rPr>
          <w:rFonts w:hint="eastAsia"/>
        </w:rPr>
        <w:t>6</w:t>
      </w:r>
      <w:r>
        <w:t>月</w:t>
      </w:r>
      <w:r>
        <w:rPr>
          <w:rFonts w:hint="eastAsia"/>
        </w:rPr>
        <w:t>5</w:t>
      </w:r>
      <w:r>
        <w:t>日</w:t>
      </w:r>
      <w:r>
        <w:rPr>
          <w:rFonts w:hint="eastAsia"/>
        </w:rPr>
        <w:t>起</w:t>
      </w:r>
      <w:r>
        <w:t>施行）；</w:t>
      </w:r>
    </w:p>
    <w:p w14:paraId="0CA35606">
      <w:pPr>
        <w:pStyle w:val="907"/>
        <w:ind w:firstLine="480"/>
      </w:pPr>
      <w:r>
        <w:t>《中华人民共和国固体废物污染环境防治法》（2020年9月1日施行）；</w:t>
      </w:r>
    </w:p>
    <w:p w14:paraId="721C38F4">
      <w:pPr>
        <w:pStyle w:val="907"/>
        <w:ind w:firstLine="480"/>
      </w:pPr>
      <w:r>
        <w:t>《中华人民共和国土壤污染防治法》（2019年1月1日起施行）；</w:t>
      </w:r>
    </w:p>
    <w:p w14:paraId="773ACC57">
      <w:pPr>
        <w:pStyle w:val="907"/>
        <w:ind w:firstLine="480"/>
      </w:pPr>
      <w:r>
        <w:t>《中华人民共和国清洁生产促进法》（2012年7月1日</w:t>
      </w:r>
      <w:r>
        <w:rPr>
          <w:rFonts w:hint="eastAsia"/>
        </w:rPr>
        <w:t>修正</w:t>
      </w:r>
      <w:r>
        <w:t>施行）；</w:t>
      </w:r>
    </w:p>
    <w:p w14:paraId="3FB28328">
      <w:pPr>
        <w:pStyle w:val="907"/>
        <w:ind w:firstLine="480"/>
      </w:pPr>
      <w:r>
        <w:t>《中华人民共和国循环经济促进法》（2018年10月26日修</w:t>
      </w:r>
      <w:r>
        <w:rPr>
          <w:rFonts w:hint="eastAsia"/>
        </w:rPr>
        <w:t>正</w:t>
      </w:r>
      <w:r>
        <w:t>）；</w:t>
      </w:r>
    </w:p>
    <w:p w14:paraId="6E8C33F1">
      <w:pPr>
        <w:pStyle w:val="907"/>
        <w:ind w:firstLine="480"/>
      </w:pPr>
      <w:r>
        <w:t>《中华人民共和国水土保持法》（2011年3月1日</w:t>
      </w:r>
      <w:r>
        <w:rPr>
          <w:rFonts w:hint="eastAsia"/>
        </w:rPr>
        <w:t>起施行</w:t>
      </w:r>
      <w:r>
        <w:t>）；</w:t>
      </w:r>
    </w:p>
    <w:p w14:paraId="18FF2CB2">
      <w:pPr>
        <w:pStyle w:val="907"/>
        <w:ind w:firstLine="480"/>
      </w:pPr>
      <w:r>
        <w:t>《中华人民共和国城乡规划法》(2019年4月23日修</w:t>
      </w:r>
      <w:r>
        <w:rPr>
          <w:rFonts w:hint="eastAsia"/>
        </w:rPr>
        <w:t>正</w:t>
      </w:r>
      <w:r>
        <w:t>)；</w:t>
      </w:r>
    </w:p>
    <w:p w14:paraId="5D37D4BC">
      <w:pPr>
        <w:pStyle w:val="907"/>
        <w:ind w:firstLine="480"/>
      </w:pPr>
      <w:r>
        <w:rPr>
          <w:rFonts w:hint="eastAsia"/>
        </w:rPr>
        <w:t>《中华人民共和国土地管理法》（2019年8月26日修正）；</w:t>
      </w:r>
    </w:p>
    <w:p w14:paraId="7AF1F2BF">
      <w:pPr>
        <w:pStyle w:val="907"/>
        <w:ind w:firstLine="480"/>
      </w:pPr>
      <w:r>
        <w:rPr>
          <w:rFonts w:hint="eastAsia"/>
        </w:rPr>
        <w:t>《中华人民共和国土地管理法实施条例》（2021年9月1日起施行）</w:t>
      </w:r>
    </w:p>
    <w:p w14:paraId="24F5D6A3">
      <w:pPr>
        <w:pStyle w:val="907"/>
        <w:ind w:firstLine="480"/>
      </w:pPr>
      <w:r>
        <w:t>《中华人民共和国野生动物保护法》（</w:t>
      </w:r>
      <w:r>
        <w:rPr>
          <w:rFonts w:hint="eastAsia"/>
        </w:rPr>
        <w:t>2023年5月1日起施行</w:t>
      </w:r>
      <w:r>
        <w:t>）；</w:t>
      </w:r>
    </w:p>
    <w:p w14:paraId="7AA50BA9">
      <w:pPr>
        <w:pStyle w:val="907"/>
        <w:ind w:firstLine="480"/>
      </w:pPr>
      <w:r>
        <w:t>《中华人民共和国森林法》(</w:t>
      </w:r>
      <w:r>
        <w:rPr>
          <w:rStyle w:val="238"/>
        </w:rPr>
        <w:t>2</w:t>
      </w:r>
      <w:r>
        <w:t>0</w:t>
      </w:r>
      <w:r>
        <w:rPr>
          <w:rFonts w:hint="eastAsia"/>
        </w:rPr>
        <w:t>20</w:t>
      </w:r>
      <w:r>
        <w:t>年</w:t>
      </w:r>
      <w:r>
        <w:rPr>
          <w:rFonts w:hint="eastAsia"/>
        </w:rPr>
        <w:t>7</w:t>
      </w:r>
      <w:r>
        <w:t>月</w:t>
      </w:r>
      <w:r>
        <w:rPr>
          <w:rFonts w:hint="eastAsia"/>
        </w:rPr>
        <w:t>1</w:t>
      </w:r>
      <w:r>
        <w:t>日施行)；</w:t>
      </w:r>
    </w:p>
    <w:p w14:paraId="31BFCF2E">
      <w:pPr>
        <w:pStyle w:val="907"/>
        <w:ind w:firstLine="480"/>
      </w:pPr>
      <w:r>
        <w:t>《中华人民共和国石油天然气管道保护法》（2010年10月1日起施行）；</w:t>
      </w:r>
    </w:p>
    <w:p w14:paraId="05132C21">
      <w:pPr>
        <w:pStyle w:val="907"/>
        <w:ind w:firstLine="480"/>
      </w:pPr>
      <w:r>
        <w:t>《基本农田保护条例》（2011年1月8日修正）；</w:t>
      </w:r>
    </w:p>
    <w:p w14:paraId="5D54149B">
      <w:pPr>
        <w:pStyle w:val="907"/>
        <w:ind w:firstLine="480"/>
      </w:pPr>
      <w:r>
        <w:t>《建设项目环境保护管理条例》（</w:t>
      </w:r>
      <w:r>
        <w:rPr>
          <w:rStyle w:val="238"/>
          <w:rFonts w:hint="eastAsia"/>
        </w:rPr>
        <w:t>2017年10月1日起施行</w:t>
      </w:r>
      <w:r>
        <w:t>）；</w:t>
      </w:r>
    </w:p>
    <w:p w14:paraId="54280B2F">
      <w:pPr>
        <w:pStyle w:val="907"/>
        <w:ind w:firstLine="480"/>
      </w:pPr>
      <w:r>
        <w:t>《排污许可管理条例》（</w:t>
      </w:r>
      <w:r>
        <w:rPr>
          <w:rFonts w:hint="eastAsia"/>
        </w:rPr>
        <w:t>2021年3月1日起施行</w:t>
      </w:r>
      <w:r>
        <w:t>）；</w:t>
      </w:r>
    </w:p>
    <w:p w14:paraId="6B22FC19">
      <w:pPr>
        <w:pStyle w:val="907"/>
        <w:ind w:firstLine="480"/>
      </w:pPr>
      <w:r>
        <w:t>《环境影响评价公众参与办法》（</w:t>
      </w:r>
      <w:r>
        <w:rPr>
          <w:rFonts w:hint="eastAsia"/>
        </w:rPr>
        <w:t>2019年1月1日起施行</w:t>
      </w:r>
      <w:r>
        <w:t>）；</w:t>
      </w:r>
    </w:p>
    <w:p w14:paraId="6A888F31">
      <w:pPr>
        <w:pStyle w:val="907"/>
        <w:ind w:firstLine="480"/>
      </w:pPr>
      <w:r>
        <w:t>《排污许可管理办法（试行）》</w:t>
      </w:r>
      <w:r>
        <w:rPr>
          <w:rStyle w:val="238"/>
        </w:rPr>
        <w:t>（2019年8月22日</w:t>
      </w:r>
      <w:r>
        <w:rPr>
          <w:rStyle w:val="238"/>
          <w:rFonts w:hint="eastAsia"/>
        </w:rPr>
        <w:t>修正</w:t>
      </w:r>
      <w:r>
        <w:t>）；</w:t>
      </w:r>
    </w:p>
    <w:p w14:paraId="1B47F77A">
      <w:pPr>
        <w:pStyle w:val="907"/>
        <w:ind w:firstLine="480"/>
      </w:pPr>
      <w:r>
        <w:rPr>
          <w:rFonts w:hint="eastAsia"/>
        </w:rPr>
        <w:t>《自然资源部 农业农村部关于加强和改进永久基本农田保护工作的通知》（自然资规〔2019〕1号）</w:t>
      </w:r>
      <w:r>
        <w:t>；</w:t>
      </w:r>
    </w:p>
    <w:p w14:paraId="03225C87">
      <w:pPr>
        <w:pStyle w:val="907"/>
        <w:ind w:firstLine="480"/>
      </w:pPr>
      <w:r>
        <w:t>《关于进一步加强环境影响评价管理防范环境风险的通知》（环发〔2012〕77号）</w:t>
      </w:r>
      <w:r>
        <w:rPr>
          <w:rFonts w:hint="eastAsia"/>
        </w:rPr>
        <w:t>；</w:t>
      </w:r>
    </w:p>
    <w:p w14:paraId="77091AFA">
      <w:pPr>
        <w:pStyle w:val="907"/>
        <w:ind w:firstLine="480"/>
      </w:pPr>
      <w:r>
        <w:t>《关于切实加强风险防范严格环境影响评价管理的通知》（环发〔2012〕98号）；</w:t>
      </w:r>
    </w:p>
    <w:p w14:paraId="446BFF3E">
      <w:pPr>
        <w:pStyle w:val="907"/>
        <w:ind w:firstLine="480"/>
      </w:pPr>
      <w:r>
        <w:t>《国务院关于印发水污染防治行动计划的通知》（国发〔2015〕17号）；</w:t>
      </w:r>
    </w:p>
    <w:p w14:paraId="5D4A4F5F">
      <w:pPr>
        <w:pStyle w:val="907"/>
        <w:ind w:firstLine="480"/>
      </w:pPr>
      <w:r>
        <w:t>《国务院关于印发土壤污染防治行动计划的通知》（国发〔2016〕31号）；</w:t>
      </w:r>
    </w:p>
    <w:p w14:paraId="194B61E0">
      <w:pPr>
        <w:pStyle w:val="907"/>
        <w:ind w:firstLine="480"/>
      </w:pPr>
      <w:r>
        <w:rPr>
          <w:rFonts w:hint="eastAsia"/>
        </w:rPr>
        <w:t>《</w:t>
      </w:r>
      <w:r>
        <w:t>国务院关于印发</w:t>
      </w:r>
      <w:r>
        <w:rPr>
          <w:rFonts w:hint="eastAsia"/>
        </w:rPr>
        <w:t>&lt;</w:t>
      </w:r>
      <w:r>
        <w:t>空气质量持续改善行动计划</w:t>
      </w:r>
      <w:r>
        <w:rPr>
          <w:rFonts w:hint="eastAsia"/>
        </w:rPr>
        <w:t>&gt;</w:t>
      </w:r>
      <w:r>
        <w:t>的通知</w:t>
      </w:r>
      <w:r>
        <w:rPr>
          <w:rFonts w:hint="eastAsia"/>
        </w:rPr>
        <w:t>》（</w:t>
      </w:r>
      <w:r>
        <w:t>国发〔2023〕24号</w:t>
      </w:r>
      <w:r>
        <w:rPr>
          <w:rFonts w:hint="eastAsia"/>
        </w:rPr>
        <w:t>）；</w:t>
      </w:r>
    </w:p>
    <w:p w14:paraId="71F6582F">
      <w:pPr>
        <w:pStyle w:val="907"/>
        <w:ind w:firstLine="480"/>
      </w:pPr>
      <w:r>
        <w:t>《关于以改善环境质量为核心加强环境影响评价管理的通知》（环环评〔2016〕150号）；</w:t>
      </w:r>
    </w:p>
    <w:p w14:paraId="6FC3FD17">
      <w:pPr>
        <w:pStyle w:val="907"/>
        <w:ind w:firstLine="480"/>
      </w:pPr>
      <w:r>
        <w:t>《关于印发&lt;企业事业单位突发环境事件应急预案备案管理办法（试行）&gt;的通知》（环发〔2015〕4号）；</w:t>
      </w:r>
    </w:p>
    <w:p w14:paraId="6C12648F">
      <w:pPr>
        <w:pStyle w:val="907"/>
        <w:ind w:firstLine="480"/>
      </w:pPr>
      <w:r>
        <w:t>《固定污染源排污许可分类管理名录（2019年版）》（生态环境部 部令第11号）；</w:t>
      </w:r>
    </w:p>
    <w:p w14:paraId="3DF7DB0B">
      <w:pPr>
        <w:pStyle w:val="907"/>
        <w:ind w:firstLine="480"/>
      </w:pPr>
      <w:r>
        <w:rPr>
          <w:rFonts w:hint="eastAsia"/>
        </w:rPr>
        <w:t>《关于强化建设项目环境影响评价事中事后监管的实施意见》（环环评〔2018〕11号）</w:t>
      </w:r>
      <w:r>
        <w:t>；</w:t>
      </w:r>
    </w:p>
    <w:p w14:paraId="7AD48261">
      <w:pPr>
        <w:pStyle w:val="907"/>
        <w:ind w:firstLine="480"/>
      </w:pPr>
      <w:r>
        <w:t>《中共中央国务院关于深入打好污染防治攻坚战的意见》（2021年11月2日）；</w:t>
      </w:r>
    </w:p>
    <w:p w14:paraId="75139D37">
      <w:pPr>
        <w:pStyle w:val="907"/>
        <w:ind w:firstLine="480"/>
      </w:pPr>
      <w:r>
        <w:t>《关于做好环境影响评价制度与排污许可制衔接相关工作的通知》（环办环评〔2017〕84号）；</w:t>
      </w:r>
    </w:p>
    <w:p w14:paraId="3F3FA2D3">
      <w:pPr>
        <w:pStyle w:val="907"/>
        <w:ind w:firstLine="480"/>
      </w:pPr>
      <w:r>
        <w:rPr>
          <w:rFonts w:hint="eastAsia"/>
        </w:rPr>
        <w:t>《关于进一步加强石油天然气行业环境影响评价管理的通知》（环办环评函〔2019〕910号）；</w:t>
      </w:r>
    </w:p>
    <w:p w14:paraId="5BF8B91D">
      <w:pPr>
        <w:pStyle w:val="907"/>
        <w:ind w:firstLine="480"/>
      </w:pPr>
      <w:r>
        <w:t>《关于划定并严守生态保护红线的若干意见》（中共中央办公厅、国务院办公厅2017年2月7日印发）；</w:t>
      </w:r>
    </w:p>
    <w:p w14:paraId="6D80A1DD">
      <w:pPr>
        <w:pStyle w:val="907"/>
        <w:ind w:firstLine="480"/>
      </w:pPr>
      <w:r>
        <w:t>《生态环境部关于生态环境领域进一步深化“放管服”改革推动经济高质量发展的指导意见》（环规财〔2018〕86号）；</w:t>
      </w:r>
    </w:p>
    <w:p w14:paraId="43BE8C84">
      <w:pPr>
        <w:pStyle w:val="907"/>
        <w:ind w:firstLine="480"/>
      </w:pPr>
      <w:r>
        <w:t>《关于实施“三线一单”生态环境分区管控的指导意见（试行）》(环环评〔2021〕108号）</w:t>
      </w:r>
      <w:r>
        <w:rPr>
          <w:rFonts w:hint="eastAsia"/>
        </w:rPr>
        <w:t>；</w:t>
      </w:r>
    </w:p>
    <w:p w14:paraId="0836B622">
      <w:pPr>
        <w:pStyle w:val="907"/>
        <w:ind w:firstLine="480"/>
      </w:pPr>
      <w:r>
        <w:rPr>
          <w:rFonts w:hint="eastAsia"/>
        </w:rPr>
        <w:t>《自然资源部 农业农村部关于加强和改进永久基本农田保护工作的通知》（自然资规〔2019〕1号）</w:t>
      </w:r>
      <w:r>
        <w:t>；</w:t>
      </w:r>
    </w:p>
    <w:p w14:paraId="334973FB">
      <w:pPr>
        <w:pStyle w:val="907"/>
        <w:ind w:firstLine="480"/>
      </w:pPr>
      <w:r>
        <w:rPr>
          <w:rFonts w:hint="eastAsia"/>
        </w:rPr>
        <w:t>《自然资源部办公厅关于加强临时用地监管有关工作的通知》（自然资办函〔2023〕1280号）；</w:t>
      </w:r>
    </w:p>
    <w:p w14:paraId="3F4CA09D">
      <w:pPr>
        <w:pStyle w:val="907"/>
        <w:ind w:firstLine="480"/>
      </w:pPr>
      <w:r>
        <w:rPr>
          <w:rFonts w:hint="eastAsia"/>
        </w:rPr>
        <w:t>《自然资源部关于规范临时用地管理的通知》（自然资规〔2021〕2号）；</w:t>
      </w:r>
    </w:p>
    <w:p w14:paraId="3C1D2C99">
      <w:pPr>
        <w:pStyle w:val="907"/>
        <w:ind w:firstLine="480"/>
      </w:pPr>
      <w:r>
        <w:rPr>
          <w:rFonts w:hint="eastAsia"/>
        </w:rPr>
        <w:t>《国务院关于印发"十四五"节能减排综合工作方案的通知》（国发〔2021〕33号）；</w:t>
      </w:r>
    </w:p>
    <w:p w14:paraId="40D2450F">
      <w:pPr>
        <w:pStyle w:val="907"/>
        <w:ind w:firstLine="480"/>
      </w:pPr>
      <w:r>
        <w:t>《关于印发《深入打好重污染天气消除、臭氧污染防治和柴油货车污染治理攻坚战行动方案》的通知》</w:t>
      </w:r>
      <w:r>
        <w:rPr>
          <w:rFonts w:hint="eastAsia"/>
        </w:rPr>
        <w:t>（</w:t>
      </w:r>
      <w:r>
        <w:t>环大气〔2022〕68号，2022</w:t>
      </w:r>
      <w:r>
        <w:rPr>
          <w:rFonts w:hint="eastAsia"/>
        </w:rPr>
        <w:t>年1</w:t>
      </w:r>
      <w:r>
        <w:t>1</w:t>
      </w:r>
      <w:r>
        <w:rPr>
          <w:rFonts w:hint="eastAsia"/>
        </w:rPr>
        <w:t>月1</w:t>
      </w:r>
      <w:r>
        <w:t>0</w:t>
      </w:r>
      <w:r>
        <w:rPr>
          <w:rFonts w:hint="eastAsia"/>
        </w:rPr>
        <w:t>日）；</w:t>
      </w:r>
    </w:p>
    <w:p w14:paraId="75EC4E18">
      <w:pPr>
        <w:pStyle w:val="907"/>
        <w:ind w:firstLine="480"/>
      </w:pPr>
      <w:r>
        <w:rPr>
          <w:rFonts w:hint="eastAsia"/>
        </w:rPr>
        <w:t>关于印发《“十四五”噪声污染防治行动计划》的通知（环大气〔2023〕1号）；</w:t>
      </w:r>
    </w:p>
    <w:p w14:paraId="43DB15DC">
      <w:pPr>
        <w:pStyle w:val="907"/>
        <w:ind w:firstLine="480"/>
      </w:pPr>
      <w:r>
        <w:rPr>
          <w:rFonts w:hint="eastAsia"/>
        </w:rPr>
        <w:t>《“十四五”土壤、地下水和农村生态环境保护规划》（环土壤</w:t>
      </w:r>
      <w:r>
        <w:t>〔2021〕</w:t>
      </w:r>
      <w:r>
        <w:rPr>
          <w:rFonts w:hint="eastAsia"/>
        </w:rPr>
        <w:t>120 号）；</w:t>
      </w:r>
    </w:p>
    <w:p w14:paraId="565BC76A">
      <w:pPr>
        <w:pStyle w:val="907"/>
        <w:ind w:firstLine="480"/>
      </w:pPr>
      <w:r>
        <w:rPr>
          <w:rFonts w:hint="eastAsia"/>
        </w:rPr>
        <w:t>《“十四五”现代能源体系规划》（发改能源〔2022〕210号）；</w:t>
      </w:r>
    </w:p>
    <w:p w14:paraId="5599E030">
      <w:pPr>
        <w:pStyle w:val="907"/>
        <w:ind w:firstLine="480"/>
      </w:pPr>
      <w:r>
        <w:rPr>
          <w:rFonts w:hint="eastAsia"/>
        </w:rPr>
        <w:t>《国家级公益林管理办法》（林资发〔2017〕34号）。</w:t>
      </w:r>
    </w:p>
    <w:p w14:paraId="1AFD40FB">
      <w:pPr>
        <w:pStyle w:val="5"/>
        <w:rPr>
          <w:snapToGrid w:val="0"/>
          <w:color w:val="auto"/>
        </w:rPr>
      </w:pPr>
      <w:r>
        <w:rPr>
          <w:snapToGrid w:val="0"/>
          <w:color w:val="auto"/>
        </w:rPr>
        <w:t xml:space="preserve"> 地方性法规和规章</w:t>
      </w:r>
      <w:bookmarkEnd w:id="35"/>
      <w:bookmarkEnd w:id="36"/>
      <w:bookmarkEnd w:id="37"/>
      <w:bookmarkEnd w:id="38"/>
      <w:bookmarkEnd w:id="39"/>
      <w:bookmarkEnd w:id="40"/>
    </w:p>
    <w:p w14:paraId="171E355E">
      <w:pPr>
        <w:tabs>
          <w:tab w:val="left" w:pos="397"/>
          <w:tab w:val="left" w:pos="1180"/>
          <w:tab w:val="left" w:pos="3518"/>
        </w:tabs>
        <w:autoSpaceDE w:val="0"/>
        <w:autoSpaceDN w:val="0"/>
        <w:spacing w:line="360" w:lineRule="auto"/>
        <w:ind w:firstLine="480" w:firstLineChars="200"/>
        <w:jc w:val="left"/>
        <w:rPr>
          <w:sz w:val="24"/>
        </w:rPr>
      </w:pPr>
      <w:bookmarkStart w:id="41" w:name="_Toc387934196"/>
      <w:bookmarkStart w:id="42" w:name="_Toc226224901"/>
      <w:bookmarkStart w:id="43" w:name="_Toc30970"/>
      <w:bookmarkStart w:id="44" w:name="_Toc391471560"/>
      <w:bookmarkStart w:id="45" w:name="_Toc24658"/>
      <w:bookmarkStart w:id="46" w:name="_Toc389740399"/>
      <w:r>
        <w:rPr>
          <w:rFonts w:hint="eastAsia"/>
          <w:sz w:val="24"/>
        </w:rPr>
        <w:t>（1）</w:t>
      </w:r>
      <w:r>
        <w:rPr>
          <w:sz w:val="24"/>
        </w:rPr>
        <w:t>《</w:t>
      </w:r>
      <w:r>
        <w:rPr>
          <w:rFonts w:hint="eastAsia"/>
          <w:sz w:val="24"/>
        </w:rPr>
        <w:t>湖南</w:t>
      </w:r>
      <w:r>
        <w:rPr>
          <w:sz w:val="24"/>
        </w:rPr>
        <w:t>省环境保护条例》（</w:t>
      </w:r>
      <w:r>
        <w:rPr>
          <w:rStyle w:val="238"/>
        </w:rPr>
        <w:t>201</w:t>
      </w:r>
      <w:r>
        <w:rPr>
          <w:rStyle w:val="238"/>
          <w:rFonts w:hint="eastAsia"/>
        </w:rPr>
        <w:t>9</w:t>
      </w:r>
      <w:r>
        <w:rPr>
          <w:rStyle w:val="238"/>
        </w:rPr>
        <w:t>年</w:t>
      </w:r>
      <w:r>
        <w:rPr>
          <w:rStyle w:val="238"/>
          <w:rFonts w:hint="eastAsia"/>
        </w:rPr>
        <w:t>9</w:t>
      </w:r>
      <w:r>
        <w:rPr>
          <w:rStyle w:val="238"/>
        </w:rPr>
        <w:t>月</w:t>
      </w:r>
      <w:r>
        <w:rPr>
          <w:rStyle w:val="238"/>
          <w:rFonts w:hint="eastAsia"/>
        </w:rPr>
        <w:t>28</w:t>
      </w:r>
      <w:r>
        <w:rPr>
          <w:rStyle w:val="238"/>
        </w:rPr>
        <w:t>日</w:t>
      </w:r>
      <w:r>
        <w:rPr>
          <w:rStyle w:val="238"/>
          <w:rFonts w:hint="eastAsia"/>
        </w:rPr>
        <w:t>修订</w:t>
      </w:r>
      <w:r>
        <w:rPr>
          <w:rFonts w:hint="eastAsia"/>
          <w:sz w:val="24"/>
        </w:rPr>
        <w:t>，</w:t>
      </w:r>
      <w:r>
        <w:rPr>
          <w:sz w:val="24"/>
        </w:rPr>
        <w:t>20</w:t>
      </w:r>
      <w:r>
        <w:rPr>
          <w:rFonts w:hint="eastAsia"/>
          <w:sz w:val="24"/>
        </w:rPr>
        <w:t>20</w:t>
      </w:r>
      <w:r>
        <w:rPr>
          <w:sz w:val="24"/>
        </w:rPr>
        <w:t>年1月1日</w:t>
      </w:r>
      <w:r>
        <w:rPr>
          <w:rFonts w:hint="eastAsia"/>
          <w:sz w:val="24"/>
        </w:rPr>
        <w:t>施行</w:t>
      </w:r>
      <w:r>
        <w:rPr>
          <w:sz w:val="24"/>
        </w:rPr>
        <w:t>）；</w:t>
      </w:r>
    </w:p>
    <w:p w14:paraId="3B67C594">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（2）</w:t>
      </w:r>
      <w:r>
        <w:rPr>
          <w:sz w:val="24"/>
        </w:rPr>
        <w:t>《湖南省大气污染防治条例》（20</w:t>
      </w:r>
      <w:r>
        <w:rPr>
          <w:rFonts w:hint="eastAsia"/>
          <w:sz w:val="24"/>
        </w:rPr>
        <w:t>20</w:t>
      </w:r>
      <w:r>
        <w:rPr>
          <w:sz w:val="24"/>
        </w:rPr>
        <w:t>年</w:t>
      </w:r>
      <w:r>
        <w:rPr>
          <w:rFonts w:hint="eastAsia"/>
          <w:sz w:val="24"/>
        </w:rPr>
        <w:t>6</w:t>
      </w:r>
      <w:r>
        <w:rPr>
          <w:sz w:val="24"/>
        </w:rPr>
        <w:t>月</w:t>
      </w:r>
      <w:r>
        <w:rPr>
          <w:rFonts w:hint="eastAsia"/>
          <w:sz w:val="24"/>
        </w:rPr>
        <w:t>12</w:t>
      </w:r>
      <w:r>
        <w:rPr>
          <w:sz w:val="24"/>
        </w:rPr>
        <w:t>日</w:t>
      </w:r>
      <w:r>
        <w:rPr>
          <w:rFonts w:hint="eastAsia"/>
          <w:sz w:val="24"/>
        </w:rPr>
        <w:t>修正</w:t>
      </w:r>
      <w:r>
        <w:rPr>
          <w:sz w:val="24"/>
        </w:rPr>
        <w:t>）；</w:t>
      </w:r>
    </w:p>
    <w:p w14:paraId="3D555236">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（3）《湖南省基本农田保护条例》（2000年5月27日修正）；</w:t>
      </w:r>
    </w:p>
    <w:p w14:paraId="3A54C1D4">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（4）</w:t>
      </w:r>
      <w:r>
        <w:rPr>
          <w:sz w:val="24"/>
        </w:rPr>
        <w:t>《湖南省主体功能区规划》（湘政发</w:t>
      </w:r>
      <w:r>
        <w:t>〔</w:t>
      </w:r>
      <w:r>
        <w:rPr>
          <w:sz w:val="24"/>
        </w:rPr>
        <w:t>2012</w:t>
      </w:r>
      <w:r>
        <w:t>〕</w:t>
      </w:r>
      <w:r>
        <w:rPr>
          <w:sz w:val="24"/>
        </w:rPr>
        <w:t>39号）</w:t>
      </w:r>
      <w:r>
        <w:rPr>
          <w:rFonts w:hint="eastAsia"/>
          <w:sz w:val="24"/>
        </w:rPr>
        <w:t>；</w:t>
      </w:r>
    </w:p>
    <w:p w14:paraId="40C41EF9">
      <w:pPr>
        <w:tabs>
          <w:tab w:val="left" w:pos="397"/>
          <w:tab w:val="left" w:pos="1180"/>
          <w:tab w:val="left" w:pos="3518"/>
        </w:tabs>
        <w:autoSpaceDE w:val="0"/>
        <w:autoSpaceDN w:val="0"/>
        <w:spacing w:line="360" w:lineRule="auto"/>
        <w:ind w:firstLine="480" w:firstLineChars="200"/>
        <w:jc w:val="left"/>
        <w:rPr>
          <w:i/>
          <w:iCs/>
          <w:color w:val="auto"/>
          <w:sz w:val="24"/>
          <w:u w:val="single"/>
        </w:rPr>
      </w:pPr>
      <w:r>
        <w:rPr>
          <w:rFonts w:hint="eastAsia"/>
          <w:i/>
          <w:iCs/>
          <w:color w:val="auto"/>
          <w:sz w:val="24"/>
          <w:u w:val="single"/>
        </w:rPr>
        <w:t>（5）《湖南省人民政府关于实施“三线一单”生态环境分区管控的意见》（</w:t>
      </w:r>
      <w:r>
        <w:rPr>
          <w:i/>
          <w:iCs/>
          <w:color w:val="auto"/>
          <w:sz w:val="24"/>
          <w:u w:val="single"/>
        </w:rPr>
        <w:t>湘政发</w:t>
      </w:r>
      <w:r>
        <w:rPr>
          <w:i/>
          <w:iCs/>
          <w:color w:val="auto"/>
          <w:u w:val="single"/>
        </w:rPr>
        <w:t>〔</w:t>
      </w:r>
      <w:r>
        <w:rPr>
          <w:i/>
          <w:iCs/>
          <w:color w:val="auto"/>
          <w:sz w:val="24"/>
          <w:u w:val="single"/>
        </w:rPr>
        <w:t>20</w:t>
      </w:r>
      <w:r>
        <w:rPr>
          <w:rFonts w:hint="eastAsia"/>
          <w:i/>
          <w:iCs/>
          <w:color w:val="auto"/>
          <w:sz w:val="24"/>
          <w:u w:val="single"/>
        </w:rPr>
        <w:t>20</w:t>
      </w:r>
      <w:r>
        <w:rPr>
          <w:i/>
          <w:iCs/>
          <w:color w:val="auto"/>
          <w:u w:val="single"/>
        </w:rPr>
        <w:t>〕</w:t>
      </w:r>
      <w:r>
        <w:rPr>
          <w:rFonts w:hint="eastAsia"/>
          <w:i/>
          <w:iCs/>
          <w:color w:val="auto"/>
          <w:sz w:val="24"/>
          <w:u w:val="single"/>
        </w:rPr>
        <w:t>12</w:t>
      </w:r>
      <w:r>
        <w:rPr>
          <w:i/>
          <w:iCs/>
          <w:color w:val="auto"/>
          <w:sz w:val="24"/>
          <w:u w:val="single"/>
        </w:rPr>
        <w:t>号</w:t>
      </w:r>
      <w:r>
        <w:rPr>
          <w:rFonts w:hint="eastAsia"/>
          <w:i/>
          <w:iCs/>
          <w:color w:val="auto"/>
          <w:sz w:val="24"/>
          <w:u w:val="single"/>
        </w:rPr>
        <w:t>）；</w:t>
      </w:r>
    </w:p>
    <w:p w14:paraId="001ECF64">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（6）《湖南省国土空间规划（2021—2035年）》</w:t>
      </w:r>
      <w:r>
        <w:rPr>
          <w:sz w:val="24"/>
        </w:rPr>
        <w:t>；</w:t>
      </w:r>
    </w:p>
    <w:p w14:paraId="467BEFC9">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（7）《湖南省天然气长输管道建设中长期规划（2022—2030年）》；</w:t>
      </w:r>
    </w:p>
    <w:p w14:paraId="68C03673">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（8）《</w:t>
      </w:r>
      <w:r>
        <w:rPr>
          <w:sz w:val="24"/>
        </w:rPr>
        <w:t>湖南省人民政府关于印发&lt;</w:t>
      </w:r>
      <w:r>
        <w:rPr>
          <w:rFonts w:hint="eastAsia"/>
          <w:sz w:val="24"/>
        </w:rPr>
        <w:t>湖南省碳达峰实施方案</w:t>
      </w:r>
      <w:r>
        <w:rPr>
          <w:sz w:val="24"/>
        </w:rPr>
        <w:t>&gt;的通知</w:t>
      </w:r>
      <w:r>
        <w:rPr>
          <w:rFonts w:hint="eastAsia"/>
          <w:sz w:val="24"/>
        </w:rPr>
        <w:t>》（</w:t>
      </w:r>
      <w:r>
        <w:rPr>
          <w:sz w:val="24"/>
        </w:rPr>
        <w:t>湘政发</w:t>
      </w:r>
      <w:r>
        <w:t>〔</w:t>
      </w:r>
      <w:r>
        <w:rPr>
          <w:sz w:val="24"/>
        </w:rPr>
        <w:t>20</w:t>
      </w:r>
      <w:r>
        <w:rPr>
          <w:rFonts w:hint="eastAsia"/>
          <w:sz w:val="24"/>
        </w:rPr>
        <w:t>22</w:t>
      </w:r>
      <w:r>
        <w:t>〕</w:t>
      </w:r>
      <w:r>
        <w:rPr>
          <w:rFonts w:hint="eastAsia"/>
          <w:sz w:val="24"/>
        </w:rPr>
        <w:t>18</w:t>
      </w:r>
      <w:r>
        <w:rPr>
          <w:sz w:val="24"/>
        </w:rPr>
        <w:t>号</w:t>
      </w:r>
      <w:r>
        <w:rPr>
          <w:rFonts w:hint="eastAsia"/>
          <w:sz w:val="24"/>
        </w:rPr>
        <w:t>）；</w:t>
      </w:r>
    </w:p>
    <w:p w14:paraId="2F0BC6A6">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（9）《</w:t>
      </w:r>
      <w:r>
        <w:rPr>
          <w:sz w:val="24"/>
        </w:rPr>
        <w:t>湖南省人民政府关于印发&lt;</w:t>
      </w:r>
      <w:r>
        <w:rPr>
          <w:rFonts w:hint="eastAsia"/>
          <w:sz w:val="24"/>
        </w:rPr>
        <w:t>湖南省“十四五”节能减排综合工作实施方案</w:t>
      </w:r>
      <w:r>
        <w:rPr>
          <w:sz w:val="24"/>
        </w:rPr>
        <w:t>&gt;的通知</w:t>
      </w:r>
      <w:r>
        <w:rPr>
          <w:rFonts w:hint="eastAsia"/>
          <w:sz w:val="24"/>
        </w:rPr>
        <w:t>》（</w:t>
      </w:r>
      <w:r>
        <w:rPr>
          <w:sz w:val="24"/>
        </w:rPr>
        <w:t>湘政发</w:t>
      </w:r>
      <w:r>
        <w:t>〔</w:t>
      </w:r>
      <w:r>
        <w:rPr>
          <w:sz w:val="24"/>
        </w:rPr>
        <w:t>20</w:t>
      </w:r>
      <w:r>
        <w:rPr>
          <w:rFonts w:hint="eastAsia"/>
          <w:sz w:val="24"/>
        </w:rPr>
        <w:t>22</w:t>
      </w:r>
      <w:r>
        <w:t>〕</w:t>
      </w:r>
      <w:r>
        <w:rPr>
          <w:rFonts w:hint="eastAsia"/>
          <w:sz w:val="24"/>
        </w:rPr>
        <w:t>16</w:t>
      </w:r>
      <w:r>
        <w:rPr>
          <w:sz w:val="24"/>
        </w:rPr>
        <w:t>号</w:t>
      </w:r>
      <w:r>
        <w:rPr>
          <w:rFonts w:hint="eastAsia"/>
          <w:sz w:val="24"/>
        </w:rPr>
        <w:t>）</w:t>
      </w:r>
      <w:r>
        <w:rPr>
          <w:sz w:val="24"/>
        </w:rPr>
        <w:t>；</w:t>
      </w:r>
    </w:p>
    <w:p w14:paraId="33614579">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（10）《湖南省人民政府办公厅关于印发</w:t>
      </w:r>
      <w:r>
        <w:rPr>
          <w:sz w:val="24"/>
        </w:rPr>
        <w:t>&lt;</w:t>
      </w:r>
      <w:r>
        <w:rPr>
          <w:rFonts w:hint="eastAsia"/>
          <w:sz w:val="24"/>
        </w:rPr>
        <w:t>湖南省“十四五”生态环境保护规划</w:t>
      </w:r>
      <w:r>
        <w:rPr>
          <w:sz w:val="24"/>
        </w:rPr>
        <w:t>&gt;的通知</w:t>
      </w:r>
      <w:r>
        <w:rPr>
          <w:rFonts w:hint="eastAsia"/>
          <w:sz w:val="24"/>
        </w:rPr>
        <w:t>》（</w:t>
      </w:r>
      <w:r>
        <w:rPr>
          <w:sz w:val="24"/>
        </w:rPr>
        <w:t>湘政办发</w:t>
      </w:r>
      <w:r>
        <w:t>〔</w:t>
      </w:r>
      <w:r>
        <w:rPr>
          <w:sz w:val="24"/>
        </w:rPr>
        <w:t>20</w:t>
      </w:r>
      <w:r>
        <w:rPr>
          <w:rFonts w:hint="eastAsia"/>
          <w:sz w:val="24"/>
        </w:rPr>
        <w:t>21</w:t>
      </w:r>
      <w:r>
        <w:t>〕</w:t>
      </w:r>
      <w:r>
        <w:rPr>
          <w:rFonts w:hint="eastAsia"/>
          <w:sz w:val="24"/>
        </w:rPr>
        <w:t>61</w:t>
      </w:r>
      <w:r>
        <w:rPr>
          <w:sz w:val="24"/>
        </w:rPr>
        <w:t>号</w:t>
      </w:r>
      <w:r>
        <w:rPr>
          <w:rFonts w:hint="eastAsia"/>
          <w:sz w:val="24"/>
        </w:rPr>
        <w:t>）；</w:t>
      </w:r>
    </w:p>
    <w:p w14:paraId="57F26EAD">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（11）《湖南省大气污染防治“守护蓝天”攻坚行动计划（2023—2025年）》（湘政办发〔2023〕34号）；</w:t>
      </w:r>
    </w:p>
    <w:p w14:paraId="4970D044">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（12）《湖南省“十四五”可再生能源发展规划》（湘发改能源规〔2022〕405号）；</w:t>
      </w:r>
    </w:p>
    <w:p w14:paraId="34C5BF69">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（13）</w:t>
      </w:r>
      <w:r>
        <w:rPr>
          <w:sz w:val="24"/>
        </w:rPr>
        <w:t>《关于公布湖南省县级以上地表水集中式饮用水水源保护区划定方案的通知》（湘政函</w:t>
      </w:r>
      <w:r>
        <w:t>〔</w:t>
      </w:r>
      <w:r>
        <w:rPr>
          <w:sz w:val="24"/>
        </w:rPr>
        <w:t>2016</w:t>
      </w:r>
      <w:r>
        <w:t>〕</w:t>
      </w:r>
      <w:r>
        <w:rPr>
          <w:sz w:val="24"/>
        </w:rPr>
        <w:t>176号</w:t>
      </w:r>
      <w:r>
        <w:rPr>
          <w:rFonts w:hint="eastAsia"/>
          <w:sz w:val="24"/>
        </w:rPr>
        <w:t>）；</w:t>
      </w:r>
    </w:p>
    <w:p w14:paraId="19CB0BC0">
      <w:pPr>
        <w:tabs>
          <w:tab w:val="left" w:pos="397"/>
          <w:tab w:val="left" w:pos="1180"/>
          <w:tab w:val="left" w:pos="3518"/>
        </w:tabs>
        <w:autoSpaceDE w:val="0"/>
        <w:autoSpaceDN w:val="0"/>
        <w:spacing w:line="360" w:lineRule="auto"/>
        <w:ind w:firstLine="480" w:firstLineChars="200"/>
        <w:jc w:val="left"/>
        <w:rPr>
          <w:i/>
          <w:iCs/>
          <w:color w:val="auto"/>
          <w:sz w:val="24"/>
          <w:u w:val="single"/>
        </w:rPr>
      </w:pPr>
      <w:r>
        <w:rPr>
          <w:rFonts w:hint="eastAsia"/>
          <w:i/>
          <w:iCs/>
          <w:color w:val="auto"/>
          <w:sz w:val="24"/>
          <w:u w:val="single"/>
        </w:rPr>
        <w:t>（14）《湖南省主要水系地表水环境功能区划》（DB43 023-2005）；</w:t>
      </w:r>
    </w:p>
    <w:p w14:paraId="7AA457DA">
      <w:pPr>
        <w:tabs>
          <w:tab w:val="left" w:pos="397"/>
          <w:tab w:val="left" w:pos="1180"/>
          <w:tab w:val="left" w:pos="3518"/>
        </w:tabs>
        <w:autoSpaceDE w:val="0"/>
        <w:autoSpaceDN w:val="0"/>
        <w:spacing w:line="360" w:lineRule="auto"/>
        <w:ind w:firstLine="480" w:firstLineChars="200"/>
        <w:jc w:val="left"/>
        <w:rPr>
          <w:i/>
          <w:iCs/>
          <w:color w:val="auto"/>
          <w:sz w:val="24"/>
          <w:u w:val="single"/>
        </w:rPr>
      </w:pPr>
      <w:r>
        <w:rPr>
          <w:rFonts w:hint="eastAsia"/>
          <w:i/>
          <w:iCs/>
          <w:color w:val="auto"/>
          <w:sz w:val="24"/>
          <w:u w:val="single"/>
        </w:rPr>
        <w:t>（15）《湖南省水功能区划（修编）》（湘政函〔2014〕183号）；</w:t>
      </w:r>
    </w:p>
    <w:p w14:paraId="59EC68B7">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（16）《湖南省林业厅、财政厅关于印发</w:t>
      </w:r>
      <w:r>
        <w:rPr>
          <w:sz w:val="24"/>
        </w:rPr>
        <w:t>&lt;</w:t>
      </w:r>
      <w:r>
        <w:rPr>
          <w:rFonts w:hint="eastAsia"/>
          <w:sz w:val="24"/>
        </w:rPr>
        <w:t>湖南省公益林区划界定办法</w:t>
      </w:r>
      <w:r>
        <w:rPr>
          <w:sz w:val="24"/>
        </w:rPr>
        <w:t>&gt;</w:t>
      </w:r>
      <w:r>
        <w:rPr>
          <w:rFonts w:hint="eastAsia"/>
          <w:sz w:val="24"/>
        </w:rPr>
        <w:t>的通知》（湘林资</w:t>
      </w:r>
      <w:r>
        <w:t>〔</w:t>
      </w:r>
      <w:r>
        <w:rPr>
          <w:rFonts w:hint="eastAsia"/>
          <w:sz w:val="24"/>
        </w:rPr>
        <w:t>2010</w:t>
      </w:r>
      <w:r>
        <w:t>〕</w:t>
      </w:r>
      <w:r>
        <w:rPr>
          <w:rFonts w:hint="eastAsia"/>
          <w:sz w:val="24"/>
        </w:rPr>
        <w:t>9号）；</w:t>
      </w:r>
    </w:p>
    <w:p w14:paraId="22E4A354">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（17）《湖南省林业厅、湖南省财政厅关于印发</w:t>
      </w:r>
      <w:r>
        <w:rPr>
          <w:sz w:val="24"/>
        </w:rPr>
        <w:t>&lt;</w:t>
      </w:r>
      <w:r>
        <w:rPr>
          <w:rFonts w:hint="eastAsia"/>
          <w:sz w:val="24"/>
        </w:rPr>
        <w:t>湖南省公益林管理办法</w:t>
      </w:r>
      <w:r>
        <w:rPr>
          <w:sz w:val="24"/>
        </w:rPr>
        <w:t>&gt;</w:t>
      </w:r>
      <w:r>
        <w:rPr>
          <w:rFonts w:hint="eastAsia"/>
          <w:sz w:val="24"/>
        </w:rPr>
        <w:t>的通知》（湘林资</w:t>
      </w:r>
      <w:r>
        <w:t>〔</w:t>
      </w:r>
      <w:r>
        <w:rPr>
          <w:rFonts w:hint="eastAsia"/>
          <w:sz w:val="24"/>
        </w:rPr>
        <w:t>2013</w:t>
      </w:r>
      <w:r>
        <w:t>〕</w:t>
      </w:r>
      <w:r>
        <w:rPr>
          <w:rFonts w:hint="eastAsia"/>
          <w:sz w:val="24"/>
        </w:rPr>
        <w:t>28号）；</w:t>
      </w:r>
    </w:p>
    <w:p w14:paraId="30DC913B">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（18）《衡阳市扬尘污染防治条例》（2020年12月1日起施行）；</w:t>
      </w:r>
    </w:p>
    <w:p w14:paraId="37FF543C">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（19）《衡阳市国土空间总体规划（2021-2035年）》；</w:t>
      </w:r>
    </w:p>
    <w:p w14:paraId="7516B627">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（20）《湖南省衡阳市土地利用总体规划（2006-2020年）；</w:t>
      </w:r>
    </w:p>
    <w:p w14:paraId="15F843E7">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（21）《衡阳市人民政府关于实施“三线一单”生态环境分区管控的意见》（衡政发</w:t>
      </w:r>
      <w:r>
        <w:t>〔</w:t>
      </w:r>
      <w:r>
        <w:rPr>
          <w:rFonts w:hint="eastAsia"/>
          <w:sz w:val="24"/>
        </w:rPr>
        <w:t>2020</w:t>
      </w:r>
      <w:r>
        <w:t>〕</w:t>
      </w:r>
      <w:r>
        <w:rPr>
          <w:rFonts w:hint="eastAsia"/>
          <w:sz w:val="24"/>
        </w:rPr>
        <w:t>9号）；</w:t>
      </w:r>
    </w:p>
    <w:p w14:paraId="15168C09">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（22）《衡阳市人民政府关于</w:t>
      </w:r>
      <w:r>
        <w:rPr>
          <w:sz w:val="24"/>
        </w:rPr>
        <w:t>印发&lt;</w:t>
      </w:r>
      <w:r>
        <w:rPr>
          <w:rFonts w:hint="eastAsia"/>
          <w:sz w:val="24"/>
        </w:rPr>
        <w:t>衡阳市“十四五”节能减排综合工作实施方案</w:t>
      </w:r>
      <w:r>
        <w:rPr>
          <w:sz w:val="24"/>
        </w:rPr>
        <w:t>&gt;的通知</w:t>
      </w:r>
      <w:r>
        <w:rPr>
          <w:rFonts w:hint="eastAsia"/>
          <w:sz w:val="24"/>
        </w:rPr>
        <w:t>》（衡政发</w:t>
      </w:r>
      <w:r>
        <w:t>〔</w:t>
      </w:r>
      <w:r>
        <w:rPr>
          <w:rFonts w:hint="eastAsia"/>
          <w:sz w:val="24"/>
        </w:rPr>
        <w:t>2023</w:t>
      </w:r>
      <w:r>
        <w:t>〕</w:t>
      </w:r>
      <w:r>
        <w:rPr>
          <w:rFonts w:hint="eastAsia"/>
          <w:sz w:val="24"/>
        </w:rPr>
        <w:t>5号）</w:t>
      </w:r>
      <w:r>
        <w:rPr>
          <w:sz w:val="24"/>
        </w:rPr>
        <w:t>；</w:t>
      </w:r>
    </w:p>
    <w:p w14:paraId="385C1584">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（23）《衡阳市人民政府关于</w:t>
      </w:r>
      <w:r>
        <w:rPr>
          <w:sz w:val="24"/>
        </w:rPr>
        <w:t>印发&lt;</w:t>
      </w:r>
      <w:r>
        <w:rPr>
          <w:rFonts w:hint="eastAsia"/>
          <w:sz w:val="24"/>
        </w:rPr>
        <w:t>衡阳市碳达峰实施方案</w:t>
      </w:r>
      <w:r>
        <w:rPr>
          <w:sz w:val="24"/>
        </w:rPr>
        <w:t>&gt;的通知</w:t>
      </w:r>
      <w:r>
        <w:rPr>
          <w:rFonts w:hint="eastAsia"/>
          <w:sz w:val="24"/>
        </w:rPr>
        <w:t>》（衡政发</w:t>
      </w:r>
      <w:r>
        <w:t>〔</w:t>
      </w:r>
      <w:r>
        <w:rPr>
          <w:rFonts w:hint="eastAsia"/>
          <w:sz w:val="24"/>
        </w:rPr>
        <w:t>2023</w:t>
      </w:r>
      <w:r>
        <w:t>〕</w:t>
      </w:r>
      <w:r>
        <w:rPr>
          <w:rFonts w:hint="eastAsia"/>
          <w:sz w:val="24"/>
        </w:rPr>
        <w:t>6号）；</w:t>
      </w:r>
    </w:p>
    <w:p w14:paraId="431C5134">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（24）《衡阳市人民政府关于</w:t>
      </w:r>
      <w:r>
        <w:rPr>
          <w:sz w:val="24"/>
        </w:rPr>
        <w:t>印发&lt;</w:t>
      </w:r>
      <w:r>
        <w:rPr>
          <w:rFonts w:hint="eastAsia"/>
          <w:sz w:val="24"/>
        </w:rPr>
        <w:t>衡阳市土壤污染防治工作方案</w:t>
      </w:r>
      <w:r>
        <w:rPr>
          <w:sz w:val="24"/>
        </w:rPr>
        <w:t>&gt;的通知</w:t>
      </w:r>
      <w:r>
        <w:rPr>
          <w:rFonts w:hint="eastAsia"/>
          <w:sz w:val="24"/>
        </w:rPr>
        <w:t>》（衡政发</w:t>
      </w:r>
      <w:r>
        <w:t>〔</w:t>
      </w:r>
      <w:r>
        <w:rPr>
          <w:rFonts w:hint="eastAsia"/>
          <w:sz w:val="24"/>
        </w:rPr>
        <w:t>2017</w:t>
      </w:r>
      <w:r>
        <w:t>〕</w:t>
      </w:r>
      <w:r>
        <w:rPr>
          <w:rFonts w:hint="eastAsia"/>
          <w:sz w:val="24"/>
        </w:rPr>
        <w:t>8号）；</w:t>
      </w:r>
    </w:p>
    <w:p w14:paraId="53D29A9A">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（25）《衡阳市“十四五”生态环境保护规划》（衡政办发〔2021〕37号）；</w:t>
      </w:r>
    </w:p>
    <w:p w14:paraId="788A15A2">
      <w:pPr>
        <w:tabs>
          <w:tab w:val="left" w:pos="397"/>
          <w:tab w:val="left" w:pos="1180"/>
          <w:tab w:val="left" w:pos="3518"/>
        </w:tabs>
        <w:autoSpaceDE w:val="0"/>
        <w:autoSpaceDN w:val="0"/>
        <w:spacing w:line="360" w:lineRule="auto"/>
        <w:ind w:firstLine="480" w:firstLineChars="200"/>
        <w:jc w:val="left"/>
        <w:rPr>
          <w:sz w:val="24"/>
        </w:rPr>
      </w:pPr>
      <w:r>
        <w:rPr>
          <w:rFonts w:hint="eastAsia"/>
          <w:sz w:val="24"/>
        </w:rPr>
        <w:t>（26）《耒阳市土地利用总体规划（2006-2020年）》；</w:t>
      </w:r>
    </w:p>
    <w:p w14:paraId="6CB29DDF">
      <w:pPr>
        <w:tabs>
          <w:tab w:val="left" w:pos="397"/>
          <w:tab w:val="left" w:pos="1180"/>
          <w:tab w:val="left" w:pos="3518"/>
        </w:tabs>
        <w:autoSpaceDE w:val="0"/>
        <w:autoSpaceDN w:val="0"/>
        <w:spacing w:line="360" w:lineRule="auto"/>
        <w:ind w:firstLine="480" w:firstLineChars="200"/>
        <w:jc w:val="left"/>
        <w:rPr>
          <w:i/>
          <w:iCs/>
          <w:color w:val="auto"/>
          <w:sz w:val="24"/>
          <w:u w:val="single"/>
        </w:rPr>
      </w:pPr>
      <w:r>
        <w:rPr>
          <w:rFonts w:hint="eastAsia"/>
          <w:i/>
          <w:iCs/>
          <w:color w:val="auto"/>
          <w:sz w:val="24"/>
          <w:u w:val="single"/>
        </w:rPr>
        <w:t>（27）《耒阳市农村千人以上集中式饮用水水源保护区名录》（2022年6月）。</w:t>
      </w:r>
    </w:p>
    <w:bookmarkEnd w:id="41"/>
    <w:bookmarkEnd w:id="42"/>
    <w:bookmarkEnd w:id="43"/>
    <w:bookmarkEnd w:id="44"/>
    <w:bookmarkEnd w:id="45"/>
    <w:bookmarkEnd w:id="46"/>
    <w:p w14:paraId="69EFA02F">
      <w:pPr>
        <w:pStyle w:val="5"/>
        <w:rPr>
          <w:snapToGrid w:val="0"/>
          <w:color w:val="auto"/>
        </w:rPr>
      </w:pPr>
      <w:bookmarkStart w:id="47" w:name="_Toc387934197"/>
      <w:bookmarkStart w:id="48" w:name="_Toc7810"/>
      <w:bookmarkStart w:id="49" w:name="_Toc391471561"/>
      <w:bookmarkStart w:id="50" w:name="_Toc9887"/>
      <w:bookmarkStart w:id="51" w:name="_Toc226224902"/>
      <w:bookmarkStart w:id="52" w:name="_Toc389740400"/>
      <w:r>
        <w:rPr>
          <w:snapToGrid w:val="0"/>
          <w:color w:val="auto"/>
        </w:rPr>
        <w:t>环评技术导则及行业规范</w:t>
      </w:r>
      <w:bookmarkEnd w:id="47"/>
      <w:bookmarkEnd w:id="48"/>
      <w:bookmarkEnd w:id="49"/>
      <w:bookmarkEnd w:id="50"/>
      <w:bookmarkEnd w:id="51"/>
      <w:bookmarkEnd w:id="52"/>
    </w:p>
    <w:p w14:paraId="683C0484">
      <w:pPr>
        <w:tabs>
          <w:tab w:val="left" w:pos="397"/>
          <w:tab w:val="left" w:pos="1300"/>
        </w:tabs>
        <w:autoSpaceDE w:val="0"/>
        <w:autoSpaceDN w:val="0"/>
        <w:spacing w:line="360" w:lineRule="auto"/>
        <w:ind w:firstLine="480" w:firstLineChars="200"/>
        <w:rPr>
          <w:sz w:val="24"/>
        </w:rPr>
      </w:pPr>
      <w:bookmarkStart w:id="53" w:name="_Toc29114"/>
      <w:bookmarkStart w:id="54" w:name="_Toc226224903"/>
      <w:bookmarkStart w:id="55" w:name="_Toc391471562"/>
      <w:bookmarkStart w:id="56" w:name="_Toc387934198"/>
      <w:bookmarkStart w:id="57" w:name="_Toc5107"/>
      <w:bookmarkStart w:id="58" w:name="_Toc389740401"/>
      <w:r>
        <w:rPr>
          <w:sz w:val="24"/>
        </w:rPr>
        <w:t>（1）《建设项目环境影响评价技术导则 总纲》（HJ 2.1-2016）；</w:t>
      </w:r>
    </w:p>
    <w:p w14:paraId="61E6163C">
      <w:pPr>
        <w:tabs>
          <w:tab w:val="left" w:pos="397"/>
          <w:tab w:val="left" w:pos="1300"/>
        </w:tabs>
        <w:autoSpaceDE w:val="0"/>
        <w:autoSpaceDN w:val="0"/>
        <w:spacing w:line="360" w:lineRule="auto"/>
        <w:ind w:firstLine="480" w:firstLineChars="200"/>
        <w:rPr>
          <w:sz w:val="24"/>
        </w:rPr>
      </w:pPr>
      <w:r>
        <w:rPr>
          <w:sz w:val="24"/>
        </w:rPr>
        <w:t>（2）《环境影响评价技术导则 大气环境》（HJ 2.2-2018）；</w:t>
      </w:r>
    </w:p>
    <w:p w14:paraId="225FE384">
      <w:pPr>
        <w:tabs>
          <w:tab w:val="left" w:pos="397"/>
          <w:tab w:val="left" w:pos="1300"/>
        </w:tabs>
        <w:autoSpaceDE w:val="0"/>
        <w:autoSpaceDN w:val="0"/>
        <w:spacing w:line="360" w:lineRule="auto"/>
        <w:ind w:firstLine="480" w:firstLineChars="200"/>
        <w:rPr>
          <w:sz w:val="24"/>
        </w:rPr>
      </w:pPr>
      <w:r>
        <w:rPr>
          <w:sz w:val="24"/>
        </w:rPr>
        <w:t>（3）《环境影响评价技术导则 声环境》（HJ 2.4-2021）；</w:t>
      </w:r>
    </w:p>
    <w:p w14:paraId="69DB7911">
      <w:pPr>
        <w:tabs>
          <w:tab w:val="left" w:pos="397"/>
          <w:tab w:val="left" w:pos="1300"/>
        </w:tabs>
        <w:autoSpaceDE w:val="0"/>
        <w:autoSpaceDN w:val="0"/>
        <w:spacing w:line="360" w:lineRule="auto"/>
        <w:ind w:firstLine="480" w:firstLineChars="200"/>
        <w:rPr>
          <w:sz w:val="24"/>
        </w:rPr>
      </w:pPr>
      <w:r>
        <w:rPr>
          <w:sz w:val="24"/>
        </w:rPr>
        <w:t>（4）《环境影响评价技术导则 生态影响》（HJ 19-2022）；</w:t>
      </w:r>
    </w:p>
    <w:p w14:paraId="649E8B67">
      <w:pPr>
        <w:tabs>
          <w:tab w:val="left" w:pos="397"/>
          <w:tab w:val="left" w:pos="1300"/>
        </w:tabs>
        <w:autoSpaceDE w:val="0"/>
        <w:autoSpaceDN w:val="0"/>
        <w:spacing w:line="360" w:lineRule="auto"/>
        <w:ind w:firstLine="480" w:firstLineChars="200"/>
        <w:rPr>
          <w:sz w:val="24"/>
        </w:rPr>
      </w:pPr>
      <w:r>
        <w:rPr>
          <w:sz w:val="24"/>
        </w:rPr>
        <w:t>（5）《环境影响评价技术导则 地表水环境》（HJ 2.3-2018）；</w:t>
      </w:r>
    </w:p>
    <w:p w14:paraId="53673C30">
      <w:pPr>
        <w:tabs>
          <w:tab w:val="left" w:pos="397"/>
          <w:tab w:val="left" w:pos="1300"/>
        </w:tabs>
        <w:autoSpaceDE w:val="0"/>
        <w:autoSpaceDN w:val="0"/>
        <w:spacing w:line="360" w:lineRule="auto"/>
        <w:ind w:firstLine="480" w:firstLineChars="200"/>
        <w:rPr>
          <w:sz w:val="24"/>
        </w:rPr>
      </w:pPr>
      <w:r>
        <w:rPr>
          <w:sz w:val="24"/>
        </w:rPr>
        <w:t>（6）《环境影响评价技术导则 地下水环境》（HJ 610-2016）；</w:t>
      </w:r>
    </w:p>
    <w:p w14:paraId="5833E540">
      <w:pPr>
        <w:tabs>
          <w:tab w:val="left" w:pos="397"/>
          <w:tab w:val="left" w:pos="1300"/>
        </w:tabs>
        <w:autoSpaceDE w:val="0"/>
        <w:autoSpaceDN w:val="0"/>
        <w:spacing w:line="360" w:lineRule="auto"/>
        <w:ind w:firstLine="480" w:firstLineChars="200"/>
        <w:rPr>
          <w:sz w:val="24"/>
        </w:rPr>
      </w:pPr>
      <w:r>
        <w:rPr>
          <w:sz w:val="24"/>
        </w:rPr>
        <w:t>（7）《环境影响评价技术导则 土壤环境（试行）》（HJ 964-2018）；</w:t>
      </w:r>
    </w:p>
    <w:p w14:paraId="6AE190F2">
      <w:pPr>
        <w:tabs>
          <w:tab w:val="left" w:pos="397"/>
          <w:tab w:val="left" w:pos="1300"/>
        </w:tabs>
        <w:autoSpaceDE w:val="0"/>
        <w:autoSpaceDN w:val="0"/>
        <w:spacing w:line="360" w:lineRule="auto"/>
        <w:ind w:firstLine="480" w:firstLineChars="200"/>
        <w:rPr>
          <w:sz w:val="24"/>
        </w:rPr>
      </w:pPr>
      <w:r>
        <w:rPr>
          <w:sz w:val="24"/>
        </w:rPr>
        <w:t>（8）《建设项目环境风险评价技术导则》（HJ 169-2018）；</w:t>
      </w:r>
    </w:p>
    <w:p w14:paraId="780D24A3">
      <w:pPr>
        <w:tabs>
          <w:tab w:val="left" w:pos="397"/>
          <w:tab w:val="left" w:pos="1300"/>
        </w:tabs>
        <w:autoSpaceDE w:val="0"/>
        <w:autoSpaceDN w:val="0"/>
        <w:spacing w:line="360" w:lineRule="auto"/>
        <w:ind w:firstLine="480" w:firstLineChars="200"/>
        <w:rPr>
          <w:sz w:val="24"/>
        </w:rPr>
      </w:pPr>
      <w:r>
        <w:rPr>
          <w:sz w:val="24"/>
        </w:rPr>
        <w:t>（9）</w:t>
      </w:r>
      <w:r>
        <w:rPr>
          <w:rFonts w:hint="eastAsia"/>
          <w:sz w:val="24"/>
        </w:rPr>
        <w:t>《建设项目危险废物环境影响评价指南》（环保部公告2017年第43号）；</w:t>
      </w:r>
    </w:p>
    <w:p w14:paraId="38ACA0F9">
      <w:pPr>
        <w:tabs>
          <w:tab w:val="left" w:pos="397"/>
          <w:tab w:val="left" w:pos="1300"/>
        </w:tabs>
        <w:autoSpaceDE w:val="0"/>
        <w:autoSpaceDN w:val="0"/>
        <w:spacing w:line="360" w:lineRule="auto"/>
        <w:ind w:firstLine="480" w:firstLineChars="200"/>
        <w:rPr>
          <w:sz w:val="24"/>
        </w:rPr>
      </w:pPr>
      <w:r>
        <w:rPr>
          <w:rFonts w:hint="eastAsia"/>
          <w:sz w:val="24"/>
        </w:rPr>
        <w:t>（10）</w:t>
      </w:r>
      <w:r>
        <w:rPr>
          <w:sz w:val="24"/>
        </w:rPr>
        <w:t>《产业结构调整指导目录（20</w:t>
      </w:r>
      <w:r>
        <w:rPr>
          <w:rFonts w:hint="eastAsia"/>
          <w:sz w:val="24"/>
        </w:rPr>
        <w:t>24</w:t>
      </w:r>
      <w:r>
        <w:rPr>
          <w:sz w:val="24"/>
        </w:rPr>
        <w:t>年本）》；</w:t>
      </w:r>
    </w:p>
    <w:p w14:paraId="33414E26">
      <w:pPr>
        <w:tabs>
          <w:tab w:val="left" w:pos="397"/>
          <w:tab w:val="left" w:pos="1300"/>
        </w:tabs>
        <w:autoSpaceDE w:val="0"/>
        <w:autoSpaceDN w:val="0"/>
        <w:spacing w:line="360" w:lineRule="auto"/>
        <w:ind w:firstLine="480" w:firstLineChars="200"/>
        <w:rPr>
          <w:sz w:val="24"/>
        </w:rPr>
      </w:pPr>
      <w:r>
        <w:rPr>
          <w:sz w:val="24"/>
        </w:rPr>
        <w:t>（1</w:t>
      </w:r>
      <w:r>
        <w:rPr>
          <w:rFonts w:hint="eastAsia"/>
          <w:sz w:val="24"/>
        </w:rPr>
        <w:t>1</w:t>
      </w:r>
      <w:r>
        <w:rPr>
          <w:sz w:val="24"/>
        </w:rPr>
        <w:t>）《建设项目环境影响评价分类管理名录（2021年版）》；</w:t>
      </w:r>
    </w:p>
    <w:p w14:paraId="17A7C363">
      <w:pPr>
        <w:tabs>
          <w:tab w:val="left" w:pos="397"/>
          <w:tab w:val="left" w:pos="1300"/>
        </w:tabs>
        <w:autoSpaceDE w:val="0"/>
        <w:autoSpaceDN w:val="0"/>
        <w:spacing w:line="360" w:lineRule="auto"/>
        <w:ind w:firstLine="480" w:firstLineChars="200"/>
        <w:rPr>
          <w:sz w:val="24"/>
        </w:rPr>
      </w:pPr>
      <w:r>
        <w:rPr>
          <w:sz w:val="24"/>
        </w:rPr>
        <w:t>（1</w:t>
      </w:r>
      <w:r>
        <w:rPr>
          <w:rFonts w:hint="eastAsia"/>
          <w:sz w:val="24"/>
        </w:rPr>
        <w:t>2</w:t>
      </w:r>
      <w:r>
        <w:rPr>
          <w:sz w:val="24"/>
        </w:rPr>
        <w:t>）《全国生态状况调查评估技术规范 生态系统遥感解译与野外核查》</w:t>
      </w:r>
      <w:r>
        <w:rPr>
          <w:rFonts w:hint="eastAsia"/>
          <w:sz w:val="24"/>
        </w:rPr>
        <w:t>（</w:t>
      </w:r>
      <w:r>
        <w:rPr>
          <w:sz w:val="24"/>
        </w:rPr>
        <w:t>HJ1166</w:t>
      </w:r>
      <w:r>
        <w:rPr>
          <w:rFonts w:hint="eastAsia"/>
          <w:sz w:val="24"/>
        </w:rPr>
        <w:t>-</w:t>
      </w:r>
      <w:r>
        <w:rPr>
          <w:sz w:val="24"/>
        </w:rPr>
        <w:t>2021</w:t>
      </w:r>
      <w:r>
        <w:rPr>
          <w:rFonts w:hint="eastAsia"/>
          <w:sz w:val="24"/>
        </w:rPr>
        <w:t>）</w:t>
      </w:r>
      <w:r>
        <w:rPr>
          <w:sz w:val="24"/>
        </w:rPr>
        <w:t>；</w:t>
      </w:r>
    </w:p>
    <w:p w14:paraId="5D2B0BAE">
      <w:pPr>
        <w:tabs>
          <w:tab w:val="left" w:pos="397"/>
          <w:tab w:val="left" w:pos="1300"/>
        </w:tabs>
        <w:autoSpaceDE w:val="0"/>
        <w:autoSpaceDN w:val="0"/>
        <w:spacing w:line="360" w:lineRule="auto"/>
        <w:ind w:firstLine="480" w:firstLineChars="200"/>
        <w:rPr>
          <w:sz w:val="24"/>
        </w:rPr>
      </w:pPr>
      <w:r>
        <w:rPr>
          <w:sz w:val="24"/>
        </w:rPr>
        <w:t>（1</w:t>
      </w:r>
      <w:r>
        <w:rPr>
          <w:rFonts w:hint="eastAsia"/>
          <w:sz w:val="24"/>
        </w:rPr>
        <w:t>3</w:t>
      </w:r>
      <w:r>
        <w:rPr>
          <w:sz w:val="24"/>
        </w:rPr>
        <w:t>）《国家危险废物名录（2021年版）》；</w:t>
      </w:r>
    </w:p>
    <w:p w14:paraId="7120D5B2">
      <w:pPr>
        <w:tabs>
          <w:tab w:val="left" w:pos="397"/>
          <w:tab w:val="left" w:pos="1300"/>
        </w:tabs>
        <w:autoSpaceDE w:val="0"/>
        <w:autoSpaceDN w:val="0"/>
        <w:spacing w:line="360" w:lineRule="auto"/>
        <w:ind w:firstLine="480" w:firstLineChars="200"/>
        <w:rPr>
          <w:sz w:val="24"/>
        </w:rPr>
      </w:pPr>
      <w:r>
        <w:rPr>
          <w:sz w:val="24"/>
        </w:rPr>
        <w:t>（1</w:t>
      </w:r>
      <w:r>
        <w:rPr>
          <w:rFonts w:hint="eastAsia"/>
          <w:sz w:val="24"/>
        </w:rPr>
        <w:t>4</w:t>
      </w:r>
      <w:r>
        <w:rPr>
          <w:sz w:val="24"/>
        </w:rPr>
        <w:t>）《固体废物鉴别标准 通则》（GB 34330-2017）；</w:t>
      </w:r>
    </w:p>
    <w:p w14:paraId="2DEEEA15">
      <w:pPr>
        <w:tabs>
          <w:tab w:val="left" w:pos="397"/>
          <w:tab w:val="left" w:pos="1300"/>
        </w:tabs>
        <w:autoSpaceDE w:val="0"/>
        <w:autoSpaceDN w:val="0"/>
        <w:spacing w:line="360" w:lineRule="auto"/>
        <w:ind w:firstLine="480" w:firstLineChars="200"/>
        <w:rPr>
          <w:sz w:val="24"/>
        </w:rPr>
      </w:pPr>
      <w:r>
        <w:rPr>
          <w:sz w:val="24"/>
        </w:rPr>
        <w:t>（1</w:t>
      </w:r>
      <w:r>
        <w:rPr>
          <w:rFonts w:hint="eastAsia"/>
          <w:sz w:val="24"/>
        </w:rPr>
        <w:t>5</w:t>
      </w:r>
      <w:r>
        <w:rPr>
          <w:sz w:val="24"/>
        </w:rPr>
        <w:t>）《排污许可证申请与核发技术规范 总则》（HJ 942</w:t>
      </w:r>
      <w:r>
        <w:rPr>
          <w:rFonts w:hint="eastAsia"/>
          <w:sz w:val="24"/>
        </w:rPr>
        <w:t>-</w:t>
      </w:r>
      <w:r>
        <w:rPr>
          <w:sz w:val="24"/>
        </w:rPr>
        <w:t>2018）；</w:t>
      </w:r>
    </w:p>
    <w:p w14:paraId="7A65A075">
      <w:pPr>
        <w:tabs>
          <w:tab w:val="left" w:pos="397"/>
          <w:tab w:val="left" w:pos="1300"/>
        </w:tabs>
        <w:autoSpaceDE w:val="0"/>
        <w:autoSpaceDN w:val="0"/>
        <w:spacing w:line="360" w:lineRule="auto"/>
        <w:ind w:firstLine="480" w:firstLineChars="200"/>
        <w:rPr>
          <w:sz w:val="24"/>
        </w:rPr>
      </w:pPr>
      <w:r>
        <w:rPr>
          <w:sz w:val="24"/>
        </w:rPr>
        <w:t>（1</w:t>
      </w:r>
      <w:r>
        <w:rPr>
          <w:rFonts w:hint="eastAsia"/>
          <w:sz w:val="24"/>
        </w:rPr>
        <w:t>6</w:t>
      </w:r>
      <w:r>
        <w:rPr>
          <w:sz w:val="24"/>
        </w:rPr>
        <w:t>）《排污单位自行监测技术指南 总则》（HJ 819-2017）；</w:t>
      </w:r>
    </w:p>
    <w:p w14:paraId="2364B1B7">
      <w:pPr>
        <w:tabs>
          <w:tab w:val="left" w:pos="397"/>
          <w:tab w:val="left" w:pos="1300"/>
        </w:tabs>
        <w:autoSpaceDE w:val="0"/>
        <w:autoSpaceDN w:val="0"/>
        <w:spacing w:line="360" w:lineRule="auto"/>
        <w:ind w:firstLine="480" w:firstLineChars="200"/>
        <w:rPr>
          <w:sz w:val="24"/>
        </w:rPr>
      </w:pPr>
      <w:r>
        <w:rPr>
          <w:sz w:val="24"/>
        </w:rPr>
        <w:t>（1</w:t>
      </w:r>
      <w:r>
        <w:rPr>
          <w:rFonts w:hint="eastAsia"/>
          <w:sz w:val="24"/>
        </w:rPr>
        <w:t>7</w:t>
      </w:r>
      <w:r>
        <w:rPr>
          <w:sz w:val="24"/>
        </w:rPr>
        <w:t>）《环境噪声与振动控制工程技术导则》（HJ2034-2013）；</w:t>
      </w:r>
    </w:p>
    <w:p w14:paraId="7936FB99">
      <w:pPr>
        <w:tabs>
          <w:tab w:val="left" w:pos="397"/>
          <w:tab w:val="left" w:pos="1300"/>
        </w:tabs>
        <w:autoSpaceDE w:val="0"/>
        <w:autoSpaceDN w:val="0"/>
        <w:spacing w:line="360" w:lineRule="auto"/>
        <w:ind w:firstLine="480" w:firstLineChars="200"/>
        <w:rPr>
          <w:sz w:val="24"/>
        </w:rPr>
      </w:pPr>
      <w:r>
        <w:rPr>
          <w:kern w:val="0"/>
          <w:sz w:val="24"/>
        </w:rPr>
        <w:t>（1</w:t>
      </w:r>
      <w:r>
        <w:rPr>
          <w:rFonts w:hint="eastAsia"/>
          <w:kern w:val="0"/>
          <w:sz w:val="24"/>
        </w:rPr>
        <w:t>8</w:t>
      </w:r>
      <w:r>
        <w:rPr>
          <w:kern w:val="0"/>
          <w:sz w:val="24"/>
        </w:rPr>
        <w:t>）《非道路移动机械污染防治技术政策》</w:t>
      </w:r>
      <w:r>
        <w:rPr>
          <w:rFonts w:hint="eastAsia"/>
          <w:kern w:val="0"/>
          <w:sz w:val="24"/>
        </w:rPr>
        <w:t>（</w:t>
      </w:r>
      <w:r>
        <w:rPr>
          <w:kern w:val="0"/>
          <w:sz w:val="24"/>
        </w:rPr>
        <w:t>生态环境部2018 年第34 号</w:t>
      </w:r>
      <w:r>
        <w:rPr>
          <w:rFonts w:hint="eastAsia"/>
          <w:kern w:val="0"/>
          <w:sz w:val="24"/>
        </w:rPr>
        <w:t>）</w:t>
      </w:r>
      <w:r>
        <w:rPr>
          <w:kern w:val="0"/>
          <w:sz w:val="24"/>
        </w:rPr>
        <w:t>；</w:t>
      </w:r>
    </w:p>
    <w:p w14:paraId="0A03DB7C">
      <w:pPr>
        <w:tabs>
          <w:tab w:val="left" w:pos="397"/>
          <w:tab w:val="left" w:pos="1300"/>
        </w:tabs>
        <w:autoSpaceDE w:val="0"/>
        <w:autoSpaceDN w:val="0"/>
        <w:spacing w:line="360" w:lineRule="auto"/>
        <w:ind w:firstLine="480" w:firstLineChars="200"/>
        <w:rPr>
          <w:sz w:val="24"/>
        </w:rPr>
      </w:pPr>
      <w:r>
        <w:rPr>
          <w:sz w:val="24"/>
        </w:rPr>
        <w:t>（1</w:t>
      </w:r>
      <w:r>
        <w:rPr>
          <w:rFonts w:hint="eastAsia"/>
          <w:sz w:val="24"/>
        </w:rPr>
        <w:t>9</w:t>
      </w:r>
      <w:r>
        <w:rPr>
          <w:sz w:val="24"/>
        </w:rPr>
        <w:t>）《输气管道工程设计规范》（GB 50251-2015）；</w:t>
      </w:r>
    </w:p>
    <w:p w14:paraId="4798E468">
      <w:pPr>
        <w:tabs>
          <w:tab w:val="left" w:pos="397"/>
          <w:tab w:val="left" w:pos="1300"/>
        </w:tabs>
        <w:autoSpaceDE w:val="0"/>
        <w:autoSpaceDN w:val="0"/>
        <w:spacing w:line="360" w:lineRule="auto"/>
        <w:ind w:firstLine="480" w:firstLineChars="200"/>
        <w:rPr>
          <w:sz w:val="24"/>
        </w:rPr>
      </w:pPr>
      <w:r>
        <w:rPr>
          <w:sz w:val="24"/>
        </w:rPr>
        <w:t>（</w:t>
      </w:r>
      <w:r>
        <w:rPr>
          <w:rFonts w:hint="eastAsia"/>
          <w:sz w:val="24"/>
        </w:rPr>
        <w:t>20</w:t>
      </w:r>
      <w:r>
        <w:rPr>
          <w:sz w:val="24"/>
        </w:rPr>
        <w:t>）《油气输送管道穿越工程设计规范》（GB 50423-2013）；</w:t>
      </w:r>
    </w:p>
    <w:p w14:paraId="304D6776">
      <w:pPr>
        <w:tabs>
          <w:tab w:val="left" w:pos="397"/>
          <w:tab w:val="left" w:pos="1300"/>
        </w:tabs>
        <w:autoSpaceDE w:val="0"/>
        <w:autoSpaceDN w:val="0"/>
        <w:spacing w:line="360" w:lineRule="auto"/>
        <w:ind w:firstLine="480" w:firstLineChars="200"/>
        <w:rPr>
          <w:sz w:val="24"/>
        </w:rPr>
      </w:pPr>
      <w:r>
        <w:rPr>
          <w:sz w:val="24"/>
        </w:rPr>
        <w:t>（2</w:t>
      </w:r>
      <w:r>
        <w:rPr>
          <w:rFonts w:hint="eastAsia"/>
          <w:sz w:val="24"/>
        </w:rPr>
        <w:t>1</w:t>
      </w:r>
      <w:r>
        <w:rPr>
          <w:sz w:val="24"/>
        </w:rPr>
        <w:t>）《石油天然气工程设计防火规范》（GB 50183-2004）；</w:t>
      </w:r>
    </w:p>
    <w:p w14:paraId="6848C703">
      <w:pPr>
        <w:tabs>
          <w:tab w:val="left" w:pos="397"/>
          <w:tab w:val="left" w:pos="1300"/>
        </w:tabs>
        <w:autoSpaceDE w:val="0"/>
        <w:autoSpaceDN w:val="0"/>
        <w:spacing w:line="360" w:lineRule="auto"/>
        <w:ind w:firstLine="480" w:firstLineChars="200"/>
        <w:rPr>
          <w:sz w:val="24"/>
        </w:rPr>
      </w:pPr>
      <w:r>
        <w:rPr>
          <w:sz w:val="24"/>
        </w:rPr>
        <w:t>（2</w:t>
      </w:r>
      <w:r>
        <w:rPr>
          <w:rFonts w:hint="eastAsia"/>
          <w:sz w:val="24"/>
        </w:rPr>
        <w:t>2</w:t>
      </w:r>
      <w:r>
        <w:rPr>
          <w:sz w:val="24"/>
        </w:rPr>
        <w:t>）《突发环境事件应急监测技术规范》</w:t>
      </w:r>
      <w:r>
        <w:rPr>
          <w:rFonts w:hint="eastAsia"/>
          <w:sz w:val="24"/>
        </w:rPr>
        <w:t>（</w:t>
      </w:r>
      <w:r>
        <w:rPr>
          <w:sz w:val="24"/>
        </w:rPr>
        <w:t>HJ589-2021</w:t>
      </w:r>
      <w:r>
        <w:rPr>
          <w:rFonts w:hint="eastAsia"/>
          <w:sz w:val="24"/>
        </w:rPr>
        <w:t>）</w:t>
      </w:r>
      <w:r>
        <w:rPr>
          <w:sz w:val="24"/>
        </w:rPr>
        <w:t>；</w:t>
      </w:r>
    </w:p>
    <w:p w14:paraId="3BBB9273">
      <w:pPr>
        <w:tabs>
          <w:tab w:val="left" w:pos="397"/>
          <w:tab w:val="left" w:pos="1300"/>
        </w:tabs>
        <w:autoSpaceDE w:val="0"/>
        <w:autoSpaceDN w:val="0"/>
        <w:spacing w:line="360" w:lineRule="auto"/>
        <w:ind w:firstLine="480" w:firstLineChars="200"/>
        <w:rPr>
          <w:sz w:val="24"/>
        </w:rPr>
      </w:pPr>
      <w:r>
        <w:rPr>
          <w:sz w:val="24"/>
        </w:rPr>
        <w:t>（2</w:t>
      </w:r>
      <w:r>
        <w:rPr>
          <w:rFonts w:hint="eastAsia"/>
          <w:sz w:val="24"/>
        </w:rPr>
        <w:t>3</w:t>
      </w:r>
      <w:r>
        <w:rPr>
          <w:sz w:val="24"/>
        </w:rPr>
        <w:t>）《生产建设项目水土保持技术标准》</w:t>
      </w:r>
      <w:r>
        <w:rPr>
          <w:rFonts w:hint="eastAsia"/>
          <w:sz w:val="24"/>
        </w:rPr>
        <w:t>（</w:t>
      </w:r>
      <w:r>
        <w:rPr>
          <w:sz w:val="24"/>
        </w:rPr>
        <w:t>GB50433-2018</w:t>
      </w:r>
      <w:r>
        <w:rPr>
          <w:rFonts w:hint="eastAsia"/>
          <w:sz w:val="24"/>
        </w:rPr>
        <w:t>）</w:t>
      </w:r>
      <w:r>
        <w:rPr>
          <w:sz w:val="24"/>
        </w:rPr>
        <w:t>；</w:t>
      </w:r>
    </w:p>
    <w:p w14:paraId="098AE684">
      <w:pPr>
        <w:tabs>
          <w:tab w:val="left" w:pos="397"/>
          <w:tab w:val="left" w:pos="1300"/>
        </w:tabs>
        <w:autoSpaceDE w:val="0"/>
        <w:autoSpaceDN w:val="0"/>
        <w:spacing w:line="360" w:lineRule="auto"/>
        <w:ind w:firstLine="480" w:firstLineChars="200"/>
        <w:rPr>
          <w:sz w:val="24"/>
        </w:rPr>
      </w:pPr>
      <w:r>
        <w:rPr>
          <w:sz w:val="24"/>
        </w:rPr>
        <w:t>（2</w:t>
      </w:r>
      <w:r>
        <w:rPr>
          <w:rFonts w:hint="eastAsia"/>
          <w:sz w:val="24"/>
        </w:rPr>
        <w:t>4</w:t>
      </w:r>
      <w:r>
        <w:rPr>
          <w:sz w:val="24"/>
        </w:rPr>
        <w:t>）</w:t>
      </w:r>
      <w:r>
        <w:rPr>
          <w:rFonts w:hint="eastAsia"/>
          <w:sz w:val="24"/>
        </w:rPr>
        <w:t>《固体废物分类与代码目录》（生态环境部 公告 2024年 第4号）</w:t>
      </w:r>
      <w:r>
        <w:rPr>
          <w:sz w:val="24"/>
        </w:rPr>
        <w:t>；</w:t>
      </w:r>
    </w:p>
    <w:p w14:paraId="7DEAAB94">
      <w:pPr>
        <w:tabs>
          <w:tab w:val="left" w:pos="397"/>
          <w:tab w:val="left" w:pos="1300"/>
        </w:tabs>
        <w:autoSpaceDE w:val="0"/>
        <w:autoSpaceDN w:val="0"/>
        <w:spacing w:line="360" w:lineRule="auto"/>
        <w:ind w:firstLine="480" w:firstLineChars="200"/>
        <w:rPr>
          <w:sz w:val="24"/>
        </w:rPr>
      </w:pPr>
      <w:r>
        <w:rPr>
          <w:sz w:val="24"/>
        </w:rPr>
        <w:t>（2</w:t>
      </w:r>
      <w:r>
        <w:rPr>
          <w:rFonts w:hint="eastAsia"/>
          <w:sz w:val="24"/>
        </w:rPr>
        <w:t>5</w:t>
      </w:r>
      <w:r>
        <w:rPr>
          <w:sz w:val="24"/>
        </w:rPr>
        <w:t>）《天然气》（GB 17820-2018）</w:t>
      </w:r>
      <w:r>
        <w:rPr>
          <w:rFonts w:hint="eastAsia"/>
          <w:sz w:val="24"/>
        </w:rPr>
        <w:t>；</w:t>
      </w:r>
    </w:p>
    <w:p w14:paraId="59D72624">
      <w:pPr>
        <w:tabs>
          <w:tab w:val="left" w:pos="397"/>
          <w:tab w:val="left" w:pos="1300"/>
        </w:tabs>
        <w:autoSpaceDE w:val="0"/>
        <w:autoSpaceDN w:val="0"/>
        <w:spacing w:line="360" w:lineRule="auto"/>
        <w:ind w:firstLine="480" w:firstLineChars="200"/>
        <w:rPr>
          <w:sz w:val="24"/>
        </w:rPr>
      </w:pPr>
      <w:r>
        <w:rPr>
          <w:rFonts w:hint="eastAsia"/>
          <w:sz w:val="24"/>
        </w:rPr>
        <w:t>（26）</w:t>
      </w:r>
      <w:r>
        <w:rPr>
          <w:sz w:val="24"/>
        </w:rPr>
        <w:t>《湖南省地方标准用水定额》（DB43T388-2020）（2020年5月1日实</w:t>
      </w:r>
      <w:r>
        <w:rPr>
          <w:rFonts w:hint="eastAsia"/>
          <w:sz w:val="24"/>
        </w:rPr>
        <w:t>行）；</w:t>
      </w:r>
    </w:p>
    <w:p w14:paraId="7AD28A45">
      <w:pPr>
        <w:tabs>
          <w:tab w:val="left" w:pos="397"/>
          <w:tab w:val="left" w:pos="1300"/>
        </w:tabs>
        <w:autoSpaceDE w:val="0"/>
        <w:autoSpaceDN w:val="0"/>
        <w:spacing w:line="360" w:lineRule="auto"/>
        <w:ind w:firstLine="480" w:firstLineChars="200"/>
        <w:rPr>
          <w:sz w:val="24"/>
        </w:rPr>
      </w:pPr>
      <w:r>
        <w:rPr>
          <w:rFonts w:hint="eastAsia"/>
          <w:sz w:val="24"/>
        </w:rPr>
        <w:t>（27）</w:t>
      </w:r>
      <w:r>
        <w:rPr>
          <w:sz w:val="24"/>
        </w:rPr>
        <w:t>《湖南省主要水系地表水环境功能区划》（DB43/023-2005</w:t>
      </w:r>
      <w:r>
        <w:rPr>
          <w:rFonts w:hint="eastAsia"/>
          <w:sz w:val="24"/>
        </w:rPr>
        <w:t>）</w:t>
      </w:r>
      <w:r>
        <w:rPr>
          <w:sz w:val="24"/>
        </w:rPr>
        <w:t>。</w:t>
      </w:r>
    </w:p>
    <w:p w14:paraId="173BED75">
      <w:pPr>
        <w:pStyle w:val="5"/>
        <w:rPr>
          <w:snapToGrid w:val="0"/>
          <w:color w:val="auto"/>
        </w:rPr>
      </w:pPr>
      <w:r>
        <w:rPr>
          <w:rFonts w:hint="eastAsia"/>
          <w:snapToGrid w:val="0"/>
          <w:color w:val="auto"/>
        </w:rPr>
        <w:t>其他技术</w:t>
      </w:r>
      <w:r>
        <w:rPr>
          <w:snapToGrid w:val="0"/>
          <w:color w:val="auto"/>
        </w:rPr>
        <w:t>文件</w:t>
      </w:r>
      <w:bookmarkEnd w:id="53"/>
      <w:bookmarkEnd w:id="54"/>
      <w:bookmarkEnd w:id="55"/>
      <w:bookmarkEnd w:id="56"/>
      <w:bookmarkEnd w:id="57"/>
      <w:bookmarkEnd w:id="58"/>
    </w:p>
    <w:p w14:paraId="28B43EC8">
      <w:pPr>
        <w:pStyle w:val="907"/>
        <w:numPr>
          <w:ilvl w:val="0"/>
          <w:numId w:val="23"/>
        </w:numPr>
        <w:ind w:left="0" w:firstLine="480"/>
        <w:rPr>
          <w:i/>
          <w:iCs/>
          <w:color w:val="auto"/>
          <w:u w:val="single"/>
        </w:rPr>
      </w:pPr>
      <w:bookmarkStart w:id="59" w:name="_Toc226224904"/>
      <w:r>
        <w:rPr>
          <w:rFonts w:hint="eastAsia"/>
          <w:i/>
          <w:iCs/>
          <w:color w:val="auto"/>
          <w:u w:val="single"/>
        </w:rPr>
        <w:t>《潜江-韶关输气管道 28#阀室新增下载点改扩建项目初步设计</w:t>
      </w:r>
      <w:r>
        <w:rPr>
          <w:i/>
          <w:iCs/>
          <w:color w:val="auto"/>
          <w:u w:val="single"/>
        </w:rPr>
        <w:t>》（中石化江汉石油工程设计有限公司）；</w:t>
      </w:r>
    </w:p>
    <w:p w14:paraId="75458A3C">
      <w:pPr>
        <w:pStyle w:val="907"/>
        <w:numPr>
          <w:ilvl w:val="0"/>
          <w:numId w:val="23"/>
        </w:numPr>
        <w:adjustRightInd/>
        <w:snapToGrid/>
        <w:ind w:left="0" w:firstLine="480"/>
        <w:rPr>
          <w:i/>
          <w:iCs/>
          <w:color w:val="auto"/>
          <w:u w:val="single"/>
        </w:rPr>
      </w:pPr>
      <w:r>
        <w:rPr>
          <w:rFonts w:hint="eastAsia"/>
          <w:i/>
          <w:iCs/>
          <w:color w:val="auto"/>
          <w:u w:val="single"/>
        </w:rPr>
        <w:t>《关于批准潜江-韶关输气管道 28#阀室新增下载点改扩建项目初步设计的通知</w:t>
      </w:r>
      <w:r>
        <w:rPr>
          <w:i/>
          <w:iCs/>
          <w:color w:val="auto"/>
          <w:u w:val="single"/>
        </w:rPr>
        <w:t>》</w:t>
      </w:r>
      <w:r>
        <w:rPr>
          <w:rFonts w:hint="eastAsia"/>
          <w:i/>
          <w:iCs/>
          <w:color w:val="auto"/>
          <w:u w:val="single"/>
        </w:rPr>
        <w:t>（</w:t>
      </w:r>
      <w:r>
        <w:rPr>
          <w:i/>
          <w:iCs/>
          <w:color w:val="auto"/>
          <w:u w:val="single"/>
        </w:rPr>
        <w:t>国家石油天然气管网集团有限公司湖南分公司</w:t>
      </w:r>
      <w:r>
        <w:rPr>
          <w:rFonts w:hint="eastAsia"/>
          <w:i/>
          <w:iCs/>
          <w:color w:val="auto"/>
          <w:u w:val="single"/>
        </w:rPr>
        <w:t xml:space="preserve">  </w:t>
      </w:r>
      <w:r>
        <w:rPr>
          <w:i/>
          <w:iCs/>
          <w:color w:val="auto"/>
          <w:u w:val="single"/>
        </w:rPr>
        <w:t>工程〔2024〕5号</w:t>
      </w:r>
      <w:r>
        <w:rPr>
          <w:rFonts w:hint="eastAsia"/>
          <w:i/>
          <w:iCs/>
          <w:color w:val="auto"/>
          <w:u w:val="single"/>
        </w:rPr>
        <w:t>）；</w:t>
      </w:r>
    </w:p>
    <w:p w14:paraId="5E3047F1">
      <w:pPr>
        <w:pStyle w:val="907"/>
        <w:numPr>
          <w:ilvl w:val="0"/>
          <w:numId w:val="23"/>
        </w:numPr>
        <w:adjustRightInd/>
        <w:snapToGrid/>
        <w:ind w:left="0" w:firstLine="480"/>
      </w:pPr>
      <w:r>
        <w:rPr>
          <w:rFonts w:hint="eastAsia"/>
        </w:rPr>
        <w:t>《湖南省发展和改革委员会关于核准潜江—韶关输气管道28#阀室新增下载点改扩建项目的批复》（湘发改能</w:t>
      </w:r>
      <w:r>
        <w:t>源〔2024〕287号</w:t>
      </w:r>
      <w:r>
        <w:rPr>
          <w:rFonts w:hint="eastAsia"/>
        </w:rPr>
        <w:t>）；</w:t>
      </w:r>
    </w:p>
    <w:p w14:paraId="42EE2134">
      <w:pPr>
        <w:pStyle w:val="907"/>
        <w:numPr>
          <w:ilvl w:val="0"/>
          <w:numId w:val="23"/>
        </w:numPr>
        <w:adjustRightInd/>
        <w:snapToGrid/>
        <w:ind w:left="0" w:firstLine="480" w:firstLineChars="0"/>
      </w:pPr>
      <w:r>
        <w:rPr>
          <w:rFonts w:hint="eastAsia"/>
        </w:rPr>
        <w:t>《检测报告》（HQ2308H009-0680）；</w:t>
      </w:r>
    </w:p>
    <w:p w14:paraId="439108D8">
      <w:pPr>
        <w:pStyle w:val="907"/>
        <w:numPr>
          <w:ilvl w:val="0"/>
          <w:numId w:val="23"/>
        </w:numPr>
        <w:adjustRightInd/>
        <w:snapToGrid/>
        <w:ind w:left="0" w:firstLine="480" w:firstLineChars="0"/>
      </w:pPr>
      <w:r>
        <w:t>建设单位提供的其它</w:t>
      </w:r>
      <w:r>
        <w:rPr>
          <w:rFonts w:hint="eastAsia"/>
        </w:rPr>
        <w:t>项目</w:t>
      </w:r>
      <w:r>
        <w:t>相关资料。</w:t>
      </w:r>
    </w:p>
    <w:p w14:paraId="09143F05">
      <w:pPr>
        <w:pStyle w:val="4"/>
        <w:rPr>
          <w:snapToGrid w:val="0"/>
        </w:rPr>
      </w:pPr>
      <w:bookmarkStart w:id="60" w:name="_Toc12434"/>
      <w:bookmarkStart w:id="61" w:name="_Toc76551576"/>
      <w:bookmarkStart w:id="62" w:name="_Toc226224895"/>
      <w:bookmarkStart w:id="63" w:name="_Toc2211"/>
      <w:bookmarkStart w:id="64" w:name="_Toc144484576"/>
      <w:bookmarkStart w:id="65" w:name="_Toc234656823"/>
      <w:bookmarkStart w:id="66" w:name="_Toc387934190"/>
      <w:bookmarkStart w:id="67" w:name="_Toc10895"/>
      <w:bookmarkStart w:id="68" w:name="_Toc181976292"/>
      <w:bookmarkStart w:id="69" w:name="_Toc391471554"/>
      <w:r>
        <w:rPr>
          <w:snapToGrid w:val="0"/>
        </w:rPr>
        <w:t xml:space="preserve"> </w:t>
      </w:r>
      <w:bookmarkStart w:id="70" w:name="_Toc4705"/>
      <w:bookmarkStart w:id="71" w:name="_Toc72672334"/>
      <w:r>
        <w:rPr>
          <w:snapToGrid w:val="0"/>
        </w:rPr>
        <w:t>评价目的及原则</w:t>
      </w:r>
      <w:bookmarkEnd w:id="60"/>
      <w:bookmarkEnd w:id="61"/>
      <w:bookmarkEnd w:id="62"/>
      <w:bookmarkEnd w:id="63"/>
      <w:bookmarkEnd w:id="64"/>
      <w:bookmarkEnd w:id="65"/>
      <w:bookmarkEnd w:id="66"/>
      <w:bookmarkEnd w:id="67"/>
      <w:bookmarkEnd w:id="68"/>
      <w:bookmarkEnd w:id="69"/>
      <w:bookmarkEnd w:id="70"/>
      <w:bookmarkEnd w:id="71"/>
    </w:p>
    <w:p w14:paraId="63EFD719">
      <w:pPr>
        <w:pStyle w:val="5"/>
        <w:rPr>
          <w:snapToGrid w:val="0"/>
          <w:color w:val="auto"/>
        </w:rPr>
      </w:pPr>
      <w:bookmarkStart w:id="72" w:name="_Toc387934191"/>
      <w:bookmarkStart w:id="73" w:name="_Toc226224896"/>
      <w:bookmarkStart w:id="74" w:name="_Toc2877"/>
      <w:bookmarkStart w:id="75" w:name="_Toc391471555"/>
      <w:bookmarkStart w:id="76" w:name="_Toc389740394"/>
      <w:bookmarkStart w:id="77" w:name="_Toc22002"/>
      <w:r>
        <w:rPr>
          <w:snapToGrid w:val="0"/>
          <w:color w:val="auto"/>
        </w:rPr>
        <w:t xml:space="preserve"> 评价目的</w:t>
      </w:r>
      <w:bookmarkEnd w:id="72"/>
      <w:bookmarkEnd w:id="73"/>
      <w:bookmarkEnd w:id="74"/>
      <w:bookmarkEnd w:id="75"/>
      <w:bookmarkEnd w:id="76"/>
      <w:bookmarkEnd w:id="77"/>
    </w:p>
    <w:p w14:paraId="696C9DE0">
      <w:pPr>
        <w:pStyle w:val="234"/>
      </w:pPr>
      <w:r>
        <w:t>通过对本工程环境影响评价将达到如下目的：</w:t>
      </w:r>
    </w:p>
    <w:p w14:paraId="254C5DC2">
      <w:pPr>
        <w:pStyle w:val="234"/>
      </w:pPr>
      <w:r>
        <w:t>（1）在对</w:t>
      </w:r>
      <w:r>
        <w:rPr>
          <w:rFonts w:hint="eastAsia"/>
        </w:rPr>
        <w:t>工程所在地</w:t>
      </w:r>
      <w:r>
        <w:t>环境现状进行详细调查的基础上，通过对本工程的环境影响进行预测和评价，从环境保护角度论证本工程建设的可行性，为环境管理和进一步优化工程方案提供必要的科学依据；</w:t>
      </w:r>
    </w:p>
    <w:p w14:paraId="0FE71194">
      <w:pPr>
        <w:pStyle w:val="234"/>
      </w:pPr>
      <w:r>
        <w:t>（2）根据环境影响评价结果，结合周围环境具体情况，提出有针对性的环境保护措施；</w:t>
      </w:r>
    </w:p>
    <w:p w14:paraId="7A719099">
      <w:pPr>
        <w:pStyle w:val="234"/>
      </w:pPr>
      <w:r>
        <w:t>（3）根据本工程对环境影响的特点，提出有针对性的环境管理和环境监测计划；</w:t>
      </w:r>
    </w:p>
    <w:p w14:paraId="23F0C285">
      <w:pPr>
        <w:pStyle w:val="234"/>
      </w:pPr>
      <w:r>
        <w:t>（4）根据本工程环境风险预测结果，提出切实可行的环境风险防范措施和应急措施。</w:t>
      </w:r>
    </w:p>
    <w:p w14:paraId="7B9F6378">
      <w:pPr>
        <w:pStyle w:val="5"/>
        <w:rPr>
          <w:snapToGrid w:val="0"/>
          <w:color w:val="auto"/>
        </w:rPr>
      </w:pPr>
      <w:bookmarkStart w:id="78" w:name="_Toc27633"/>
      <w:bookmarkStart w:id="79" w:name="_Toc226224897"/>
      <w:bookmarkStart w:id="80" w:name="_Toc389740395"/>
      <w:bookmarkStart w:id="81" w:name="_Toc391471556"/>
      <w:bookmarkStart w:id="82" w:name="_Toc23562"/>
      <w:bookmarkStart w:id="83" w:name="_Toc387934192"/>
      <w:r>
        <w:rPr>
          <w:snapToGrid w:val="0"/>
          <w:color w:val="auto"/>
        </w:rPr>
        <w:t xml:space="preserve"> 评价原则</w:t>
      </w:r>
      <w:bookmarkEnd w:id="78"/>
      <w:bookmarkEnd w:id="79"/>
      <w:bookmarkEnd w:id="80"/>
      <w:bookmarkEnd w:id="81"/>
      <w:bookmarkEnd w:id="82"/>
      <w:bookmarkEnd w:id="83"/>
    </w:p>
    <w:p w14:paraId="6E17EFA6">
      <w:pPr>
        <w:pStyle w:val="234"/>
      </w:pPr>
      <w:r>
        <w:t>通过实地踏勘，充分收集评价区环境质量、环境生态现状资料；通过现状调查和监测，了解评价区环境质量现状。在工作过程中认真贯彻</w:t>
      </w:r>
      <w:r>
        <w:rPr>
          <w:rFonts w:hint="eastAsia"/>
        </w:rPr>
        <w:t>“</w:t>
      </w:r>
      <w:r>
        <w:t>以点为主、点线结合、反馈全线</w:t>
      </w:r>
      <w:r>
        <w:rPr>
          <w:rFonts w:hint="eastAsia"/>
        </w:rPr>
        <w:t>”</w:t>
      </w:r>
      <w:r>
        <w:t>的原则，针对性解决问题；合理选线，减少对生态环境的影响；生态保护与污染控制并重；评价工作始终贯穿着减少污染、保护环境的目的。</w:t>
      </w:r>
    </w:p>
    <w:p w14:paraId="1CFF5A23">
      <w:pPr>
        <w:pStyle w:val="4"/>
        <w:rPr>
          <w:kern w:val="0"/>
          <w:sz w:val="28"/>
        </w:rPr>
      </w:pPr>
      <w:bookmarkStart w:id="84" w:name="_Toc12090"/>
      <w:r>
        <w:t>评价方法及重点</w:t>
      </w:r>
      <w:bookmarkEnd w:id="84"/>
    </w:p>
    <w:p w14:paraId="2ECB16F2">
      <w:pPr>
        <w:pStyle w:val="5"/>
        <w:rPr>
          <w:color w:val="auto"/>
        </w:rPr>
      </w:pPr>
      <w:bookmarkStart w:id="85" w:name="1.3.1__评价方法"/>
      <w:bookmarkEnd w:id="85"/>
      <w:r>
        <w:rPr>
          <w:color w:val="auto"/>
        </w:rPr>
        <w:t>评价方法</w:t>
      </w:r>
    </w:p>
    <w:p w14:paraId="7A85C5BE">
      <w:pPr>
        <w:pStyle w:val="234"/>
      </w:pPr>
      <w:r>
        <w:t>由于本工程为线路工程，本次评价按</w:t>
      </w:r>
      <w:r>
        <w:rPr>
          <w:rFonts w:hint="eastAsia"/>
        </w:rPr>
        <w:t>“</w:t>
      </w:r>
      <w:r>
        <w:t>以点为主、点线结合、反馈全线</w:t>
      </w:r>
      <w:r>
        <w:rPr>
          <w:rFonts w:hint="eastAsia"/>
        </w:rPr>
        <w:t>”</w:t>
      </w:r>
      <w:r>
        <w:t>的方法开展工作。结合本工程各评价区段的环境特征和各评价要素的评价工作等级，有针对、有侧重的对环境要素进行监测与评价。通过类比调查，选择适当的模式和参数，定量或定性的分析项目施工期、运营期以及事故状况下对周围环境的影响。针对评价结论反映出的主要问题，结合国内外现有方法提出预防、恢复和缓解措施。结合</w:t>
      </w:r>
      <w:r>
        <w:rPr>
          <w:rFonts w:hint="eastAsia"/>
        </w:rPr>
        <w:t>衡阳市</w:t>
      </w:r>
      <w:r>
        <w:t>城市总体规划、环境功能区划、环境保护规划和土地利用规划等，论证管线路由走向的环境可行性。最后综合分析各章节评价结论，给出该项目建设的环境可行性结论。</w:t>
      </w:r>
    </w:p>
    <w:p w14:paraId="4D2A2A90">
      <w:pPr>
        <w:pStyle w:val="234"/>
      </w:pPr>
      <w:r>
        <w:t>（1）大气环境</w:t>
      </w:r>
    </w:p>
    <w:p w14:paraId="09C0EB1C">
      <w:pPr>
        <w:pStyle w:val="234"/>
      </w:pPr>
      <w:r>
        <w:t>主要采用现场调查及现状监测、资料收集相结合的方法，并定量分析对环境要素的影响。</w:t>
      </w:r>
    </w:p>
    <w:p w14:paraId="04F62381">
      <w:pPr>
        <w:pStyle w:val="234"/>
      </w:pPr>
      <w:r>
        <w:t>（2）水环境</w:t>
      </w:r>
    </w:p>
    <w:p w14:paraId="53C61774">
      <w:pPr>
        <w:pStyle w:val="234"/>
      </w:pPr>
      <w:r>
        <w:t>主要采用现场调查及现状监测、资料收集相结合的方法，并定性分析对地表水、地下水的影响。</w:t>
      </w:r>
    </w:p>
    <w:p w14:paraId="21E8EF80">
      <w:pPr>
        <w:pStyle w:val="234"/>
      </w:pPr>
      <w:r>
        <w:t>（3）生态环境</w:t>
      </w:r>
    </w:p>
    <w:p w14:paraId="3256EDC8">
      <w:pPr>
        <w:pStyle w:val="234"/>
      </w:pPr>
      <w:r>
        <w:t>主要采用现场调查、GPS定位及资料收集相结合的方法，进行数据的采集、编辑与分析，完成评价区土地利用现状图的编绘与成图工作，建立评价区生态现状数据库。在此基础上，分析评价生态环境现状，并定量分析生物损失量。</w:t>
      </w:r>
    </w:p>
    <w:p w14:paraId="0EE30DF7">
      <w:pPr>
        <w:pStyle w:val="234"/>
      </w:pPr>
      <w:r>
        <w:t>（4）环境风险</w:t>
      </w:r>
    </w:p>
    <w:p w14:paraId="306D7AFF">
      <w:pPr>
        <w:pStyle w:val="234"/>
      </w:pPr>
      <w:r>
        <w:t>采用资料收集、同类项目类比调查和模式计算、概率风险分析相结合的方法。</w:t>
      </w:r>
    </w:p>
    <w:p w14:paraId="24B41FC4">
      <w:pPr>
        <w:pStyle w:val="5"/>
        <w:rPr>
          <w:color w:val="auto"/>
        </w:rPr>
      </w:pPr>
      <w:bookmarkStart w:id="86" w:name="1.3.2__评价时段"/>
      <w:bookmarkEnd w:id="86"/>
      <w:r>
        <w:rPr>
          <w:color w:val="auto"/>
        </w:rPr>
        <w:t>评价重点</w:t>
      </w:r>
    </w:p>
    <w:p w14:paraId="588DA25C">
      <w:pPr>
        <w:pStyle w:val="234"/>
      </w:pPr>
      <w:r>
        <w:t>针对本工程环境影响的特点和所在地区的环境特征及沿线的敏感保护目标，确定施工期评价工作的重点是生态环境影响评价、施工期环境保护及其减缓措施；管道运行期的评价重点是环境风险评价和提出环境风险防范措施。</w:t>
      </w:r>
    </w:p>
    <w:p w14:paraId="66EBBA91">
      <w:pPr>
        <w:pStyle w:val="234"/>
      </w:pPr>
      <w:r>
        <w:t>（1）施工期重点评价管道施工占地对基本农田的影响，评价重点是调查管道沿线土地利用情况、植物分布情况等，提出临时占地的恢复利用、植被的破坏补偿措施等，制定农田</w:t>
      </w:r>
      <w:r>
        <w:rPr>
          <w:rFonts w:hint="eastAsia"/>
        </w:rPr>
        <w:t>（</w:t>
      </w:r>
      <w:r>
        <w:t>尤其是基本农田</w:t>
      </w:r>
      <w:r>
        <w:rPr>
          <w:rFonts w:hint="eastAsia"/>
        </w:rPr>
        <w:t>）</w:t>
      </w:r>
      <w:r>
        <w:t>保护措施及恢复补偿措施等。同时做好施工期水土流失的调查，分析水土流失的特点及制定防止水土流失的对策措施</w:t>
      </w:r>
      <w:r>
        <w:rPr>
          <w:rFonts w:hint="eastAsia"/>
        </w:rPr>
        <w:t>。</w:t>
      </w:r>
    </w:p>
    <w:p w14:paraId="7AC6CBF3">
      <w:pPr>
        <w:pStyle w:val="234"/>
      </w:pPr>
      <w:r>
        <w:t>（2）运行期环境风险评价是工程运行期的评价重点。环境风险评价的重点是根据沿线敏感地段的不同</w:t>
      </w:r>
      <w:r>
        <w:rPr>
          <w:rFonts w:hint="eastAsia"/>
        </w:rPr>
        <w:t>分别分析</w:t>
      </w:r>
      <w:r>
        <w:t>，并提出事故风险的防范措施和应急措施</w:t>
      </w:r>
      <w:r>
        <w:rPr>
          <w:rFonts w:hint="eastAsia"/>
        </w:rPr>
        <w:t>，以及站场污染源和污染防治措施分析</w:t>
      </w:r>
      <w:r>
        <w:t>。</w:t>
      </w:r>
    </w:p>
    <w:bookmarkEnd w:id="59"/>
    <w:p w14:paraId="68868776">
      <w:pPr>
        <w:pStyle w:val="4"/>
        <w:rPr>
          <w:snapToGrid w:val="0"/>
        </w:rPr>
      </w:pPr>
      <w:bookmarkStart w:id="87" w:name="_Toc72672335"/>
      <w:bookmarkStart w:id="88" w:name="_Toc562"/>
      <w:bookmarkStart w:id="89" w:name="_Toc226224909"/>
      <w:bookmarkStart w:id="90" w:name="_Toc181976295"/>
      <w:bookmarkStart w:id="91" w:name="_Toc144484579"/>
      <w:bookmarkStart w:id="92" w:name="_Toc234656826"/>
      <w:r>
        <w:t>环境影响因素识别及评价因子筛选</w:t>
      </w:r>
      <w:bookmarkEnd w:id="87"/>
      <w:bookmarkEnd w:id="88"/>
    </w:p>
    <w:p w14:paraId="2A9E53F1">
      <w:pPr>
        <w:pStyle w:val="5"/>
        <w:rPr>
          <w:color w:val="auto"/>
          <w:lang w:val="zh-CN"/>
        </w:rPr>
      </w:pPr>
      <w:r>
        <w:rPr>
          <w:color w:val="auto"/>
          <w:lang w:val="zh-CN"/>
        </w:rPr>
        <w:t>环境影响因素识别</w:t>
      </w:r>
    </w:p>
    <w:p w14:paraId="75A2955A">
      <w:pPr>
        <w:pStyle w:val="234"/>
        <w:rPr>
          <w:lang w:val="zh-CN"/>
        </w:rPr>
      </w:pPr>
      <w:r>
        <w:rPr>
          <w:lang w:val="zh-CN"/>
        </w:rPr>
        <w:t>本工程对环境的影响可分为施工期和营运期两部分。</w:t>
      </w:r>
    </w:p>
    <w:p w14:paraId="32A72E71">
      <w:pPr>
        <w:pStyle w:val="234"/>
        <w:rPr>
          <w:lang w:val="zh-CN"/>
        </w:rPr>
      </w:pPr>
      <w:r>
        <w:rPr>
          <w:lang w:val="zh-CN"/>
        </w:rPr>
        <w:t>（1）施工期环境影响因素</w:t>
      </w:r>
    </w:p>
    <w:p w14:paraId="7633214F">
      <w:pPr>
        <w:pStyle w:val="234"/>
        <w:rPr>
          <w:lang w:val="zh-CN"/>
        </w:rPr>
      </w:pPr>
      <w:r>
        <w:rPr>
          <w:rFonts w:hint="eastAsia" w:ascii="宋体" w:hAnsi="宋体" w:cs="宋体"/>
          <w:lang w:val="zh-CN"/>
        </w:rPr>
        <w:t>①</w:t>
      </w:r>
      <w:r>
        <w:rPr>
          <w:lang w:val="zh-CN"/>
        </w:rPr>
        <w:t>施工期污染影响因素</w:t>
      </w:r>
    </w:p>
    <w:p w14:paraId="644B1531">
      <w:pPr>
        <w:pStyle w:val="234"/>
        <w:rPr>
          <w:lang w:val="zh-CN"/>
        </w:rPr>
      </w:pPr>
      <w:r>
        <w:rPr>
          <w:lang w:val="zh-CN"/>
        </w:rPr>
        <w:t>管道施工期废水主要来自施工人员生活污水、</w:t>
      </w:r>
      <w:r>
        <w:rPr>
          <w:rFonts w:hint="eastAsia"/>
        </w:rPr>
        <w:t>清管</w:t>
      </w:r>
      <w:r>
        <w:rPr>
          <w:lang w:val="zh-CN"/>
        </w:rPr>
        <w:t>试压排水。施工废气主要来自地面开挖和运输车辆行驶产生的扬尘、焊接烟尘、施工机械</w:t>
      </w:r>
      <w:r>
        <w:rPr>
          <w:rFonts w:ascii="宋体" w:hAnsi="宋体"/>
          <w:lang w:val="zh-CN"/>
        </w:rPr>
        <w:t>排</w:t>
      </w:r>
      <w:r>
        <w:rPr>
          <w:lang w:val="zh-CN"/>
        </w:rPr>
        <w:t>放的烟气</w:t>
      </w:r>
      <w:r>
        <w:rPr>
          <w:rFonts w:hint="eastAsia"/>
          <w:lang w:val="zh-CN"/>
        </w:rPr>
        <w:t>、防腐废气、</w:t>
      </w:r>
      <w:r>
        <w:rPr>
          <w:rFonts w:hint="eastAsia"/>
        </w:rPr>
        <w:t>场站涂装废气</w:t>
      </w:r>
      <w:r>
        <w:rPr>
          <w:lang w:val="zh-CN"/>
        </w:rPr>
        <w:t>及放空天然气等。施工期产生的固体废物主要为生活垃圾、施工废料</w:t>
      </w:r>
      <w:r>
        <w:rPr>
          <w:rFonts w:hint="eastAsia"/>
          <w:lang w:val="zh-CN"/>
        </w:rPr>
        <w:t>、</w:t>
      </w:r>
      <w:r>
        <w:rPr>
          <w:rFonts w:hint="eastAsia"/>
        </w:rPr>
        <w:t>清管废渣、废油漆桶和建筑垃圾</w:t>
      </w:r>
      <w:r>
        <w:rPr>
          <w:lang w:val="zh-CN"/>
        </w:rPr>
        <w:t>等。噪声源主要来自施工作业机械，如挖掘机、电焊机等，其</w:t>
      </w:r>
      <w:r>
        <w:rPr>
          <w:rFonts w:hint="eastAsia"/>
        </w:rPr>
        <w:t>噪声</w:t>
      </w:r>
      <w:r>
        <w:rPr>
          <w:lang w:val="zh-CN"/>
        </w:rPr>
        <w:t>强度在</w:t>
      </w:r>
      <w:r>
        <w:rPr>
          <w:rFonts w:hint="eastAsia"/>
        </w:rPr>
        <w:t>95</w:t>
      </w:r>
      <w:r>
        <w:rPr>
          <w:lang w:val="zh-CN"/>
        </w:rPr>
        <w:t>～105dB(A)。</w:t>
      </w:r>
    </w:p>
    <w:p w14:paraId="69B74309">
      <w:pPr>
        <w:pStyle w:val="234"/>
        <w:rPr>
          <w:lang w:val="zh-CN"/>
        </w:rPr>
      </w:pPr>
      <w:r>
        <w:rPr>
          <w:rFonts w:hint="eastAsia" w:ascii="宋体" w:hAnsi="宋体" w:cs="宋体"/>
          <w:lang w:val="zh-CN"/>
        </w:rPr>
        <w:t>②</w:t>
      </w:r>
      <w:r>
        <w:rPr>
          <w:lang w:val="zh-CN"/>
        </w:rPr>
        <w:t>施工期生态影响因素</w:t>
      </w:r>
    </w:p>
    <w:p w14:paraId="0725DCAA">
      <w:pPr>
        <w:pStyle w:val="234"/>
        <w:rPr>
          <w:lang w:val="zh-CN"/>
        </w:rPr>
      </w:pPr>
      <w:r>
        <w:rPr>
          <w:lang w:val="zh-CN"/>
        </w:rPr>
        <w:t>工程施工期间对生态环境的影响主要是施工期间土石方工程的开挖引起自然地貌的改变和地表自然及人工植被的破坏，引起对土地利用的改变，生物量和生产力的变化，由此引发的区域生态环境的破坏；施工中</w:t>
      </w:r>
      <w:r>
        <w:rPr>
          <w:rFonts w:hint="eastAsia"/>
          <w:lang w:val="zh-CN"/>
        </w:rPr>
        <w:t>临时</w:t>
      </w:r>
      <w:r>
        <w:rPr>
          <w:rFonts w:hint="eastAsia"/>
        </w:rPr>
        <w:t>堆管场</w:t>
      </w:r>
      <w:r>
        <w:rPr>
          <w:rFonts w:hint="eastAsia"/>
          <w:lang w:val="zh-CN"/>
        </w:rPr>
        <w:t>、临时施工</w:t>
      </w:r>
      <w:r>
        <w:rPr>
          <w:rFonts w:hint="eastAsia"/>
        </w:rPr>
        <w:t>作业带</w:t>
      </w:r>
      <w:r>
        <w:rPr>
          <w:lang w:val="zh-CN"/>
        </w:rPr>
        <w:t>等导致生态系统发生较大变化。</w:t>
      </w:r>
    </w:p>
    <w:p w14:paraId="2A0A7067">
      <w:pPr>
        <w:pStyle w:val="234"/>
        <w:rPr>
          <w:lang w:val="zh-CN"/>
        </w:rPr>
      </w:pPr>
      <w:r>
        <w:rPr>
          <w:lang w:val="zh-CN"/>
        </w:rPr>
        <w:t>（2）营运期环境影响因素</w:t>
      </w:r>
    </w:p>
    <w:p w14:paraId="0190CAFA">
      <w:pPr>
        <w:pStyle w:val="234"/>
        <w:rPr>
          <w:lang w:val="zh-CN"/>
        </w:rPr>
      </w:pPr>
      <w:r>
        <w:rPr>
          <w:lang w:val="zh-CN"/>
        </w:rPr>
        <w:t>本工程运营期废气主要为正常工况下</w:t>
      </w:r>
      <w:r>
        <w:rPr>
          <w:rFonts w:hint="eastAsia"/>
        </w:rPr>
        <w:t>耒阳分输站</w:t>
      </w:r>
      <w:r>
        <w:rPr>
          <w:lang w:val="zh-CN"/>
        </w:rPr>
        <w:t>和</w:t>
      </w:r>
      <w:r>
        <w:rPr>
          <w:rFonts w:hint="eastAsia"/>
        </w:rPr>
        <w:t>28号阀室</w:t>
      </w:r>
      <w:r>
        <w:rPr>
          <w:lang w:val="zh-CN"/>
        </w:rPr>
        <w:t>排放的少量无组织废气及事故状态下排放的废气；运营期产生的固体废物主要为</w:t>
      </w:r>
      <w:r>
        <w:rPr>
          <w:rFonts w:hint="eastAsia"/>
        </w:rPr>
        <w:t>分离器检修废渣、废滤芯和废铅酸蓄电池</w:t>
      </w:r>
      <w:r>
        <w:rPr>
          <w:lang w:val="zh-CN"/>
        </w:rPr>
        <w:t>等；噪声主要为场站设备产生的机械噪声等。环境因素识别见表2.</w:t>
      </w:r>
      <w:r>
        <w:rPr>
          <w:rFonts w:hint="eastAsia"/>
          <w:lang w:val="zh-CN"/>
        </w:rPr>
        <w:t>4</w:t>
      </w:r>
      <w:r>
        <w:rPr>
          <w:lang w:val="zh-CN"/>
        </w:rPr>
        <w:t>-1。</w:t>
      </w:r>
    </w:p>
    <w:p w14:paraId="00A8856A">
      <w:pPr>
        <w:pStyle w:val="904"/>
      </w:pPr>
      <w:r>
        <w:t xml:space="preserve">表 </w:t>
      </w:r>
      <w:r>
        <w:fldChar w:fldCharType="begin"/>
      </w:r>
      <w:r>
        <w:instrText xml:space="preserve"> STYLEREF 2 \s </w:instrText>
      </w:r>
      <w:r>
        <w:fldChar w:fldCharType="separate"/>
      </w:r>
      <w:r>
        <w:t>2.4</w:t>
      </w:r>
      <w:r>
        <w:fldChar w:fldCharType="end"/>
      </w:r>
      <w:r>
        <w:noBreakHyphen/>
      </w:r>
      <w:r>
        <w:fldChar w:fldCharType="begin"/>
      </w:r>
      <w:r>
        <w:instrText xml:space="preserve"> SEQ 表 \* ARABIC \s 2 </w:instrText>
      </w:r>
      <w:r>
        <w:fldChar w:fldCharType="separate"/>
      </w:r>
      <w:r>
        <w:t>1</w:t>
      </w:r>
      <w:r>
        <w:fldChar w:fldCharType="end"/>
      </w:r>
      <w:r>
        <w:t>环境影响表征识别</w:t>
      </w:r>
    </w:p>
    <w:p w14:paraId="14359EA3">
      <w:pPr>
        <w:spacing w:before="5" w:line="60" w:lineRule="exact"/>
        <w:rPr>
          <w:rFonts w:eastAsiaTheme="minorEastAsia"/>
          <w:sz w:val="6"/>
          <w:szCs w:val="6"/>
        </w:rPr>
      </w:pP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61"/>
        <w:gridCol w:w="1895"/>
        <w:gridCol w:w="6544"/>
      </w:tblGrid>
      <w:tr w14:paraId="3EB57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tcMar>
              <w:top w:w="15" w:type="dxa"/>
              <w:left w:w="15" w:type="dxa"/>
              <w:right w:w="15" w:type="dxa"/>
            </w:tcMar>
            <w:vAlign w:val="center"/>
          </w:tcPr>
          <w:p w14:paraId="24B6783C">
            <w:pPr>
              <w:widowControl/>
              <w:snapToGrid w:val="0"/>
              <w:jc w:val="center"/>
              <w:textAlignment w:val="center"/>
              <w:rPr>
                <w:b/>
                <w:szCs w:val="21"/>
              </w:rPr>
            </w:pPr>
            <w:r>
              <w:rPr>
                <w:b/>
                <w:szCs w:val="21"/>
                <w:lang w:bidi="ar"/>
              </w:rPr>
              <w:t>时段</w:t>
            </w:r>
          </w:p>
        </w:tc>
        <w:tc>
          <w:tcPr>
            <w:tcW w:w="1041" w:type="pct"/>
            <w:tcMar>
              <w:top w:w="15" w:type="dxa"/>
              <w:left w:w="15" w:type="dxa"/>
              <w:right w:w="15" w:type="dxa"/>
            </w:tcMar>
            <w:vAlign w:val="center"/>
          </w:tcPr>
          <w:p w14:paraId="24ECE4BD">
            <w:pPr>
              <w:widowControl/>
              <w:snapToGrid w:val="0"/>
              <w:jc w:val="center"/>
              <w:textAlignment w:val="center"/>
              <w:rPr>
                <w:b/>
                <w:szCs w:val="21"/>
              </w:rPr>
            </w:pPr>
            <w:r>
              <w:rPr>
                <w:b/>
                <w:szCs w:val="21"/>
                <w:lang w:bidi="ar"/>
              </w:rPr>
              <w:t>工程建设活动</w:t>
            </w:r>
          </w:p>
        </w:tc>
        <w:tc>
          <w:tcPr>
            <w:tcW w:w="3595" w:type="pct"/>
            <w:tcMar>
              <w:top w:w="15" w:type="dxa"/>
              <w:left w:w="15" w:type="dxa"/>
              <w:right w:w="15" w:type="dxa"/>
            </w:tcMar>
            <w:vAlign w:val="center"/>
          </w:tcPr>
          <w:p w14:paraId="526F13D5">
            <w:pPr>
              <w:widowControl/>
              <w:snapToGrid w:val="0"/>
              <w:jc w:val="center"/>
              <w:textAlignment w:val="center"/>
              <w:rPr>
                <w:b/>
                <w:szCs w:val="21"/>
              </w:rPr>
            </w:pPr>
            <w:r>
              <w:rPr>
                <w:b/>
                <w:szCs w:val="21"/>
                <w:lang w:bidi="ar"/>
              </w:rPr>
              <w:t>环境影响内容</w:t>
            </w:r>
          </w:p>
        </w:tc>
      </w:tr>
      <w:tr w14:paraId="506A4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restart"/>
            <w:tcMar>
              <w:top w:w="15" w:type="dxa"/>
              <w:left w:w="15" w:type="dxa"/>
              <w:right w:w="15" w:type="dxa"/>
            </w:tcMar>
            <w:vAlign w:val="center"/>
          </w:tcPr>
          <w:p w14:paraId="0A37565E">
            <w:pPr>
              <w:snapToGrid w:val="0"/>
              <w:textAlignment w:val="center"/>
              <w:rPr>
                <w:b/>
                <w:szCs w:val="21"/>
                <w:lang w:bidi="ar"/>
              </w:rPr>
            </w:pPr>
            <w:r>
              <w:rPr>
                <w:szCs w:val="21"/>
                <w:lang w:bidi="ar"/>
              </w:rPr>
              <w:t>施工期</w:t>
            </w:r>
          </w:p>
        </w:tc>
        <w:tc>
          <w:tcPr>
            <w:tcW w:w="1041" w:type="pct"/>
            <w:tcMar>
              <w:top w:w="15" w:type="dxa"/>
              <w:left w:w="15" w:type="dxa"/>
              <w:right w:w="15" w:type="dxa"/>
            </w:tcMar>
            <w:vAlign w:val="center"/>
          </w:tcPr>
          <w:p w14:paraId="1CC413CB">
            <w:pPr>
              <w:widowControl/>
              <w:snapToGrid w:val="0"/>
              <w:textAlignment w:val="center"/>
              <w:rPr>
                <w:szCs w:val="21"/>
                <w:lang w:bidi="ar"/>
              </w:rPr>
            </w:pPr>
            <w:r>
              <w:rPr>
                <w:szCs w:val="21"/>
                <w:lang w:bidi="ar"/>
              </w:rPr>
              <w:t>1</w:t>
            </w:r>
            <w:r>
              <w:rPr>
                <w:rFonts w:hint="eastAsia"/>
                <w:szCs w:val="21"/>
                <w:lang w:bidi="ar"/>
              </w:rPr>
              <w:t>新建耒阳分输站、28号阀室</w:t>
            </w:r>
            <w:r>
              <w:rPr>
                <w:szCs w:val="21"/>
                <w:lang w:bidi="ar"/>
              </w:rPr>
              <w:t>改造</w:t>
            </w:r>
          </w:p>
        </w:tc>
        <w:tc>
          <w:tcPr>
            <w:tcW w:w="3595" w:type="pct"/>
            <w:tcMar>
              <w:top w:w="15" w:type="dxa"/>
              <w:left w:w="15" w:type="dxa"/>
              <w:right w:w="15" w:type="dxa"/>
            </w:tcMar>
            <w:vAlign w:val="center"/>
          </w:tcPr>
          <w:p w14:paraId="41D63291">
            <w:pPr>
              <w:widowControl/>
              <w:snapToGrid w:val="0"/>
              <w:textAlignment w:val="center"/>
              <w:rPr>
                <w:szCs w:val="21"/>
                <w:lang w:bidi="ar"/>
              </w:rPr>
            </w:pPr>
            <w:r>
              <w:rPr>
                <w:rFonts w:hint="eastAsia"/>
                <w:szCs w:val="21"/>
                <w:lang w:bidi="ar"/>
              </w:rPr>
              <w:t>①</w:t>
            </w:r>
            <w:r>
              <w:rPr>
                <w:szCs w:val="21"/>
                <w:lang w:bidi="ar"/>
              </w:rPr>
              <w:t>永久占用土地，改变土地利用功能；</w:t>
            </w:r>
          </w:p>
          <w:p w14:paraId="641E33E1">
            <w:pPr>
              <w:widowControl/>
              <w:snapToGrid w:val="0"/>
              <w:textAlignment w:val="center"/>
              <w:rPr>
                <w:szCs w:val="21"/>
                <w:lang w:bidi="ar"/>
              </w:rPr>
            </w:pPr>
            <w:r>
              <w:rPr>
                <w:rFonts w:hint="eastAsia"/>
                <w:szCs w:val="21"/>
                <w:lang w:bidi="ar"/>
              </w:rPr>
              <w:t>②产生的施工废料。</w:t>
            </w:r>
          </w:p>
        </w:tc>
      </w:tr>
      <w:tr w14:paraId="75D94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continue"/>
            <w:tcMar>
              <w:top w:w="15" w:type="dxa"/>
              <w:left w:w="15" w:type="dxa"/>
              <w:right w:w="15" w:type="dxa"/>
            </w:tcMar>
            <w:vAlign w:val="center"/>
          </w:tcPr>
          <w:p w14:paraId="40EA9137">
            <w:pPr>
              <w:snapToGrid w:val="0"/>
              <w:textAlignment w:val="center"/>
              <w:rPr>
                <w:b/>
                <w:szCs w:val="21"/>
                <w:lang w:bidi="ar"/>
              </w:rPr>
            </w:pPr>
          </w:p>
        </w:tc>
        <w:tc>
          <w:tcPr>
            <w:tcW w:w="1041" w:type="pct"/>
            <w:tcMar>
              <w:top w:w="15" w:type="dxa"/>
              <w:left w:w="15" w:type="dxa"/>
              <w:right w:w="15" w:type="dxa"/>
            </w:tcMar>
            <w:vAlign w:val="center"/>
          </w:tcPr>
          <w:p w14:paraId="04169182">
            <w:pPr>
              <w:widowControl/>
              <w:snapToGrid w:val="0"/>
              <w:textAlignment w:val="center"/>
              <w:rPr>
                <w:szCs w:val="21"/>
                <w:lang w:bidi="ar"/>
              </w:rPr>
            </w:pPr>
            <w:r>
              <w:rPr>
                <w:szCs w:val="21"/>
                <w:lang w:bidi="ar"/>
              </w:rPr>
              <w:t>1.1机械操作</w:t>
            </w:r>
          </w:p>
        </w:tc>
        <w:tc>
          <w:tcPr>
            <w:tcW w:w="3595" w:type="pct"/>
            <w:tcMar>
              <w:top w:w="15" w:type="dxa"/>
              <w:left w:w="15" w:type="dxa"/>
              <w:right w:w="15" w:type="dxa"/>
            </w:tcMar>
            <w:vAlign w:val="center"/>
          </w:tcPr>
          <w:p w14:paraId="7226BBF8">
            <w:pPr>
              <w:widowControl/>
              <w:snapToGrid w:val="0"/>
              <w:textAlignment w:val="center"/>
              <w:rPr>
                <w:szCs w:val="21"/>
                <w:lang w:bidi="ar"/>
              </w:rPr>
            </w:pPr>
            <w:r>
              <w:rPr>
                <w:szCs w:val="21"/>
                <w:lang w:bidi="ar"/>
              </w:rPr>
              <w:t>产生机械尾气和机械噪声</w:t>
            </w:r>
          </w:p>
        </w:tc>
      </w:tr>
      <w:tr w14:paraId="3FAFC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continue"/>
            <w:tcMar>
              <w:top w:w="15" w:type="dxa"/>
              <w:left w:w="15" w:type="dxa"/>
              <w:right w:w="15" w:type="dxa"/>
            </w:tcMar>
            <w:vAlign w:val="center"/>
          </w:tcPr>
          <w:p w14:paraId="40CB6D4C">
            <w:pPr>
              <w:snapToGrid w:val="0"/>
              <w:textAlignment w:val="center"/>
              <w:rPr>
                <w:b/>
                <w:szCs w:val="21"/>
                <w:lang w:bidi="ar"/>
              </w:rPr>
            </w:pPr>
          </w:p>
        </w:tc>
        <w:tc>
          <w:tcPr>
            <w:tcW w:w="1041" w:type="pct"/>
            <w:tcMar>
              <w:top w:w="15" w:type="dxa"/>
              <w:left w:w="15" w:type="dxa"/>
              <w:right w:w="15" w:type="dxa"/>
            </w:tcMar>
            <w:vAlign w:val="center"/>
          </w:tcPr>
          <w:p w14:paraId="217E9C56">
            <w:pPr>
              <w:widowControl/>
              <w:snapToGrid w:val="0"/>
              <w:textAlignment w:val="center"/>
              <w:rPr>
                <w:szCs w:val="21"/>
                <w:lang w:bidi="ar"/>
              </w:rPr>
            </w:pPr>
            <w:r>
              <w:rPr>
                <w:szCs w:val="21"/>
                <w:lang w:bidi="ar"/>
              </w:rPr>
              <w:t>1.2施工人员生活</w:t>
            </w:r>
          </w:p>
        </w:tc>
        <w:tc>
          <w:tcPr>
            <w:tcW w:w="3595" w:type="pct"/>
            <w:tcMar>
              <w:top w:w="15" w:type="dxa"/>
              <w:left w:w="15" w:type="dxa"/>
              <w:right w:w="15" w:type="dxa"/>
            </w:tcMar>
            <w:vAlign w:val="center"/>
          </w:tcPr>
          <w:p w14:paraId="1E0A6E28">
            <w:pPr>
              <w:widowControl/>
              <w:snapToGrid w:val="0"/>
              <w:textAlignment w:val="center"/>
              <w:rPr>
                <w:szCs w:val="21"/>
                <w:lang w:bidi="ar"/>
              </w:rPr>
            </w:pPr>
            <w:r>
              <w:rPr>
                <w:szCs w:val="21"/>
                <w:lang w:bidi="ar"/>
              </w:rPr>
              <w:t>生活污水、生活垃圾排放</w:t>
            </w:r>
          </w:p>
        </w:tc>
      </w:tr>
      <w:tr w14:paraId="52E48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continue"/>
            <w:tcMar>
              <w:top w:w="15" w:type="dxa"/>
              <w:left w:w="15" w:type="dxa"/>
              <w:right w:w="15" w:type="dxa"/>
            </w:tcMar>
            <w:vAlign w:val="center"/>
          </w:tcPr>
          <w:p w14:paraId="11A788CB">
            <w:pPr>
              <w:snapToGrid w:val="0"/>
              <w:textAlignment w:val="center"/>
              <w:rPr>
                <w:b/>
                <w:szCs w:val="21"/>
                <w:lang w:bidi="ar"/>
              </w:rPr>
            </w:pPr>
          </w:p>
        </w:tc>
        <w:tc>
          <w:tcPr>
            <w:tcW w:w="1041" w:type="pct"/>
            <w:tcMar>
              <w:top w:w="15" w:type="dxa"/>
              <w:left w:w="15" w:type="dxa"/>
              <w:right w:w="15" w:type="dxa"/>
            </w:tcMar>
            <w:vAlign w:val="center"/>
          </w:tcPr>
          <w:p w14:paraId="1B674CD5">
            <w:pPr>
              <w:widowControl/>
              <w:snapToGrid w:val="0"/>
              <w:textAlignment w:val="center"/>
              <w:rPr>
                <w:szCs w:val="21"/>
                <w:lang w:bidi="ar"/>
              </w:rPr>
            </w:pPr>
            <w:r>
              <w:rPr>
                <w:rFonts w:hint="eastAsia"/>
                <w:szCs w:val="21"/>
                <w:lang w:bidi="ar"/>
              </w:rPr>
              <w:t>1.3场站管道、设备涂色和标识涂刷</w:t>
            </w:r>
          </w:p>
        </w:tc>
        <w:tc>
          <w:tcPr>
            <w:tcW w:w="3595" w:type="pct"/>
            <w:tcMar>
              <w:top w:w="15" w:type="dxa"/>
              <w:left w:w="15" w:type="dxa"/>
              <w:right w:w="15" w:type="dxa"/>
            </w:tcMar>
            <w:vAlign w:val="center"/>
          </w:tcPr>
          <w:p w14:paraId="4ABD2C76">
            <w:pPr>
              <w:widowControl/>
              <w:snapToGrid w:val="0"/>
              <w:textAlignment w:val="center"/>
              <w:rPr>
                <w:szCs w:val="21"/>
                <w:lang w:bidi="ar"/>
              </w:rPr>
            </w:pPr>
            <w:r>
              <w:rPr>
                <w:rFonts w:hint="eastAsia"/>
                <w:szCs w:val="21"/>
                <w:lang w:bidi="ar"/>
              </w:rPr>
              <w:t>产生涂装废气和废油漆桶</w:t>
            </w:r>
          </w:p>
        </w:tc>
      </w:tr>
      <w:tr w14:paraId="143CC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continue"/>
            <w:tcMar>
              <w:top w:w="15" w:type="dxa"/>
              <w:left w:w="15" w:type="dxa"/>
              <w:right w:w="15" w:type="dxa"/>
            </w:tcMar>
            <w:vAlign w:val="center"/>
          </w:tcPr>
          <w:p w14:paraId="38B4BB87">
            <w:pPr>
              <w:widowControl/>
              <w:snapToGrid w:val="0"/>
              <w:textAlignment w:val="center"/>
              <w:rPr>
                <w:szCs w:val="21"/>
              </w:rPr>
            </w:pPr>
          </w:p>
        </w:tc>
        <w:tc>
          <w:tcPr>
            <w:tcW w:w="1041" w:type="pct"/>
            <w:tcMar>
              <w:top w:w="15" w:type="dxa"/>
              <w:left w:w="15" w:type="dxa"/>
              <w:right w:w="15" w:type="dxa"/>
            </w:tcMar>
            <w:vAlign w:val="center"/>
          </w:tcPr>
          <w:p w14:paraId="3BEBF8F6">
            <w:pPr>
              <w:widowControl/>
              <w:snapToGrid w:val="0"/>
              <w:textAlignment w:val="center"/>
              <w:rPr>
                <w:szCs w:val="21"/>
                <w:lang w:bidi="ar"/>
              </w:rPr>
            </w:pPr>
            <w:r>
              <w:rPr>
                <w:szCs w:val="21"/>
                <w:lang w:bidi="ar"/>
              </w:rPr>
              <w:t>2管道敷设</w:t>
            </w:r>
          </w:p>
        </w:tc>
        <w:tc>
          <w:tcPr>
            <w:tcW w:w="3595" w:type="pct"/>
            <w:tcMar>
              <w:top w:w="15" w:type="dxa"/>
              <w:left w:w="15" w:type="dxa"/>
              <w:right w:w="15" w:type="dxa"/>
            </w:tcMar>
            <w:vAlign w:val="center"/>
          </w:tcPr>
          <w:p w14:paraId="7CE17452">
            <w:pPr>
              <w:widowControl/>
              <w:snapToGrid w:val="0"/>
              <w:textAlignment w:val="center"/>
              <w:rPr>
                <w:szCs w:val="21"/>
              </w:rPr>
            </w:pPr>
            <w:r>
              <w:rPr>
                <w:szCs w:val="21"/>
                <w:lang w:bidi="ar"/>
              </w:rPr>
              <w:t>临时占用部分土地，短期影响土地的使用功能或类型。</w:t>
            </w:r>
          </w:p>
        </w:tc>
      </w:tr>
      <w:tr w14:paraId="24F2F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continue"/>
            <w:tcMar>
              <w:top w:w="15" w:type="dxa"/>
              <w:left w:w="15" w:type="dxa"/>
              <w:right w:w="15" w:type="dxa"/>
            </w:tcMar>
            <w:vAlign w:val="center"/>
          </w:tcPr>
          <w:p w14:paraId="222CA9CD">
            <w:pPr>
              <w:widowControl/>
              <w:snapToGrid w:val="0"/>
              <w:rPr>
                <w:szCs w:val="21"/>
              </w:rPr>
            </w:pPr>
          </w:p>
        </w:tc>
        <w:tc>
          <w:tcPr>
            <w:tcW w:w="1041" w:type="pct"/>
            <w:tcMar>
              <w:top w:w="15" w:type="dxa"/>
              <w:left w:w="15" w:type="dxa"/>
              <w:right w:w="15" w:type="dxa"/>
            </w:tcMar>
            <w:vAlign w:val="center"/>
          </w:tcPr>
          <w:p w14:paraId="562D8B11">
            <w:pPr>
              <w:widowControl/>
              <w:snapToGrid w:val="0"/>
              <w:textAlignment w:val="center"/>
              <w:rPr>
                <w:szCs w:val="21"/>
                <w:lang w:bidi="ar"/>
              </w:rPr>
            </w:pPr>
            <w:r>
              <w:rPr>
                <w:szCs w:val="21"/>
                <w:lang w:bidi="ar"/>
              </w:rPr>
              <w:t>2.1管沟开挖与回填</w:t>
            </w:r>
          </w:p>
        </w:tc>
        <w:tc>
          <w:tcPr>
            <w:tcW w:w="3595" w:type="pct"/>
            <w:tcMar>
              <w:top w:w="15" w:type="dxa"/>
              <w:left w:w="15" w:type="dxa"/>
              <w:right w:w="15" w:type="dxa"/>
            </w:tcMar>
            <w:vAlign w:val="center"/>
          </w:tcPr>
          <w:p w14:paraId="6E09FEA0">
            <w:pPr>
              <w:widowControl/>
              <w:snapToGrid w:val="0"/>
              <w:textAlignment w:val="center"/>
              <w:rPr>
                <w:szCs w:val="21"/>
                <w:lang w:bidi="ar"/>
              </w:rPr>
            </w:pPr>
            <w:r>
              <w:rPr>
                <w:rFonts w:hint="eastAsia" w:ascii="宋体" w:hAnsi="宋体" w:cs="宋体"/>
                <w:szCs w:val="21"/>
                <w:lang w:bidi="ar"/>
              </w:rPr>
              <w:t>①</w:t>
            </w:r>
            <w:r>
              <w:rPr>
                <w:szCs w:val="21"/>
                <w:lang w:bidi="ar"/>
              </w:rPr>
              <w:t>破坏施工作业带内的土壤、植被和视觉景观；</w:t>
            </w:r>
          </w:p>
          <w:p w14:paraId="4ED358B8">
            <w:pPr>
              <w:widowControl/>
              <w:snapToGrid w:val="0"/>
              <w:textAlignment w:val="center"/>
              <w:rPr>
                <w:szCs w:val="21"/>
                <w:lang w:bidi="ar"/>
              </w:rPr>
            </w:pPr>
            <w:r>
              <w:rPr>
                <w:rFonts w:hint="eastAsia" w:ascii="宋体" w:hAnsi="宋体" w:cs="宋体"/>
                <w:szCs w:val="21"/>
                <w:lang w:bidi="ar"/>
              </w:rPr>
              <w:t>②</w:t>
            </w:r>
            <w:r>
              <w:rPr>
                <w:szCs w:val="21"/>
                <w:lang w:bidi="ar"/>
              </w:rPr>
              <w:t>堆放不当易引起水土流失，污染地表水体或农田；</w:t>
            </w:r>
          </w:p>
          <w:p w14:paraId="12D2FC0A">
            <w:pPr>
              <w:widowControl/>
              <w:snapToGrid w:val="0"/>
              <w:textAlignment w:val="center"/>
              <w:rPr>
                <w:szCs w:val="21"/>
              </w:rPr>
            </w:pPr>
            <w:r>
              <w:rPr>
                <w:rFonts w:hint="eastAsia" w:ascii="宋体" w:hAnsi="宋体" w:cs="宋体"/>
                <w:szCs w:val="21"/>
                <w:lang w:bidi="ar"/>
              </w:rPr>
              <w:t>③</w:t>
            </w:r>
            <w:r>
              <w:rPr>
                <w:szCs w:val="21"/>
                <w:lang w:bidi="ar"/>
              </w:rPr>
              <w:t>运输、挖填作业中产生扬尘。</w:t>
            </w:r>
          </w:p>
        </w:tc>
      </w:tr>
      <w:tr w14:paraId="20A7B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continue"/>
            <w:tcMar>
              <w:top w:w="15" w:type="dxa"/>
              <w:left w:w="15" w:type="dxa"/>
              <w:right w:w="15" w:type="dxa"/>
            </w:tcMar>
            <w:vAlign w:val="center"/>
          </w:tcPr>
          <w:p w14:paraId="340F6DFC">
            <w:pPr>
              <w:widowControl/>
              <w:snapToGrid w:val="0"/>
              <w:rPr>
                <w:szCs w:val="21"/>
              </w:rPr>
            </w:pPr>
          </w:p>
        </w:tc>
        <w:tc>
          <w:tcPr>
            <w:tcW w:w="1041" w:type="pct"/>
            <w:tcMar>
              <w:top w:w="15" w:type="dxa"/>
              <w:left w:w="15" w:type="dxa"/>
              <w:right w:w="15" w:type="dxa"/>
            </w:tcMar>
            <w:vAlign w:val="center"/>
          </w:tcPr>
          <w:p w14:paraId="21FD0DD6">
            <w:pPr>
              <w:widowControl/>
              <w:snapToGrid w:val="0"/>
              <w:textAlignment w:val="center"/>
              <w:rPr>
                <w:szCs w:val="21"/>
                <w:lang w:bidi="ar"/>
              </w:rPr>
            </w:pPr>
            <w:r>
              <w:rPr>
                <w:szCs w:val="21"/>
                <w:lang w:bidi="ar"/>
              </w:rPr>
              <w:t>2.2原材料运输</w:t>
            </w:r>
          </w:p>
        </w:tc>
        <w:tc>
          <w:tcPr>
            <w:tcW w:w="3595" w:type="pct"/>
            <w:tcMar>
              <w:top w:w="15" w:type="dxa"/>
              <w:left w:w="15" w:type="dxa"/>
              <w:right w:w="15" w:type="dxa"/>
            </w:tcMar>
            <w:vAlign w:val="center"/>
          </w:tcPr>
          <w:p w14:paraId="6E5820CC">
            <w:pPr>
              <w:widowControl/>
              <w:snapToGrid w:val="0"/>
              <w:textAlignment w:val="center"/>
              <w:rPr>
                <w:szCs w:val="21"/>
                <w:lang w:bidi="ar"/>
              </w:rPr>
            </w:pPr>
            <w:r>
              <w:rPr>
                <w:rFonts w:hint="eastAsia" w:ascii="宋体" w:hAnsi="宋体" w:cs="宋体"/>
                <w:szCs w:val="21"/>
                <w:lang w:bidi="ar"/>
              </w:rPr>
              <w:t>①</w:t>
            </w:r>
            <w:r>
              <w:rPr>
                <w:szCs w:val="21"/>
                <w:lang w:bidi="ar"/>
              </w:rPr>
              <w:t>运输车辆产生尾气、噪声和扬尘；</w:t>
            </w:r>
          </w:p>
          <w:p w14:paraId="0824C8DA">
            <w:pPr>
              <w:widowControl/>
              <w:snapToGrid w:val="0"/>
              <w:textAlignment w:val="center"/>
              <w:rPr>
                <w:szCs w:val="21"/>
              </w:rPr>
            </w:pPr>
            <w:r>
              <w:rPr>
                <w:rFonts w:hint="eastAsia" w:ascii="宋体" w:hAnsi="宋体" w:cs="宋体"/>
                <w:szCs w:val="21"/>
                <w:lang w:bidi="ar"/>
              </w:rPr>
              <w:t>②</w:t>
            </w:r>
            <w:r>
              <w:rPr>
                <w:szCs w:val="21"/>
                <w:lang w:bidi="ar"/>
              </w:rPr>
              <w:t>临时</w:t>
            </w:r>
            <w:r>
              <w:rPr>
                <w:rFonts w:hint="eastAsia"/>
                <w:szCs w:val="21"/>
                <w:lang w:bidi="ar"/>
              </w:rPr>
              <w:t>堆管场</w:t>
            </w:r>
            <w:r>
              <w:rPr>
                <w:szCs w:val="21"/>
                <w:lang w:bidi="ar"/>
              </w:rPr>
              <w:t>占用土地，短期影响土地的使用功能或类型。</w:t>
            </w:r>
          </w:p>
        </w:tc>
      </w:tr>
      <w:tr w14:paraId="084D1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continue"/>
            <w:tcMar>
              <w:top w:w="15" w:type="dxa"/>
              <w:left w:w="15" w:type="dxa"/>
              <w:right w:w="15" w:type="dxa"/>
            </w:tcMar>
            <w:vAlign w:val="center"/>
          </w:tcPr>
          <w:p w14:paraId="3266B0CA">
            <w:pPr>
              <w:widowControl/>
              <w:snapToGrid w:val="0"/>
              <w:rPr>
                <w:szCs w:val="21"/>
              </w:rPr>
            </w:pPr>
          </w:p>
        </w:tc>
        <w:tc>
          <w:tcPr>
            <w:tcW w:w="1041" w:type="pct"/>
            <w:tcMar>
              <w:top w:w="15" w:type="dxa"/>
              <w:left w:w="15" w:type="dxa"/>
              <w:right w:w="15" w:type="dxa"/>
            </w:tcMar>
            <w:vAlign w:val="center"/>
          </w:tcPr>
          <w:p w14:paraId="4D050384">
            <w:pPr>
              <w:widowControl/>
              <w:snapToGrid w:val="0"/>
              <w:textAlignment w:val="center"/>
              <w:rPr>
                <w:szCs w:val="21"/>
                <w:lang w:bidi="ar"/>
              </w:rPr>
            </w:pPr>
            <w:r>
              <w:rPr>
                <w:szCs w:val="21"/>
                <w:lang w:bidi="ar"/>
              </w:rPr>
              <w:t>2.3施工机械操作</w:t>
            </w:r>
          </w:p>
        </w:tc>
        <w:tc>
          <w:tcPr>
            <w:tcW w:w="3595" w:type="pct"/>
            <w:tcMar>
              <w:top w:w="15" w:type="dxa"/>
              <w:left w:w="15" w:type="dxa"/>
              <w:right w:w="15" w:type="dxa"/>
            </w:tcMar>
            <w:vAlign w:val="center"/>
          </w:tcPr>
          <w:p w14:paraId="235EA9DE">
            <w:pPr>
              <w:widowControl/>
              <w:snapToGrid w:val="0"/>
              <w:textAlignment w:val="center"/>
              <w:rPr>
                <w:szCs w:val="21"/>
              </w:rPr>
            </w:pPr>
            <w:r>
              <w:rPr>
                <w:szCs w:val="21"/>
                <w:lang w:bidi="ar"/>
              </w:rPr>
              <w:t>产生机械尾气和机械噪声。</w:t>
            </w:r>
          </w:p>
        </w:tc>
      </w:tr>
      <w:tr w14:paraId="54653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continue"/>
            <w:tcMar>
              <w:top w:w="15" w:type="dxa"/>
              <w:left w:w="15" w:type="dxa"/>
              <w:right w:w="15" w:type="dxa"/>
            </w:tcMar>
            <w:vAlign w:val="center"/>
          </w:tcPr>
          <w:p w14:paraId="1BB28090">
            <w:pPr>
              <w:widowControl/>
              <w:snapToGrid w:val="0"/>
              <w:rPr>
                <w:szCs w:val="21"/>
              </w:rPr>
            </w:pPr>
          </w:p>
        </w:tc>
        <w:tc>
          <w:tcPr>
            <w:tcW w:w="1041" w:type="pct"/>
            <w:tcMar>
              <w:top w:w="15" w:type="dxa"/>
              <w:left w:w="15" w:type="dxa"/>
              <w:right w:w="15" w:type="dxa"/>
            </w:tcMar>
            <w:vAlign w:val="center"/>
          </w:tcPr>
          <w:p w14:paraId="4985229A">
            <w:pPr>
              <w:widowControl/>
              <w:snapToGrid w:val="0"/>
              <w:textAlignment w:val="center"/>
              <w:rPr>
                <w:szCs w:val="21"/>
              </w:rPr>
            </w:pPr>
            <w:r>
              <w:rPr>
                <w:szCs w:val="21"/>
                <w:lang w:bidi="ar"/>
              </w:rPr>
              <w:t>2.4施工便道</w:t>
            </w:r>
            <w:r>
              <w:rPr>
                <w:rFonts w:hint="eastAsia"/>
                <w:szCs w:val="21"/>
                <w:lang w:bidi="ar"/>
              </w:rPr>
              <w:t>修整</w:t>
            </w:r>
          </w:p>
        </w:tc>
        <w:tc>
          <w:tcPr>
            <w:tcW w:w="3595" w:type="pct"/>
            <w:tcMar>
              <w:top w:w="15" w:type="dxa"/>
              <w:left w:w="15" w:type="dxa"/>
              <w:right w:w="15" w:type="dxa"/>
            </w:tcMar>
            <w:vAlign w:val="center"/>
          </w:tcPr>
          <w:p w14:paraId="7C042D39">
            <w:pPr>
              <w:widowControl/>
              <w:snapToGrid w:val="0"/>
              <w:textAlignment w:val="center"/>
              <w:rPr>
                <w:szCs w:val="21"/>
              </w:rPr>
            </w:pPr>
            <w:r>
              <w:rPr>
                <w:rFonts w:hint="eastAsia"/>
                <w:szCs w:val="21"/>
                <w:lang w:bidi="ar"/>
              </w:rPr>
              <w:t>施工车辆和机械</w:t>
            </w:r>
            <w:r>
              <w:rPr>
                <w:szCs w:val="21"/>
                <w:lang w:bidi="ar"/>
              </w:rPr>
              <w:t>产生机械尾气和机械噪声。</w:t>
            </w:r>
          </w:p>
        </w:tc>
      </w:tr>
      <w:tr w14:paraId="351B9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continue"/>
            <w:tcMar>
              <w:top w:w="15" w:type="dxa"/>
              <w:left w:w="15" w:type="dxa"/>
              <w:right w:w="15" w:type="dxa"/>
            </w:tcMar>
            <w:vAlign w:val="center"/>
          </w:tcPr>
          <w:p w14:paraId="38827AC2">
            <w:pPr>
              <w:widowControl/>
              <w:snapToGrid w:val="0"/>
              <w:rPr>
                <w:szCs w:val="21"/>
              </w:rPr>
            </w:pPr>
          </w:p>
        </w:tc>
        <w:tc>
          <w:tcPr>
            <w:tcW w:w="1041" w:type="pct"/>
            <w:tcMar>
              <w:top w:w="15" w:type="dxa"/>
              <w:left w:w="15" w:type="dxa"/>
              <w:right w:w="15" w:type="dxa"/>
            </w:tcMar>
            <w:vAlign w:val="center"/>
          </w:tcPr>
          <w:p w14:paraId="28754F49">
            <w:pPr>
              <w:widowControl/>
              <w:snapToGrid w:val="0"/>
              <w:textAlignment w:val="center"/>
              <w:rPr>
                <w:szCs w:val="21"/>
              </w:rPr>
            </w:pPr>
            <w:r>
              <w:rPr>
                <w:szCs w:val="21"/>
                <w:lang w:bidi="ar"/>
              </w:rPr>
              <w:t>2.5施工人员日常生活</w:t>
            </w:r>
          </w:p>
        </w:tc>
        <w:tc>
          <w:tcPr>
            <w:tcW w:w="3595" w:type="pct"/>
            <w:tcMar>
              <w:top w:w="15" w:type="dxa"/>
              <w:left w:w="15" w:type="dxa"/>
              <w:right w:w="15" w:type="dxa"/>
            </w:tcMar>
            <w:vAlign w:val="center"/>
          </w:tcPr>
          <w:p w14:paraId="00F04C31">
            <w:pPr>
              <w:widowControl/>
              <w:snapToGrid w:val="0"/>
              <w:textAlignment w:val="center"/>
              <w:rPr>
                <w:szCs w:val="21"/>
              </w:rPr>
            </w:pPr>
            <w:r>
              <w:rPr>
                <w:szCs w:val="21"/>
                <w:lang w:bidi="ar"/>
              </w:rPr>
              <w:t>生活污水、生活垃圾排放。</w:t>
            </w:r>
          </w:p>
        </w:tc>
      </w:tr>
      <w:tr w14:paraId="5CE30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continue"/>
            <w:tcMar>
              <w:top w:w="15" w:type="dxa"/>
              <w:left w:w="15" w:type="dxa"/>
              <w:right w:w="15" w:type="dxa"/>
            </w:tcMar>
            <w:vAlign w:val="center"/>
          </w:tcPr>
          <w:p w14:paraId="7390123E">
            <w:pPr>
              <w:widowControl/>
              <w:snapToGrid w:val="0"/>
              <w:rPr>
                <w:szCs w:val="21"/>
              </w:rPr>
            </w:pPr>
          </w:p>
        </w:tc>
        <w:tc>
          <w:tcPr>
            <w:tcW w:w="1041" w:type="pct"/>
            <w:tcMar>
              <w:top w:w="15" w:type="dxa"/>
              <w:left w:w="15" w:type="dxa"/>
              <w:right w:w="15" w:type="dxa"/>
            </w:tcMar>
            <w:vAlign w:val="center"/>
          </w:tcPr>
          <w:p w14:paraId="03108951">
            <w:pPr>
              <w:widowControl/>
              <w:snapToGrid w:val="0"/>
              <w:textAlignment w:val="center"/>
              <w:rPr>
                <w:szCs w:val="21"/>
              </w:rPr>
            </w:pPr>
            <w:r>
              <w:rPr>
                <w:szCs w:val="21"/>
                <w:lang w:bidi="ar"/>
              </w:rPr>
              <w:t>3穿跨越工程施工</w:t>
            </w:r>
          </w:p>
        </w:tc>
        <w:tc>
          <w:tcPr>
            <w:tcW w:w="3595" w:type="pct"/>
            <w:tcMar>
              <w:top w:w="15" w:type="dxa"/>
              <w:left w:w="15" w:type="dxa"/>
              <w:right w:w="15" w:type="dxa"/>
            </w:tcMar>
            <w:vAlign w:val="center"/>
          </w:tcPr>
          <w:p w14:paraId="529E510D">
            <w:pPr>
              <w:widowControl/>
              <w:snapToGrid w:val="0"/>
              <w:textAlignment w:val="center"/>
              <w:rPr>
                <w:szCs w:val="21"/>
              </w:rPr>
            </w:pPr>
            <w:r>
              <w:rPr>
                <w:szCs w:val="21"/>
                <w:lang w:bidi="ar"/>
              </w:rPr>
              <w:t>临时占用部分土地，短期影响土地的使用功能或类型。</w:t>
            </w:r>
          </w:p>
        </w:tc>
      </w:tr>
      <w:tr w14:paraId="4005F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continue"/>
            <w:tcMar>
              <w:top w:w="15" w:type="dxa"/>
              <w:left w:w="15" w:type="dxa"/>
              <w:right w:w="15" w:type="dxa"/>
            </w:tcMar>
            <w:vAlign w:val="center"/>
          </w:tcPr>
          <w:p w14:paraId="67302E27">
            <w:pPr>
              <w:widowControl/>
              <w:snapToGrid w:val="0"/>
              <w:rPr>
                <w:szCs w:val="21"/>
              </w:rPr>
            </w:pPr>
          </w:p>
        </w:tc>
        <w:tc>
          <w:tcPr>
            <w:tcW w:w="1041" w:type="pct"/>
            <w:tcMar>
              <w:top w:w="15" w:type="dxa"/>
              <w:left w:w="15" w:type="dxa"/>
              <w:right w:w="15" w:type="dxa"/>
            </w:tcMar>
            <w:vAlign w:val="center"/>
          </w:tcPr>
          <w:p w14:paraId="7CE2EF7B">
            <w:pPr>
              <w:widowControl/>
              <w:snapToGrid w:val="0"/>
              <w:textAlignment w:val="center"/>
              <w:rPr>
                <w:szCs w:val="21"/>
              </w:rPr>
            </w:pPr>
            <w:r>
              <w:rPr>
                <w:szCs w:val="21"/>
                <w:lang w:bidi="ar"/>
              </w:rPr>
              <w:t>3.</w:t>
            </w:r>
            <w:r>
              <w:rPr>
                <w:rFonts w:hint="eastAsia"/>
                <w:szCs w:val="21"/>
              </w:rPr>
              <w:t>1</w:t>
            </w:r>
            <w:r>
              <w:rPr>
                <w:rFonts w:hint="eastAsia"/>
                <w:i/>
                <w:iCs/>
                <w:color w:val="auto"/>
                <w:szCs w:val="21"/>
                <w:u w:val="single"/>
              </w:rPr>
              <w:t>顶管</w:t>
            </w:r>
            <w:r>
              <w:rPr>
                <w:i/>
                <w:iCs/>
                <w:color w:val="auto"/>
                <w:szCs w:val="21"/>
                <w:u w:val="single"/>
                <w:lang w:bidi="ar"/>
              </w:rPr>
              <w:t>穿越</w:t>
            </w:r>
            <w:r>
              <w:rPr>
                <w:rFonts w:hint="eastAsia"/>
                <w:i/>
                <w:iCs/>
                <w:color w:val="auto"/>
                <w:szCs w:val="21"/>
                <w:u w:val="single"/>
                <w:lang w:bidi="ar"/>
              </w:rPr>
              <w:t>国道</w:t>
            </w:r>
          </w:p>
        </w:tc>
        <w:tc>
          <w:tcPr>
            <w:tcW w:w="3595" w:type="pct"/>
            <w:tcMar>
              <w:top w:w="15" w:type="dxa"/>
              <w:left w:w="15" w:type="dxa"/>
              <w:right w:w="15" w:type="dxa"/>
            </w:tcMar>
            <w:vAlign w:val="center"/>
          </w:tcPr>
          <w:p w14:paraId="7AB31864">
            <w:pPr>
              <w:adjustRightInd w:val="0"/>
              <w:rPr>
                <w:szCs w:val="21"/>
              </w:rPr>
            </w:pPr>
            <w:r>
              <w:rPr>
                <w:szCs w:val="21"/>
              </w:rPr>
              <w:t>复合型事故风险影响，由于采用顶管施工工艺，事故发生概率极低。</w:t>
            </w:r>
          </w:p>
        </w:tc>
      </w:tr>
      <w:tr w14:paraId="048C7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continue"/>
            <w:tcMar>
              <w:top w:w="15" w:type="dxa"/>
              <w:left w:w="15" w:type="dxa"/>
              <w:right w:w="15" w:type="dxa"/>
            </w:tcMar>
            <w:vAlign w:val="center"/>
          </w:tcPr>
          <w:p w14:paraId="21EFA97F">
            <w:pPr>
              <w:widowControl/>
              <w:snapToGrid w:val="0"/>
              <w:rPr>
                <w:szCs w:val="21"/>
              </w:rPr>
            </w:pPr>
          </w:p>
        </w:tc>
        <w:tc>
          <w:tcPr>
            <w:tcW w:w="1041" w:type="pct"/>
            <w:tcMar>
              <w:top w:w="15" w:type="dxa"/>
              <w:left w:w="15" w:type="dxa"/>
              <w:right w:w="15" w:type="dxa"/>
            </w:tcMar>
            <w:vAlign w:val="center"/>
          </w:tcPr>
          <w:p w14:paraId="0211EED5">
            <w:pPr>
              <w:widowControl/>
              <w:snapToGrid w:val="0"/>
              <w:textAlignment w:val="center"/>
              <w:rPr>
                <w:szCs w:val="21"/>
                <w:lang w:bidi="ar"/>
              </w:rPr>
            </w:pPr>
            <w:r>
              <w:rPr>
                <w:rFonts w:hint="eastAsia"/>
                <w:szCs w:val="21"/>
                <w:lang w:bidi="ar"/>
              </w:rPr>
              <w:t>3</w:t>
            </w:r>
            <w:r>
              <w:rPr>
                <w:szCs w:val="21"/>
                <w:lang w:bidi="ar"/>
              </w:rPr>
              <w:t>.</w:t>
            </w:r>
            <w:r>
              <w:rPr>
                <w:rFonts w:hint="eastAsia"/>
                <w:szCs w:val="21"/>
                <w:lang w:bidi="ar"/>
              </w:rPr>
              <w:t>2开挖穿越非等级公路</w:t>
            </w:r>
          </w:p>
        </w:tc>
        <w:tc>
          <w:tcPr>
            <w:tcW w:w="3595" w:type="pct"/>
            <w:tcMar>
              <w:top w:w="15" w:type="dxa"/>
              <w:left w:w="15" w:type="dxa"/>
              <w:right w:w="15" w:type="dxa"/>
            </w:tcMar>
            <w:vAlign w:val="center"/>
          </w:tcPr>
          <w:p w14:paraId="27C346D7">
            <w:pPr>
              <w:adjustRightInd w:val="0"/>
              <w:rPr>
                <w:szCs w:val="21"/>
              </w:rPr>
            </w:pPr>
            <w:r>
              <w:rPr>
                <w:rFonts w:hint="eastAsia"/>
                <w:szCs w:val="21"/>
              </w:rPr>
              <w:t>开挖产生的</w:t>
            </w:r>
            <w:r>
              <w:rPr>
                <w:szCs w:val="21"/>
              </w:rPr>
              <w:t>回填土或废弃土石方处置不当，</w:t>
            </w:r>
            <w:r>
              <w:rPr>
                <w:rFonts w:hint="eastAsia"/>
                <w:szCs w:val="21"/>
              </w:rPr>
              <w:t>对堆放场地区域的农田或土壤造成污染。</w:t>
            </w:r>
          </w:p>
        </w:tc>
      </w:tr>
      <w:tr w14:paraId="25B59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continue"/>
            <w:tcMar>
              <w:top w:w="15" w:type="dxa"/>
              <w:left w:w="15" w:type="dxa"/>
              <w:right w:w="15" w:type="dxa"/>
            </w:tcMar>
            <w:vAlign w:val="center"/>
          </w:tcPr>
          <w:p w14:paraId="42933882">
            <w:pPr>
              <w:widowControl/>
              <w:snapToGrid w:val="0"/>
              <w:rPr>
                <w:szCs w:val="21"/>
              </w:rPr>
            </w:pPr>
          </w:p>
        </w:tc>
        <w:tc>
          <w:tcPr>
            <w:tcW w:w="1041" w:type="pct"/>
            <w:tcMar>
              <w:top w:w="15" w:type="dxa"/>
              <w:left w:w="15" w:type="dxa"/>
              <w:right w:w="15" w:type="dxa"/>
            </w:tcMar>
            <w:vAlign w:val="center"/>
          </w:tcPr>
          <w:p w14:paraId="7445C7EB">
            <w:pPr>
              <w:widowControl/>
              <w:snapToGrid w:val="0"/>
              <w:textAlignment w:val="center"/>
              <w:rPr>
                <w:szCs w:val="21"/>
                <w:lang w:bidi="ar"/>
              </w:rPr>
            </w:pPr>
            <w:r>
              <w:rPr>
                <w:szCs w:val="21"/>
              </w:rPr>
              <w:t>4</w:t>
            </w:r>
            <w:r>
              <w:rPr>
                <w:szCs w:val="21"/>
                <w:lang w:bidi="ar"/>
              </w:rPr>
              <w:t>名胜古迹保护</w:t>
            </w:r>
          </w:p>
        </w:tc>
        <w:tc>
          <w:tcPr>
            <w:tcW w:w="3595" w:type="pct"/>
            <w:tcMar>
              <w:top w:w="15" w:type="dxa"/>
              <w:left w:w="15" w:type="dxa"/>
              <w:right w:w="15" w:type="dxa"/>
            </w:tcMar>
            <w:vAlign w:val="center"/>
          </w:tcPr>
          <w:p w14:paraId="1F95E05E">
            <w:pPr>
              <w:widowControl/>
              <w:snapToGrid w:val="0"/>
              <w:textAlignment w:val="center"/>
              <w:rPr>
                <w:szCs w:val="21"/>
                <w:lang w:bidi="ar"/>
              </w:rPr>
            </w:pPr>
            <w:r>
              <w:rPr>
                <w:szCs w:val="21"/>
                <w:lang w:bidi="ar"/>
              </w:rPr>
              <w:t>本工程管线在选址路由时，不涉及地上名胜古迹，但在施工中如发现地下文物时，应停止施工，及时向当地文物部门报告。</w:t>
            </w:r>
          </w:p>
        </w:tc>
      </w:tr>
      <w:tr w14:paraId="3D1B3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continue"/>
            <w:tcMar>
              <w:top w:w="15" w:type="dxa"/>
              <w:left w:w="15" w:type="dxa"/>
              <w:right w:w="15" w:type="dxa"/>
            </w:tcMar>
            <w:vAlign w:val="center"/>
          </w:tcPr>
          <w:p w14:paraId="2670699E">
            <w:pPr>
              <w:widowControl/>
              <w:snapToGrid w:val="0"/>
              <w:rPr>
                <w:szCs w:val="21"/>
              </w:rPr>
            </w:pPr>
          </w:p>
        </w:tc>
        <w:tc>
          <w:tcPr>
            <w:tcW w:w="1041" w:type="pct"/>
            <w:tcMar>
              <w:top w:w="15" w:type="dxa"/>
              <w:left w:w="15" w:type="dxa"/>
              <w:right w:w="15" w:type="dxa"/>
            </w:tcMar>
            <w:vAlign w:val="center"/>
          </w:tcPr>
          <w:p w14:paraId="5FAF931B">
            <w:pPr>
              <w:widowControl/>
              <w:snapToGrid w:val="0"/>
              <w:textAlignment w:val="center"/>
              <w:rPr>
                <w:szCs w:val="21"/>
              </w:rPr>
            </w:pPr>
            <w:r>
              <w:rPr>
                <w:szCs w:val="21"/>
                <w:lang w:bidi="ar"/>
              </w:rPr>
              <w:t>5</w:t>
            </w:r>
            <w:r>
              <w:rPr>
                <w:szCs w:val="21"/>
              </w:rPr>
              <w:t>清管、</w:t>
            </w:r>
            <w:r>
              <w:rPr>
                <w:szCs w:val="21"/>
                <w:lang w:bidi="ar"/>
              </w:rPr>
              <w:t>试压</w:t>
            </w:r>
          </w:p>
        </w:tc>
        <w:tc>
          <w:tcPr>
            <w:tcW w:w="3595" w:type="pct"/>
            <w:tcMar>
              <w:top w:w="15" w:type="dxa"/>
              <w:left w:w="15" w:type="dxa"/>
              <w:right w:w="15" w:type="dxa"/>
            </w:tcMar>
            <w:vAlign w:val="center"/>
          </w:tcPr>
          <w:p w14:paraId="4BE6BE45">
            <w:pPr>
              <w:adjustRightInd w:val="0"/>
              <w:rPr>
                <w:szCs w:val="21"/>
              </w:rPr>
            </w:pPr>
            <w:r>
              <w:rPr>
                <w:szCs w:val="21"/>
              </w:rPr>
              <w:t>废水排放对区域水环境短期内可能产生一定的影响，所</w:t>
            </w:r>
            <w:r>
              <w:rPr>
                <w:rFonts w:hint="eastAsia"/>
                <w:szCs w:val="21"/>
              </w:rPr>
              <w:t>产生</w:t>
            </w:r>
            <w:r>
              <w:rPr>
                <w:szCs w:val="21"/>
              </w:rPr>
              <w:t>废水经</w:t>
            </w:r>
            <w:r>
              <w:rPr>
                <w:rFonts w:hint="eastAsia"/>
                <w:szCs w:val="21"/>
              </w:rPr>
              <w:t>过滤</w:t>
            </w:r>
            <w:r>
              <w:rPr>
                <w:szCs w:val="21"/>
              </w:rPr>
              <w:t>处理后</w:t>
            </w:r>
            <w:r>
              <w:rPr>
                <w:rFonts w:hint="eastAsia"/>
                <w:szCs w:val="21"/>
              </w:rPr>
              <w:t>用于农田灌溉或道路洒水</w:t>
            </w:r>
            <w:r>
              <w:rPr>
                <w:szCs w:val="21"/>
              </w:rPr>
              <w:t>。</w:t>
            </w:r>
          </w:p>
        </w:tc>
      </w:tr>
      <w:tr w14:paraId="6BAB8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continue"/>
            <w:tcMar>
              <w:top w:w="15" w:type="dxa"/>
              <w:left w:w="15" w:type="dxa"/>
              <w:right w:w="15" w:type="dxa"/>
            </w:tcMar>
            <w:vAlign w:val="center"/>
          </w:tcPr>
          <w:p w14:paraId="2DE408B9">
            <w:pPr>
              <w:widowControl/>
              <w:snapToGrid w:val="0"/>
              <w:rPr>
                <w:szCs w:val="21"/>
              </w:rPr>
            </w:pPr>
          </w:p>
        </w:tc>
        <w:tc>
          <w:tcPr>
            <w:tcW w:w="1041" w:type="pct"/>
            <w:tcMar>
              <w:top w:w="15" w:type="dxa"/>
              <w:left w:w="15" w:type="dxa"/>
              <w:right w:w="15" w:type="dxa"/>
            </w:tcMar>
            <w:vAlign w:val="center"/>
          </w:tcPr>
          <w:p w14:paraId="3D3920A4">
            <w:pPr>
              <w:widowControl/>
              <w:snapToGrid w:val="0"/>
              <w:textAlignment w:val="center"/>
              <w:rPr>
                <w:szCs w:val="21"/>
                <w:lang w:bidi="ar"/>
              </w:rPr>
            </w:pPr>
            <w:r>
              <w:rPr>
                <w:szCs w:val="21"/>
              </w:rPr>
              <w:t>6</w:t>
            </w:r>
            <w:r>
              <w:rPr>
                <w:rFonts w:hint="eastAsia"/>
                <w:szCs w:val="21"/>
              </w:rPr>
              <w:t>管线联通</w:t>
            </w:r>
          </w:p>
        </w:tc>
        <w:tc>
          <w:tcPr>
            <w:tcW w:w="3595" w:type="pct"/>
            <w:tcMar>
              <w:top w:w="15" w:type="dxa"/>
              <w:left w:w="15" w:type="dxa"/>
              <w:right w:w="15" w:type="dxa"/>
            </w:tcMar>
            <w:vAlign w:val="center"/>
          </w:tcPr>
          <w:p w14:paraId="784F09B3">
            <w:pPr>
              <w:adjustRightInd w:val="0"/>
              <w:rPr>
                <w:szCs w:val="21"/>
              </w:rPr>
            </w:pPr>
            <w:r>
              <w:rPr>
                <w:rFonts w:hint="eastAsia"/>
                <w:szCs w:val="21"/>
              </w:rPr>
              <w:t>28号阀室</w:t>
            </w:r>
            <w:r>
              <w:rPr>
                <w:szCs w:val="21"/>
              </w:rPr>
              <w:t>放空天然气排放。</w:t>
            </w:r>
          </w:p>
        </w:tc>
      </w:tr>
      <w:tr w14:paraId="62C9C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restart"/>
            <w:noWrap/>
            <w:tcMar>
              <w:top w:w="15" w:type="dxa"/>
              <w:left w:w="15" w:type="dxa"/>
              <w:right w:w="15" w:type="dxa"/>
            </w:tcMar>
            <w:vAlign w:val="center"/>
          </w:tcPr>
          <w:p w14:paraId="4D7A894B">
            <w:pPr>
              <w:widowControl/>
              <w:snapToGrid w:val="0"/>
              <w:textAlignment w:val="center"/>
              <w:rPr>
                <w:szCs w:val="21"/>
              </w:rPr>
            </w:pPr>
            <w:r>
              <w:rPr>
                <w:szCs w:val="21"/>
                <w:lang w:bidi="ar"/>
              </w:rPr>
              <w:t>运营期</w:t>
            </w:r>
          </w:p>
        </w:tc>
        <w:tc>
          <w:tcPr>
            <w:tcW w:w="1041" w:type="pct"/>
            <w:tcMar>
              <w:top w:w="15" w:type="dxa"/>
              <w:left w:w="15" w:type="dxa"/>
              <w:right w:w="15" w:type="dxa"/>
            </w:tcMar>
            <w:vAlign w:val="center"/>
          </w:tcPr>
          <w:p w14:paraId="4389FC9F">
            <w:pPr>
              <w:widowControl/>
              <w:snapToGrid w:val="0"/>
              <w:textAlignment w:val="center"/>
              <w:rPr>
                <w:szCs w:val="21"/>
              </w:rPr>
            </w:pPr>
            <w:r>
              <w:rPr>
                <w:szCs w:val="21"/>
                <w:lang w:bidi="ar"/>
              </w:rPr>
              <w:t>7管道运营</w:t>
            </w:r>
          </w:p>
        </w:tc>
        <w:tc>
          <w:tcPr>
            <w:tcW w:w="3595" w:type="pct"/>
            <w:tcMar>
              <w:top w:w="15" w:type="dxa"/>
              <w:left w:w="15" w:type="dxa"/>
              <w:right w:w="15" w:type="dxa"/>
            </w:tcMar>
            <w:vAlign w:val="center"/>
          </w:tcPr>
          <w:p w14:paraId="4E13B5A2">
            <w:pPr>
              <w:widowControl/>
              <w:snapToGrid w:val="0"/>
              <w:textAlignment w:val="center"/>
              <w:rPr>
                <w:szCs w:val="21"/>
                <w:lang w:bidi="ar"/>
              </w:rPr>
            </w:pPr>
            <w:r>
              <w:rPr>
                <w:szCs w:val="21"/>
                <w:lang w:bidi="ar"/>
              </w:rPr>
              <w:t>正常工况下，无污染产生。</w:t>
            </w:r>
          </w:p>
          <w:p w14:paraId="339D44B2">
            <w:pPr>
              <w:widowControl/>
              <w:snapToGrid w:val="0"/>
              <w:textAlignment w:val="center"/>
              <w:rPr>
                <w:szCs w:val="21"/>
                <w:lang w:bidi="ar"/>
              </w:rPr>
            </w:pPr>
            <w:r>
              <w:rPr>
                <w:szCs w:val="21"/>
                <w:lang w:bidi="ar"/>
              </w:rPr>
              <w:t>事故状态：</w:t>
            </w:r>
          </w:p>
          <w:p w14:paraId="30D52654">
            <w:pPr>
              <w:pStyle w:val="1343"/>
              <w:jc w:val="left"/>
              <w:rPr>
                <w:lang w:bidi="ar"/>
              </w:rPr>
            </w:pPr>
            <w:r>
              <w:rPr>
                <w:lang w:bidi="ar"/>
              </w:rPr>
              <w:fldChar w:fldCharType="begin"/>
            </w:r>
            <w:r>
              <w:rPr>
                <w:lang w:bidi="ar"/>
              </w:rPr>
              <w:instrText xml:space="preserve"> = 1 \* GB3 </w:instrText>
            </w:r>
            <w:r>
              <w:rPr>
                <w:lang w:bidi="ar"/>
              </w:rPr>
              <w:fldChar w:fldCharType="separate"/>
            </w:r>
            <w:r>
              <w:rPr>
                <w:rFonts w:hint="eastAsia" w:ascii="宋体" w:hAnsi="宋体" w:cs="宋体"/>
                <w:lang w:bidi="ar"/>
              </w:rPr>
              <w:t>①</w:t>
            </w:r>
            <w:r>
              <w:rPr>
                <w:lang w:bidi="ar"/>
              </w:rPr>
              <w:fldChar w:fldCharType="end"/>
            </w:r>
            <w:r>
              <w:rPr>
                <w:lang w:bidi="ar"/>
              </w:rPr>
              <w:t>管线发生泄漏对管线两侧环境和人员的影响；</w:t>
            </w:r>
          </w:p>
          <w:p w14:paraId="054D3878">
            <w:pPr>
              <w:widowControl/>
              <w:snapToGrid w:val="0"/>
              <w:textAlignment w:val="center"/>
              <w:rPr>
                <w:szCs w:val="21"/>
              </w:rPr>
            </w:pPr>
            <w:r>
              <w:rPr>
                <w:rFonts w:hint="eastAsia" w:ascii="宋体" w:hAnsi="宋体" w:cs="宋体"/>
                <w:szCs w:val="21"/>
                <w:lang w:bidi="ar"/>
              </w:rPr>
              <w:t>②</w:t>
            </w:r>
            <w:r>
              <w:rPr>
                <w:szCs w:val="21"/>
                <w:lang w:bidi="ar"/>
              </w:rPr>
              <w:t>天然气遇明火引起火灾或爆炸事故，对事故区域环境空气质量和管线两侧人员和环境产生的影响。</w:t>
            </w:r>
          </w:p>
        </w:tc>
      </w:tr>
      <w:tr w14:paraId="3AB3C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63" w:type="pct"/>
            <w:vMerge w:val="continue"/>
            <w:noWrap/>
            <w:tcMar>
              <w:top w:w="15" w:type="dxa"/>
              <w:left w:w="15" w:type="dxa"/>
              <w:right w:w="15" w:type="dxa"/>
            </w:tcMar>
            <w:vAlign w:val="center"/>
          </w:tcPr>
          <w:p w14:paraId="6F4C8453">
            <w:pPr>
              <w:widowControl/>
              <w:snapToGrid w:val="0"/>
              <w:rPr>
                <w:szCs w:val="21"/>
              </w:rPr>
            </w:pPr>
          </w:p>
        </w:tc>
        <w:tc>
          <w:tcPr>
            <w:tcW w:w="1041" w:type="pct"/>
            <w:tcMar>
              <w:top w:w="15" w:type="dxa"/>
              <w:left w:w="15" w:type="dxa"/>
              <w:right w:w="15" w:type="dxa"/>
            </w:tcMar>
            <w:vAlign w:val="center"/>
          </w:tcPr>
          <w:p w14:paraId="2B3686F8">
            <w:pPr>
              <w:widowControl/>
              <w:snapToGrid w:val="0"/>
              <w:textAlignment w:val="center"/>
              <w:rPr>
                <w:szCs w:val="21"/>
              </w:rPr>
            </w:pPr>
            <w:r>
              <w:rPr>
                <w:szCs w:val="21"/>
                <w:lang w:bidi="ar"/>
              </w:rPr>
              <w:t>8站场</w:t>
            </w:r>
            <w:r>
              <w:rPr>
                <w:rFonts w:hint="eastAsia"/>
                <w:szCs w:val="21"/>
                <w:lang w:bidi="ar"/>
              </w:rPr>
              <w:t>、阀室</w:t>
            </w:r>
          </w:p>
        </w:tc>
        <w:tc>
          <w:tcPr>
            <w:tcW w:w="3595" w:type="pct"/>
            <w:tcMar>
              <w:top w:w="15" w:type="dxa"/>
              <w:left w:w="15" w:type="dxa"/>
              <w:right w:w="15" w:type="dxa"/>
            </w:tcMar>
            <w:vAlign w:val="center"/>
          </w:tcPr>
          <w:p w14:paraId="3B2FDEAA">
            <w:pPr>
              <w:widowControl/>
              <w:snapToGrid w:val="0"/>
              <w:textAlignment w:val="center"/>
              <w:rPr>
                <w:szCs w:val="21"/>
                <w:lang w:bidi="ar"/>
              </w:rPr>
            </w:pPr>
            <w:r>
              <w:rPr>
                <w:szCs w:val="21"/>
                <w:lang w:bidi="ar"/>
              </w:rPr>
              <w:t>正常工况下：</w:t>
            </w:r>
          </w:p>
          <w:p w14:paraId="4FE11636">
            <w:pPr>
              <w:pStyle w:val="241"/>
              <w:widowControl/>
              <w:snapToGrid w:val="0"/>
              <w:ind w:firstLine="0" w:firstLineChars="0"/>
              <w:textAlignment w:val="center"/>
              <w:rPr>
                <w:szCs w:val="21"/>
                <w:lang w:bidi="ar"/>
              </w:rPr>
            </w:pPr>
            <w:r>
              <w:rPr>
                <w:szCs w:val="21"/>
                <w:lang w:bidi="ar"/>
              </w:rPr>
              <w:fldChar w:fldCharType="begin"/>
            </w:r>
            <w:r>
              <w:rPr>
                <w:szCs w:val="21"/>
                <w:lang w:bidi="ar"/>
              </w:rPr>
              <w:instrText xml:space="preserve"> = 1 \* GB3 </w:instrText>
            </w:r>
            <w:r>
              <w:rPr>
                <w:szCs w:val="21"/>
                <w:lang w:bidi="ar"/>
              </w:rPr>
              <w:fldChar w:fldCharType="separate"/>
            </w:r>
            <w:r>
              <w:rPr>
                <w:rFonts w:hint="eastAsia" w:ascii="宋体" w:hAnsi="宋体" w:cs="宋体"/>
                <w:szCs w:val="21"/>
                <w:lang w:bidi="ar"/>
              </w:rPr>
              <w:t>①</w:t>
            </w:r>
            <w:r>
              <w:rPr>
                <w:szCs w:val="21"/>
                <w:lang w:bidi="ar"/>
              </w:rPr>
              <w:fldChar w:fldCharType="end"/>
            </w:r>
            <w:r>
              <w:rPr>
                <w:szCs w:val="21"/>
                <w:lang w:bidi="ar"/>
              </w:rPr>
              <w:t>站场阀门等无组织挥发的少量非甲烷总烃废气</w:t>
            </w:r>
            <w:r>
              <w:rPr>
                <w:rFonts w:hint="eastAsia"/>
                <w:szCs w:val="21"/>
                <w:lang w:bidi="ar"/>
              </w:rPr>
              <w:t>；</w:t>
            </w:r>
          </w:p>
          <w:p w14:paraId="0591679A">
            <w:pPr>
              <w:widowControl/>
              <w:snapToGrid w:val="0"/>
              <w:textAlignment w:val="center"/>
              <w:rPr>
                <w:rFonts w:hint="eastAsia" w:ascii="宋体" w:hAnsi="宋体" w:cs="宋体"/>
                <w:szCs w:val="21"/>
                <w:lang w:bidi="ar"/>
              </w:rPr>
            </w:pPr>
            <w:r>
              <w:rPr>
                <w:rFonts w:hint="eastAsia" w:ascii="宋体" w:hAnsi="宋体" w:cs="宋体"/>
                <w:szCs w:val="21"/>
                <w:lang w:bidi="ar"/>
              </w:rPr>
              <w:t>②耒阳分输站巡检人员产生的少量生活污水；</w:t>
            </w:r>
          </w:p>
          <w:p w14:paraId="4CF839B6">
            <w:pPr>
              <w:widowControl/>
              <w:snapToGrid w:val="0"/>
              <w:textAlignment w:val="center"/>
              <w:rPr>
                <w:rStyle w:val="1345"/>
              </w:rPr>
            </w:pPr>
            <w:r>
              <w:rPr>
                <w:rFonts w:hint="eastAsia" w:ascii="宋体" w:hAnsi="宋体" w:cs="宋体"/>
                <w:szCs w:val="21"/>
                <w:lang w:bidi="ar"/>
              </w:rPr>
              <w:t>③</w:t>
            </w:r>
            <w:r>
              <w:rPr>
                <w:szCs w:val="21"/>
                <w:lang w:bidi="ar"/>
              </w:rPr>
              <w:t>分离器</w:t>
            </w:r>
            <w:r>
              <w:rPr>
                <w:rStyle w:val="1345"/>
              </w:rPr>
              <w:t>检修产生的</w:t>
            </w:r>
            <w:r>
              <w:rPr>
                <w:rStyle w:val="1345"/>
                <w:rFonts w:hint="eastAsia"/>
              </w:rPr>
              <w:t>分离器检修废渣、废滤芯和废铅酸蓄电池等</w:t>
            </w:r>
            <w:r>
              <w:rPr>
                <w:rStyle w:val="1345"/>
              </w:rPr>
              <w:t>；</w:t>
            </w:r>
          </w:p>
          <w:p w14:paraId="7ACDCE04">
            <w:pPr>
              <w:widowControl/>
              <w:snapToGrid w:val="0"/>
              <w:textAlignment w:val="center"/>
              <w:rPr>
                <w:szCs w:val="21"/>
                <w:lang w:bidi="ar"/>
              </w:rPr>
            </w:pPr>
            <w:r>
              <w:rPr>
                <w:szCs w:val="21"/>
                <w:lang w:bidi="ar"/>
              </w:rPr>
              <w:fldChar w:fldCharType="begin"/>
            </w:r>
            <w:r>
              <w:rPr>
                <w:szCs w:val="21"/>
                <w:lang w:bidi="ar"/>
              </w:rPr>
              <w:instrText xml:space="preserve"> = 4 \* GB3 </w:instrText>
            </w:r>
            <w:r>
              <w:rPr>
                <w:szCs w:val="21"/>
                <w:lang w:bidi="ar"/>
              </w:rPr>
              <w:fldChar w:fldCharType="separate"/>
            </w:r>
            <w:r>
              <w:rPr>
                <w:rFonts w:hint="eastAsia" w:ascii="宋体" w:hAnsi="宋体" w:cs="宋体"/>
                <w:szCs w:val="21"/>
                <w:lang w:bidi="ar"/>
              </w:rPr>
              <w:t>④</w:t>
            </w:r>
            <w:r>
              <w:rPr>
                <w:szCs w:val="21"/>
                <w:lang w:bidi="ar"/>
              </w:rPr>
              <w:fldChar w:fldCharType="end"/>
            </w:r>
            <w:r>
              <w:rPr>
                <w:szCs w:val="21"/>
                <w:lang w:bidi="ar"/>
              </w:rPr>
              <w:t>非正常工况下分离器检修、超压放空时，排放的少量非甲烷总烃废气；</w:t>
            </w:r>
            <w:r>
              <w:rPr>
                <w:rFonts w:hint="eastAsia"/>
                <w:szCs w:val="21"/>
                <w:lang w:bidi="ar"/>
              </w:rPr>
              <w:t>备用柴油发电机燃烧烟气；</w:t>
            </w:r>
          </w:p>
          <w:p w14:paraId="40E9F96E">
            <w:pPr>
              <w:widowControl/>
              <w:snapToGrid w:val="0"/>
              <w:textAlignment w:val="center"/>
              <w:rPr>
                <w:szCs w:val="21"/>
                <w:lang w:bidi="ar"/>
              </w:rPr>
            </w:pPr>
            <w:r>
              <w:rPr>
                <w:szCs w:val="21"/>
                <w:lang w:bidi="ar"/>
              </w:rPr>
              <w:fldChar w:fldCharType="begin"/>
            </w:r>
            <w:r>
              <w:rPr>
                <w:szCs w:val="21"/>
                <w:lang w:bidi="ar"/>
              </w:rPr>
              <w:instrText xml:space="preserve"> = 5 \* GB3 </w:instrText>
            </w:r>
            <w:r>
              <w:rPr>
                <w:szCs w:val="21"/>
                <w:lang w:bidi="ar"/>
              </w:rPr>
              <w:fldChar w:fldCharType="separate"/>
            </w:r>
            <w:r>
              <w:rPr>
                <w:rFonts w:hint="eastAsia" w:ascii="宋体" w:hAnsi="宋体" w:cs="宋体"/>
                <w:szCs w:val="21"/>
                <w:lang w:bidi="ar"/>
              </w:rPr>
              <w:t>⑤</w:t>
            </w:r>
            <w:r>
              <w:rPr>
                <w:szCs w:val="21"/>
                <w:lang w:bidi="ar"/>
              </w:rPr>
              <w:fldChar w:fldCharType="end"/>
            </w:r>
            <w:r>
              <w:rPr>
                <w:szCs w:val="21"/>
                <w:lang w:bidi="ar"/>
              </w:rPr>
              <w:t>噪声源主要新增过滤分离器等，强度为</w:t>
            </w:r>
            <w:r>
              <w:rPr>
                <w:rFonts w:hint="eastAsia"/>
                <w:szCs w:val="21"/>
                <w:lang w:bidi="ar"/>
              </w:rPr>
              <w:t>5</w:t>
            </w:r>
            <w:r>
              <w:rPr>
                <w:szCs w:val="21"/>
                <w:lang w:bidi="ar"/>
              </w:rPr>
              <w:t>5～</w:t>
            </w:r>
            <w:r>
              <w:rPr>
                <w:rFonts w:hint="eastAsia"/>
                <w:szCs w:val="21"/>
                <w:lang w:bidi="ar"/>
              </w:rPr>
              <w:t>7</w:t>
            </w:r>
            <w:r>
              <w:rPr>
                <w:szCs w:val="21"/>
                <w:lang w:bidi="ar"/>
              </w:rPr>
              <w:t>5dB(A)；</w:t>
            </w:r>
          </w:p>
          <w:p w14:paraId="062F496F">
            <w:pPr>
              <w:widowControl/>
              <w:snapToGrid w:val="0"/>
              <w:textAlignment w:val="center"/>
              <w:rPr>
                <w:szCs w:val="21"/>
                <w:lang w:bidi="ar"/>
              </w:rPr>
            </w:pPr>
            <w:r>
              <w:rPr>
                <w:rFonts w:hint="eastAsia"/>
                <w:szCs w:val="21"/>
                <w:lang w:bidi="ar"/>
              </w:rPr>
              <w:t>⑥</w:t>
            </w:r>
            <w:r>
              <w:rPr>
                <w:szCs w:val="21"/>
                <w:lang w:bidi="ar"/>
              </w:rPr>
              <w:t>非正常工况下放空噪声。</w:t>
            </w:r>
          </w:p>
          <w:p w14:paraId="2A9655DE">
            <w:pPr>
              <w:widowControl/>
              <w:snapToGrid w:val="0"/>
              <w:textAlignment w:val="center"/>
              <w:rPr>
                <w:szCs w:val="21"/>
                <w:lang w:bidi="ar"/>
              </w:rPr>
            </w:pPr>
            <w:r>
              <w:rPr>
                <w:szCs w:val="21"/>
                <w:lang w:bidi="ar"/>
              </w:rPr>
              <w:t>事故状态：</w:t>
            </w:r>
          </w:p>
          <w:p w14:paraId="64CEE7AB">
            <w:pPr>
              <w:widowControl/>
              <w:snapToGrid w:val="0"/>
              <w:jc w:val="left"/>
              <w:textAlignment w:val="center"/>
              <w:rPr>
                <w:szCs w:val="21"/>
                <w:lang w:bidi="ar"/>
              </w:rPr>
            </w:pPr>
            <w:r>
              <w:rPr>
                <w:szCs w:val="21"/>
                <w:lang w:bidi="ar"/>
              </w:rPr>
              <w:fldChar w:fldCharType="begin"/>
            </w:r>
            <w:r>
              <w:rPr>
                <w:szCs w:val="21"/>
                <w:lang w:bidi="ar"/>
              </w:rPr>
              <w:instrText xml:space="preserve"> = 1 \* GB3 </w:instrText>
            </w:r>
            <w:r>
              <w:rPr>
                <w:szCs w:val="21"/>
                <w:lang w:bidi="ar"/>
              </w:rPr>
              <w:fldChar w:fldCharType="separate"/>
            </w:r>
            <w:r>
              <w:rPr>
                <w:rFonts w:hint="eastAsia" w:ascii="宋体" w:hAnsi="宋体" w:cs="宋体"/>
                <w:szCs w:val="21"/>
                <w:lang w:bidi="ar"/>
              </w:rPr>
              <w:t>①</w:t>
            </w:r>
            <w:r>
              <w:rPr>
                <w:szCs w:val="21"/>
                <w:lang w:bidi="ar"/>
              </w:rPr>
              <w:fldChar w:fldCharType="end"/>
            </w:r>
            <w:r>
              <w:rPr>
                <w:szCs w:val="21"/>
                <w:lang w:bidi="ar"/>
              </w:rPr>
              <w:t>工艺站场发生泄漏对站场周围环境和人员的影响；</w:t>
            </w:r>
          </w:p>
          <w:p w14:paraId="5FCDB45B">
            <w:pPr>
              <w:pStyle w:val="1343"/>
              <w:jc w:val="left"/>
            </w:pPr>
            <w:r>
              <w:rPr>
                <w:lang w:bidi="ar"/>
              </w:rPr>
              <w:fldChar w:fldCharType="begin"/>
            </w:r>
            <w:r>
              <w:rPr>
                <w:lang w:bidi="ar"/>
              </w:rPr>
              <w:instrText xml:space="preserve"> = 2 \* GB3 </w:instrText>
            </w:r>
            <w:r>
              <w:rPr>
                <w:lang w:bidi="ar"/>
              </w:rPr>
              <w:fldChar w:fldCharType="separate"/>
            </w:r>
            <w:r>
              <w:rPr>
                <w:rFonts w:hint="eastAsia" w:ascii="宋体" w:hAnsi="宋体" w:cs="宋体"/>
                <w:lang w:bidi="ar"/>
              </w:rPr>
              <w:t>②</w:t>
            </w:r>
            <w:r>
              <w:rPr>
                <w:lang w:bidi="ar"/>
              </w:rPr>
              <w:fldChar w:fldCharType="end"/>
            </w:r>
            <w:r>
              <w:rPr>
                <w:lang w:bidi="ar"/>
              </w:rPr>
              <w:t>天然气遇明火引起火灾或爆炸事故，对事故区域环境空气质量和站场周围人员和环境产生的影响。</w:t>
            </w:r>
          </w:p>
        </w:tc>
      </w:tr>
    </w:tbl>
    <w:p w14:paraId="3DAB4FFA">
      <w:pPr>
        <w:pStyle w:val="904"/>
        <w:spacing w:before="120" w:beforeLines="50"/>
      </w:pPr>
      <w:r>
        <w:t xml:space="preserve">表 </w:t>
      </w:r>
      <w:r>
        <w:fldChar w:fldCharType="begin"/>
      </w:r>
      <w:r>
        <w:instrText xml:space="preserve"> STYLEREF 2 \s </w:instrText>
      </w:r>
      <w:r>
        <w:fldChar w:fldCharType="separate"/>
      </w:r>
      <w:r>
        <w:t>2.4</w:t>
      </w:r>
      <w:r>
        <w:fldChar w:fldCharType="end"/>
      </w:r>
      <w:r>
        <w:noBreakHyphen/>
      </w:r>
      <w:r>
        <w:fldChar w:fldCharType="begin"/>
      </w:r>
      <w:r>
        <w:instrText xml:space="preserve"> SEQ 表 \* ARABIC \s 2 </w:instrText>
      </w:r>
      <w:r>
        <w:fldChar w:fldCharType="separate"/>
      </w:r>
      <w:r>
        <w:t>2</w:t>
      </w:r>
      <w:r>
        <w:fldChar w:fldCharType="end"/>
      </w:r>
      <w:r>
        <w:t>环境影响要素识别表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10"/>
        <w:gridCol w:w="574"/>
        <w:gridCol w:w="634"/>
        <w:gridCol w:w="569"/>
        <w:gridCol w:w="832"/>
        <w:gridCol w:w="716"/>
        <w:gridCol w:w="705"/>
        <w:gridCol w:w="796"/>
        <w:gridCol w:w="825"/>
        <w:gridCol w:w="788"/>
        <w:gridCol w:w="783"/>
        <w:gridCol w:w="848"/>
      </w:tblGrid>
      <w:tr w14:paraId="61BA3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6" w:type="pct"/>
            <w:vMerge w:val="restart"/>
            <w:vAlign w:val="center"/>
          </w:tcPr>
          <w:p w14:paraId="163BD925">
            <w:pPr>
              <w:jc w:val="center"/>
              <w:rPr>
                <w:b/>
                <w:szCs w:val="21"/>
              </w:rPr>
            </w:pPr>
            <w:r>
              <w:rPr>
                <w:b/>
                <w:szCs w:val="21"/>
              </w:rPr>
              <w:t>环境要素</w:t>
            </w:r>
          </w:p>
        </w:tc>
        <w:tc>
          <w:tcPr>
            <w:tcW w:w="1436" w:type="pct"/>
            <w:gridSpan w:val="4"/>
            <w:vAlign w:val="center"/>
          </w:tcPr>
          <w:p w14:paraId="050F951F">
            <w:pPr>
              <w:jc w:val="center"/>
              <w:rPr>
                <w:b/>
                <w:szCs w:val="21"/>
              </w:rPr>
            </w:pPr>
            <w:r>
              <w:rPr>
                <w:b/>
                <w:szCs w:val="21"/>
              </w:rPr>
              <w:t>施工期</w:t>
            </w:r>
          </w:p>
        </w:tc>
        <w:tc>
          <w:tcPr>
            <w:tcW w:w="1674" w:type="pct"/>
            <w:gridSpan w:val="4"/>
            <w:vAlign w:val="center"/>
          </w:tcPr>
          <w:p w14:paraId="1CD4C357">
            <w:pPr>
              <w:jc w:val="center"/>
              <w:rPr>
                <w:b/>
                <w:szCs w:val="21"/>
              </w:rPr>
            </w:pPr>
            <w:r>
              <w:rPr>
                <w:b/>
                <w:szCs w:val="21"/>
              </w:rPr>
              <w:t>营运期</w:t>
            </w:r>
          </w:p>
        </w:tc>
        <w:tc>
          <w:tcPr>
            <w:tcW w:w="1332" w:type="pct"/>
            <w:gridSpan w:val="3"/>
            <w:vAlign w:val="center"/>
          </w:tcPr>
          <w:p w14:paraId="72F45A0B">
            <w:pPr>
              <w:jc w:val="center"/>
              <w:rPr>
                <w:b/>
                <w:szCs w:val="21"/>
              </w:rPr>
            </w:pPr>
            <w:r>
              <w:rPr>
                <w:b/>
                <w:szCs w:val="21"/>
              </w:rPr>
              <w:t>非正常工况</w:t>
            </w:r>
          </w:p>
        </w:tc>
      </w:tr>
      <w:tr w14:paraId="7DF08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6" w:type="pct"/>
            <w:vMerge w:val="continue"/>
            <w:vAlign w:val="center"/>
          </w:tcPr>
          <w:p w14:paraId="766C8EFD">
            <w:pPr>
              <w:adjustRightInd w:val="0"/>
              <w:snapToGrid w:val="0"/>
              <w:jc w:val="center"/>
              <w:rPr>
                <w:szCs w:val="21"/>
              </w:rPr>
            </w:pPr>
          </w:p>
        </w:tc>
        <w:tc>
          <w:tcPr>
            <w:tcW w:w="316" w:type="pct"/>
            <w:vAlign w:val="center"/>
          </w:tcPr>
          <w:p w14:paraId="52B6CDA6">
            <w:pPr>
              <w:jc w:val="center"/>
              <w:rPr>
                <w:szCs w:val="21"/>
              </w:rPr>
            </w:pPr>
            <w:r>
              <w:rPr>
                <w:szCs w:val="21"/>
              </w:rPr>
              <w:t>有利</w:t>
            </w:r>
          </w:p>
          <w:p w14:paraId="0305B963">
            <w:pPr>
              <w:jc w:val="center"/>
              <w:rPr>
                <w:szCs w:val="21"/>
              </w:rPr>
            </w:pPr>
            <w:r>
              <w:rPr>
                <w:szCs w:val="21"/>
              </w:rPr>
              <w:t>影响</w:t>
            </w:r>
          </w:p>
        </w:tc>
        <w:tc>
          <w:tcPr>
            <w:tcW w:w="349" w:type="pct"/>
            <w:vAlign w:val="center"/>
          </w:tcPr>
          <w:p w14:paraId="768E0954">
            <w:pPr>
              <w:jc w:val="center"/>
              <w:rPr>
                <w:szCs w:val="21"/>
              </w:rPr>
            </w:pPr>
            <w:r>
              <w:rPr>
                <w:szCs w:val="21"/>
              </w:rPr>
              <w:t>不利</w:t>
            </w:r>
          </w:p>
          <w:p w14:paraId="7F45AC09">
            <w:pPr>
              <w:jc w:val="center"/>
              <w:rPr>
                <w:szCs w:val="21"/>
              </w:rPr>
            </w:pPr>
            <w:r>
              <w:rPr>
                <w:szCs w:val="21"/>
              </w:rPr>
              <w:t>影响</w:t>
            </w:r>
          </w:p>
        </w:tc>
        <w:tc>
          <w:tcPr>
            <w:tcW w:w="313" w:type="pct"/>
            <w:vAlign w:val="center"/>
          </w:tcPr>
          <w:p w14:paraId="60290E51">
            <w:pPr>
              <w:jc w:val="center"/>
              <w:rPr>
                <w:szCs w:val="21"/>
              </w:rPr>
            </w:pPr>
            <w:r>
              <w:rPr>
                <w:szCs w:val="21"/>
              </w:rPr>
              <w:t>影响</w:t>
            </w:r>
          </w:p>
          <w:p w14:paraId="78FE34C4">
            <w:pPr>
              <w:jc w:val="center"/>
              <w:rPr>
                <w:szCs w:val="21"/>
              </w:rPr>
            </w:pPr>
            <w:r>
              <w:rPr>
                <w:szCs w:val="21"/>
              </w:rPr>
              <w:t>程度</w:t>
            </w:r>
          </w:p>
        </w:tc>
        <w:tc>
          <w:tcPr>
            <w:tcW w:w="457" w:type="pct"/>
            <w:vAlign w:val="center"/>
          </w:tcPr>
          <w:p w14:paraId="2D0B1E65">
            <w:pPr>
              <w:jc w:val="center"/>
              <w:rPr>
                <w:szCs w:val="21"/>
              </w:rPr>
            </w:pPr>
            <w:r>
              <w:rPr>
                <w:rFonts w:hint="eastAsia"/>
                <w:szCs w:val="21"/>
              </w:rPr>
              <w:t>是否</w:t>
            </w:r>
          </w:p>
          <w:p w14:paraId="07B26057">
            <w:pPr>
              <w:jc w:val="center"/>
              <w:rPr>
                <w:szCs w:val="21"/>
              </w:rPr>
            </w:pPr>
            <w:r>
              <w:rPr>
                <w:rFonts w:hint="eastAsia"/>
                <w:szCs w:val="21"/>
              </w:rPr>
              <w:t>可逆</w:t>
            </w:r>
          </w:p>
        </w:tc>
        <w:tc>
          <w:tcPr>
            <w:tcW w:w="394" w:type="pct"/>
            <w:vAlign w:val="center"/>
          </w:tcPr>
          <w:p w14:paraId="61D08F9E">
            <w:pPr>
              <w:jc w:val="center"/>
              <w:rPr>
                <w:szCs w:val="21"/>
              </w:rPr>
            </w:pPr>
            <w:r>
              <w:rPr>
                <w:szCs w:val="21"/>
              </w:rPr>
              <w:t>有利</w:t>
            </w:r>
          </w:p>
          <w:p w14:paraId="29B58996">
            <w:pPr>
              <w:jc w:val="center"/>
              <w:rPr>
                <w:szCs w:val="21"/>
              </w:rPr>
            </w:pPr>
            <w:r>
              <w:rPr>
                <w:szCs w:val="21"/>
              </w:rPr>
              <w:t>影响</w:t>
            </w:r>
          </w:p>
        </w:tc>
        <w:tc>
          <w:tcPr>
            <w:tcW w:w="388" w:type="pct"/>
            <w:vAlign w:val="center"/>
          </w:tcPr>
          <w:p w14:paraId="639DC6B0">
            <w:pPr>
              <w:jc w:val="center"/>
              <w:rPr>
                <w:szCs w:val="21"/>
              </w:rPr>
            </w:pPr>
            <w:r>
              <w:rPr>
                <w:szCs w:val="21"/>
              </w:rPr>
              <w:t>不利</w:t>
            </w:r>
          </w:p>
          <w:p w14:paraId="130A1665">
            <w:pPr>
              <w:jc w:val="center"/>
              <w:rPr>
                <w:szCs w:val="21"/>
              </w:rPr>
            </w:pPr>
            <w:r>
              <w:rPr>
                <w:szCs w:val="21"/>
              </w:rPr>
              <w:t>影响</w:t>
            </w:r>
          </w:p>
        </w:tc>
        <w:tc>
          <w:tcPr>
            <w:tcW w:w="438" w:type="pct"/>
            <w:vAlign w:val="center"/>
          </w:tcPr>
          <w:p w14:paraId="12D31BA6">
            <w:pPr>
              <w:jc w:val="center"/>
              <w:rPr>
                <w:szCs w:val="21"/>
              </w:rPr>
            </w:pPr>
            <w:r>
              <w:rPr>
                <w:szCs w:val="21"/>
              </w:rPr>
              <w:t>影响</w:t>
            </w:r>
          </w:p>
          <w:p w14:paraId="60B04BCC">
            <w:pPr>
              <w:jc w:val="center"/>
              <w:rPr>
                <w:szCs w:val="21"/>
              </w:rPr>
            </w:pPr>
            <w:r>
              <w:rPr>
                <w:szCs w:val="21"/>
              </w:rPr>
              <w:t>程度</w:t>
            </w:r>
          </w:p>
        </w:tc>
        <w:tc>
          <w:tcPr>
            <w:tcW w:w="451" w:type="pct"/>
            <w:vAlign w:val="center"/>
          </w:tcPr>
          <w:p w14:paraId="449F25EB">
            <w:pPr>
              <w:jc w:val="center"/>
              <w:rPr>
                <w:szCs w:val="21"/>
              </w:rPr>
            </w:pPr>
            <w:r>
              <w:rPr>
                <w:rFonts w:hint="eastAsia"/>
                <w:szCs w:val="21"/>
              </w:rPr>
              <w:t>是否</w:t>
            </w:r>
          </w:p>
          <w:p w14:paraId="222FE894">
            <w:pPr>
              <w:jc w:val="center"/>
              <w:rPr>
                <w:szCs w:val="21"/>
              </w:rPr>
            </w:pPr>
            <w:r>
              <w:rPr>
                <w:rFonts w:hint="eastAsia"/>
                <w:szCs w:val="21"/>
              </w:rPr>
              <w:t>可逆</w:t>
            </w:r>
          </w:p>
        </w:tc>
        <w:tc>
          <w:tcPr>
            <w:tcW w:w="434" w:type="pct"/>
            <w:vAlign w:val="center"/>
          </w:tcPr>
          <w:p w14:paraId="28C906FE">
            <w:pPr>
              <w:jc w:val="center"/>
              <w:rPr>
                <w:szCs w:val="21"/>
              </w:rPr>
            </w:pPr>
            <w:r>
              <w:rPr>
                <w:szCs w:val="21"/>
              </w:rPr>
              <w:t>有利</w:t>
            </w:r>
          </w:p>
          <w:p w14:paraId="72D93BC5">
            <w:pPr>
              <w:jc w:val="center"/>
              <w:rPr>
                <w:szCs w:val="21"/>
              </w:rPr>
            </w:pPr>
            <w:r>
              <w:rPr>
                <w:szCs w:val="21"/>
              </w:rPr>
              <w:t>影响</w:t>
            </w:r>
          </w:p>
        </w:tc>
        <w:tc>
          <w:tcPr>
            <w:tcW w:w="431" w:type="pct"/>
            <w:vAlign w:val="center"/>
          </w:tcPr>
          <w:p w14:paraId="76C32C3A">
            <w:pPr>
              <w:jc w:val="center"/>
              <w:rPr>
                <w:szCs w:val="21"/>
              </w:rPr>
            </w:pPr>
            <w:r>
              <w:rPr>
                <w:szCs w:val="21"/>
              </w:rPr>
              <w:t>不利</w:t>
            </w:r>
          </w:p>
          <w:p w14:paraId="2B1A1184">
            <w:pPr>
              <w:jc w:val="center"/>
              <w:rPr>
                <w:szCs w:val="21"/>
              </w:rPr>
            </w:pPr>
            <w:r>
              <w:rPr>
                <w:szCs w:val="21"/>
              </w:rPr>
              <w:t>影响</w:t>
            </w:r>
          </w:p>
        </w:tc>
        <w:tc>
          <w:tcPr>
            <w:tcW w:w="467" w:type="pct"/>
            <w:vAlign w:val="center"/>
          </w:tcPr>
          <w:p w14:paraId="70D3BA0F">
            <w:pPr>
              <w:jc w:val="center"/>
              <w:rPr>
                <w:szCs w:val="21"/>
              </w:rPr>
            </w:pPr>
            <w:r>
              <w:rPr>
                <w:szCs w:val="21"/>
              </w:rPr>
              <w:t>影响</w:t>
            </w:r>
          </w:p>
          <w:p w14:paraId="51CDAA02">
            <w:pPr>
              <w:jc w:val="center"/>
              <w:rPr>
                <w:szCs w:val="21"/>
              </w:rPr>
            </w:pPr>
            <w:r>
              <w:rPr>
                <w:szCs w:val="21"/>
              </w:rPr>
              <w:t>程度</w:t>
            </w:r>
          </w:p>
        </w:tc>
      </w:tr>
      <w:tr w14:paraId="43B34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6" w:type="pct"/>
            <w:vAlign w:val="center"/>
          </w:tcPr>
          <w:p w14:paraId="294FBEEA">
            <w:pPr>
              <w:jc w:val="center"/>
              <w:rPr>
                <w:szCs w:val="21"/>
              </w:rPr>
            </w:pPr>
            <w:r>
              <w:rPr>
                <w:szCs w:val="21"/>
              </w:rPr>
              <w:t>地表水</w:t>
            </w:r>
          </w:p>
        </w:tc>
        <w:tc>
          <w:tcPr>
            <w:tcW w:w="316" w:type="pct"/>
            <w:vAlign w:val="center"/>
          </w:tcPr>
          <w:p w14:paraId="066E4BD1">
            <w:pPr>
              <w:jc w:val="center"/>
              <w:rPr>
                <w:szCs w:val="21"/>
              </w:rPr>
            </w:pPr>
            <w:r>
              <w:rPr>
                <w:szCs w:val="21"/>
              </w:rPr>
              <w:t>－</w:t>
            </w:r>
          </w:p>
        </w:tc>
        <w:tc>
          <w:tcPr>
            <w:tcW w:w="349" w:type="pct"/>
            <w:vAlign w:val="center"/>
          </w:tcPr>
          <w:p w14:paraId="286C37AC">
            <w:pPr>
              <w:jc w:val="center"/>
              <w:rPr>
                <w:szCs w:val="21"/>
              </w:rPr>
            </w:pPr>
            <w:r>
              <w:rPr>
                <w:szCs w:val="21"/>
              </w:rPr>
              <w:t>有</w:t>
            </w:r>
          </w:p>
        </w:tc>
        <w:tc>
          <w:tcPr>
            <w:tcW w:w="313" w:type="pct"/>
            <w:vAlign w:val="center"/>
          </w:tcPr>
          <w:p w14:paraId="0EB9AA5E">
            <w:pPr>
              <w:jc w:val="center"/>
              <w:rPr>
                <w:szCs w:val="21"/>
              </w:rPr>
            </w:pPr>
            <w:r>
              <w:rPr>
                <w:szCs w:val="21"/>
              </w:rPr>
              <w:t>一般</w:t>
            </w:r>
          </w:p>
        </w:tc>
        <w:tc>
          <w:tcPr>
            <w:tcW w:w="457" w:type="pct"/>
            <w:vAlign w:val="center"/>
          </w:tcPr>
          <w:p w14:paraId="6471016C">
            <w:pPr>
              <w:jc w:val="center"/>
              <w:rPr>
                <w:szCs w:val="21"/>
              </w:rPr>
            </w:pPr>
            <w:r>
              <w:rPr>
                <w:rFonts w:hint="eastAsia"/>
                <w:szCs w:val="21"/>
              </w:rPr>
              <w:t>可逆</w:t>
            </w:r>
          </w:p>
        </w:tc>
        <w:tc>
          <w:tcPr>
            <w:tcW w:w="394" w:type="pct"/>
            <w:vAlign w:val="center"/>
          </w:tcPr>
          <w:p w14:paraId="79633BB3">
            <w:pPr>
              <w:jc w:val="center"/>
              <w:rPr>
                <w:szCs w:val="21"/>
              </w:rPr>
            </w:pPr>
            <w:r>
              <w:rPr>
                <w:szCs w:val="21"/>
              </w:rPr>
              <w:t>－</w:t>
            </w:r>
          </w:p>
        </w:tc>
        <w:tc>
          <w:tcPr>
            <w:tcW w:w="388" w:type="pct"/>
            <w:vAlign w:val="center"/>
          </w:tcPr>
          <w:p w14:paraId="3BD1CD25">
            <w:pPr>
              <w:jc w:val="center"/>
              <w:rPr>
                <w:szCs w:val="21"/>
              </w:rPr>
            </w:pPr>
            <w:r>
              <w:rPr>
                <w:szCs w:val="21"/>
              </w:rPr>
              <w:t>－</w:t>
            </w:r>
          </w:p>
        </w:tc>
        <w:tc>
          <w:tcPr>
            <w:tcW w:w="438" w:type="pct"/>
            <w:vAlign w:val="center"/>
          </w:tcPr>
          <w:p w14:paraId="51E8AE16">
            <w:pPr>
              <w:jc w:val="center"/>
              <w:rPr>
                <w:szCs w:val="21"/>
              </w:rPr>
            </w:pPr>
            <w:r>
              <w:rPr>
                <w:szCs w:val="21"/>
              </w:rPr>
              <w:t>－</w:t>
            </w:r>
          </w:p>
        </w:tc>
        <w:tc>
          <w:tcPr>
            <w:tcW w:w="451" w:type="pct"/>
            <w:vAlign w:val="center"/>
          </w:tcPr>
          <w:p w14:paraId="21464C99">
            <w:pPr>
              <w:jc w:val="center"/>
              <w:rPr>
                <w:szCs w:val="21"/>
              </w:rPr>
            </w:pPr>
            <w:r>
              <w:rPr>
                <w:szCs w:val="21"/>
              </w:rPr>
              <w:t>－</w:t>
            </w:r>
          </w:p>
        </w:tc>
        <w:tc>
          <w:tcPr>
            <w:tcW w:w="434" w:type="pct"/>
            <w:vAlign w:val="center"/>
          </w:tcPr>
          <w:p w14:paraId="691AA77C">
            <w:pPr>
              <w:jc w:val="center"/>
              <w:rPr>
                <w:szCs w:val="21"/>
              </w:rPr>
            </w:pPr>
            <w:r>
              <w:rPr>
                <w:szCs w:val="21"/>
              </w:rPr>
              <w:t>－</w:t>
            </w:r>
          </w:p>
        </w:tc>
        <w:tc>
          <w:tcPr>
            <w:tcW w:w="431" w:type="pct"/>
            <w:vAlign w:val="center"/>
          </w:tcPr>
          <w:p w14:paraId="79D1AB07">
            <w:pPr>
              <w:jc w:val="center"/>
              <w:rPr>
                <w:szCs w:val="21"/>
              </w:rPr>
            </w:pPr>
            <w:r>
              <w:rPr>
                <w:szCs w:val="21"/>
              </w:rPr>
              <w:t>有</w:t>
            </w:r>
          </w:p>
        </w:tc>
        <w:tc>
          <w:tcPr>
            <w:tcW w:w="467" w:type="pct"/>
            <w:vAlign w:val="center"/>
          </w:tcPr>
          <w:p w14:paraId="58DBF935">
            <w:pPr>
              <w:jc w:val="center"/>
              <w:rPr>
                <w:szCs w:val="21"/>
              </w:rPr>
            </w:pPr>
            <w:r>
              <w:rPr>
                <w:szCs w:val="21"/>
              </w:rPr>
              <w:t>一般</w:t>
            </w:r>
          </w:p>
        </w:tc>
      </w:tr>
      <w:tr w14:paraId="0637C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6" w:type="pct"/>
            <w:vAlign w:val="center"/>
          </w:tcPr>
          <w:p w14:paraId="6DF6A60F">
            <w:pPr>
              <w:jc w:val="center"/>
              <w:rPr>
                <w:szCs w:val="21"/>
              </w:rPr>
            </w:pPr>
            <w:r>
              <w:rPr>
                <w:szCs w:val="21"/>
              </w:rPr>
              <w:t>地下水</w:t>
            </w:r>
          </w:p>
        </w:tc>
        <w:tc>
          <w:tcPr>
            <w:tcW w:w="316" w:type="pct"/>
            <w:vAlign w:val="center"/>
          </w:tcPr>
          <w:p w14:paraId="27137B6A">
            <w:pPr>
              <w:jc w:val="center"/>
              <w:rPr>
                <w:szCs w:val="21"/>
              </w:rPr>
            </w:pPr>
            <w:r>
              <w:rPr>
                <w:szCs w:val="21"/>
              </w:rPr>
              <w:t>－</w:t>
            </w:r>
          </w:p>
        </w:tc>
        <w:tc>
          <w:tcPr>
            <w:tcW w:w="349" w:type="pct"/>
            <w:vAlign w:val="center"/>
          </w:tcPr>
          <w:p w14:paraId="66A4D34A">
            <w:pPr>
              <w:jc w:val="center"/>
              <w:rPr>
                <w:szCs w:val="21"/>
              </w:rPr>
            </w:pPr>
            <w:r>
              <w:rPr>
                <w:szCs w:val="21"/>
              </w:rPr>
              <w:t>有</w:t>
            </w:r>
          </w:p>
        </w:tc>
        <w:tc>
          <w:tcPr>
            <w:tcW w:w="313" w:type="pct"/>
            <w:vAlign w:val="center"/>
          </w:tcPr>
          <w:p w14:paraId="450A2320">
            <w:pPr>
              <w:jc w:val="center"/>
              <w:rPr>
                <w:szCs w:val="21"/>
              </w:rPr>
            </w:pPr>
            <w:r>
              <w:rPr>
                <w:szCs w:val="21"/>
              </w:rPr>
              <w:t>一般</w:t>
            </w:r>
          </w:p>
        </w:tc>
        <w:tc>
          <w:tcPr>
            <w:tcW w:w="457" w:type="pct"/>
            <w:vAlign w:val="center"/>
          </w:tcPr>
          <w:p w14:paraId="7B229984">
            <w:pPr>
              <w:jc w:val="center"/>
              <w:rPr>
                <w:szCs w:val="21"/>
              </w:rPr>
            </w:pPr>
            <w:r>
              <w:rPr>
                <w:rFonts w:hint="eastAsia"/>
                <w:szCs w:val="21"/>
              </w:rPr>
              <w:t>可逆</w:t>
            </w:r>
          </w:p>
        </w:tc>
        <w:tc>
          <w:tcPr>
            <w:tcW w:w="394" w:type="pct"/>
            <w:vAlign w:val="center"/>
          </w:tcPr>
          <w:p w14:paraId="6CB5EAC1">
            <w:pPr>
              <w:jc w:val="center"/>
              <w:rPr>
                <w:szCs w:val="21"/>
              </w:rPr>
            </w:pPr>
            <w:r>
              <w:rPr>
                <w:szCs w:val="21"/>
              </w:rPr>
              <w:t>－</w:t>
            </w:r>
          </w:p>
        </w:tc>
        <w:tc>
          <w:tcPr>
            <w:tcW w:w="388" w:type="pct"/>
            <w:vAlign w:val="center"/>
          </w:tcPr>
          <w:p w14:paraId="3BB322BF">
            <w:pPr>
              <w:jc w:val="center"/>
              <w:rPr>
                <w:szCs w:val="21"/>
              </w:rPr>
            </w:pPr>
            <w:r>
              <w:rPr>
                <w:szCs w:val="21"/>
              </w:rPr>
              <w:t>－</w:t>
            </w:r>
          </w:p>
        </w:tc>
        <w:tc>
          <w:tcPr>
            <w:tcW w:w="438" w:type="pct"/>
            <w:vAlign w:val="center"/>
          </w:tcPr>
          <w:p w14:paraId="2DB98665">
            <w:pPr>
              <w:jc w:val="center"/>
              <w:rPr>
                <w:szCs w:val="21"/>
              </w:rPr>
            </w:pPr>
            <w:r>
              <w:rPr>
                <w:szCs w:val="21"/>
              </w:rPr>
              <w:t>－</w:t>
            </w:r>
          </w:p>
        </w:tc>
        <w:tc>
          <w:tcPr>
            <w:tcW w:w="451" w:type="pct"/>
            <w:vAlign w:val="center"/>
          </w:tcPr>
          <w:p w14:paraId="0AF97293">
            <w:pPr>
              <w:jc w:val="center"/>
              <w:rPr>
                <w:szCs w:val="21"/>
              </w:rPr>
            </w:pPr>
            <w:r>
              <w:rPr>
                <w:szCs w:val="21"/>
              </w:rPr>
              <w:t>－</w:t>
            </w:r>
          </w:p>
        </w:tc>
        <w:tc>
          <w:tcPr>
            <w:tcW w:w="434" w:type="pct"/>
            <w:vAlign w:val="center"/>
          </w:tcPr>
          <w:p w14:paraId="080DA85E">
            <w:pPr>
              <w:jc w:val="center"/>
              <w:rPr>
                <w:szCs w:val="21"/>
              </w:rPr>
            </w:pPr>
            <w:r>
              <w:rPr>
                <w:szCs w:val="21"/>
              </w:rPr>
              <w:t>－</w:t>
            </w:r>
          </w:p>
        </w:tc>
        <w:tc>
          <w:tcPr>
            <w:tcW w:w="431" w:type="pct"/>
            <w:vAlign w:val="center"/>
          </w:tcPr>
          <w:p w14:paraId="2FDF2664">
            <w:pPr>
              <w:jc w:val="center"/>
              <w:rPr>
                <w:szCs w:val="21"/>
              </w:rPr>
            </w:pPr>
            <w:r>
              <w:rPr>
                <w:szCs w:val="21"/>
              </w:rPr>
              <w:t>有</w:t>
            </w:r>
          </w:p>
        </w:tc>
        <w:tc>
          <w:tcPr>
            <w:tcW w:w="467" w:type="pct"/>
            <w:vAlign w:val="center"/>
          </w:tcPr>
          <w:p w14:paraId="2C6FBF89">
            <w:pPr>
              <w:jc w:val="center"/>
              <w:rPr>
                <w:szCs w:val="21"/>
              </w:rPr>
            </w:pPr>
            <w:r>
              <w:rPr>
                <w:szCs w:val="21"/>
              </w:rPr>
              <w:t>一般</w:t>
            </w:r>
          </w:p>
        </w:tc>
      </w:tr>
      <w:tr w14:paraId="54F00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6" w:type="pct"/>
            <w:vAlign w:val="center"/>
          </w:tcPr>
          <w:p w14:paraId="096A9B8E">
            <w:pPr>
              <w:jc w:val="center"/>
              <w:rPr>
                <w:szCs w:val="21"/>
              </w:rPr>
            </w:pPr>
            <w:r>
              <w:rPr>
                <w:szCs w:val="21"/>
              </w:rPr>
              <w:t>环境空气</w:t>
            </w:r>
          </w:p>
        </w:tc>
        <w:tc>
          <w:tcPr>
            <w:tcW w:w="316" w:type="pct"/>
            <w:vAlign w:val="center"/>
          </w:tcPr>
          <w:p w14:paraId="1F0496ED">
            <w:pPr>
              <w:jc w:val="center"/>
              <w:rPr>
                <w:szCs w:val="21"/>
              </w:rPr>
            </w:pPr>
            <w:r>
              <w:rPr>
                <w:szCs w:val="21"/>
              </w:rPr>
              <w:t>－</w:t>
            </w:r>
          </w:p>
        </w:tc>
        <w:tc>
          <w:tcPr>
            <w:tcW w:w="349" w:type="pct"/>
            <w:vAlign w:val="center"/>
          </w:tcPr>
          <w:p w14:paraId="74BECDEA">
            <w:pPr>
              <w:jc w:val="center"/>
              <w:rPr>
                <w:szCs w:val="21"/>
              </w:rPr>
            </w:pPr>
            <w:r>
              <w:rPr>
                <w:szCs w:val="21"/>
              </w:rPr>
              <w:t>有</w:t>
            </w:r>
          </w:p>
        </w:tc>
        <w:tc>
          <w:tcPr>
            <w:tcW w:w="313" w:type="pct"/>
            <w:vAlign w:val="center"/>
          </w:tcPr>
          <w:p w14:paraId="26B740BB">
            <w:pPr>
              <w:jc w:val="center"/>
              <w:rPr>
                <w:szCs w:val="21"/>
              </w:rPr>
            </w:pPr>
            <w:r>
              <w:rPr>
                <w:szCs w:val="21"/>
              </w:rPr>
              <w:t>一般</w:t>
            </w:r>
          </w:p>
        </w:tc>
        <w:tc>
          <w:tcPr>
            <w:tcW w:w="457" w:type="pct"/>
            <w:vAlign w:val="center"/>
          </w:tcPr>
          <w:p w14:paraId="0D08986D">
            <w:pPr>
              <w:jc w:val="center"/>
              <w:rPr>
                <w:szCs w:val="21"/>
              </w:rPr>
            </w:pPr>
            <w:r>
              <w:rPr>
                <w:rFonts w:hint="eastAsia"/>
                <w:szCs w:val="21"/>
              </w:rPr>
              <w:t>可逆</w:t>
            </w:r>
          </w:p>
        </w:tc>
        <w:tc>
          <w:tcPr>
            <w:tcW w:w="394" w:type="pct"/>
            <w:vAlign w:val="center"/>
          </w:tcPr>
          <w:p w14:paraId="5D608CF0">
            <w:pPr>
              <w:jc w:val="center"/>
              <w:rPr>
                <w:szCs w:val="21"/>
              </w:rPr>
            </w:pPr>
            <w:r>
              <w:rPr>
                <w:szCs w:val="21"/>
              </w:rPr>
              <w:t>－</w:t>
            </w:r>
          </w:p>
        </w:tc>
        <w:tc>
          <w:tcPr>
            <w:tcW w:w="388" w:type="pct"/>
            <w:vAlign w:val="center"/>
          </w:tcPr>
          <w:p w14:paraId="02892476">
            <w:pPr>
              <w:jc w:val="center"/>
              <w:rPr>
                <w:szCs w:val="21"/>
              </w:rPr>
            </w:pPr>
            <w:r>
              <w:rPr>
                <w:szCs w:val="21"/>
              </w:rPr>
              <w:t>有</w:t>
            </w:r>
          </w:p>
        </w:tc>
        <w:tc>
          <w:tcPr>
            <w:tcW w:w="438" w:type="pct"/>
            <w:vAlign w:val="center"/>
          </w:tcPr>
          <w:p w14:paraId="148A0178">
            <w:pPr>
              <w:jc w:val="center"/>
              <w:rPr>
                <w:szCs w:val="21"/>
              </w:rPr>
            </w:pPr>
            <w:r>
              <w:rPr>
                <w:szCs w:val="21"/>
              </w:rPr>
              <w:t>一般</w:t>
            </w:r>
          </w:p>
        </w:tc>
        <w:tc>
          <w:tcPr>
            <w:tcW w:w="451" w:type="pct"/>
            <w:vAlign w:val="center"/>
          </w:tcPr>
          <w:p w14:paraId="06035259">
            <w:pPr>
              <w:jc w:val="center"/>
              <w:rPr>
                <w:szCs w:val="21"/>
              </w:rPr>
            </w:pPr>
            <w:r>
              <w:rPr>
                <w:rFonts w:hint="eastAsia"/>
                <w:szCs w:val="21"/>
              </w:rPr>
              <w:t>可逆</w:t>
            </w:r>
          </w:p>
        </w:tc>
        <w:tc>
          <w:tcPr>
            <w:tcW w:w="434" w:type="pct"/>
            <w:vAlign w:val="center"/>
          </w:tcPr>
          <w:p w14:paraId="72546ECD">
            <w:pPr>
              <w:jc w:val="center"/>
              <w:rPr>
                <w:szCs w:val="21"/>
              </w:rPr>
            </w:pPr>
            <w:r>
              <w:rPr>
                <w:szCs w:val="21"/>
              </w:rPr>
              <w:t>－</w:t>
            </w:r>
          </w:p>
        </w:tc>
        <w:tc>
          <w:tcPr>
            <w:tcW w:w="431" w:type="pct"/>
            <w:vAlign w:val="center"/>
          </w:tcPr>
          <w:p w14:paraId="457ABE94">
            <w:pPr>
              <w:jc w:val="center"/>
              <w:rPr>
                <w:szCs w:val="21"/>
              </w:rPr>
            </w:pPr>
            <w:r>
              <w:rPr>
                <w:szCs w:val="21"/>
              </w:rPr>
              <w:t>有</w:t>
            </w:r>
          </w:p>
        </w:tc>
        <w:tc>
          <w:tcPr>
            <w:tcW w:w="467" w:type="pct"/>
            <w:vAlign w:val="center"/>
          </w:tcPr>
          <w:p w14:paraId="2CDE94B7">
            <w:pPr>
              <w:jc w:val="center"/>
              <w:rPr>
                <w:szCs w:val="21"/>
              </w:rPr>
            </w:pPr>
            <w:r>
              <w:rPr>
                <w:szCs w:val="21"/>
              </w:rPr>
              <w:t>一般</w:t>
            </w:r>
          </w:p>
        </w:tc>
      </w:tr>
      <w:tr w14:paraId="05817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6" w:type="pct"/>
            <w:vAlign w:val="center"/>
          </w:tcPr>
          <w:p w14:paraId="2D08FE07">
            <w:pPr>
              <w:jc w:val="center"/>
              <w:rPr>
                <w:szCs w:val="21"/>
              </w:rPr>
            </w:pPr>
            <w:r>
              <w:rPr>
                <w:szCs w:val="21"/>
              </w:rPr>
              <w:t>声环境</w:t>
            </w:r>
          </w:p>
        </w:tc>
        <w:tc>
          <w:tcPr>
            <w:tcW w:w="316" w:type="pct"/>
            <w:vAlign w:val="center"/>
          </w:tcPr>
          <w:p w14:paraId="5F70E262">
            <w:pPr>
              <w:jc w:val="center"/>
              <w:rPr>
                <w:szCs w:val="21"/>
              </w:rPr>
            </w:pPr>
            <w:r>
              <w:rPr>
                <w:szCs w:val="21"/>
              </w:rPr>
              <w:t>－</w:t>
            </w:r>
          </w:p>
        </w:tc>
        <w:tc>
          <w:tcPr>
            <w:tcW w:w="349" w:type="pct"/>
            <w:vAlign w:val="center"/>
          </w:tcPr>
          <w:p w14:paraId="544E71D3">
            <w:pPr>
              <w:jc w:val="center"/>
              <w:rPr>
                <w:szCs w:val="21"/>
              </w:rPr>
            </w:pPr>
            <w:r>
              <w:rPr>
                <w:szCs w:val="21"/>
              </w:rPr>
              <w:t>有</w:t>
            </w:r>
          </w:p>
        </w:tc>
        <w:tc>
          <w:tcPr>
            <w:tcW w:w="313" w:type="pct"/>
            <w:vAlign w:val="center"/>
          </w:tcPr>
          <w:p w14:paraId="696A86E8">
            <w:pPr>
              <w:jc w:val="center"/>
              <w:rPr>
                <w:szCs w:val="21"/>
              </w:rPr>
            </w:pPr>
            <w:r>
              <w:rPr>
                <w:szCs w:val="21"/>
              </w:rPr>
              <w:t>一般</w:t>
            </w:r>
          </w:p>
        </w:tc>
        <w:tc>
          <w:tcPr>
            <w:tcW w:w="457" w:type="pct"/>
            <w:vAlign w:val="center"/>
          </w:tcPr>
          <w:p w14:paraId="0C3290A0">
            <w:pPr>
              <w:jc w:val="center"/>
              <w:rPr>
                <w:szCs w:val="21"/>
              </w:rPr>
            </w:pPr>
            <w:r>
              <w:rPr>
                <w:rFonts w:hint="eastAsia"/>
                <w:szCs w:val="21"/>
              </w:rPr>
              <w:t>可逆</w:t>
            </w:r>
          </w:p>
        </w:tc>
        <w:tc>
          <w:tcPr>
            <w:tcW w:w="394" w:type="pct"/>
            <w:vAlign w:val="center"/>
          </w:tcPr>
          <w:p w14:paraId="30E9A9DA">
            <w:pPr>
              <w:jc w:val="center"/>
              <w:rPr>
                <w:szCs w:val="21"/>
              </w:rPr>
            </w:pPr>
            <w:r>
              <w:rPr>
                <w:szCs w:val="21"/>
              </w:rPr>
              <w:t>－</w:t>
            </w:r>
          </w:p>
        </w:tc>
        <w:tc>
          <w:tcPr>
            <w:tcW w:w="388" w:type="pct"/>
            <w:vAlign w:val="center"/>
          </w:tcPr>
          <w:p w14:paraId="37101FE8">
            <w:pPr>
              <w:jc w:val="center"/>
              <w:rPr>
                <w:szCs w:val="21"/>
              </w:rPr>
            </w:pPr>
            <w:r>
              <w:rPr>
                <w:szCs w:val="21"/>
              </w:rPr>
              <w:t>有</w:t>
            </w:r>
          </w:p>
        </w:tc>
        <w:tc>
          <w:tcPr>
            <w:tcW w:w="438" w:type="pct"/>
            <w:vAlign w:val="center"/>
          </w:tcPr>
          <w:p w14:paraId="31053D10">
            <w:pPr>
              <w:jc w:val="center"/>
              <w:rPr>
                <w:szCs w:val="21"/>
              </w:rPr>
            </w:pPr>
            <w:r>
              <w:rPr>
                <w:szCs w:val="21"/>
              </w:rPr>
              <w:t>一般</w:t>
            </w:r>
          </w:p>
        </w:tc>
        <w:tc>
          <w:tcPr>
            <w:tcW w:w="451" w:type="pct"/>
            <w:vAlign w:val="center"/>
          </w:tcPr>
          <w:p w14:paraId="3BF31E81">
            <w:pPr>
              <w:jc w:val="center"/>
              <w:rPr>
                <w:szCs w:val="21"/>
              </w:rPr>
            </w:pPr>
            <w:r>
              <w:rPr>
                <w:rFonts w:hint="eastAsia"/>
                <w:szCs w:val="21"/>
              </w:rPr>
              <w:t>可逆</w:t>
            </w:r>
          </w:p>
        </w:tc>
        <w:tc>
          <w:tcPr>
            <w:tcW w:w="434" w:type="pct"/>
            <w:vAlign w:val="center"/>
          </w:tcPr>
          <w:p w14:paraId="55629DAB">
            <w:pPr>
              <w:jc w:val="center"/>
              <w:rPr>
                <w:szCs w:val="21"/>
              </w:rPr>
            </w:pPr>
            <w:r>
              <w:rPr>
                <w:szCs w:val="21"/>
              </w:rPr>
              <w:t>－</w:t>
            </w:r>
          </w:p>
        </w:tc>
        <w:tc>
          <w:tcPr>
            <w:tcW w:w="431" w:type="pct"/>
            <w:vAlign w:val="center"/>
          </w:tcPr>
          <w:p w14:paraId="5DA43ABA">
            <w:pPr>
              <w:jc w:val="center"/>
              <w:rPr>
                <w:szCs w:val="21"/>
              </w:rPr>
            </w:pPr>
            <w:r>
              <w:rPr>
                <w:szCs w:val="21"/>
              </w:rPr>
              <w:t>有</w:t>
            </w:r>
          </w:p>
        </w:tc>
        <w:tc>
          <w:tcPr>
            <w:tcW w:w="467" w:type="pct"/>
            <w:vAlign w:val="center"/>
          </w:tcPr>
          <w:p w14:paraId="03928B00">
            <w:pPr>
              <w:jc w:val="center"/>
              <w:rPr>
                <w:szCs w:val="21"/>
              </w:rPr>
            </w:pPr>
            <w:r>
              <w:rPr>
                <w:szCs w:val="21"/>
              </w:rPr>
              <w:t>一般</w:t>
            </w:r>
          </w:p>
        </w:tc>
      </w:tr>
      <w:tr w14:paraId="0FAEB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56" w:type="pct"/>
            <w:vAlign w:val="center"/>
          </w:tcPr>
          <w:p w14:paraId="3723312C">
            <w:pPr>
              <w:jc w:val="center"/>
              <w:rPr>
                <w:szCs w:val="21"/>
              </w:rPr>
            </w:pPr>
            <w:r>
              <w:rPr>
                <w:szCs w:val="21"/>
              </w:rPr>
              <w:t>土壤环境</w:t>
            </w:r>
          </w:p>
        </w:tc>
        <w:tc>
          <w:tcPr>
            <w:tcW w:w="316" w:type="pct"/>
            <w:vAlign w:val="center"/>
          </w:tcPr>
          <w:p w14:paraId="41654D1A">
            <w:pPr>
              <w:jc w:val="center"/>
              <w:rPr>
                <w:szCs w:val="21"/>
              </w:rPr>
            </w:pPr>
            <w:r>
              <w:rPr>
                <w:szCs w:val="21"/>
              </w:rPr>
              <w:t>－</w:t>
            </w:r>
          </w:p>
        </w:tc>
        <w:tc>
          <w:tcPr>
            <w:tcW w:w="349" w:type="pct"/>
            <w:vAlign w:val="center"/>
          </w:tcPr>
          <w:p w14:paraId="423A2117">
            <w:pPr>
              <w:jc w:val="center"/>
              <w:rPr>
                <w:szCs w:val="21"/>
              </w:rPr>
            </w:pPr>
            <w:r>
              <w:rPr>
                <w:szCs w:val="21"/>
              </w:rPr>
              <w:t>有</w:t>
            </w:r>
          </w:p>
        </w:tc>
        <w:tc>
          <w:tcPr>
            <w:tcW w:w="313" w:type="pct"/>
            <w:vAlign w:val="center"/>
          </w:tcPr>
          <w:p w14:paraId="3C2F0BEA">
            <w:pPr>
              <w:jc w:val="center"/>
              <w:rPr>
                <w:szCs w:val="21"/>
              </w:rPr>
            </w:pPr>
            <w:r>
              <w:rPr>
                <w:szCs w:val="21"/>
              </w:rPr>
              <w:t>一般</w:t>
            </w:r>
          </w:p>
        </w:tc>
        <w:tc>
          <w:tcPr>
            <w:tcW w:w="457" w:type="pct"/>
            <w:vAlign w:val="center"/>
          </w:tcPr>
          <w:p w14:paraId="266D0AB3">
            <w:pPr>
              <w:jc w:val="center"/>
              <w:rPr>
                <w:szCs w:val="21"/>
              </w:rPr>
            </w:pPr>
            <w:r>
              <w:rPr>
                <w:rFonts w:hint="eastAsia"/>
                <w:szCs w:val="21"/>
              </w:rPr>
              <w:t>可逆</w:t>
            </w:r>
          </w:p>
        </w:tc>
        <w:tc>
          <w:tcPr>
            <w:tcW w:w="394" w:type="pct"/>
            <w:vAlign w:val="center"/>
          </w:tcPr>
          <w:p w14:paraId="30AE4758">
            <w:pPr>
              <w:jc w:val="center"/>
              <w:rPr>
                <w:szCs w:val="21"/>
              </w:rPr>
            </w:pPr>
            <w:r>
              <w:rPr>
                <w:szCs w:val="21"/>
              </w:rPr>
              <w:t>－</w:t>
            </w:r>
          </w:p>
        </w:tc>
        <w:tc>
          <w:tcPr>
            <w:tcW w:w="388" w:type="pct"/>
            <w:vAlign w:val="center"/>
          </w:tcPr>
          <w:p w14:paraId="70133013">
            <w:pPr>
              <w:jc w:val="center"/>
              <w:rPr>
                <w:szCs w:val="21"/>
              </w:rPr>
            </w:pPr>
            <w:r>
              <w:rPr>
                <w:szCs w:val="21"/>
              </w:rPr>
              <w:t>－</w:t>
            </w:r>
          </w:p>
        </w:tc>
        <w:tc>
          <w:tcPr>
            <w:tcW w:w="438" w:type="pct"/>
            <w:vAlign w:val="center"/>
          </w:tcPr>
          <w:p w14:paraId="2D4480F7">
            <w:pPr>
              <w:jc w:val="center"/>
              <w:rPr>
                <w:szCs w:val="21"/>
              </w:rPr>
            </w:pPr>
            <w:r>
              <w:rPr>
                <w:szCs w:val="21"/>
              </w:rPr>
              <w:t>－</w:t>
            </w:r>
          </w:p>
        </w:tc>
        <w:tc>
          <w:tcPr>
            <w:tcW w:w="451" w:type="pct"/>
            <w:vAlign w:val="center"/>
          </w:tcPr>
          <w:p w14:paraId="3030D90D">
            <w:pPr>
              <w:jc w:val="center"/>
              <w:rPr>
                <w:color w:val="FF0000"/>
                <w:szCs w:val="21"/>
              </w:rPr>
            </w:pPr>
            <w:r>
              <w:rPr>
                <w:szCs w:val="21"/>
              </w:rPr>
              <w:t>－</w:t>
            </w:r>
          </w:p>
        </w:tc>
        <w:tc>
          <w:tcPr>
            <w:tcW w:w="434" w:type="pct"/>
            <w:vAlign w:val="center"/>
          </w:tcPr>
          <w:p w14:paraId="4E1EA90D">
            <w:pPr>
              <w:jc w:val="center"/>
              <w:rPr>
                <w:szCs w:val="21"/>
              </w:rPr>
            </w:pPr>
            <w:r>
              <w:rPr>
                <w:szCs w:val="21"/>
              </w:rPr>
              <w:t>－</w:t>
            </w:r>
          </w:p>
        </w:tc>
        <w:tc>
          <w:tcPr>
            <w:tcW w:w="431" w:type="pct"/>
            <w:vAlign w:val="center"/>
          </w:tcPr>
          <w:p w14:paraId="4807990E">
            <w:pPr>
              <w:adjustRightInd w:val="0"/>
              <w:snapToGrid w:val="0"/>
              <w:jc w:val="center"/>
              <w:rPr>
                <w:szCs w:val="21"/>
              </w:rPr>
            </w:pPr>
            <w:r>
              <w:rPr>
                <w:szCs w:val="21"/>
              </w:rPr>
              <w:t>有</w:t>
            </w:r>
          </w:p>
        </w:tc>
        <w:tc>
          <w:tcPr>
            <w:tcW w:w="467" w:type="pct"/>
            <w:vAlign w:val="center"/>
          </w:tcPr>
          <w:p w14:paraId="16B86077">
            <w:pPr>
              <w:adjustRightInd w:val="0"/>
              <w:snapToGrid w:val="0"/>
              <w:jc w:val="center"/>
              <w:rPr>
                <w:color w:val="FF0000"/>
                <w:szCs w:val="21"/>
              </w:rPr>
            </w:pPr>
            <w:r>
              <w:rPr>
                <w:szCs w:val="21"/>
              </w:rPr>
              <w:t>一般</w:t>
            </w:r>
          </w:p>
        </w:tc>
      </w:tr>
    </w:tbl>
    <w:p w14:paraId="4B4AAD79">
      <w:pPr>
        <w:pStyle w:val="234"/>
        <w:spacing w:before="120" w:beforeLines="50"/>
      </w:pPr>
      <w:r>
        <w:t>由</w:t>
      </w:r>
      <w:r>
        <w:rPr>
          <w:rFonts w:hint="eastAsia"/>
        </w:rPr>
        <w:t>表2</w:t>
      </w:r>
      <w:r>
        <w:t>.4</w:t>
      </w:r>
      <w:r>
        <w:rPr>
          <w:rFonts w:hint="eastAsia"/>
        </w:rPr>
        <w:t>-</w:t>
      </w:r>
      <w:r>
        <w:t>1</w:t>
      </w:r>
      <w:r>
        <w:rPr>
          <w:rFonts w:hint="eastAsia"/>
        </w:rPr>
        <w:t>~表2</w:t>
      </w:r>
      <w:r>
        <w:t>.4</w:t>
      </w:r>
      <w:r>
        <w:rPr>
          <w:rFonts w:hint="eastAsia"/>
        </w:rPr>
        <w:t>-2可知</w:t>
      </w:r>
      <w:r>
        <w:t>，本工程对环境的影响主要为施工过程对自然生态环境</w:t>
      </w:r>
      <w:r>
        <w:rPr>
          <w:rFonts w:hint="eastAsia"/>
        </w:rPr>
        <w:t>（</w:t>
      </w:r>
      <w:r>
        <w:t>地形地貌、植被、土壤与水土流失、野生动植物与生态与土地利用</w:t>
      </w:r>
      <w:r>
        <w:rPr>
          <w:rFonts w:hint="eastAsia"/>
        </w:rPr>
        <w:t>）</w:t>
      </w:r>
      <w:r>
        <w:t>的影响以及运营期非正常工况状态下对周边环境的影响。</w:t>
      </w:r>
    </w:p>
    <w:p w14:paraId="64156E56">
      <w:pPr>
        <w:pStyle w:val="5"/>
        <w:rPr>
          <w:color w:val="auto"/>
        </w:rPr>
      </w:pPr>
      <w:r>
        <w:rPr>
          <w:color w:val="auto"/>
        </w:rPr>
        <w:t>评价因子筛选</w:t>
      </w:r>
    </w:p>
    <w:p w14:paraId="69449EC2">
      <w:pPr>
        <w:pStyle w:val="234"/>
        <w:spacing w:before="120" w:beforeLines="50"/>
      </w:pPr>
      <w:r>
        <w:t>根据《环境影响评价技术导则</w:t>
      </w:r>
      <w:r>
        <w:rPr>
          <w:rFonts w:hint="eastAsia"/>
        </w:rPr>
        <w:t xml:space="preserve"> </w:t>
      </w:r>
      <w:r>
        <w:t>生态影响》</w:t>
      </w:r>
      <w:r>
        <w:rPr>
          <w:rFonts w:hint="eastAsia"/>
        </w:rPr>
        <w:t>（</w:t>
      </w:r>
      <w:r>
        <w:t>HJ19-2022</w:t>
      </w:r>
      <w:r>
        <w:rPr>
          <w:rFonts w:hint="eastAsia"/>
        </w:rPr>
        <w:t>）</w:t>
      </w:r>
      <w:r>
        <w:t>并结合现场调查，本工程周边无法定生态保护区域、重要生境及其他具有重要生态功能、对保护生物多样性具有重要意义的区域，施工期生态影响评价因子筛选表见2.4-3。</w:t>
      </w:r>
    </w:p>
    <w:p w14:paraId="0EEA3F35">
      <w:pPr>
        <w:pStyle w:val="904"/>
      </w:pPr>
      <w:r>
        <w:t>表2.4-3  生态影响评价因子筛选表</w:t>
      </w:r>
      <w:bookmarkStart w:id="93" w:name="_Hlk106979274"/>
    </w:p>
    <w:tbl>
      <w:tblPr>
        <w:tblStyle w:val="88"/>
        <w:tblW w:w="503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1"/>
        <w:gridCol w:w="1220"/>
        <w:gridCol w:w="1402"/>
        <w:gridCol w:w="3485"/>
        <w:gridCol w:w="1303"/>
        <w:gridCol w:w="1226"/>
      </w:tblGrid>
      <w:tr w14:paraId="47FD9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pct"/>
          </w:tcPr>
          <w:p w14:paraId="0DED2067">
            <w:pPr>
              <w:pStyle w:val="1343"/>
            </w:pPr>
            <w:r>
              <w:t>项目阶段</w:t>
            </w:r>
          </w:p>
        </w:tc>
        <w:tc>
          <w:tcPr>
            <w:tcW w:w="652" w:type="pct"/>
          </w:tcPr>
          <w:p w14:paraId="2CC968E6">
            <w:pPr>
              <w:pStyle w:val="1343"/>
            </w:pPr>
            <w:r>
              <w:t>工程内容及影响方式</w:t>
            </w:r>
          </w:p>
        </w:tc>
        <w:tc>
          <w:tcPr>
            <w:tcW w:w="749" w:type="pct"/>
            <w:vAlign w:val="center"/>
          </w:tcPr>
          <w:p w14:paraId="79BEC21F">
            <w:pPr>
              <w:pStyle w:val="1343"/>
            </w:pPr>
            <w:r>
              <w:t>受影响对象</w:t>
            </w:r>
          </w:p>
        </w:tc>
        <w:tc>
          <w:tcPr>
            <w:tcW w:w="1862" w:type="pct"/>
            <w:vAlign w:val="center"/>
          </w:tcPr>
          <w:p w14:paraId="7FFE4321">
            <w:pPr>
              <w:pStyle w:val="1343"/>
            </w:pPr>
            <w:r>
              <w:t>评价因子</w:t>
            </w:r>
          </w:p>
        </w:tc>
        <w:tc>
          <w:tcPr>
            <w:tcW w:w="696" w:type="pct"/>
            <w:vAlign w:val="center"/>
          </w:tcPr>
          <w:p w14:paraId="72A99AB2">
            <w:pPr>
              <w:pStyle w:val="1343"/>
            </w:pPr>
            <w:r>
              <w:t>影响性质</w:t>
            </w:r>
          </w:p>
        </w:tc>
        <w:tc>
          <w:tcPr>
            <w:tcW w:w="655" w:type="pct"/>
            <w:vAlign w:val="center"/>
          </w:tcPr>
          <w:p w14:paraId="72EF945C">
            <w:pPr>
              <w:pStyle w:val="1343"/>
            </w:pPr>
            <w:r>
              <w:t>影响程度</w:t>
            </w:r>
          </w:p>
        </w:tc>
      </w:tr>
      <w:tr w14:paraId="04942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382" w:type="pct"/>
            <w:vMerge w:val="restart"/>
            <w:tcBorders>
              <w:bottom w:val="single" w:color="auto" w:sz="4" w:space="0"/>
            </w:tcBorders>
            <w:vAlign w:val="center"/>
          </w:tcPr>
          <w:p w14:paraId="52BC9150">
            <w:pPr>
              <w:pStyle w:val="1343"/>
            </w:pPr>
            <w:r>
              <w:t>施工期</w:t>
            </w:r>
          </w:p>
        </w:tc>
        <w:tc>
          <w:tcPr>
            <w:tcW w:w="652" w:type="pct"/>
            <w:vMerge w:val="restart"/>
            <w:tcBorders>
              <w:bottom w:val="single" w:color="auto" w:sz="4" w:space="0"/>
            </w:tcBorders>
            <w:vAlign w:val="center"/>
          </w:tcPr>
          <w:p w14:paraId="66EA1AF9">
            <w:pPr>
              <w:pStyle w:val="1343"/>
            </w:pPr>
            <w:r>
              <w:t>新建</w:t>
            </w:r>
            <w:r>
              <w:rPr>
                <w:rFonts w:hint="eastAsia"/>
              </w:rPr>
              <w:t>耒阳分输站及进站路</w:t>
            </w:r>
            <w:r>
              <w:t>永久占地产生的直接影响</w:t>
            </w:r>
          </w:p>
        </w:tc>
        <w:tc>
          <w:tcPr>
            <w:tcW w:w="749" w:type="pct"/>
            <w:tcBorders>
              <w:bottom w:val="single" w:color="auto" w:sz="4" w:space="0"/>
            </w:tcBorders>
            <w:vAlign w:val="center"/>
          </w:tcPr>
          <w:p w14:paraId="5692D0F4">
            <w:pPr>
              <w:pStyle w:val="1343"/>
            </w:pPr>
            <w:r>
              <w:t>物种</w:t>
            </w:r>
          </w:p>
        </w:tc>
        <w:tc>
          <w:tcPr>
            <w:tcW w:w="1862" w:type="pct"/>
            <w:tcBorders>
              <w:bottom w:val="single" w:color="auto" w:sz="4" w:space="0"/>
            </w:tcBorders>
            <w:vAlign w:val="center"/>
          </w:tcPr>
          <w:p w14:paraId="70AD78EB">
            <w:pPr>
              <w:pStyle w:val="1343"/>
            </w:pPr>
            <w:r>
              <w:rPr>
                <w:spacing w:val="-1"/>
              </w:rPr>
              <w:t>分布范围、种群数量</w:t>
            </w:r>
            <w:r>
              <w:t>、种群结构、行为等</w:t>
            </w:r>
          </w:p>
        </w:tc>
        <w:tc>
          <w:tcPr>
            <w:tcW w:w="696" w:type="pct"/>
            <w:vMerge w:val="restart"/>
            <w:vAlign w:val="center"/>
          </w:tcPr>
          <w:p w14:paraId="66E1AB81">
            <w:pPr>
              <w:pStyle w:val="1343"/>
            </w:pPr>
            <w:r>
              <w:t>长期、不可逆</w:t>
            </w:r>
          </w:p>
        </w:tc>
        <w:tc>
          <w:tcPr>
            <w:tcW w:w="655" w:type="pct"/>
            <w:vMerge w:val="restart"/>
            <w:vAlign w:val="center"/>
          </w:tcPr>
          <w:p w14:paraId="058B2C72">
            <w:pPr>
              <w:pStyle w:val="1343"/>
            </w:pPr>
            <w:r>
              <w:rPr>
                <w:rFonts w:hint="eastAsia"/>
              </w:rPr>
              <w:t>弱</w:t>
            </w:r>
          </w:p>
        </w:tc>
      </w:tr>
      <w:tr w14:paraId="0BB10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pct"/>
            <w:vMerge w:val="continue"/>
            <w:vAlign w:val="center"/>
          </w:tcPr>
          <w:p w14:paraId="03177C5A">
            <w:pPr>
              <w:pStyle w:val="1343"/>
              <w:rPr>
                <w:b/>
                <w:bCs/>
              </w:rPr>
            </w:pPr>
          </w:p>
        </w:tc>
        <w:tc>
          <w:tcPr>
            <w:tcW w:w="652" w:type="pct"/>
            <w:vMerge w:val="continue"/>
            <w:vAlign w:val="center"/>
          </w:tcPr>
          <w:p w14:paraId="4E81FD51">
            <w:pPr>
              <w:pStyle w:val="1343"/>
              <w:rPr>
                <w:b/>
                <w:bCs/>
              </w:rPr>
            </w:pPr>
          </w:p>
        </w:tc>
        <w:tc>
          <w:tcPr>
            <w:tcW w:w="749" w:type="pct"/>
            <w:vAlign w:val="center"/>
          </w:tcPr>
          <w:p w14:paraId="2C5FF282">
            <w:pPr>
              <w:pStyle w:val="1343"/>
              <w:rPr>
                <w:b/>
                <w:bCs/>
              </w:rPr>
            </w:pPr>
            <w:r>
              <w:t>生境</w:t>
            </w:r>
          </w:p>
        </w:tc>
        <w:tc>
          <w:tcPr>
            <w:tcW w:w="1862" w:type="pct"/>
            <w:vAlign w:val="center"/>
          </w:tcPr>
          <w:p w14:paraId="5B7A3FB6">
            <w:pPr>
              <w:pStyle w:val="1343"/>
              <w:rPr>
                <w:b/>
                <w:bCs/>
              </w:rPr>
            </w:pPr>
            <w:r>
              <w:rPr>
                <w:spacing w:val="-1"/>
              </w:rPr>
              <w:t>生境面积、质量、</w:t>
            </w:r>
            <w:r>
              <w:t>连通性等</w:t>
            </w:r>
          </w:p>
        </w:tc>
        <w:tc>
          <w:tcPr>
            <w:tcW w:w="696" w:type="pct"/>
            <w:vMerge w:val="continue"/>
            <w:vAlign w:val="center"/>
          </w:tcPr>
          <w:p w14:paraId="54277DF7">
            <w:pPr>
              <w:pStyle w:val="1343"/>
              <w:rPr>
                <w:b/>
                <w:bCs/>
              </w:rPr>
            </w:pPr>
          </w:p>
        </w:tc>
        <w:tc>
          <w:tcPr>
            <w:tcW w:w="655" w:type="pct"/>
            <w:vMerge w:val="continue"/>
            <w:vAlign w:val="center"/>
          </w:tcPr>
          <w:p w14:paraId="4A696291">
            <w:pPr>
              <w:pStyle w:val="1343"/>
              <w:rPr>
                <w:b/>
                <w:bCs/>
              </w:rPr>
            </w:pPr>
          </w:p>
        </w:tc>
      </w:tr>
      <w:tr w14:paraId="53B74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pct"/>
            <w:vMerge w:val="continue"/>
            <w:vAlign w:val="center"/>
          </w:tcPr>
          <w:p w14:paraId="6DA334A2">
            <w:pPr>
              <w:pStyle w:val="1343"/>
              <w:rPr>
                <w:b/>
                <w:bCs/>
              </w:rPr>
            </w:pPr>
          </w:p>
        </w:tc>
        <w:tc>
          <w:tcPr>
            <w:tcW w:w="652" w:type="pct"/>
            <w:vMerge w:val="continue"/>
            <w:vAlign w:val="center"/>
          </w:tcPr>
          <w:p w14:paraId="188B3275">
            <w:pPr>
              <w:pStyle w:val="1343"/>
              <w:rPr>
                <w:b/>
                <w:bCs/>
              </w:rPr>
            </w:pPr>
          </w:p>
        </w:tc>
        <w:tc>
          <w:tcPr>
            <w:tcW w:w="749" w:type="pct"/>
            <w:vAlign w:val="center"/>
          </w:tcPr>
          <w:p w14:paraId="4455BC73">
            <w:pPr>
              <w:pStyle w:val="1343"/>
              <w:rPr>
                <w:b/>
                <w:bCs/>
              </w:rPr>
            </w:pPr>
            <w:r>
              <w:t>生物群落</w:t>
            </w:r>
          </w:p>
        </w:tc>
        <w:tc>
          <w:tcPr>
            <w:tcW w:w="1862" w:type="pct"/>
            <w:vAlign w:val="center"/>
          </w:tcPr>
          <w:p w14:paraId="4F8512D0">
            <w:pPr>
              <w:pStyle w:val="1343"/>
              <w:rPr>
                <w:b/>
                <w:bCs/>
              </w:rPr>
            </w:pPr>
            <w:r>
              <w:rPr>
                <w:spacing w:val="-1"/>
              </w:rPr>
              <w:t>物种组成、群落</w:t>
            </w:r>
            <w:r>
              <w:t>结构等</w:t>
            </w:r>
          </w:p>
        </w:tc>
        <w:tc>
          <w:tcPr>
            <w:tcW w:w="696" w:type="pct"/>
            <w:vMerge w:val="continue"/>
            <w:vAlign w:val="center"/>
          </w:tcPr>
          <w:p w14:paraId="37A79CF3">
            <w:pPr>
              <w:pStyle w:val="1343"/>
              <w:rPr>
                <w:b/>
                <w:bCs/>
              </w:rPr>
            </w:pPr>
          </w:p>
        </w:tc>
        <w:tc>
          <w:tcPr>
            <w:tcW w:w="655" w:type="pct"/>
            <w:vMerge w:val="continue"/>
            <w:vAlign w:val="center"/>
          </w:tcPr>
          <w:p w14:paraId="652E3EC0">
            <w:pPr>
              <w:pStyle w:val="1343"/>
              <w:rPr>
                <w:b/>
                <w:bCs/>
              </w:rPr>
            </w:pPr>
          </w:p>
        </w:tc>
      </w:tr>
      <w:tr w14:paraId="415EB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pct"/>
            <w:vMerge w:val="continue"/>
            <w:vAlign w:val="center"/>
          </w:tcPr>
          <w:p w14:paraId="105E06C6">
            <w:pPr>
              <w:pStyle w:val="1343"/>
              <w:rPr>
                <w:b/>
                <w:bCs/>
              </w:rPr>
            </w:pPr>
          </w:p>
        </w:tc>
        <w:tc>
          <w:tcPr>
            <w:tcW w:w="652" w:type="pct"/>
            <w:vMerge w:val="continue"/>
            <w:vAlign w:val="center"/>
          </w:tcPr>
          <w:p w14:paraId="1C742E45">
            <w:pPr>
              <w:pStyle w:val="1343"/>
              <w:rPr>
                <w:b/>
                <w:bCs/>
              </w:rPr>
            </w:pPr>
          </w:p>
        </w:tc>
        <w:tc>
          <w:tcPr>
            <w:tcW w:w="749" w:type="pct"/>
            <w:vAlign w:val="center"/>
          </w:tcPr>
          <w:p w14:paraId="63275CA9">
            <w:pPr>
              <w:pStyle w:val="1343"/>
              <w:rPr>
                <w:b/>
                <w:bCs/>
              </w:rPr>
            </w:pPr>
            <w:r>
              <w:t>生态系统</w:t>
            </w:r>
          </w:p>
        </w:tc>
        <w:tc>
          <w:tcPr>
            <w:tcW w:w="1862" w:type="pct"/>
            <w:vAlign w:val="center"/>
          </w:tcPr>
          <w:p w14:paraId="1E6B1516">
            <w:pPr>
              <w:pStyle w:val="1343"/>
              <w:rPr>
                <w:b/>
                <w:bCs/>
              </w:rPr>
            </w:pPr>
            <w:r>
              <w:rPr>
                <w:spacing w:val="-1"/>
              </w:rPr>
              <w:t>植被覆盖度、生产</w:t>
            </w:r>
            <w:r>
              <w:t>力、生物量、生态系统功能等</w:t>
            </w:r>
          </w:p>
        </w:tc>
        <w:tc>
          <w:tcPr>
            <w:tcW w:w="696" w:type="pct"/>
            <w:vMerge w:val="continue"/>
            <w:vAlign w:val="center"/>
          </w:tcPr>
          <w:p w14:paraId="7A20D81F">
            <w:pPr>
              <w:pStyle w:val="1343"/>
              <w:rPr>
                <w:b/>
                <w:bCs/>
              </w:rPr>
            </w:pPr>
          </w:p>
        </w:tc>
        <w:tc>
          <w:tcPr>
            <w:tcW w:w="655" w:type="pct"/>
            <w:vMerge w:val="continue"/>
            <w:vAlign w:val="center"/>
          </w:tcPr>
          <w:p w14:paraId="08C573E5">
            <w:pPr>
              <w:pStyle w:val="1343"/>
              <w:rPr>
                <w:b/>
                <w:bCs/>
              </w:rPr>
            </w:pPr>
          </w:p>
        </w:tc>
      </w:tr>
      <w:tr w14:paraId="5E2A4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pct"/>
            <w:vMerge w:val="continue"/>
            <w:vAlign w:val="center"/>
          </w:tcPr>
          <w:p w14:paraId="0E32724F">
            <w:pPr>
              <w:pStyle w:val="1343"/>
              <w:rPr>
                <w:b/>
                <w:bCs/>
              </w:rPr>
            </w:pPr>
          </w:p>
        </w:tc>
        <w:tc>
          <w:tcPr>
            <w:tcW w:w="652" w:type="pct"/>
            <w:vMerge w:val="continue"/>
            <w:vAlign w:val="center"/>
          </w:tcPr>
          <w:p w14:paraId="378937EF">
            <w:pPr>
              <w:pStyle w:val="1343"/>
              <w:rPr>
                <w:b/>
                <w:bCs/>
              </w:rPr>
            </w:pPr>
          </w:p>
        </w:tc>
        <w:tc>
          <w:tcPr>
            <w:tcW w:w="749" w:type="pct"/>
            <w:vAlign w:val="center"/>
          </w:tcPr>
          <w:p w14:paraId="3E7FF8E3">
            <w:pPr>
              <w:pStyle w:val="1343"/>
              <w:rPr>
                <w:b/>
                <w:bCs/>
              </w:rPr>
            </w:pPr>
            <w:r>
              <w:t>生物多样性</w:t>
            </w:r>
          </w:p>
        </w:tc>
        <w:tc>
          <w:tcPr>
            <w:tcW w:w="1862" w:type="pct"/>
            <w:vAlign w:val="center"/>
          </w:tcPr>
          <w:p w14:paraId="78A07926">
            <w:pPr>
              <w:pStyle w:val="1343"/>
              <w:rPr>
                <w:b/>
                <w:bCs/>
              </w:rPr>
            </w:pPr>
            <w:r>
              <w:rPr>
                <w:spacing w:val="-1"/>
              </w:rPr>
              <w:t>物种丰富度、均</w:t>
            </w:r>
            <w:r>
              <w:t>匀度、优势度等</w:t>
            </w:r>
          </w:p>
        </w:tc>
        <w:tc>
          <w:tcPr>
            <w:tcW w:w="696" w:type="pct"/>
            <w:vMerge w:val="continue"/>
            <w:vAlign w:val="center"/>
          </w:tcPr>
          <w:p w14:paraId="02B14657">
            <w:pPr>
              <w:pStyle w:val="1343"/>
              <w:rPr>
                <w:b/>
                <w:bCs/>
              </w:rPr>
            </w:pPr>
          </w:p>
        </w:tc>
        <w:tc>
          <w:tcPr>
            <w:tcW w:w="655" w:type="pct"/>
            <w:vMerge w:val="continue"/>
            <w:vAlign w:val="center"/>
          </w:tcPr>
          <w:p w14:paraId="40F71EAB">
            <w:pPr>
              <w:pStyle w:val="1343"/>
              <w:rPr>
                <w:b/>
                <w:bCs/>
              </w:rPr>
            </w:pPr>
          </w:p>
        </w:tc>
      </w:tr>
      <w:tr w14:paraId="44837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pct"/>
            <w:vMerge w:val="continue"/>
            <w:vAlign w:val="center"/>
          </w:tcPr>
          <w:p w14:paraId="485BB996">
            <w:pPr>
              <w:pStyle w:val="1343"/>
              <w:rPr>
                <w:b/>
                <w:bCs/>
              </w:rPr>
            </w:pPr>
          </w:p>
        </w:tc>
        <w:tc>
          <w:tcPr>
            <w:tcW w:w="652" w:type="pct"/>
            <w:vMerge w:val="continue"/>
            <w:vAlign w:val="center"/>
          </w:tcPr>
          <w:p w14:paraId="6D84D942">
            <w:pPr>
              <w:pStyle w:val="1343"/>
              <w:rPr>
                <w:b/>
                <w:bCs/>
              </w:rPr>
            </w:pPr>
          </w:p>
        </w:tc>
        <w:tc>
          <w:tcPr>
            <w:tcW w:w="749" w:type="pct"/>
            <w:vAlign w:val="center"/>
          </w:tcPr>
          <w:p w14:paraId="2D020A98">
            <w:pPr>
              <w:pStyle w:val="1343"/>
              <w:rPr>
                <w:b/>
                <w:bCs/>
              </w:rPr>
            </w:pPr>
            <w:r>
              <w:t>生态敏感区</w:t>
            </w:r>
          </w:p>
        </w:tc>
        <w:tc>
          <w:tcPr>
            <w:tcW w:w="1862" w:type="pct"/>
            <w:vAlign w:val="center"/>
          </w:tcPr>
          <w:p w14:paraId="46B80C76">
            <w:pPr>
              <w:pStyle w:val="1343"/>
              <w:rPr>
                <w:b/>
                <w:bCs/>
              </w:rPr>
            </w:pPr>
            <w:r>
              <w:t>主要保护对象、生态功能等</w:t>
            </w:r>
          </w:p>
        </w:tc>
        <w:tc>
          <w:tcPr>
            <w:tcW w:w="696" w:type="pct"/>
            <w:vAlign w:val="center"/>
          </w:tcPr>
          <w:p w14:paraId="769B75E8">
            <w:pPr>
              <w:pStyle w:val="1343"/>
            </w:pPr>
            <w:r>
              <w:rPr>
                <w:rFonts w:hint="eastAsia"/>
              </w:rPr>
              <w:t>不涉及</w:t>
            </w:r>
          </w:p>
        </w:tc>
        <w:tc>
          <w:tcPr>
            <w:tcW w:w="655" w:type="pct"/>
            <w:vAlign w:val="center"/>
          </w:tcPr>
          <w:p w14:paraId="67F63F0B">
            <w:pPr>
              <w:pStyle w:val="1343"/>
            </w:pPr>
            <w:r>
              <w:rPr>
                <w:rFonts w:hint="eastAsia"/>
              </w:rPr>
              <w:t>无</w:t>
            </w:r>
          </w:p>
        </w:tc>
      </w:tr>
      <w:tr w14:paraId="2F4AD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pct"/>
            <w:vMerge w:val="continue"/>
            <w:vAlign w:val="center"/>
          </w:tcPr>
          <w:p w14:paraId="47D0B8E1">
            <w:pPr>
              <w:pStyle w:val="1343"/>
              <w:rPr>
                <w:b/>
                <w:bCs/>
              </w:rPr>
            </w:pPr>
          </w:p>
        </w:tc>
        <w:tc>
          <w:tcPr>
            <w:tcW w:w="652" w:type="pct"/>
            <w:vMerge w:val="continue"/>
            <w:vAlign w:val="center"/>
          </w:tcPr>
          <w:p w14:paraId="3485AADB">
            <w:pPr>
              <w:pStyle w:val="1343"/>
              <w:rPr>
                <w:b/>
                <w:bCs/>
              </w:rPr>
            </w:pPr>
          </w:p>
        </w:tc>
        <w:tc>
          <w:tcPr>
            <w:tcW w:w="749" w:type="pct"/>
            <w:vAlign w:val="center"/>
          </w:tcPr>
          <w:p w14:paraId="3117CFA3">
            <w:pPr>
              <w:pStyle w:val="1343"/>
              <w:rPr>
                <w:b/>
                <w:bCs/>
              </w:rPr>
            </w:pPr>
            <w:r>
              <w:t>自然景观</w:t>
            </w:r>
          </w:p>
        </w:tc>
        <w:tc>
          <w:tcPr>
            <w:tcW w:w="1862" w:type="pct"/>
            <w:vAlign w:val="center"/>
          </w:tcPr>
          <w:p w14:paraId="51504280">
            <w:pPr>
              <w:pStyle w:val="1343"/>
              <w:rPr>
                <w:b/>
                <w:bCs/>
              </w:rPr>
            </w:pPr>
            <w:r>
              <w:t>景观多样性、完整性等</w:t>
            </w:r>
          </w:p>
        </w:tc>
        <w:tc>
          <w:tcPr>
            <w:tcW w:w="696" w:type="pct"/>
            <w:vAlign w:val="center"/>
          </w:tcPr>
          <w:p w14:paraId="5A3CD5AB">
            <w:pPr>
              <w:pStyle w:val="1343"/>
              <w:rPr>
                <w:b/>
                <w:bCs/>
              </w:rPr>
            </w:pPr>
            <w:r>
              <w:t>短期、可逆</w:t>
            </w:r>
          </w:p>
        </w:tc>
        <w:tc>
          <w:tcPr>
            <w:tcW w:w="655" w:type="pct"/>
            <w:vAlign w:val="center"/>
          </w:tcPr>
          <w:p w14:paraId="2A867DA3">
            <w:pPr>
              <w:pStyle w:val="1343"/>
            </w:pPr>
            <w:r>
              <w:t>弱</w:t>
            </w:r>
          </w:p>
        </w:tc>
      </w:tr>
      <w:tr w14:paraId="54127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pct"/>
            <w:vMerge w:val="continue"/>
            <w:vAlign w:val="center"/>
          </w:tcPr>
          <w:p w14:paraId="20BBDC0F">
            <w:pPr>
              <w:pStyle w:val="1343"/>
              <w:rPr>
                <w:b/>
                <w:bCs/>
              </w:rPr>
            </w:pPr>
          </w:p>
        </w:tc>
        <w:tc>
          <w:tcPr>
            <w:tcW w:w="652" w:type="pct"/>
            <w:vMerge w:val="continue"/>
            <w:vAlign w:val="center"/>
          </w:tcPr>
          <w:p w14:paraId="1CFA3941">
            <w:pPr>
              <w:pStyle w:val="1343"/>
              <w:rPr>
                <w:b/>
                <w:bCs/>
              </w:rPr>
            </w:pPr>
          </w:p>
        </w:tc>
        <w:tc>
          <w:tcPr>
            <w:tcW w:w="749" w:type="pct"/>
            <w:vAlign w:val="center"/>
          </w:tcPr>
          <w:p w14:paraId="19E5FE25">
            <w:pPr>
              <w:pStyle w:val="1343"/>
              <w:rPr>
                <w:b/>
                <w:bCs/>
              </w:rPr>
            </w:pPr>
            <w:r>
              <w:t>自然遗迹</w:t>
            </w:r>
          </w:p>
        </w:tc>
        <w:tc>
          <w:tcPr>
            <w:tcW w:w="1862" w:type="pct"/>
            <w:vAlign w:val="center"/>
          </w:tcPr>
          <w:p w14:paraId="14FD2F54">
            <w:pPr>
              <w:pStyle w:val="1343"/>
              <w:rPr>
                <w:b/>
                <w:bCs/>
              </w:rPr>
            </w:pPr>
            <w:r>
              <w:t>遗迹多样性、完整性等</w:t>
            </w:r>
          </w:p>
        </w:tc>
        <w:tc>
          <w:tcPr>
            <w:tcW w:w="696" w:type="pct"/>
            <w:vAlign w:val="center"/>
          </w:tcPr>
          <w:p w14:paraId="6B4B4854">
            <w:pPr>
              <w:pStyle w:val="1343"/>
              <w:rPr>
                <w:b/>
                <w:bCs/>
              </w:rPr>
            </w:pPr>
            <w:r>
              <w:t>不涉及</w:t>
            </w:r>
          </w:p>
        </w:tc>
        <w:tc>
          <w:tcPr>
            <w:tcW w:w="655" w:type="pct"/>
            <w:vAlign w:val="center"/>
          </w:tcPr>
          <w:p w14:paraId="589838AA">
            <w:pPr>
              <w:pStyle w:val="1343"/>
              <w:rPr>
                <w:b/>
                <w:bCs/>
              </w:rPr>
            </w:pPr>
            <w:r>
              <w:t>无</w:t>
            </w:r>
          </w:p>
        </w:tc>
      </w:tr>
      <w:tr w14:paraId="24D6E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pct"/>
            <w:vMerge w:val="continue"/>
            <w:vAlign w:val="center"/>
          </w:tcPr>
          <w:p w14:paraId="1D79B4C2">
            <w:pPr>
              <w:pStyle w:val="1343"/>
            </w:pPr>
          </w:p>
        </w:tc>
        <w:tc>
          <w:tcPr>
            <w:tcW w:w="652" w:type="pct"/>
            <w:vMerge w:val="restart"/>
            <w:vAlign w:val="center"/>
          </w:tcPr>
          <w:p w14:paraId="08078F44">
            <w:pPr>
              <w:pStyle w:val="1343"/>
              <w:rPr>
                <w:b/>
                <w:bCs/>
              </w:rPr>
            </w:pPr>
            <w:r>
              <w:t>管线敷设</w:t>
            </w:r>
            <w:r>
              <w:rPr>
                <w:rFonts w:hint="eastAsia"/>
              </w:rPr>
              <w:t>施工</w:t>
            </w:r>
            <w:r>
              <w:t>临时占地产生的直接影响</w:t>
            </w:r>
          </w:p>
        </w:tc>
        <w:tc>
          <w:tcPr>
            <w:tcW w:w="749" w:type="pct"/>
            <w:vAlign w:val="center"/>
          </w:tcPr>
          <w:p w14:paraId="02254360">
            <w:pPr>
              <w:pStyle w:val="1343"/>
            </w:pPr>
            <w:r>
              <w:t>物种</w:t>
            </w:r>
          </w:p>
        </w:tc>
        <w:tc>
          <w:tcPr>
            <w:tcW w:w="1862" w:type="pct"/>
            <w:vAlign w:val="center"/>
          </w:tcPr>
          <w:p w14:paraId="454D16F6">
            <w:pPr>
              <w:pStyle w:val="1343"/>
            </w:pPr>
            <w:r>
              <w:rPr>
                <w:spacing w:val="-1"/>
              </w:rPr>
              <w:t>分布范围、种群数量</w:t>
            </w:r>
            <w:r>
              <w:t>、种群结构、行为等</w:t>
            </w:r>
          </w:p>
        </w:tc>
        <w:tc>
          <w:tcPr>
            <w:tcW w:w="696" w:type="pct"/>
            <w:vMerge w:val="restart"/>
            <w:vAlign w:val="center"/>
          </w:tcPr>
          <w:p w14:paraId="1613CD3F">
            <w:pPr>
              <w:pStyle w:val="1343"/>
            </w:pPr>
            <w:r>
              <w:t>短期、可逆</w:t>
            </w:r>
          </w:p>
        </w:tc>
        <w:tc>
          <w:tcPr>
            <w:tcW w:w="655" w:type="pct"/>
            <w:vMerge w:val="restart"/>
            <w:vAlign w:val="center"/>
          </w:tcPr>
          <w:p w14:paraId="32A2AD1C">
            <w:pPr>
              <w:pStyle w:val="1343"/>
            </w:pPr>
            <w:r>
              <w:rPr>
                <w:rFonts w:hint="eastAsia"/>
              </w:rPr>
              <w:t>中</w:t>
            </w:r>
          </w:p>
        </w:tc>
      </w:tr>
      <w:tr w14:paraId="60441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pct"/>
            <w:vMerge w:val="continue"/>
          </w:tcPr>
          <w:p w14:paraId="77AEEAD2">
            <w:pPr>
              <w:pStyle w:val="1343"/>
              <w:rPr>
                <w:b/>
                <w:bCs/>
              </w:rPr>
            </w:pPr>
          </w:p>
        </w:tc>
        <w:tc>
          <w:tcPr>
            <w:tcW w:w="652" w:type="pct"/>
            <w:vMerge w:val="continue"/>
          </w:tcPr>
          <w:p w14:paraId="08E6A095">
            <w:pPr>
              <w:pStyle w:val="1343"/>
              <w:rPr>
                <w:b/>
                <w:bCs/>
              </w:rPr>
            </w:pPr>
          </w:p>
        </w:tc>
        <w:tc>
          <w:tcPr>
            <w:tcW w:w="749" w:type="pct"/>
            <w:vAlign w:val="center"/>
          </w:tcPr>
          <w:p w14:paraId="1CFDF215">
            <w:pPr>
              <w:pStyle w:val="1343"/>
            </w:pPr>
            <w:r>
              <w:t>生境</w:t>
            </w:r>
          </w:p>
        </w:tc>
        <w:tc>
          <w:tcPr>
            <w:tcW w:w="1862" w:type="pct"/>
            <w:vAlign w:val="center"/>
          </w:tcPr>
          <w:p w14:paraId="17723FB4">
            <w:pPr>
              <w:pStyle w:val="1343"/>
            </w:pPr>
            <w:r>
              <w:rPr>
                <w:spacing w:val="-1"/>
              </w:rPr>
              <w:t>生境面积、质量、</w:t>
            </w:r>
            <w:r>
              <w:t>连通性等</w:t>
            </w:r>
          </w:p>
        </w:tc>
        <w:tc>
          <w:tcPr>
            <w:tcW w:w="696" w:type="pct"/>
            <w:vMerge w:val="continue"/>
            <w:vAlign w:val="center"/>
          </w:tcPr>
          <w:p w14:paraId="28F43498">
            <w:pPr>
              <w:pStyle w:val="1343"/>
            </w:pPr>
          </w:p>
        </w:tc>
        <w:tc>
          <w:tcPr>
            <w:tcW w:w="655" w:type="pct"/>
            <w:vMerge w:val="continue"/>
            <w:vAlign w:val="center"/>
          </w:tcPr>
          <w:p w14:paraId="6B659C2F">
            <w:pPr>
              <w:pStyle w:val="1343"/>
            </w:pPr>
          </w:p>
        </w:tc>
      </w:tr>
      <w:tr w14:paraId="4295C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pct"/>
            <w:vMerge w:val="continue"/>
          </w:tcPr>
          <w:p w14:paraId="3239B8BD">
            <w:pPr>
              <w:pStyle w:val="1343"/>
              <w:rPr>
                <w:b/>
                <w:bCs/>
              </w:rPr>
            </w:pPr>
          </w:p>
        </w:tc>
        <w:tc>
          <w:tcPr>
            <w:tcW w:w="652" w:type="pct"/>
            <w:vMerge w:val="continue"/>
          </w:tcPr>
          <w:p w14:paraId="10928B4C">
            <w:pPr>
              <w:pStyle w:val="1343"/>
              <w:rPr>
                <w:b/>
                <w:bCs/>
              </w:rPr>
            </w:pPr>
          </w:p>
        </w:tc>
        <w:tc>
          <w:tcPr>
            <w:tcW w:w="749" w:type="pct"/>
            <w:vAlign w:val="center"/>
          </w:tcPr>
          <w:p w14:paraId="177B0925">
            <w:pPr>
              <w:pStyle w:val="1343"/>
            </w:pPr>
            <w:r>
              <w:t>生物群落</w:t>
            </w:r>
          </w:p>
        </w:tc>
        <w:tc>
          <w:tcPr>
            <w:tcW w:w="1862" w:type="pct"/>
            <w:vAlign w:val="center"/>
          </w:tcPr>
          <w:p w14:paraId="4E53B884">
            <w:pPr>
              <w:pStyle w:val="1343"/>
            </w:pPr>
            <w:r>
              <w:rPr>
                <w:spacing w:val="-1"/>
              </w:rPr>
              <w:t>物种组成、群落</w:t>
            </w:r>
            <w:r>
              <w:t>结构等</w:t>
            </w:r>
          </w:p>
        </w:tc>
        <w:tc>
          <w:tcPr>
            <w:tcW w:w="696" w:type="pct"/>
            <w:vMerge w:val="continue"/>
            <w:vAlign w:val="center"/>
          </w:tcPr>
          <w:p w14:paraId="7E4FE618">
            <w:pPr>
              <w:pStyle w:val="1343"/>
            </w:pPr>
          </w:p>
        </w:tc>
        <w:tc>
          <w:tcPr>
            <w:tcW w:w="655" w:type="pct"/>
            <w:vMerge w:val="continue"/>
            <w:vAlign w:val="center"/>
          </w:tcPr>
          <w:p w14:paraId="19ACF5C6">
            <w:pPr>
              <w:pStyle w:val="1343"/>
            </w:pPr>
          </w:p>
        </w:tc>
      </w:tr>
      <w:tr w14:paraId="291B8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82" w:type="pct"/>
            <w:vMerge w:val="continue"/>
          </w:tcPr>
          <w:p w14:paraId="5FBE54A5">
            <w:pPr>
              <w:pStyle w:val="1343"/>
              <w:rPr>
                <w:b/>
                <w:bCs/>
              </w:rPr>
            </w:pPr>
          </w:p>
        </w:tc>
        <w:tc>
          <w:tcPr>
            <w:tcW w:w="652" w:type="pct"/>
            <w:vMerge w:val="continue"/>
          </w:tcPr>
          <w:p w14:paraId="58C95708">
            <w:pPr>
              <w:pStyle w:val="1343"/>
              <w:rPr>
                <w:b/>
                <w:bCs/>
              </w:rPr>
            </w:pPr>
          </w:p>
        </w:tc>
        <w:tc>
          <w:tcPr>
            <w:tcW w:w="749" w:type="pct"/>
            <w:vAlign w:val="center"/>
          </w:tcPr>
          <w:p w14:paraId="750A510F">
            <w:pPr>
              <w:pStyle w:val="1343"/>
            </w:pPr>
            <w:r>
              <w:t>生态系统</w:t>
            </w:r>
          </w:p>
        </w:tc>
        <w:tc>
          <w:tcPr>
            <w:tcW w:w="1862" w:type="pct"/>
            <w:vAlign w:val="center"/>
          </w:tcPr>
          <w:p w14:paraId="7BDD968D">
            <w:pPr>
              <w:pStyle w:val="1343"/>
            </w:pPr>
            <w:r>
              <w:rPr>
                <w:spacing w:val="-1"/>
              </w:rPr>
              <w:t>植被覆盖度、生产</w:t>
            </w:r>
            <w:r>
              <w:t>力、生物量、生态系统功能等</w:t>
            </w:r>
          </w:p>
        </w:tc>
        <w:tc>
          <w:tcPr>
            <w:tcW w:w="696" w:type="pct"/>
            <w:vMerge w:val="continue"/>
            <w:vAlign w:val="center"/>
          </w:tcPr>
          <w:p w14:paraId="2EA0D755">
            <w:pPr>
              <w:pStyle w:val="1343"/>
            </w:pPr>
          </w:p>
        </w:tc>
        <w:tc>
          <w:tcPr>
            <w:tcW w:w="655" w:type="pct"/>
            <w:vMerge w:val="continue"/>
            <w:vAlign w:val="center"/>
          </w:tcPr>
          <w:p w14:paraId="24BDBDB0">
            <w:pPr>
              <w:pStyle w:val="1343"/>
            </w:pPr>
          </w:p>
        </w:tc>
      </w:tr>
      <w:tr w14:paraId="1A9B6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pct"/>
            <w:vMerge w:val="continue"/>
          </w:tcPr>
          <w:p w14:paraId="691A01CC">
            <w:pPr>
              <w:pStyle w:val="1343"/>
              <w:rPr>
                <w:b/>
                <w:bCs/>
              </w:rPr>
            </w:pPr>
          </w:p>
        </w:tc>
        <w:tc>
          <w:tcPr>
            <w:tcW w:w="652" w:type="pct"/>
            <w:vMerge w:val="continue"/>
          </w:tcPr>
          <w:p w14:paraId="2E982E4C">
            <w:pPr>
              <w:pStyle w:val="1343"/>
              <w:rPr>
                <w:b/>
                <w:bCs/>
              </w:rPr>
            </w:pPr>
          </w:p>
        </w:tc>
        <w:tc>
          <w:tcPr>
            <w:tcW w:w="749" w:type="pct"/>
            <w:vAlign w:val="center"/>
          </w:tcPr>
          <w:p w14:paraId="015886A8">
            <w:pPr>
              <w:pStyle w:val="1343"/>
            </w:pPr>
            <w:r>
              <w:t>生物多样性</w:t>
            </w:r>
          </w:p>
        </w:tc>
        <w:tc>
          <w:tcPr>
            <w:tcW w:w="1862" w:type="pct"/>
            <w:vAlign w:val="center"/>
          </w:tcPr>
          <w:p w14:paraId="7B2F5D03">
            <w:pPr>
              <w:pStyle w:val="1343"/>
            </w:pPr>
            <w:r>
              <w:rPr>
                <w:spacing w:val="-1"/>
              </w:rPr>
              <w:t>物种丰富度、均</w:t>
            </w:r>
            <w:r>
              <w:t>匀度、优势度等</w:t>
            </w:r>
          </w:p>
        </w:tc>
        <w:tc>
          <w:tcPr>
            <w:tcW w:w="696" w:type="pct"/>
            <w:vMerge w:val="continue"/>
            <w:vAlign w:val="center"/>
          </w:tcPr>
          <w:p w14:paraId="380B84B0">
            <w:pPr>
              <w:pStyle w:val="1343"/>
            </w:pPr>
          </w:p>
        </w:tc>
        <w:tc>
          <w:tcPr>
            <w:tcW w:w="655" w:type="pct"/>
            <w:vMerge w:val="continue"/>
            <w:vAlign w:val="center"/>
          </w:tcPr>
          <w:p w14:paraId="345CD030">
            <w:pPr>
              <w:pStyle w:val="1343"/>
            </w:pPr>
          </w:p>
        </w:tc>
      </w:tr>
      <w:tr w14:paraId="4294E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pct"/>
            <w:vMerge w:val="continue"/>
          </w:tcPr>
          <w:p w14:paraId="3379041E">
            <w:pPr>
              <w:pStyle w:val="1343"/>
              <w:rPr>
                <w:b/>
                <w:bCs/>
              </w:rPr>
            </w:pPr>
          </w:p>
        </w:tc>
        <w:tc>
          <w:tcPr>
            <w:tcW w:w="652" w:type="pct"/>
            <w:vMerge w:val="continue"/>
          </w:tcPr>
          <w:p w14:paraId="5E0CBD6B">
            <w:pPr>
              <w:pStyle w:val="1343"/>
              <w:rPr>
                <w:b/>
                <w:bCs/>
              </w:rPr>
            </w:pPr>
          </w:p>
        </w:tc>
        <w:tc>
          <w:tcPr>
            <w:tcW w:w="749" w:type="pct"/>
            <w:vAlign w:val="center"/>
          </w:tcPr>
          <w:p w14:paraId="61EF4014">
            <w:pPr>
              <w:pStyle w:val="1343"/>
            </w:pPr>
            <w:r>
              <w:t>生态敏感区</w:t>
            </w:r>
          </w:p>
        </w:tc>
        <w:tc>
          <w:tcPr>
            <w:tcW w:w="1862" w:type="pct"/>
            <w:vAlign w:val="center"/>
          </w:tcPr>
          <w:p w14:paraId="4718CD53">
            <w:pPr>
              <w:pStyle w:val="1343"/>
            </w:pPr>
            <w:r>
              <w:t>主要保护对象、生态功能等</w:t>
            </w:r>
          </w:p>
        </w:tc>
        <w:tc>
          <w:tcPr>
            <w:tcW w:w="696" w:type="pct"/>
            <w:vAlign w:val="center"/>
          </w:tcPr>
          <w:p w14:paraId="3C134C16">
            <w:pPr>
              <w:pStyle w:val="1343"/>
            </w:pPr>
            <w:r>
              <w:rPr>
                <w:rFonts w:hint="eastAsia"/>
              </w:rPr>
              <w:t>不涉及</w:t>
            </w:r>
          </w:p>
        </w:tc>
        <w:tc>
          <w:tcPr>
            <w:tcW w:w="655" w:type="pct"/>
            <w:vAlign w:val="center"/>
          </w:tcPr>
          <w:p w14:paraId="42AF2616">
            <w:pPr>
              <w:pStyle w:val="1343"/>
            </w:pPr>
            <w:r>
              <w:rPr>
                <w:rFonts w:hint="eastAsia"/>
              </w:rPr>
              <w:t>无</w:t>
            </w:r>
          </w:p>
        </w:tc>
      </w:tr>
      <w:tr w14:paraId="00E86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pct"/>
            <w:vMerge w:val="continue"/>
          </w:tcPr>
          <w:p w14:paraId="56B099A8">
            <w:pPr>
              <w:pStyle w:val="1343"/>
              <w:rPr>
                <w:b/>
                <w:bCs/>
              </w:rPr>
            </w:pPr>
          </w:p>
        </w:tc>
        <w:tc>
          <w:tcPr>
            <w:tcW w:w="652" w:type="pct"/>
            <w:vMerge w:val="continue"/>
          </w:tcPr>
          <w:p w14:paraId="24C3F80F">
            <w:pPr>
              <w:pStyle w:val="1343"/>
              <w:rPr>
                <w:b/>
                <w:bCs/>
              </w:rPr>
            </w:pPr>
          </w:p>
        </w:tc>
        <w:tc>
          <w:tcPr>
            <w:tcW w:w="749" w:type="pct"/>
            <w:vAlign w:val="center"/>
          </w:tcPr>
          <w:p w14:paraId="63E1527D">
            <w:pPr>
              <w:pStyle w:val="1343"/>
            </w:pPr>
            <w:r>
              <w:t>自然景观</w:t>
            </w:r>
          </w:p>
        </w:tc>
        <w:tc>
          <w:tcPr>
            <w:tcW w:w="1862" w:type="pct"/>
            <w:vAlign w:val="center"/>
          </w:tcPr>
          <w:p w14:paraId="040B6944">
            <w:pPr>
              <w:pStyle w:val="1343"/>
            </w:pPr>
            <w:r>
              <w:t>景观多样性、完整性等</w:t>
            </w:r>
          </w:p>
        </w:tc>
        <w:tc>
          <w:tcPr>
            <w:tcW w:w="696" w:type="pct"/>
            <w:vAlign w:val="center"/>
          </w:tcPr>
          <w:p w14:paraId="49FC1963">
            <w:pPr>
              <w:pStyle w:val="1343"/>
            </w:pPr>
            <w:r>
              <w:t>短期、可逆</w:t>
            </w:r>
          </w:p>
        </w:tc>
        <w:tc>
          <w:tcPr>
            <w:tcW w:w="655" w:type="pct"/>
            <w:vAlign w:val="center"/>
          </w:tcPr>
          <w:p w14:paraId="68AD3810">
            <w:pPr>
              <w:pStyle w:val="1343"/>
            </w:pPr>
            <w:r>
              <w:t>无</w:t>
            </w:r>
          </w:p>
        </w:tc>
      </w:tr>
      <w:tr w14:paraId="3D90D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pct"/>
            <w:vMerge w:val="continue"/>
          </w:tcPr>
          <w:p w14:paraId="32B9A516">
            <w:pPr>
              <w:pStyle w:val="1343"/>
              <w:rPr>
                <w:b/>
                <w:bCs/>
              </w:rPr>
            </w:pPr>
          </w:p>
        </w:tc>
        <w:tc>
          <w:tcPr>
            <w:tcW w:w="652" w:type="pct"/>
            <w:vMerge w:val="continue"/>
          </w:tcPr>
          <w:p w14:paraId="6F48A557">
            <w:pPr>
              <w:pStyle w:val="1343"/>
              <w:rPr>
                <w:b/>
                <w:bCs/>
              </w:rPr>
            </w:pPr>
          </w:p>
        </w:tc>
        <w:tc>
          <w:tcPr>
            <w:tcW w:w="749" w:type="pct"/>
            <w:vAlign w:val="center"/>
          </w:tcPr>
          <w:p w14:paraId="5009DB0C">
            <w:pPr>
              <w:pStyle w:val="1343"/>
            </w:pPr>
            <w:r>
              <w:t>自然遗迹</w:t>
            </w:r>
          </w:p>
        </w:tc>
        <w:tc>
          <w:tcPr>
            <w:tcW w:w="1862" w:type="pct"/>
            <w:vAlign w:val="center"/>
          </w:tcPr>
          <w:p w14:paraId="02DBD562">
            <w:pPr>
              <w:pStyle w:val="1343"/>
            </w:pPr>
            <w:r>
              <w:t>遗迹多样性、完整性等</w:t>
            </w:r>
          </w:p>
        </w:tc>
        <w:tc>
          <w:tcPr>
            <w:tcW w:w="696" w:type="pct"/>
            <w:vAlign w:val="center"/>
          </w:tcPr>
          <w:p w14:paraId="3DEF9CC4">
            <w:pPr>
              <w:pStyle w:val="1343"/>
            </w:pPr>
            <w:r>
              <w:t>不涉及</w:t>
            </w:r>
          </w:p>
        </w:tc>
        <w:tc>
          <w:tcPr>
            <w:tcW w:w="655" w:type="pct"/>
            <w:vAlign w:val="center"/>
          </w:tcPr>
          <w:p w14:paraId="55D2035A">
            <w:pPr>
              <w:pStyle w:val="1343"/>
            </w:pPr>
            <w:r>
              <w:t>无</w:t>
            </w:r>
          </w:p>
        </w:tc>
      </w:tr>
      <w:bookmarkEnd w:id="93"/>
      <w:tr w14:paraId="57832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vMerge w:val="restart"/>
            <w:vAlign w:val="center"/>
          </w:tcPr>
          <w:p w14:paraId="01AD5C0E">
            <w:pPr>
              <w:pStyle w:val="1343"/>
            </w:pPr>
            <w:r>
              <w:rPr>
                <w:rFonts w:hint="eastAsia"/>
              </w:rPr>
              <w:t>运营期</w:t>
            </w:r>
          </w:p>
        </w:tc>
        <w:tc>
          <w:tcPr>
            <w:tcW w:w="649" w:type="pct"/>
            <w:vMerge w:val="restart"/>
            <w:vAlign w:val="center"/>
          </w:tcPr>
          <w:p w14:paraId="2D05D4BB">
            <w:pPr>
              <w:pStyle w:val="1343"/>
            </w:pPr>
            <w:r>
              <w:t>事故状态下管线泄漏、火灾爆炸产生的直接生态影响</w:t>
            </w:r>
          </w:p>
        </w:tc>
        <w:tc>
          <w:tcPr>
            <w:tcW w:w="749" w:type="pct"/>
            <w:vAlign w:val="center"/>
          </w:tcPr>
          <w:p w14:paraId="22B12593">
            <w:pPr>
              <w:pStyle w:val="1343"/>
            </w:pPr>
            <w:r>
              <w:t>物种</w:t>
            </w:r>
          </w:p>
        </w:tc>
        <w:tc>
          <w:tcPr>
            <w:tcW w:w="1862" w:type="pct"/>
            <w:vAlign w:val="center"/>
          </w:tcPr>
          <w:p w14:paraId="45ECC031">
            <w:pPr>
              <w:pStyle w:val="1343"/>
            </w:pPr>
            <w:r>
              <w:rPr>
                <w:spacing w:val="-1"/>
              </w:rPr>
              <w:t>分布范围、种群数量</w:t>
            </w:r>
            <w:r>
              <w:t>、种群结构、行为等</w:t>
            </w:r>
          </w:p>
        </w:tc>
        <w:tc>
          <w:tcPr>
            <w:tcW w:w="696" w:type="pct"/>
            <w:vMerge w:val="restart"/>
            <w:vAlign w:val="center"/>
          </w:tcPr>
          <w:p w14:paraId="5AB22CDD">
            <w:pPr>
              <w:pStyle w:val="1343"/>
            </w:pPr>
            <w:r>
              <w:t>短期、可逆</w:t>
            </w:r>
          </w:p>
        </w:tc>
        <w:tc>
          <w:tcPr>
            <w:tcW w:w="655" w:type="pct"/>
            <w:vMerge w:val="restart"/>
            <w:vAlign w:val="center"/>
          </w:tcPr>
          <w:p w14:paraId="4FBBE79B">
            <w:pPr>
              <w:pStyle w:val="1343"/>
            </w:pPr>
            <w:r>
              <w:t>弱</w:t>
            </w:r>
          </w:p>
        </w:tc>
      </w:tr>
      <w:tr w14:paraId="5EE62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vMerge w:val="continue"/>
          </w:tcPr>
          <w:p w14:paraId="6515C019">
            <w:pPr>
              <w:pStyle w:val="1343"/>
            </w:pPr>
          </w:p>
        </w:tc>
        <w:tc>
          <w:tcPr>
            <w:tcW w:w="649" w:type="pct"/>
            <w:vMerge w:val="continue"/>
          </w:tcPr>
          <w:p w14:paraId="5DC3FA76">
            <w:pPr>
              <w:pStyle w:val="1343"/>
            </w:pPr>
          </w:p>
        </w:tc>
        <w:tc>
          <w:tcPr>
            <w:tcW w:w="749" w:type="pct"/>
            <w:vAlign w:val="center"/>
          </w:tcPr>
          <w:p w14:paraId="3E98ED54">
            <w:pPr>
              <w:pStyle w:val="1343"/>
            </w:pPr>
            <w:r>
              <w:t>生境</w:t>
            </w:r>
          </w:p>
        </w:tc>
        <w:tc>
          <w:tcPr>
            <w:tcW w:w="1862" w:type="pct"/>
            <w:vAlign w:val="center"/>
          </w:tcPr>
          <w:p w14:paraId="09276872">
            <w:pPr>
              <w:pStyle w:val="1343"/>
              <w:rPr>
                <w:spacing w:val="-1"/>
              </w:rPr>
            </w:pPr>
            <w:r>
              <w:rPr>
                <w:spacing w:val="-1"/>
              </w:rPr>
              <w:t>生境面积、质量、</w:t>
            </w:r>
            <w:r>
              <w:t>连通性等</w:t>
            </w:r>
          </w:p>
        </w:tc>
        <w:tc>
          <w:tcPr>
            <w:tcW w:w="696" w:type="pct"/>
            <w:vMerge w:val="continue"/>
            <w:vAlign w:val="center"/>
          </w:tcPr>
          <w:p w14:paraId="081E13FE">
            <w:pPr>
              <w:pStyle w:val="1343"/>
            </w:pPr>
          </w:p>
        </w:tc>
        <w:tc>
          <w:tcPr>
            <w:tcW w:w="655" w:type="pct"/>
            <w:vMerge w:val="continue"/>
            <w:vAlign w:val="center"/>
          </w:tcPr>
          <w:p w14:paraId="7BC05EEE">
            <w:pPr>
              <w:pStyle w:val="1343"/>
            </w:pPr>
          </w:p>
        </w:tc>
      </w:tr>
      <w:tr w14:paraId="2FAA7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vMerge w:val="continue"/>
          </w:tcPr>
          <w:p w14:paraId="71130605">
            <w:pPr>
              <w:pStyle w:val="1343"/>
            </w:pPr>
          </w:p>
        </w:tc>
        <w:tc>
          <w:tcPr>
            <w:tcW w:w="649" w:type="pct"/>
            <w:vMerge w:val="continue"/>
          </w:tcPr>
          <w:p w14:paraId="79D5AB6A">
            <w:pPr>
              <w:pStyle w:val="1343"/>
            </w:pPr>
          </w:p>
        </w:tc>
        <w:tc>
          <w:tcPr>
            <w:tcW w:w="749" w:type="pct"/>
            <w:vAlign w:val="center"/>
          </w:tcPr>
          <w:p w14:paraId="3B41D22B">
            <w:pPr>
              <w:pStyle w:val="1343"/>
            </w:pPr>
            <w:r>
              <w:t>生物群落</w:t>
            </w:r>
          </w:p>
        </w:tc>
        <w:tc>
          <w:tcPr>
            <w:tcW w:w="1862" w:type="pct"/>
            <w:vAlign w:val="center"/>
          </w:tcPr>
          <w:p w14:paraId="6C104C0E">
            <w:pPr>
              <w:pStyle w:val="1343"/>
              <w:rPr>
                <w:spacing w:val="-1"/>
              </w:rPr>
            </w:pPr>
            <w:r>
              <w:rPr>
                <w:spacing w:val="-1"/>
              </w:rPr>
              <w:t>物种组成、群落</w:t>
            </w:r>
            <w:r>
              <w:t>结构等</w:t>
            </w:r>
          </w:p>
        </w:tc>
        <w:tc>
          <w:tcPr>
            <w:tcW w:w="696" w:type="pct"/>
            <w:vMerge w:val="continue"/>
            <w:vAlign w:val="center"/>
          </w:tcPr>
          <w:p w14:paraId="3231FD1F">
            <w:pPr>
              <w:pStyle w:val="1343"/>
            </w:pPr>
          </w:p>
        </w:tc>
        <w:tc>
          <w:tcPr>
            <w:tcW w:w="655" w:type="pct"/>
            <w:vMerge w:val="continue"/>
            <w:vAlign w:val="center"/>
          </w:tcPr>
          <w:p w14:paraId="1980BC08">
            <w:pPr>
              <w:pStyle w:val="1343"/>
            </w:pPr>
          </w:p>
        </w:tc>
      </w:tr>
      <w:tr w14:paraId="63F03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vMerge w:val="continue"/>
          </w:tcPr>
          <w:p w14:paraId="31A810D2">
            <w:pPr>
              <w:pStyle w:val="1343"/>
            </w:pPr>
          </w:p>
        </w:tc>
        <w:tc>
          <w:tcPr>
            <w:tcW w:w="649" w:type="pct"/>
            <w:vMerge w:val="continue"/>
          </w:tcPr>
          <w:p w14:paraId="716DFD1D">
            <w:pPr>
              <w:pStyle w:val="1343"/>
            </w:pPr>
          </w:p>
        </w:tc>
        <w:tc>
          <w:tcPr>
            <w:tcW w:w="749" w:type="pct"/>
            <w:vAlign w:val="center"/>
          </w:tcPr>
          <w:p w14:paraId="6247CD05">
            <w:pPr>
              <w:pStyle w:val="1343"/>
            </w:pPr>
            <w:r>
              <w:t>生态系统</w:t>
            </w:r>
          </w:p>
        </w:tc>
        <w:tc>
          <w:tcPr>
            <w:tcW w:w="1862" w:type="pct"/>
            <w:vAlign w:val="center"/>
          </w:tcPr>
          <w:p w14:paraId="6C18005C">
            <w:pPr>
              <w:pStyle w:val="1343"/>
              <w:rPr>
                <w:spacing w:val="-1"/>
              </w:rPr>
            </w:pPr>
            <w:r>
              <w:rPr>
                <w:spacing w:val="-1"/>
              </w:rPr>
              <w:t>植被覆盖度、生产</w:t>
            </w:r>
            <w:r>
              <w:t>力、生物量、生态系统功能等</w:t>
            </w:r>
          </w:p>
        </w:tc>
        <w:tc>
          <w:tcPr>
            <w:tcW w:w="696" w:type="pct"/>
            <w:vMerge w:val="continue"/>
            <w:vAlign w:val="center"/>
          </w:tcPr>
          <w:p w14:paraId="0345BB57">
            <w:pPr>
              <w:pStyle w:val="1343"/>
            </w:pPr>
          </w:p>
        </w:tc>
        <w:tc>
          <w:tcPr>
            <w:tcW w:w="655" w:type="pct"/>
            <w:vMerge w:val="continue"/>
            <w:vAlign w:val="center"/>
          </w:tcPr>
          <w:p w14:paraId="0962E5E8">
            <w:pPr>
              <w:pStyle w:val="1343"/>
            </w:pPr>
          </w:p>
        </w:tc>
      </w:tr>
      <w:tr w14:paraId="14521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vMerge w:val="continue"/>
          </w:tcPr>
          <w:p w14:paraId="41D2CE3E">
            <w:pPr>
              <w:pStyle w:val="1343"/>
            </w:pPr>
          </w:p>
        </w:tc>
        <w:tc>
          <w:tcPr>
            <w:tcW w:w="649" w:type="pct"/>
            <w:vMerge w:val="continue"/>
          </w:tcPr>
          <w:p w14:paraId="70D97CD4">
            <w:pPr>
              <w:pStyle w:val="1343"/>
            </w:pPr>
          </w:p>
        </w:tc>
        <w:tc>
          <w:tcPr>
            <w:tcW w:w="749" w:type="pct"/>
            <w:vAlign w:val="center"/>
          </w:tcPr>
          <w:p w14:paraId="6CE80EBC">
            <w:pPr>
              <w:pStyle w:val="1343"/>
            </w:pPr>
            <w:r>
              <w:t>生物多样性</w:t>
            </w:r>
          </w:p>
        </w:tc>
        <w:tc>
          <w:tcPr>
            <w:tcW w:w="1862" w:type="pct"/>
            <w:vAlign w:val="center"/>
          </w:tcPr>
          <w:p w14:paraId="5B197290">
            <w:pPr>
              <w:pStyle w:val="1343"/>
              <w:rPr>
                <w:spacing w:val="-1"/>
              </w:rPr>
            </w:pPr>
            <w:r>
              <w:rPr>
                <w:spacing w:val="-1"/>
              </w:rPr>
              <w:t>物种丰富度、均</w:t>
            </w:r>
            <w:r>
              <w:t>匀度、优势度等</w:t>
            </w:r>
          </w:p>
        </w:tc>
        <w:tc>
          <w:tcPr>
            <w:tcW w:w="696" w:type="pct"/>
            <w:vMerge w:val="continue"/>
            <w:vAlign w:val="center"/>
          </w:tcPr>
          <w:p w14:paraId="3D65898F">
            <w:pPr>
              <w:pStyle w:val="1343"/>
            </w:pPr>
          </w:p>
        </w:tc>
        <w:tc>
          <w:tcPr>
            <w:tcW w:w="655" w:type="pct"/>
            <w:vMerge w:val="continue"/>
            <w:vAlign w:val="center"/>
          </w:tcPr>
          <w:p w14:paraId="4F5198E9">
            <w:pPr>
              <w:pStyle w:val="1343"/>
            </w:pPr>
          </w:p>
        </w:tc>
      </w:tr>
      <w:tr w14:paraId="61870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vMerge w:val="continue"/>
          </w:tcPr>
          <w:p w14:paraId="1629E570">
            <w:pPr>
              <w:pStyle w:val="1343"/>
            </w:pPr>
          </w:p>
        </w:tc>
        <w:tc>
          <w:tcPr>
            <w:tcW w:w="649" w:type="pct"/>
            <w:vMerge w:val="continue"/>
          </w:tcPr>
          <w:p w14:paraId="2BB054E1">
            <w:pPr>
              <w:pStyle w:val="1343"/>
            </w:pPr>
          </w:p>
        </w:tc>
        <w:tc>
          <w:tcPr>
            <w:tcW w:w="749" w:type="pct"/>
            <w:vAlign w:val="center"/>
          </w:tcPr>
          <w:p w14:paraId="3822F711">
            <w:pPr>
              <w:pStyle w:val="1343"/>
            </w:pPr>
            <w:r>
              <w:t>生态敏感区</w:t>
            </w:r>
          </w:p>
        </w:tc>
        <w:tc>
          <w:tcPr>
            <w:tcW w:w="1862" w:type="pct"/>
            <w:vAlign w:val="center"/>
          </w:tcPr>
          <w:p w14:paraId="1FE88B35">
            <w:pPr>
              <w:pStyle w:val="1343"/>
              <w:rPr>
                <w:spacing w:val="-1"/>
              </w:rPr>
            </w:pPr>
            <w:r>
              <w:t>主要保护对象、生态功能等</w:t>
            </w:r>
          </w:p>
        </w:tc>
        <w:tc>
          <w:tcPr>
            <w:tcW w:w="696" w:type="pct"/>
            <w:vAlign w:val="center"/>
          </w:tcPr>
          <w:p w14:paraId="4DF23B8F">
            <w:pPr>
              <w:pStyle w:val="1343"/>
            </w:pPr>
            <w:r>
              <w:t>不涉及</w:t>
            </w:r>
          </w:p>
        </w:tc>
        <w:tc>
          <w:tcPr>
            <w:tcW w:w="655" w:type="pct"/>
            <w:vAlign w:val="center"/>
          </w:tcPr>
          <w:p w14:paraId="6F0779E3">
            <w:pPr>
              <w:pStyle w:val="1343"/>
            </w:pPr>
            <w:r>
              <w:t>无</w:t>
            </w:r>
          </w:p>
        </w:tc>
      </w:tr>
      <w:tr w14:paraId="15276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vMerge w:val="continue"/>
          </w:tcPr>
          <w:p w14:paraId="376F6E20">
            <w:pPr>
              <w:pStyle w:val="1343"/>
            </w:pPr>
          </w:p>
        </w:tc>
        <w:tc>
          <w:tcPr>
            <w:tcW w:w="649" w:type="pct"/>
            <w:vMerge w:val="continue"/>
          </w:tcPr>
          <w:p w14:paraId="535E6558">
            <w:pPr>
              <w:pStyle w:val="1343"/>
            </w:pPr>
          </w:p>
        </w:tc>
        <w:tc>
          <w:tcPr>
            <w:tcW w:w="749" w:type="pct"/>
            <w:vAlign w:val="center"/>
          </w:tcPr>
          <w:p w14:paraId="749C30D5">
            <w:pPr>
              <w:pStyle w:val="1343"/>
            </w:pPr>
            <w:r>
              <w:t>自然景观</w:t>
            </w:r>
          </w:p>
        </w:tc>
        <w:tc>
          <w:tcPr>
            <w:tcW w:w="1862" w:type="pct"/>
            <w:vAlign w:val="center"/>
          </w:tcPr>
          <w:p w14:paraId="0ECDED33">
            <w:pPr>
              <w:pStyle w:val="1343"/>
            </w:pPr>
            <w:r>
              <w:t>景观多样性、完整性等</w:t>
            </w:r>
          </w:p>
        </w:tc>
        <w:tc>
          <w:tcPr>
            <w:tcW w:w="696" w:type="pct"/>
            <w:vAlign w:val="center"/>
          </w:tcPr>
          <w:p w14:paraId="3EE684D2">
            <w:pPr>
              <w:pStyle w:val="1343"/>
            </w:pPr>
            <w:r>
              <w:t>短期、可逆</w:t>
            </w:r>
          </w:p>
        </w:tc>
        <w:tc>
          <w:tcPr>
            <w:tcW w:w="655" w:type="pct"/>
            <w:vAlign w:val="center"/>
          </w:tcPr>
          <w:p w14:paraId="53654488">
            <w:pPr>
              <w:pStyle w:val="1343"/>
            </w:pPr>
            <w:r>
              <w:t>弱</w:t>
            </w:r>
          </w:p>
        </w:tc>
      </w:tr>
      <w:tr w14:paraId="14F0C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vMerge w:val="continue"/>
          </w:tcPr>
          <w:p w14:paraId="18378B64">
            <w:pPr>
              <w:pStyle w:val="1343"/>
            </w:pPr>
          </w:p>
        </w:tc>
        <w:tc>
          <w:tcPr>
            <w:tcW w:w="649" w:type="pct"/>
            <w:vMerge w:val="continue"/>
          </w:tcPr>
          <w:p w14:paraId="55D2BDEB">
            <w:pPr>
              <w:pStyle w:val="1343"/>
            </w:pPr>
          </w:p>
        </w:tc>
        <w:tc>
          <w:tcPr>
            <w:tcW w:w="749" w:type="pct"/>
            <w:vAlign w:val="center"/>
          </w:tcPr>
          <w:p w14:paraId="554EE191">
            <w:pPr>
              <w:pStyle w:val="1343"/>
            </w:pPr>
            <w:r>
              <w:t>自然遗迹</w:t>
            </w:r>
          </w:p>
        </w:tc>
        <w:tc>
          <w:tcPr>
            <w:tcW w:w="1862" w:type="pct"/>
            <w:vAlign w:val="center"/>
          </w:tcPr>
          <w:p w14:paraId="1E8F4C14">
            <w:pPr>
              <w:pStyle w:val="1343"/>
            </w:pPr>
            <w:r>
              <w:t>遗迹多样性、完整性等</w:t>
            </w:r>
          </w:p>
        </w:tc>
        <w:tc>
          <w:tcPr>
            <w:tcW w:w="696" w:type="pct"/>
            <w:vAlign w:val="center"/>
          </w:tcPr>
          <w:p w14:paraId="2BF7ACA8">
            <w:pPr>
              <w:pStyle w:val="1343"/>
            </w:pPr>
            <w:r>
              <w:t>不涉及</w:t>
            </w:r>
          </w:p>
        </w:tc>
        <w:tc>
          <w:tcPr>
            <w:tcW w:w="655" w:type="pct"/>
            <w:vAlign w:val="center"/>
          </w:tcPr>
          <w:p w14:paraId="33AE7063">
            <w:pPr>
              <w:pStyle w:val="1343"/>
            </w:pPr>
            <w:r>
              <w:t>无</w:t>
            </w:r>
          </w:p>
        </w:tc>
      </w:tr>
    </w:tbl>
    <w:p w14:paraId="2EAEF60B">
      <w:pPr>
        <w:pStyle w:val="234"/>
        <w:spacing w:before="120" w:beforeLines="50"/>
      </w:pPr>
      <w:r>
        <w:t>根据本工程污染物排放特征、所在地环境污染特点和《建设项目环境影响评价技术导则 总纲》</w:t>
      </w:r>
      <w:r>
        <w:rPr>
          <w:rFonts w:hint="eastAsia"/>
        </w:rPr>
        <w:t>（</w:t>
      </w:r>
      <w:r>
        <w:t>HJ 2.1-2016</w:t>
      </w:r>
      <w:r>
        <w:rPr>
          <w:rFonts w:hint="eastAsia"/>
        </w:rPr>
        <w:t>）</w:t>
      </w:r>
      <w:r>
        <w:t>的要求，确定本工程评价因子表2.4-</w:t>
      </w:r>
      <w:r>
        <w:rPr>
          <w:rFonts w:hint="eastAsia"/>
        </w:rPr>
        <w:t>4</w:t>
      </w:r>
      <w:r>
        <w:t>。</w:t>
      </w:r>
    </w:p>
    <w:p w14:paraId="0DC46F16">
      <w:pPr>
        <w:pStyle w:val="904"/>
      </w:pPr>
      <w:r>
        <w:t xml:space="preserve">表 </w:t>
      </w:r>
      <w:r>
        <w:fldChar w:fldCharType="begin"/>
      </w:r>
      <w:r>
        <w:instrText xml:space="preserve"> STYLEREF 2 \s </w:instrText>
      </w:r>
      <w:r>
        <w:fldChar w:fldCharType="separate"/>
      </w:r>
      <w:r>
        <w:t>2.4</w:t>
      </w:r>
      <w:r>
        <w:fldChar w:fldCharType="end"/>
      </w:r>
      <w:r>
        <w:noBreakHyphen/>
      </w:r>
      <w:r>
        <w:rPr>
          <w:rFonts w:hint="eastAsia"/>
        </w:rPr>
        <w:t>4</w:t>
      </w:r>
      <w:r>
        <w:t>评价因子一览表</w:t>
      </w:r>
    </w:p>
    <w:tbl>
      <w:tblPr>
        <w:tblStyle w:val="139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992"/>
        <w:gridCol w:w="709"/>
        <w:gridCol w:w="850"/>
        <w:gridCol w:w="5663"/>
      </w:tblGrid>
      <w:tr w14:paraId="2CAE0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Align w:val="center"/>
          </w:tcPr>
          <w:p w14:paraId="532E1BCD">
            <w:pPr>
              <w:pStyle w:val="1343"/>
            </w:pPr>
            <w:r>
              <w:t>类别</w:t>
            </w:r>
          </w:p>
        </w:tc>
        <w:tc>
          <w:tcPr>
            <w:tcW w:w="2551" w:type="dxa"/>
            <w:gridSpan w:val="3"/>
            <w:vAlign w:val="center"/>
          </w:tcPr>
          <w:p w14:paraId="120C5432">
            <w:pPr>
              <w:pStyle w:val="1343"/>
            </w:pPr>
            <w:r>
              <w:t>环境要素</w:t>
            </w:r>
          </w:p>
        </w:tc>
        <w:tc>
          <w:tcPr>
            <w:tcW w:w="5663" w:type="dxa"/>
            <w:vAlign w:val="center"/>
          </w:tcPr>
          <w:p w14:paraId="5A279911">
            <w:pPr>
              <w:pStyle w:val="1343"/>
            </w:pPr>
            <w:r>
              <w:t>评价因子或评价对象</w:t>
            </w:r>
          </w:p>
        </w:tc>
      </w:tr>
      <w:tr w14:paraId="12E4E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vAlign w:val="center"/>
          </w:tcPr>
          <w:p w14:paraId="2A418FE7">
            <w:pPr>
              <w:pStyle w:val="1343"/>
            </w:pPr>
            <w:r>
              <w:t>环境现状调查与评价因子</w:t>
            </w:r>
          </w:p>
        </w:tc>
        <w:tc>
          <w:tcPr>
            <w:tcW w:w="2551" w:type="dxa"/>
            <w:gridSpan w:val="3"/>
            <w:vAlign w:val="center"/>
          </w:tcPr>
          <w:p w14:paraId="3C3FF5EC">
            <w:pPr>
              <w:pStyle w:val="1343"/>
            </w:pPr>
            <w:r>
              <w:t>环境空气</w:t>
            </w:r>
          </w:p>
        </w:tc>
        <w:tc>
          <w:tcPr>
            <w:tcW w:w="5663" w:type="dxa"/>
            <w:vAlign w:val="center"/>
          </w:tcPr>
          <w:p w14:paraId="1BF09CAC">
            <w:pPr>
              <w:pStyle w:val="1343"/>
              <w:jc w:val="left"/>
            </w:pPr>
            <w:r>
              <w:t>SO</w:t>
            </w:r>
            <w:r>
              <w:rPr>
                <w:sz w:val="14"/>
              </w:rPr>
              <w:t>2</w:t>
            </w:r>
            <w:r>
              <w:t>、NO</w:t>
            </w:r>
            <w:r>
              <w:rPr>
                <w:sz w:val="14"/>
              </w:rPr>
              <w:t>2</w:t>
            </w:r>
            <w:r>
              <w:t>、CO、PM</w:t>
            </w:r>
            <w:r>
              <w:rPr>
                <w:vertAlign w:val="subscript"/>
              </w:rPr>
              <w:t>10</w:t>
            </w:r>
            <w:r>
              <w:t>、PM</w:t>
            </w:r>
            <w:r>
              <w:rPr>
                <w:vertAlign w:val="subscript"/>
              </w:rPr>
              <w:t>2.5</w:t>
            </w:r>
            <w:r>
              <w:t>、O</w:t>
            </w:r>
            <w:r>
              <w:rPr>
                <w:vertAlign w:val="subscript"/>
              </w:rPr>
              <w:t>3</w:t>
            </w:r>
            <w:r>
              <w:t>、非甲烷总烃</w:t>
            </w:r>
          </w:p>
        </w:tc>
      </w:tr>
      <w:tr w14:paraId="20125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vAlign w:val="center"/>
          </w:tcPr>
          <w:p w14:paraId="359FFE12">
            <w:pPr>
              <w:pStyle w:val="1343"/>
            </w:pPr>
          </w:p>
        </w:tc>
        <w:tc>
          <w:tcPr>
            <w:tcW w:w="2551" w:type="dxa"/>
            <w:gridSpan w:val="3"/>
            <w:vAlign w:val="center"/>
          </w:tcPr>
          <w:p w14:paraId="24955DC3">
            <w:pPr>
              <w:pStyle w:val="1343"/>
            </w:pPr>
            <w:r>
              <w:t>地表水环境</w:t>
            </w:r>
          </w:p>
        </w:tc>
        <w:tc>
          <w:tcPr>
            <w:tcW w:w="5663" w:type="dxa"/>
            <w:vAlign w:val="center"/>
          </w:tcPr>
          <w:p w14:paraId="656CDEE3">
            <w:pPr>
              <w:pStyle w:val="1343"/>
              <w:jc w:val="left"/>
            </w:pPr>
            <w:r>
              <w:t>pH、COD</w:t>
            </w:r>
            <w:r>
              <w:rPr>
                <w:rFonts w:hint="eastAsia"/>
              </w:rPr>
              <w:t>cr</w:t>
            </w:r>
            <w:r>
              <w:t>、BOD</w:t>
            </w:r>
            <w:r>
              <w:rPr>
                <w:vertAlign w:val="subscript"/>
              </w:rPr>
              <w:t>5</w:t>
            </w:r>
            <w:r>
              <w:t>、石油类、</w:t>
            </w:r>
            <w:r>
              <w:rPr>
                <w:rFonts w:hint="eastAsia"/>
              </w:rPr>
              <w:t>挥发酚、</w:t>
            </w:r>
            <w:r>
              <w:t>SS、</w:t>
            </w:r>
            <w:r>
              <w:rPr>
                <w:rFonts w:hint="eastAsia"/>
              </w:rPr>
              <w:t>粪大肠菌群数</w:t>
            </w:r>
          </w:p>
        </w:tc>
      </w:tr>
      <w:tr w14:paraId="273D8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vAlign w:val="center"/>
          </w:tcPr>
          <w:p w14:paraId="6A7B8184">
            <w:pPr>
              <w:pStyle w:val="1343"/>
            </w:pPr>
          </w:p>
        </w:tc>
        <w:tc>
          <w:tcPr>
            <w:tcW w:w="2551" w:type="dxa"/>
            <w:gridSpan w:val="3"/>
            <w:vAlign w:val="center"/>
          </w:tcPr>
          <w:p w14:paraId="53A7FB73">
            <w:pPr>
              <w:pStyle w:val="1343"/>
            </w:pPr>
            <w:r>
              <w:t>地下水环境</w:t>
            </w:r>
          </w:p>
        </w:tc>
        <w:tc>
          <w:tcPr>
            <w:tcW w:w="5663" w:type="dxa"/>
            <w:vAlign w:val="center"/>
          </w:tcPr>
          <w:p w14:paraId="572ABC77">
            <w:pPr>
              <w:pStyle w:val="1343"/>
              <w:jc w:val="left"/>
            </w:pPr>
            <w:r>
              <w:rPr>
                <w:bCs/>
              </w:rPr>
              <w:t>K</w:t>
            </w:r>
            <w:r>
              <w:rPr>
                <w:bCs/>
                <w:vertAlign w:val="superscript"/>
              </w:rPr>
              <w:t>+</w:t>
            </w:r>
            <w:r>
              <w:rPr>
                <w:bCs/>
              </w:rPr>
              <w:t>、Na</w:t>
            </w:r>
            <w:r>
              <w:rPr>
                <w:bCs/>
                <w:vertAlign w:val="superscript"/>
              </w:rPr>
              <w:t>+</w:t>
            </w:r>
            <w:r>
              <w:rPr>
                <w:bCs/>
              </w:rPr>
              <w:t>、Ca</w:t>
            </w:r>
            <w:r>
              <w:rPr>
                <w:bCs/>
                <w:vertAlign w:val="superscript"/>
              </w:rPr>
              <w:t>2+</w:t>
            </w:r>
            <w:r>
              <w:rPr>
                <w:bCs/>
              </w:rPr>
              <w:t>、Mg</w:t>
            </w:r>
            <w:r>
              <w:rPr>
                <w:bCs/>
                <w:vertAlign w:val="superscript"/>
              </w:rPr>
              <w:t>2+</w:t>
            </w:r>
            <w:r>
              <w:rPr>
                <w:bCs/>
              </w:rPr>
              <w:t>、CO</w:t>
            </w:r>
            <w:r>
              <w:rPr>
                <w:bCs/>
                <w:vertAlign w:val="subscript"/>
              </w:rPr>
              <w:t>3</w:t>
            </w:r>
            <w:r>
              <w:rPr>
                <w:bCs/>
                <w:vertAlign w:val="superscript"/>
              </w:rPr>
              <w:t>2-</w:t>
            </w:r>
            <w:r>
              <w:rPr>
                <w:bCs/>
              </w:rPr>
              <w:t>、HCO</w:t>
            </w:r>
            <w:r>
              <w:rPr>
                <w:bCs/>
                <w:vertAlign w:val="subscript"/>
              </w:rPr>
              <w:t>3</w:t>
            </w:r>
            <w:r>
              <w:rPr>
                <w:bCs/>
                <w:vertAlign w:val="superscript"/>
              </w:rPr>
              <w:t>-</w:t>
            </w:r>
            <w:r>
              <w:rPr>
                <w:bCs/>
              </w:rPr>
              <w:t>、氯化物、硫酸盐、pH、总硬度、溶解性总固体、铁、锰、汞、砷、镉、铬（六价）、铅、挥发性酚类（以苯酚计）、耗氧量（COD</w:t>
            </w:r>
            <w:r>
              <w:rPr>
                <w:bCs/>
                <w:vertAlign w:val="subscript"/>
              </w:rPr>
              <w:t>Mn</w:t>
            </w:r>
            <w:r>
              <w:rPr>
                <w:bCs/>
              </w:rPr>
              <w:t>法，以O</w:t>
            </w:r>
            <w:r>
              <w:rPr>
                <w:bCs/>
                <w:vertAlign w:val="subscript"/>
              </w:rPr>
              <w:t>2</w:t>
            </w:r>
            <w:r>
              <w:rPr>
                <w:bCs/>
              </w:rPr>
              <w:t>计）、</w:t>
            </w:r>
            <w:r>
              <w:rPr>
                <w:rFonts w:hint="eastAsia"/>
                <w:bCs/>
              </w:rPr>
              <w:t>阴离子表面活性剂、</w:t>
            </w:r>
            <w:r>
              <w:rPr>
                <w:bCs/>
              </w:rPr>
              <w:t>氨氮、总大肠菌群、菌落总数、硝酸盐、亚硝酸盐、氟化物、氰化物、石油类、水温、水位</w:t>
            </w:r>
          </w:p>
        </w:tc>
      </w:tr>
      <w:tr w14:paraId="6ED51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vAlign w:val="center"/>
          </w:tcPr>
          <w:p w14:paraId="2189B902">
            <w:pPr>
              <w:pStyle w:val="1343"/>
            </w:pPr>
          </w:p>
        </w:tc>
        <w:tc>
          <w:tcPr>
            <w:tcW w:w="2551" w:type="dxa"/>
            <w:gridSpan w:val="3"/>
            <w:vAlign w:val="center"/>
          </w:tcPr>
          <w:p w14:paraId="14333379">
            <w:pPr>
              <w:pStyle w:val="1343"/>
            </w:pPr>
            <w:r>
              <w:t>声环境</w:t>
            </w:r>
          </w:p>
        </w:tc>
        <w:tc>
          <w:tcPr>
            <w:tcW w:w="5663" w:type="dxa"/>
            <w:vAlign w:val="center"/>
          </w:tcPr>
          <w:p w14:paraId="4F08B57E">
            <w:pPr>
              <w:pStyle w:val="1343"/>
              <w:jc w:val="left"/>
            </w:pPr>
            <w:r>
              <w:rPr>
                <w:bCs/>
              </w:rPr>
              <w:t>连续等效A声级，Leq（A）</w:t>
            </w:r>
          </w:p>
        </w:tc>
      </w:tr>
      <w:tr w14:paraId="1A1F8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vAlign w:val="center"/>
          </w:tcPr>
          <w:p w14:paraId="4FBE8FA7">
            <w:pPr>
              <w:pStyle w:val="1343"/>
            </w:pPr>
            <w:r>
              <w:t>环境影响评价因子</w:t>
            </w:r>
          </w:p>
        </w:tc>
        <w:tc>
          <w:tcPr>
            <w:tcW w:w="992" w:type="dxa"/>
            <w:vMerge w:val="restart"/>
            <w:vAlign w:val="center"/>
          </w:tcPr>
          <w:p w14:paraId="422BAA40">
            <w:pPr>
              <w:pStyle w:val="1343"/>
            </w:pPr>
            <w:r>
              <w:t>施工期</w:t>
            </w:r>
          </w:p>
        </w:tc>
        <w:tc>
          <w:tcPr>
            <w:tcW w:w="1559" w:type="dxa"/>
            <w:gridSpan w:val="2"/>
            <w:vAlign w:val="center"/>
          </w:tcPr>
          <w:p w14:paraId="27DF48F1">
            <w:pPr>
              <w:pStyle w:val="1343"/>
            </w:pPr>
            <w:r>
              <w:t>废气</w:t>
            </w:r>
          </w:p>
        </w:tc>
        <w:tc>
          <w:tcPr>
            <w:tcW w:w="5663" w:type="dxa"/>
            <w:vAlign w:val="center"/>
          </w:tcPr>
          <w:p w14:paraId="490A55FE">
            <w:pPr>
              <w:pStyle w:val="1343"/>
              <w:jc w:val="left"/>
            </w:pPr>
            <w:r>
              <w:rPr>
                <w:rFonts w:hint="eastAsia"/>
              </w:rPr>
              <w:t>PM</w:t>
            </w:r>
            <w:r>
              <w:rPr>
                <w:rFonts w:hint="eastAsia"/>
                <w:vertAlign w:val="subscript"/>
              </w:rPr>
              <w:t>10</w:t>
            </w:r>
            <w:r>
              <w:rPr>
                <w:rFonts w:hint="eastAsia"/>
              </w:rPr>
              <w:t>、PM</w:t>
            </w:r>
            <w:r>
              <w:rPr>
                <w:rFonts w:hint="eastAsia"/>
                <w:vertAlign w:val="subscript"/>
              </w:rPr>
              <w:t>2.5</w:t>
            </w:r>
            <w:r>
              <w:rPr>
                <w:rFonts w:hint="eastAsia"/>
              </w:rPr>
              <w:t>、THC、NOx、CO</w:t>
            </w:r>
            <w:r>
              <w:t>、颗粒物、烃类、非甲烷总烃</w:t>
            </w:r>
          </w:p>
        </w:tc>
      </w:tr>
      <w:tr w14:paraId="24ED6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vAlign w:val="center"/>
          </w:tcPr>
          <w:p w14:paraId="5EF32753">
            <w:pPr>
              <w:pStyle w:val="1343"/>
            </w:pPr>
          </w:p>
        </w:tc>
        <w:tc>
          <w:tcPr>
            <w:tcW w:w="992" w:type="dxa"/>
            <w:vMerge w:val="continue"/>
            <w:vAlign w:val="center"/>
          </w:tcPr>
          <w:p w14:paraId="07DCD6CD">
            <w:pPr>
              <w:pStyle w:val="1343"/>
            </w:pPr>
          </w:p>
        </w:tc>
        <w:tc>
          <w:tcPr>
            <w:tcW w:w="1559" w:type="dxa"/>
            <w:gridSpan w:val="2"/>
            <w:vAlign w:val="center"/>
          </w:tcPr>
          <w:p w14:paraId="1774BECB">
            <w:pPr>
              <w:pStyle w:val="1343"/>
            </w:pPr>
            <w:r>
              <w:t>废水</w:t>
            </w:r>
          </w:p>
        </w:tc>
        <w:tc>
          <w:tcPr>
            <w:tcW w:w="5663" w:type="dxa"/>
            <w:vAlign w:val="center"/>
          </w:tcPr>
          <w:p w14:paraId="73F3A49B">
            <w:pPr>
              <w:pStyle w:val="1343"/>
              <w:jc w:val="left"/>
            </w:pPr>
            <w:r>
              <w:t>COD、氨氮、SS</w:t>
            </w:r>
          </w:p>
        </w:tc>
      </w:tr>
      <w:tr w14:paraId="1CF57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vAlign w:val="center"/>
          </w:tcPr>
          <w:p w14:paraId="7A62D5D1">
            <w:pPr>
              <w:pStyle w:val="1343"/>
            </w:pPr>
          </w:p>
        </w:tc>
        <w:tc>
          <w:tcPr>
            <w:tcW w:w="992" w:type="dxa"/>
            <w:vMerge w:val="continue"/>
            <w:vAlign w:val="center"/>
          </w:tcPr>
          <w:p w14:paraId="66D0090F">
            <w:pPr>
              <w:pStyle w:val="1343"/>
            </w:pPr>
          </w:p>
        </w:tc>
        <w:tc>
          <w:tcPr>
            <w:tcW w:w="1559" w:type="dxa"/>
            <w:gridSpan w:val="2"/>
            <w:vAlign w:val="center"/>
          </w:tcPr>
          <w:p w14:paraId="479BB381">
            <w:pPr>
              <w:pStyle w:val="1343"/>
            </w:pPr>
            <w:r>
              <w:t>噪声</w:t>
            </w:r>
          </w:p>
        </w:tc>
        <w:tc>
          <w:tcPr>
            <w:tcW w:w="5663" w:type="dxa"/>
            <w:vAlign w:val="center"/>
          </w:tcPr>
          <w:p w14:paraId="18554559">
            <w:pPr>
              <w:pStyle w:val="1343"/>
              <w:jc w:val="left"/>
            </w:pPr>
            <w:r>
              <w:rPr>
                <w:bCs/>
              </w:rPr>
              <w:t>连续等效A声级，Leq（A）</w:t>
            </w:r>
          </w:p>
        </w:tc>
      </w:tr>
      <w:tr w14:paraId="2B178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vAlign w:val="center"/>
          </w:tcPr>
          <w:p w14:paraId="075D88A2">
            <w:pPr>
              <w:pStyle w:val="1343"/>
            </w:pPr>
          </w:p>
        </w:tc>
        <w:tc>
          <w:tcPr>
            <w:tcW w:w="992" w:type="dxa"/>
            <w:vMerge w:val="continue"/>
            <w:vAlign w:val="center"/>
          </w:tcPr>
          <w:p w14:paraId="070CD5A2">
            <w:pPr>
              <w:pStyle w:val="1343"/>
            </w:pPr>
          </w:p>
        </w:tc>
        <w:tc>
          <w:tcPr>
            <w:tcW w:w="1559" w:type="dxa"/>
            <w:gridSpan w:val="2"/>
            <w:vAlign w:val="center"/>
          </w:tcPr>
          <w:p w14:paraId="4D1C8BD3">
            <w:pPr>
              <w:pStyle w:val="1343"/>
            </w:pPr>
            <w:r>
              <w:t>固体废物</w:t>
            </w:r>
          </w:p>
        </w:tc>
        <w:tc>
          <w:tcPr>
            <w:tcW w:w="5663" w:type="dxa"/>
            <w:vAlign w:val="center"/>
          </w:tcPr>
          <w:p w14:paraId="3CBA2EA3">
            <w:pPr>
              <w:pStyle w:val="1343"/>
              <w:jc w:val="left"/>
            </w:pPr>
            <w:r>
              <w:t>施工废料、</w:t>
            </w:r>
            <w:r>
              <w:rPr>
                <w:rFonts w:hint="eastAsia"/>
              </w:rPr>
              <w:t>清管废渣、</w:t>
            </w:r>
            <w:r>
              <w:t>生活垃圾、</w:t>
            </w:r>
            <w:r>
              <w:rPr>
                <w:rFonts w:hint="eastAsia"/>
              </w:rPr>
              <w:t>建筑垃圾、废油漆桶</w:t>
            </w:r>
          </w:p>
        </w:tc>
      </w:tr>
      <w:tr w14:paraId="5BFAC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vAlign w:val="center"/>
          </w:tcPr>
          <w:p w14:paraId="6DA17BA5">
            <w:pPr>
              <w:pStyle w:val="1343"/>
            </w:pPr>
          </w:p>
        </w:tc>
        <w:tc>
          <w:tcPr>
            <w:tcW w:w="992" w:type="dxa"/>
            <w:vMerge w:val="restart"/>
            <w:vAlign w:val="center"/>
          </w:tcPr>
          <w:p w14:paraId="603EF302">
            <w:pPr>
              <w:pStyle w:val="1343"/>
            </w:pPr>
            <w:r>
              <w:t>运营期</w:t>
            </w:r>
          </w:p>
        </w:tc>
        <w:tc>
          <w:tcPr>
            <w:tcW w:w="709" w:type="dxa"/>
            <w:vMerge w:val="restart"/>
            <w:vAlign w:val="center"/>
          </w:tcPr>
          <w:p w14:paraId="37290A53">
            <w:pPr>
              <w:pStyle w:val="1343"/>
            </w:pPr>
            <w:r>
              <w:t>正常运行</w:t>
            </w:r>
          </w:p>
        </w:tc>
        <w:tc>
          <w:tcPr>
            <w:tcW w:w="850" w:type="dxa"/>
            <w:vAlign w:val="center"/>
          </w:tcPr>
          <w:p w14:paraId="2B09B1BD">
            <w:pPr>
              <w:pStyle w:val="1343"/>
            </w:pPr>
            <w:r>
              <w:t>废气</w:t>
            </w:r>
          </w:p>
        </w:tc>
        <w:tc>
          <w:tcPr>
            <w:tcW w:w="5663" w:type="dxa"/>
            <w:vAlign w:val="center"/>
          </w:tcPr>
          <w:p w14:paraId="2AD7C4EB">
            <w:pPr>
              <w:pStyle w:val="1343"/>
              <w:jc w:val="left"/>
            </w:pPr>
            <w:r>
              <w:t>非甲烷总烃</w:t>
            </w:r>
            <w:r>
              <w:rPr>
                <w:rFonts w:hint="eastAsia"/>
              </w:rPr>
              <w:t>、SO</w:t>
            </w:r>
            <w:r>
              <w:rPr>
                <w:rFonts w:hint="eastAsia"/>
                <w:vertAlign w:val="subscript"/>
              </w:rPr>
              <w:t>2</w:t>
            </w:r>
            <w:r>
              <w:rPr>
                <w:rFonts w:hint="eastAsia"/>
              </w:rPr>
              <w:t>、NO</w:t>
            </w:r>
            <w:r>
              <w:rPr>
                <w:rFonts w:hint="eastAsia"/>
                <w:vertAlign w:val="subscript"/>
              </w:rPr>
              <w:t>X</w:t>
            </w:r>
            <w:r>
              <w:rPr>
                <w:rFonts w:hint="eastAsia"/>
              </w:rPr>
              <w:t>、颗粒物</w:t>
            </w:r>
          </w:p>
        </w:tc>
      </w:tr>
      <w:tr w14:paraId="01E19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vAlign w:val="center"/>
          </w:tcPr>
          <w:p w14:paraId="3908C9AC">
            <w:pPr>
              <w:pStyle w:val="1343"/>
            </w:pPr>
          </w:p>
        </w:tc>
        <w:tc>
          <w:tcPr>
            <w:tcW w:w="992" w:type="dxa"/>
            <w:vMerge w:val="continue"/>
            <w:vAlign w:val="center"/>
          </w:tcPr>
          <w:p w14:paraId="05C3DD44">
            <w:pPr>
              <w:pStyle w:val="1343"/>
            </w:pPr>
          </w:p>
        </w:tc>
        <w:tc>
          <w:tcPr>
            <w:tcW w:w="709" w:type="dxa"/>
            <w:vMerge w:val="continue"/>
            <w:vAlign w:val="center"/>
          </w:tcPr>
          <w:p w14:paraId="04E52453">
            <w:pPr>
              <w:pStyle w:val="1343"/>
            </w:pPr>
          </w:p>
        </w:tc>
        <w:tc>
          <w:tcPr>
            <w:tcW w:w="850" w:type="dxa"/>
            <w:vAlign w:val="center"/>
          </w:tcPr>
          <w:p w14:paraId="659158A8">
            <w:pPr>
              <w:pStyle w:val="1343"/>
            </w:pPr>
            <w:r>
              <w:t>噪声</w:t>
            </w:r>
          </w:p>
        </w:tc>
        <w:tc>
          <w:tcPr>
            <w:tcW w:w="5663" w:type="dxa"/>
            <w:vAlign w:val="center"/>
          </w:tcPr>
          <w:p w14:paraId="67C11B3D">
            <w:pPr>
              <w:pStyle w:val="1343"/>
              <w:jc w:val="left"/>
            </w:pPr>
            <w:r>
              <w:rPr>
                <w:bCs/>
              </w:rPr>
              <w:t>连续等效A声级，Leq（A）</w:t>
            </w:r>
          </w:p>
        </w:tc>
      </w:tr>
      <w:tr w14:paraId="568D9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vAlign w:val="center"/>
          </w:tcPr>
          <w:p w14:paraId="0D808682">
            <w:pPr>
              <w:pStyle w:val="1343"/>
            </w:pPr>
          </w:p>
        </w:tc>
        <w:tc>
          <w:tcPr>
            <w:tcW w:w="992" w:type="dxa"/>
            <w:vMerge w:val="continue"/>
            <w:vAlign w:val="center"/>
          </w:tcPr>
          <w:p w14:paraId="7E9810A8">
            <w:pPr>
              <w:pStyle w:val="1343"/>
            </w:pPr>
          </w:p>
        </w:tc>
        <w:tc>
          <w:tcPr>
            <w:tcW w:w="709" w:type="dxa"/>
            <w:vMerge w:val="continue"/>
            <w:vAlign w:val="center"/>
          </w:tcPr>
          <w:p w14:paraId="5DD088E4">
            <w:pPr>
              <w:pStyle w:val="1343"/>
            </w:pPr>
          </w:p>
        </w:tc>
        <w:tc>
          <w:tcPr>
            <w:tcW w:w="850" w:type="dxa"/>
            <w:vAlign w:val="center"/>
          </w:tcPr>
          <w:p w14:paraId="5D653702">
            <w:pPr>
              <w:pStyle w:val="1343"/>
            </w:pPr>
            <w:r>
              <w:rPr>
                <w:rFonts w:hint="eastAsia"/>
              </w:rPr>
              <w:t>废水</w:t>
            </w:r>
          </w:p>
        </w:tc>
        <w:tc>
          <w:tcPr>
            <w:tcW w:w="5663" w:type="dxa"/>
            <w:vAlign w:val="center"/>
          </w:tcPr>
          <w:p w14:paraId="7228BAF3">
            <w:pPr>
              <w:pStyle w:val="1343"/>
              <w:jc w:val="left"/>
              <w:rPr>
                <w:bCs/>
              </w:rPr>
            </w:pPr>
            <w:r>
              <w:t>COD、</w:t>
            </w:r>
            <w:r>
              <w:rPr>
                <w:rFonts w:hint="eastAsia"/>
              </w:rPr>
              <w:t>BOD</w:t>
            </w:r>
            <w:r>
              <w:rPr>
                <w:rFonts w:hint="eastAsia"/>
                <w:vertAlign w:val="subscript"/>
              </w:rPr>
              <w:t>5</w:t>
            </w:r>
            <w:r>
              <w:rPr>
                <w:rFonts w:hint="eastAsia"/>
              </w:rPr>
              <w:t>、</w:t>
            </w:r>
            <w:r>
              <w:t>氨氮、SS</w:t>
            </w:r>
          </w:p>
        </w:tc>
      </w:tr>
      <w:tr w14:paraId="7210E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vAlign w:val="center"/>
          </w:tcPr>
          <w:p w14:paraId="05785A1B">
            <w:pPr>
              <w:pStyle w:val="1343"/>
            </w:pPr>
          </w:p>
        </w:tc>
        <w:tc>
          <w:tcPr>
            <w:tcW w:w="992" w:type="dxa"/>
            <w:vMerge w:val="continue"/>
            <w:vAlign w:val="center"/>
          </w:tcPr>
          <w:p w14:paraId="264743D3">
            <w:pPr>
              <w:pStyle w:val="1343"/>
            </w:pPr>
          </w:p>
        </w:tc>
        <w:tc>
          <w:tcPr>
            <w:tcW w:w="709" w:type="dxa"/>
            <w:vMerge w:val="continue"/>
            <w:vAlign w:val="center"/>
          </w:tcPr>
          <w:p w14:paraId="49682634">
            <w:pPr>
              <w:pStyle w:val="1343"/>
            </w:pPr>
          </w:p>
        </w:tc>
        <w:tc>
          <w:tcPr>
            <w:tcW w:w="850" w:type="dxa"/>
            <w:vAlign w:val="center"/>
          </w:tcPr>
          <w:p w14:paraId="492557A2">
            <w:pPr>
              <w:pStyle w:val="1343"/>
            </w:pPr>
            <w:r>
              <w:t>固体废物</w:t>
            </w:r>
          </w:p>
        </w:tc>
        <w:tc>
          <w:tcPr>
            <w:tcW w:w="5663" w:type="dxa"/>
            <w:vAlign w:val="center"/>
          </w:tcPr>
          <w:p w14:paraId="07FCA5CB">
            <w:pPr>
              <w:pStyle w:val="1343"/>
              <w:jc w:val="left"/>
            </w:pPr>
            <w:r>
              <w:rPr>
                <w:rFonts w:hint="eastAsia"/>
              </w:rPr>
              <w:t>分离器检修废渣、废滤芯、废铅酸蓄电池等</w:t>
            </w:r>
          </w:p>
        </w:tc>
      </w:tr>
      <w:tr w14:paraId="386C2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vAlign w:val="center"/>
          </w:tcPr>
          <w:p w14:paraId="2141905E">
            <w:pPr>
              <w:pStyle w:val="1343"/>
            </w:pPr>
          </w:p>
        </w:tc>
        <w:tc>
          <w:tcPr>
            <w:tcW w:w="992" w:type="dxa"/>
            <w:vMerge w:val="continue"/>
            <w:vAlign w:val="center"/>
          </w:tcPr>
          <w:p w14:paraId="4EF7B48D">
            <w:pPr>
              <w:pStyle w:val="1343"/>
            </w:pPr>
          </w:p>
        </w:tc>
        <w:tc>
          <w:tcPr>
            <w:tcW w:w="709" w:type="dxa"/>
            <w:vAlign w:val="center"/>
          </w:tcPr>
          <w:p w14:paraId="79425F6F">
            <w:pPr>
              <w:pStyle w:val="1343"/>
            </w:pPr>
            <w:r>
              <w:t>环境风险</w:t>
            </w:r>
          </w:p>
        </w:tc>
        <w:tc>
          <w:tcPr>
            <w:tcW w:w="850" w:type="dxa"/>
            <w:vAlign w:val="center"/>
          </w:tcPr>
          <w:p w14:paraId="04884A3F">
            <w:pPr>
              <w:pStyle w:val="1343"/>
            </w:pPr>
            <w:r>
              <w:t>废气</w:t>
            </w:r>
          </w:p>
        </w:tc>
        <w:tc>
          <w:tcPr>
            <w:tcW w:w="5663" w:type="dxa"/>
            <w:vAlign w:val="center"/>
          </w:tcPr>
          <w:p w14:paraId="12120F13">
            <w:pPr>
              <w:pStyle w:val="1343"/>
              <w:jc w:val="left"/>
            </w:pPr>
            <w:r>
              <w:t>甲烷、CO</w:t>
            </w:r>
          </w:p>
        </w:tc>
      </w:tr>
    </w:tbl>
    <w:p w14:paraId="3B8A7ECF">
      <w:pPr>
        <w:pStyle w:val="4"/>
        <w:spacing w:before="120" w:beforeLines="50"/>
        <w:rPr>
          <w:snapToGrid w:val="0"/>
        </w:rPr>
      </w:pPr>
      <w:bookmarkStart w:id="94" w:name="_Toc10032"/>
      <w:r>
        <w:rPr>
          <w:snapToGrid w:val="0"/>
        </w:rPr>
        <w:t>评价等级及评价范围</w:t>
      </w:r>
      <w:bookmarkEnd w:id="94"/>
    </w:p>
    <w:p w14:paraId="13F5FC9A">
      <w:pPr>
        <w:pStyle w:val="5"/>
        <w:rPr>
          <w:color w:val="auto"/>
        </w:rPr>
      </w:pPr>
      <w:r>
        <w:rPr>
          <w:color w:val="auto"/>
        </w:rPr>
        <w:t>生态环境</w:t>
      </w:r>
    </w:p>
    <w:p w14:paraId="7090F2FB">
      <w:pPr>
        <w:pStyle w:val="234"/>
      </w:pPr>
      <w:r>
        <w:t>根据《环境影响评价技术导则 生态影响》（HJ19-2022）相关判定要求，依据建设项目影响区域的生态敏感性和影响程度，评价等级划分为一级、二级和三级</w:t>
      </w:r>
      <w:r>
        <w:rPr>
          <w:rFonts w:hint="eastAsia"/>
        </w:rPr>
        <w:t>，划分原则及本工程判定过程详见表2</w:t>
      </w:r>
      <w:r>
        <w:t>.5-1</w:t>
      </w:r>
      <w:r>
        <w:rPr>
          <w:rFonts w:hint="eastAsia"/>
        </w:rPr>
        <w:t>。</w:t>
      </w:r>
    </w:p>
    <w:p w14:paraId="75C985F6">
      <w:pPr>
        <w:pStyle w:val="904"/>
      </w:pPr>
      <w:r>
        <w:rPr>
          <w:rFonts w:hint="eastAsia"/>
        </w:rPr>
        <w:t>表2</w:t>
      </w:r>
      <w:r>
        <w:t>.5-1生态影响评价工作等级划分</w:t>
      </w:r>
      <w:r>
        <w:rPr>
          <w:rFonts w:hint="eastAsia"/>
        </w:rPr>
        <w:t>表</w:t>
      </w:r>
    </w:p>
    <w:tbl>
      <w:tblPr>
        <w:tblStyle w:val="1396"/>
        <w:tblW w:w="508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5"/>
        <w:gridCol w:w="3728"/>
        <w:gridCol w:w="3924"/>
        <w:gridCol w:w="1161"/>
      </w:tblGrid>
      <w:tr w14:paraId="7ABF5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1" w:type="pct"/>
            <w:vAlign w:val="center"/>
          </w:tcPr>
          <w:p w14:paraId="72BC5D40">
            <w:pPr>
              <w:pStyle w:val="1343"/>
            </w:pPr>
            <w:r>
              <w:t>项目</w:t>
            </w:r>
          </w:p>
        </w:tc>
        <w:tc>
          <w:tcPr>
            <w:tcW w:w="1975" w:type="pct"/>
            <w:vAlign w:val="center"/>
          </w:tcPr>
          <w:p w14:paraId="5D1FF995">
            <w:pPr>
              <w:pStyle w:val="1343"/>
            </w:pPr>
            <w:r>
              <w:t>评价等级确定</w:t>
            </w:r>
          </w:p>
        </w:tc>
        <w:tc>
          <w:tcPr>
            <w:tcW w:w="2079" w:type="pct"/>
            <w:vAlign w:val="center"/>
          </w:tcPr>
          <w:p w14:paraId="0DBA9AD9">
            <w:pPr>
              <w:pStyle w:val="1343"/>
            </w:pPr>
            <w:r>
              <w:t>本工程情况</w:t>
            </w:r>
          </w:p>
        </w:tc>
        <w:tc>
          <w:tcPr>
            <w:tcW w:w="615" w:type="pct"/>
            <w:vAlign w:val="center"/>
          </w:tcPr>
          <w:p w14:paraId="56F8986A">
            <w:pPr>
              <w:pStyle w:val="1343"/>
            </w:pPr>
            <w:r>
              <w:rPr>
                <w:rFonts w:hint="eastAsia"/>
              </w:rPr>
              <w:t>判定结果</w:t>
            </w:r>
          </w:p>
        </w:tc>
      </w:tr>
      <w:tr w14:paraId="625C7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1" w:type="pct"/>
            <w:vAlign w:val="center"/>
          </w:tcPr>
          <w:p w14:paraId="3E08013C">
            <w:pPr>
              <w:pStyle w:val="1343"/>
            </w:pPr>
            <w:r>
              <w:t>a</w:t>
            </w:r>
          </w:p>
        </w:tc>
        <w:tc>
          <w:tcPr>
            <w:tcW w:w="1975" w:type="pct"/>
            <w:vAlign w:val="center"/>
          </w:tcPr>
          <w:p w14:paraId="0C1D0DE4">
            <w:pPr>
              <w:pStyle w:val="1343"/>
            </w:pPr>
            <w:r>
              <w:t>涉及国家公园</w:t>
            </w:r>
            <w:r>
              <w:rPr>
                <w:spacing w:val="-5"/>
              </w:rPr>
              <w:t>、</w:t>
            </w:r>
            <w:r>
              <w:t>自然保护区</w:t>
            </w:r>
            <w:r>
              <w:rPr>
                <w:spacing w:val="-8"/>
              </w:rPr>
              <w:t>、</w:t>
            </w:r>
            <w:r>
              <w:t>世界自然遗产</w:t>
            </w:r>
            <w:r>
              <w:rPr>
                <w:spacing w:val="-5"/>
              </w:rPr>
              <w:t>、</w:t>
            </w:r>
            <w:r>
              <w:t>重要生境时，评价等级为一级；</w:t>
            </w:r>
          </w:p>
        </w:tc>
        <w:tc>
          <w:tcPr>
            <w:tcW w:w="2079" w:type="pct"/>
            <w:vAlign w:val="center"/>
          </w:tcPr>
          <w:p w14:paraId="517CA287">
            <w:pPr>
              <w:pStyle w:val="1343"/>
            </w:pPr>
            <w:r>
              <w:t>本工程</w:t>
            </w:r>
            <w:r>
              <w:rPr>
                <w:rFonts w:hint="eastAsia"/>
              </w:rPr>
              <w:t>全线及影响范围内</w:t>
            </w:r>
            <w:r>
              <w:t>不涉及国家公园、自然保护区、世界自然遗产、重要生境</w:t>
            </w:r>
            <w:r>
              <w:rPr>
                <w:rFonts w:hint="eastAsia"/>
              </w:rPr>
              <w:t>；</w:t>
            </w:r>
          </w:p>
        </w:tc>
        <w:tc>
          <w:tcPr>
            <w:tcW w:w="615" w:type="pct"/>
            <w:vAlign w:val="center"/>
          </w:tcPr>
          <w:p w14:paraId="59542B73">
            <w:pPr>
              <w:pStyle w:val="1343"/>
            </w:pPr>
            <w:r>
              <w:t>不涉及</w:t>
            </w:r>
          </w:p>
        </w:tc>
      </w:tr>
      <w:tr w14:paraId="5C633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1" w:type="pct"/>
            <w:vAlign w:val="center"/>
          </w:tcPr>
          <w:p w14:paraId="4BE3CC83">
            <w:pPr>
              <w:pStyle w:val="1343"/>
            </w:pPr>
            <w:r>
              <w:t>b</w:t>
            </w:r>
          </w:p>
        </w:tc>
        <w:tc>
          <w:tcPr>
            <w:tcW w:w="1975" w:type="pct"/>
            <w:vAlign w:val="center"/>
          </w:tcPr>
          <w:p w14:paraId="3888CD32">
            <w:pPr>
              <w:pStyle w:val="1343"/>
            </w:pPr>
            <w:r>
              <w:t>涉及自然公园时，评价等级为二级；</w:t>
            </w:r>
          </w:p>
        </w:tc>
        <w:tc>
          <w:tcPr>
            <w:tcW w:w="2079" w:type="pct"/>
            <w:vAlign w:val="center"/>
          </w:tcPr>
          <w:p w14:paraId="3B8E91EA">
            <w:pPr>
              <w:pStyle w:val="1343"/>
            </w:pPr>
            <w:r>
              <w:rPr>
                <w:rFonts w:hint="eastAsia"/>
              </w:rPr>
              <w:t>本工程全线及影响范围内均不涉及自然公园；</w:t>
            </w:r>
          </w:p>
        </w:tc>
        <w:tc>
          <w:tcPr>
            <w:tcW w:w="615" w:type="pct"/>
            <w:vAlign w:val="center"/>
          </w:tcPr>
          <w:p w14:paraId="465A5D9E">
            <w:pPr>
              <w:pStyle w:val="1343"/>
            </w:pPr>
            <w:r>
              <w:t>不涉及</w:t>
            </w:r>
          </w:p>
        </w:tc>
      </w:tr>
      <w:tr w14:paraId="1EFB5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1" w:type="pct"/>
            <w:vAlign w:val="center"/>
          </w:tcPr>
          <w:p w14:paraId="61E54C34">
            <w:pPr>
              <w:pStyle w:val="1343"/>
            </w:pPr>
            <w:r>
              <w:t>c</w:t>
            </w:r>
          </w:p>
        </w:tc>
        <w:tc>
          <w:tcPr>
            <w:tcW w:w="1975" w:type="pct"/>
            <w:vAlign w:val="center"/>
          </w:tcPr>
          <w:p w14:paraId="3FE77DAD">
            <w:pPr>
              <w:pStyle w:val="1343"/>
            </w:pPr>
            <w:r>
              <w:t>涉及生态保护红线时，评价等级不低于二级；</w:t>
            </w:r>
          </w:p>
        </w:tc>
        <w:tc>
          <w:tcPr>
            <w:tcW w:w="2079" w:type="pct"/>
            <w:vAlign w:val="center"/>
          </w:tcPr>
          <w:p w14:paraId="7DA727BD">
            <w:pPr>
              <w:pStyle w:val="1343"/>
            </w:pPr>
            <w:r>
              <w:rPr>
                <w:rFonts w:hint="eastAsia"/>
              </w:rPr>
              <w:t>本工程全线及影响范围内均不涉及生态保护红线；</w:t>
            </w:r>
          </w:p>
        </w:tc>
        <w:tc>
          <w:tcPr>
            <w:tcW w:w="615" w:type="pct"/>
            <w:vAlign w:val="center"/>
          </w:tcPr>
          <w:p w14:paraId="13B3ED21">
            <w:pPr>
              <w:pStyle w:val="1343"/>
            </w:pPr>
            <w:r>
              <w:t>不涉及</w:t>
            </w:r>
          </w:p>
        </w:tc>
      </w:tr>
      <w:tr w14:paraId="5598D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1" w:type="pct"/>
            <w:vAlign w:val="center"/>
          </w:tcPr>
          <w:p w14:paraId="09F81DA2">
            <w:pPr>
              <w:pStyle w:val="1343"/>
            </w:pPr>
            <w:r>
              <w:t>d</w:t>
            </w:r>
          </w:p>
        </w:tc>
        <w:tc>
          <w:tcPr>
            <w:tcW w:w="1975" w:type="pct"/>
            <w:vAlign w:val="center"/>
          </w:tcPr>
          <w:p w14:paraId="51F0034D">
            <w:pPr>
              <w:pStyle w:val="1343"/>
            </w:pPr>
            <w:r>
              <w:t xml:space="preserve">根据 </w:t>
            </w:r>
            <w:r>
              <w:rPr>
                <w:spacing w:val="-1"/>
              </w:rPr>
              <w:t>H</w:t>
            </w:r>
            <w:r>
              <w:t>J 2.3  判断属于水文要素影响型且地表水评价等级不低于二级的建设项目</w:t>
            </w:r>
            <w:r>
              <w:rPr>
                <w:spacing w:val="-17"/>
              </w:rPr>
              <w:t>，</w:t>
            </w:r>
            <w:r>
              <w:t>生态影响评价等级不低于二级；</w:t>
            </w:r>
          </w:p>
        </w:tc>
        <w:tc>
          <w:tcPr>
            <w:tcW w:w="2079" w:type="pct"/>
            <w:vAlign w:val="center"/>
          </w:tcPr>
          <w:p w14:paraId="568952B5">
            <w:pPr>
              <w:pStyle w:val="1343"/>
            </w:pPr>
            <w:r>
              <w:t>根据HJ 2.3判断，本工程不属于水文要素影响型建设项目</w:t>
            </w:r>
          </w:p>
        </w:tc>
        <w:tc>
          <w:tcPr>
            <w:tcW w:w="615" w:type="pct"/>
            <w:vAlign w:val="center"/>
          </w:tcPr>
          <w:p w14:paraId="7FAD02CC">
            <w:pPr>
              <w:pStyle w:val="1343"/>
            </w:pPr>
            <w:r>
              <w:t>不涉及</w:t>
            </w:r>
          </w:p>
        </w:tc>
      </w:tr>
      <w:tr w14:paraId="01DB1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1" w:type="pct"/>
            <w:vAlign w:val="center"/>
          </w:tcPr>
          <w:p w14:paraId="02456F7D">
            <w:pPr>
              <w:pStyle w:val="1343"/>
            </w:pPr>
            <w:r>
              <w:t>e</w:t>
            </w:r>
          </w:p>
        </w:tc>
        <w:tc>
          <w:tcPr>
            <w:tcW w:w="1975" w:type="pct"/>
            <w:vAlign w:val="center"/>
          </w:tcPr>
          <w:p w14:paraId="10941124">
            <w:pPr>
              <w:pStyle w:val="1343"/>
            </w:pPr>
            <w:r>
              <w:t>根据HJ610、HJ964判断地下水水位或土壤影响范围内分布有天然林、公益林、湿地等生态保护目标的建设项目，生态影响评价等级不低于二级；</w:t>
            </w:r>
          </w:p>
        </w:tc>
        <w:tc>
          <w:tcPr>
            <w:tcW w:w="2079" w:type="pct"/>
            <w:vAlign w:val="center"/>
          </w:tcPr>
          <w:p w14:paraId="7603EABF">
            <w:pPr>
              <w:pStyle w:val="1343"/>
              <w:rPr>
                <w:i/>
                <w:iCs/>
                <w:color w:val="auto"/>
                <w:u w:val="single"/>
              </w:rPr>
            </w:pPr>
            <w:r>
              <w:rPr>
                <w:rFonts w:hint="eastAsia"/>
                <w:i/>
                <w:iCs/>
                <w:color w:val="auto"/>
                <w:u w:val="single"/>
              </w:rPr>
              <w:t>本工程新建耒阳分输站及进站路、靠近耒阳分输站的部分管线占用公益林，但本项目的建设不会对地下水水位造成影响，也不对土壤造成污染影响或盐碱化、酸化等生态影响。</w:t>
            </w:r>
          </w:p>
        </w:tc>
        <w:tc>
          <w:tcPr>
            <w:tcW w:w="615" w:type="pct"/>
            <w:vAlign w:val="center"/>
          </w:tcPr>
          <w:p w14:paraId="1B3CD573">
            <w:pPr>
              <w:pStyle w:val="1343"/>
              <w:rPr>
                <w:i/>
                <w:iCs/>
                <w:color w:val="auto"/>
                <w:u w:val="single"/>
              </w:rPr>
            </w:pPr>
            <w:r>
              <w:rPr>
                <w:i/>
                <w:iCs/>
                <w:color w:val="auto"/>
                <w:u w:val="single"/>
              </w:rPr>
              <w:t>不涉及</w:t>
            </w:r>
          </w:p>
        </w:tc>
      </w:tr>
      <w:tr w14:paraId="6A635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1" w:type="pct"/>
            <w:vAlign w:val="center"/>
          </w:tcPr>
          <w:p w14:paraId="237082AD">
            <w:pPr>
              <w:pStyle w:val="1343"/>
            </w:pPr>
            <w:r>
              <w:t>f</w:t>
            </w:r>
          </w:p>
        </w:tc>
        <w:tc>
          <w:tcPr>
            <w:tcW w:w="1975" w:type="pct"/>
            <w:vAlign w:val="center"/>
          </w:tcPr>
          <w:p w14:paraId="4F527FE7">
            <w:pPr>
              <w:pStyle w:val="1343"/>
              <w:rPr>
                <w:snapToGrid/>
              </w:rPr>
            </w:pPr>
            <w:r>
              <w:rPr>
                <w:snapToGrid/>
              </w:rPr>
              <w:t>当工程占地规模大于20km</w:t>
            </w:r>
            <w:r>
              <w:rPr>
                <w:snapToGrid/>
                <w:vertAlign w:val="superscript"/>
              </w:rPr>
              <w:t>2</w:t>
            </w:r>
            <w:r>
              <w:rPr>
                <w:snapToGrid/>
              </w:rPr>
              <w:t>时(包括永久和临时占用陆域和水域)，评价等级不低于二级；改扩建项目的占地范围以新增占地(包括陆域和水域)确定；</w:t>
            </w:r>
          </w:p>
        </w:tc>
        <w:tc>
          <w:tcPr>
            <w:tcW w:w="2079" w:type="pct"/>
            <w:vAlign w:val="center"/>
          </w:tcPr>
          <w:p w14:paraId="45354707">
            <w:pPr>
              <w:pStyle w:val="1343"/>
            </w:pPr>
            <w:r>
              <w:t>占地面积共</w:t>
            </w:r>
            <w:r>
              <w:rPr>
                <w:rFonts w:hint="eastAsia"/>
              </w:rPr>
              <w:t>约0</w:t>
            </w:r>
            <w:r>
              <w:t>.</w:t>
            </w:r>
            <w:r>
              <w:rPr>
                <w:rFonts w:hint="eastAsia"/>
              </w:rPr>
              <w:t>025k</w:t>
            </w:r>
            <w:r>
              <w:t>m</w:t>
            </w:r>
            <w:r>
              <w:rPr>
                <w:vertAlign w:val="superscript"/>
              </w:rPr>
              <w:t>2</w:t>
            </w:r>
            <w:r>
              <w:t>，小于</w:t>
            </w:r>
            <w:r>
              <w:rPr>
                <w:snapToGrid/>
              </w:rPr>
              <w:t>20km</w:t>
            </w:r>
            <w:r>
              <w:rPr>
                <w:snapToGrid/>
                <w:vertAlign w:val="superscript"/>
              </w:rPr>
              <w:t>2</w:t>
            </w:r>
          </w:p>
        </w:tc>
        <w:tc>
          <w:tcPr>
            <w:tcW w:w="615" w:type="pct"/>
            <w:vAlign w:val="center"/>
          </w:tcPr>
          <w:p w14:paraId="55351073">
            <w:pPr>
              <w:pStyle w:val="1343"/>
            </w:pPr>
            <w:r>
              <w:rPr>
                <w:rFonts w:hint="eastAsia"/>
              </w:rPr>
              <w:t>可低于</w:t>
            </w:r>
          </w:p>
          <w:p w14:paraId="6B4B081B">
            <w:pPr>
              <w:pStyle w:val="1343"/>
            </w:pPr>
            <w:r>
              <w:rPr>
                <w:rFonts w:hint="eastAsia"/>
              </w:rPr>
              <w:t>二级</w:t>
            </w:r>
          </w:p>
        </w:tc>
      </w:tr>
      <w:tr w14:paraId="340DC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1" w:type="pct"/>
            <w:vAlign w:val="center"/>
          </w:tcPr>
          <w:p w14:paraId="58E2BDC0">
            <w:pPr>
              <w:pStyle w:val="1343"/>
            </w:pPr>
            <w:r>
              <w:t>g</w:t>
            </w:r>
          </w:p>
        </w:tc>
        <w:tc>
          <w:tcPr>
            <w:tcW w:w="1975" w:type="pct"/>
            <w:vAlign w:val="center"/>
          </w:tcPr>
          <w:p w14:paraId="5A019686">
            <w:pPr>
              <w:pStyle w:val="1343"/>
              <w:rPr>
                <w:snapToGrid/>
              </w:rPr>
            </w:pPr>
            <w:r>
              <w:rPr>
                <w:snapToGrid/>
              </w:rPr>
              <w:t>除本条a)、b)、c)、d)、e)、f)以外的情况，评价等级为三级；</w:t>
            </w:r>
          </w:p>
        </w:tc>
        <w:tc>
          <w:tcPr>
            <w:tcW w:w="2079" w:type="pct"/>
            <w:vAlign w:val="center"/>
          </w:tcPr>
          <w:p w14:paraId="265AC436">
            <w:pPr>
              <w:pStyle w:val="1343"/>
              <w:rPr>
                <w:i/>
                <w:iCs/>
                <w:color w:val="auto"/>
                <w:u w:val="single"/>
              </w:rPr>
            </w:pPr>
            <w:r>
              <w:rPr>
                <w:rFonts w:hint="eastAsia"/>
                <w:i/>
                <w:iCs/>
                <w:color w:val="auto"/>
                <w:u w:val="single"/>
              </w:rPr>
              <w:t>属于</w:t>
            </w:r>
            <w:r>
              <w:rPr>
                <w:i/>
                <w:iCs/>
                <w:snapToGrid/>
                <w:color w:val="auto"/>
                <w:u w:val="single"/>
              </w:rPr>
              <w:t>本条a)、b)、c)、d)、e)、f)以外的情况</w:t>
            </w:r>
          </w:p>
        </w:tc>
        <w:tc>
          <w:tcPr>
            <w:tcW w:w="615" w:type="pct"/>
            <w:vAlign w:val="center"/>
          </w:tcPr>
          <w:p w14:paraId="64F5285D">
            <w:pPr>
              <w:pStyle w:val="1343"/>
              <w:rPr>
                <w:i/>
                <w:iCs/>
                <w:color w:val="auto"/>
                <w:u w:val="single"/>
              </w:rPr>
            </w:pPr>
            <w:r>
              <w:rPr>
                <w:rFonts w:hint="eastAsia"/>
                <w:i/>
                <w:iCs/>
                <w:color w:val="auto"/>
                <w:u w:val="single"/>
              </w:rPr>
              <w:t>三级</w:t>
            </w:r>
          </w:p>
        </w:tc>
      </w:tr>
      <w:tr w14:paraId="5A181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1" w:type="pct"/>
            <w:vAlign w:val="center"/>
          </w:tcPr>
          <w:p w14:paraId="30E5510A">
            <w:pPr>
              <w:pStyle w:val="1343"/>
            </w:pPr>
            <w:r>
              <w:t>h</w:t>
            </w:r>
          </w:p>
        </w:tc>
        <w:tc>
          <w:tcPr>
            <w:tcW w:w="1975" w:type="pct"/>
            <w:vAlign w:val="center"/>
          </w:tcPr>
          <w:p w14:paraId="3D54FF06">
            <w:pPr>
              <w:pStyle w:val="1343"/>
              <w:rPr>
                <w:snapToGrid/>
              </w:rPr>
            </w:pPr>
            <w:r>
              <w:rPr>
                <w:snapToGrid/>
              </w:rPr>
              <w:t>当评价等级判定同时符合上述多种情况时，应采用其中最高的评价等级</w:t>
            </w:r>
          </w:p>
        </w:tc>
        <w:tc>
          <w:tcPr>
            <w:tcW w:w="2079" w:type="pct"/>
            <w:vAlign w:val="center"/>
          </w:tcPr>
          <w:p w14:paraId="2715FB8F">
            <w:pPr>
              <w:pStyle w:val="1343"/>
              <w:rPr>
                <w:i/>
                <w:iCs/>
                <w:color w:val="auto"/>
                <w:u w:val="single"/>
              </w:rPr>
            </w:pPr>
            <w:r>
              <w:rPr>
                <w:rFonts w:hint="eastAsia"/>
                <w:i/>
                <w:iCs/>
                <w:color w:val="auto"/>
                <w:u w:val="single"/>
              </w:rPr>
              <w:t>最高为三级</w:t>
            </w:r>
          </w:p>
        </w:tc>
        <w:tc>
          <w:tcPr>
            <w:tcW w:w="615" w:type="pct"/>
            <w:vAlign w:val="center"/>
          </w:tcPr>
          <w:p w14:paraId="4DFA2A0D">
            <w:pPr>
              <w:pStyle w:val="1343"/>
              <w:rPr>
                <w:i/>
                <w:iCs/>
                <w:color w:val="auto"/>
                <w:u w:val="single"/>
              </w:rPr>
            </w:pPr>
            <w:r>
              <w:rPr>
                <w:i/>
                <w:iCs/>
                <w:color w:val="auto"/>
                <w:u w:val="single"/>
              </w:rPr>
              <w:t>按照</w:t>
            </w:r>
            <w:r>
              <w:rPr>
                <w:rFonts w:hint="eastAsia"/>
                <w:i/>
                <w:iCs/>
                <w:color w:val="auto"/>
                <w:u w:val="single"/>
              </w:rPr>
              <w:t>三</w:t>
            </w:r>
            <w:r>
              <w:rPr>
                <w:i/>
                <w:iCs/>
                <w:color w:val="auto"/>
                <w:u w:val="single"/>
              </w:rPr>
              <w:t>级评价</w:t>
            </w:r>
          </w:p>
        </w:tc>
      </w:tr>
    </w:tbl>
    <w:p w14:paraId="7FA2DFFD">
      <w:pPr>
        <w:pStyle w:val="234"/>
        <w:spacing w:before="120" w:beforeLines="50"/>
      </w:pPr>
      <w:r>
        <w:t>因此，根据</w:t>
      </w:r>
      <w:r>
        <w:rPr>
          <w:rFonts w:hint="eastAsia"/>
        </w:rPr>
        <w:t>表2</w:t>
      </w:r>
      <w:r>
        <w:t>.5-1</w:t>
      </w:r>
      <w:r>
        <w:rPr>
          <w:rFonts w:hint="eastAsia"/>
        </w:rPr>
        <w:t>判定</w:t>
      </w:r>
      <w:r>
        <w:t>本工程</w:t>
      </w:r>
      <w:r>
        <w:rPr>
          <w:i/>
          <w:iCs/>
          <w:color w:val="auto"/>
          <w:u w:val="single"/>
        </w:rPr>
        <w:t>生态环境评价等级确定为</w:t>
      </w:r>
      <w:r>
        <w:rPr>
          <w:rFonts w:hint="eastAsia"/>
          <w:i/>
          <w:iCs/>
          <w:color w:val="auto"/>
          <w:u w:val="single"/>
        </w:rPr>
        <w:t>三</w:t>
      </w:r>
      <w:r>
        <w:rPr>
          <w:i/>
          <w:iCs/>
          <w:color w:val="auto"/>
          <w:u w:val="single"/>
        </w:rPr>
        <w:t>级</w:t>
      </w:r>
      <w:r>
        <w:t>。</w:t>
      </w:r>
    </w:p>
    <w:p w14:paraId="71FCF048">
      <w:pPr>
        <w:pStyle w:val="234"/>
      </w:pPr>
      <w:r>
        <w:rPr>
          <w:rFonts w:hint="eastAsia"/>
        </w:rPr>
        <w:t>本项目不穿越生态敏感区，</w:t>
      </w:r>
      <w:r>
        <w:t>根据《环境影响评价技术导则</w:t>
      </w:r>
      <w:r>
        <w:tab/>
      </w:r>
      <w:r>
        <w:rPr>
          <w:rFonts w:hint="eastAsia"/>
        </w:rPr>
        <w:t xml:space="preserve"> </w:t>
      </w:r>
      <w:r>
        <w:t>生态影响》</w:t>
      </w:r>
      <w:r>
        <w:rPr>
          <w:rFonts w:hint="eastAsia"/>
        </w:rPr>
        <w:t>（</w:t>
      </w:r>
      <w:r>
        <w:t>HJ19-2022</w:t>
      </w:r>
      <w:r>
        <w:rPr>
          <w:rFonts w:hint="eastAsia"/>
        </w:rPr>
        <w:t>）中6</w:t>
      </w:r>
      <w:r>
        <w:t>.2.5</w:t>
      </w:r>
      <w:r>
        <w:rPr>
          <w:rFonts w:hint="eastAsia"/>
        </w:rPr>
        <w:t>条说明</w:t>
      </w:r>
      <w:r>
        <w:t>，</w:t>
      </w:r>
      <w:r>
        <w:rPr>
          <w:rFonts w:hint="eastAsia"/>
        </w:rPr>
        <w:t>线性工程穿越非生态敏感区时，以线路中心线向两侧外延3</w:t>
      </w:r>
      <w:r>
        <w:t>00</w:t>
      </w:r>
      <w:r>
        <w:rPr>
          <w:rFonts w:hint="eastAsia"/>
        </w:rPr>
        <w:t>m为参考评价范围，因此本工程生态环境</w:t>
      </w:r>
      <w:r>
        <w:t>评价范围为站场、阀室</w:t>
      </w:r>
      <w:r>
        <w:rPr>
          <w:rFonts w:hint="eastAsia"/>
        </w:rPr>
        <w:t>厂界周边3</w:t>
      </w:r>
      <w:r>
        <w:t>00</w:t>
      </w:r>
      <w:r>
        <w:rPr>
          <w:rFonts w:hint="eastAsia"/>
        </w:rPr>
        <w:t>m范围及</w:t>
      </w:r>
      <w:r>
        <w:t>管道</w:t>
      </w:r>
      <w:r>
        <w:rPr>
          <w:rFonts w:hint="eastAsia"/>
        </w:rPr>
        <w:t>、进站路</w:t>
      </w:r>
      <w:r>
        <w:t>两侧300m区域。</w:t>
      </w:r>
    </w:p>
    <w:p w14:paraId="7C0E24A9">
      <w:pPr>
        <w:pStyle w:val="5"/>
        <w:rPr>
          <w:color w:val="auto"/>
        </w:rPr>
      </w:pPr>
      <w:r>
        <w:rPr>
          <w:color w:val="auto"/>
        </w:rPr>
        <w:t>环境空气</w:t>
      </w:r>
    </w:p>
    <w:p w14:paraId="59C6435A">
      <w:pPr>
        <w:pStyle w:val="234"/>
      </w:pPr>
      <w:r>
        <w:t>本工程为天然气输送管线项目，根据《环境影响评价技术导则 大气环境》</w:t>
      </w:r>
      <w:r>
        <w:rPr>
          <w:rFonts w:hint="eastAsia"/>
        </w:rPr>
        <w:t>（</w:t>
      </w:r>
      <w:r>
        <w:t>HJ 2.2-2018</w:t>
      </w:r>
      <w:r>
        <w:rPr>
          <w:rFonts w:hint="eastAsia"/>
        </w:rPr>
        <w:t>）</w:t>
      </w:r>
      <w:r>
        <w:t>，参照5.3.3.3要求，本工程按项目沿线主要集中式排放源</w:t>
      </w:r>
      <w:r>
        <w:rPr>
          <w:rFonts w:hint="eastAsia"/>
        </w:rPr>
        <w:t>（</w:t>
      </w:r>
      <w:r>
        <w:t>各站场</w:t>
      </w:r>
      <w:r>
        <w:rPr>
          <w:rFonts w:hint="eastAsia"/>
        </w:rPr>
        <w:t>）</w:t>
      </w:r>
      <w:r>
        <w:t>排放的污染物计算其评价等级。</w:t>
      </w:r>
    </w:p>
    <w:p w14:paraId="281C03F0">
      <w:pPr>
        <w:pStyle w:val="234"/>
      </w:pPr>
      <w:r>
        <w:t>（1）P</w:t>
      </w:r>
      <w:r>
        <w:rPr>
          <w:vertAlign w:val="subscript"/>
        </w:rPr>
        <w:t>max</w:t>
      </w:r>
      <w:r>
        <w:t>及D</w:t>
      </w:r>
      <w:r>
        <w:rPr>
          <w:vertAlign w:val="subscript"/>
        </w:rPr>
        <w:t>10%</w:t>
      </w:r>
      <w:r>
        <w:t>的确定</w:t>
      </w:r>
    </w:p>
    <w:p w14:paraId="0D3B3426">
      <w:pPr>
        <w:pStyle w:val="234"/>
      </w:pPr>
      <w:r>
        <w:t>依据《环境影响评价技术导则 大气环境》</w:t>
      </w:r>
      <w:r>
        <w:rPr>
          <w:rFonts w:hint="eastAsia"/>
        </w:rPr>
        <w:t>（</w:t>
      </w:r>
      <w:r>
        <w:t>HJ 2.2-2018</w:t>
      </w:r>
      <w:r>
        <w:rPr>
          <w:rFonts w:hint="eastAsia"/>
        </w:rPr>
        <w:t>）</w:t>
      </w:r>
      <w:r>
        <w:t>中最大地面浓度占标率P</w:t>
      </w:r>
      <w:r>
        <w:rPr>
          <w:vertAlign w:val="subscript"/>
        </w:rPr>
        <w:t>i</w:t>
      </w:r>
      <w:r>
        <w:t>定义如下：</w:t>
      </w:r>
    </w:p>
    <w:p w14:paraId="3BF44039">
      <w:pPr>
        <w:pStyle w:val="234"/>
        <w:jc w:val="center"/>
        <w:rPr>
          <w:i/>
          <w:iCs/>
        </w:rPr>
      </w:pPr>
      <w:r>
        <w:rPr>
          <w:i/>
          <w:iCs/>
        </w:rPr>
        <w:t>P</w:t>
      </w:r>
      <w:r>
        <w:rPr>
          <w:i/>
          <w:iCs/>
          <w:vertAlign w:val="subscript"/>
        </w:rPr>
        <w:t>i</w:t>
      </w:r>
      <w:r>
        <w:rPr>
          <w:i/>
          <w:iCs/>
        </w:rPr>
        <w:t>=C</w:t>
      </w:r>
      <w:r>
        <w:rPr>
          <w:i/>
          <w:iCs/>
          <w:vertAlign w:val="subscript"/>
        </w:rPr>
        <w:t>i</w:t>
      </w:r>
      <w:r>
        <w:rPr>
          <w:i/>
          <w:iCs/>
        </w:rPr>
        <w:t>/C</w:t>
      </w:r>
      <w:r>
        <w:rPr>
          <w:i/>
          <w:iCs/>
          <w:vertAlign w:val="subscript"/>
        </w:rPr>
        <w:t>0i</w:t>
      </w:r>
      <w:r>
        <w:rPr>
          <w:i/>
          <w:iCs/>
        </w:rPr>
        <w:t>×100%</w:t>
      </w:r>
    </w:p>
    <w:p w14:paraId="09FE28C8">
      <w:pPr>
        <w:pStyle w:val="234"/>
      </w:pPr>
      <w:r>
        <w:rPr>
          <w:i/>
          <w:iCs/>
        </w:rPr>
        <w:t>P</w:t>
      </w:r>
      <w:r>
        <w:rPr>
          <w:i/>
          <w:iCs/>
          <w:vertAlign w:val="subscript"/>
        </w:rPr>
        <w:t>i</w:t>
      </w:r>
      <w:r>
        <w:t>—第i个污染物的最大地面空气质量浓度占标率，%；</w:t>
      </w:r>
    </w:p>
    <w:p w14:paraId="3C5A539D">
      <w:pPr>
        <w:pStyle w:val="234"/>
      </w:pPr>
      <w:r>
        <w:rPr>
          <w:i/>
          <w:iCs/>
        </w:rPr>
        <w:t>C</w:t>
      </w:r>
      <w:r>
        <w:rPr>
          <w:i/>
          <w:iCs/>
          <w:vertAlign w:val="subscript"/>
        </w:rPr>
        <w:t>i</w:t>
      </w:r>
      <w:r>
        <w:t>—采用估算模型计算出的第i个污染物的最大1h地面空气质量浓度，</w:t>
      </w:r>
      <w:r>
        <w:rPr>
          <w:szCs w:val="18"/>
        </w:rPr>
        <w:t>μg/m</w:t>
      </w:r>
      <w:r>
        <w:rPr>
          <w:szCs w:val="18"/>
          <w:vertAlign w:val="superscript"/>
        </w:rPr>
        <w:t>3</w:t>
      </w:r>
      <w:r>
        <w:t>；</w:t>
      </w:r>
    </w:p>
    <w:p w14:paraId="7518CF2D">
      <w:pPr>
        <w:pStyle w:val="234"/>
      </w:pPr>
      <w:r>
        <w:rPr>
          <w:i/>
          <w:iCs/>
        </w:rPr>
        <w:t>C</w:t>
      </w:r>
      <w:r>
        <w:rPr>
          <w:i/>
          <w:iCs/>
          <w:vertAlign w:val="subscript"/>
        </w:rPr>
        <w:t>0i</w:t>
      </w:r>
      <w:r>
        <w:t>——第i个污染物的环境空气质量浓度标准，</w:t>
      </w:r>
      <w:r>
        <w:rPr>
          <w:szCs w:val="18"/>
        </w:rPr>
        <w:t>μg/m</w:t>
      </w:r>
      <w:r>
        <w:rPr>
          <w:szCs w:val="18"/>
          <w:vertAlign w:val="superscript"/>
        </w:rPr>
        <w:t>3</w:t>
      </w:r>
      <w:r>
        <w:t>。</w:t>
      </w:r>
    </w:p>
    <w:p w14:paraId="1FBDC3B0">
      <w:pPr>
        <w:pStyle w:val="234"/>
      </w:pPr>
      <w:r>
        <w:t>（2）评价等级判别表</w:t>
      </w:r>
    </w:p>
    <w:p w14:paraId="4A715D2E">
      <w:pPr>
        <w:pStyle w:val="234"/>
      </w:pPr>
      <w:r>
        <w:t>评价等级按表2.5-</w:t>
      </w:r>
      <w:r>
        <w:rPr>
          <w:rFonts w:hint="eastAsia"/>
        </w:rPr>
        <w:t>2</w:t>
      </w:r>
      <w:r>
        <w:t>的分级判据进行划分。</w:t>
      </w:r>
    </w:p>
    <w:p w14:paraId="69590206">
      <w:pPr>
        <w:pStyle w:val="904"/>
      </w:pPr>
      <w:r>
        <w:t>表2.5-</w:t>
      </w:r>
      <w:r>
        <w:rPr>
          <w:rFonts w:hint="eastAsia"/>
        </w:rPr>
        <w:t>2</w:t>
      </w:r>
      <w:r>
        <w:t xml:space="preserve">  大气环境评价等级判据表</w:t>
      </w:r>
    </w:p>
    <w:tbl>
      <w:tblPr>
        <w:tblStyle w:val="139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0"/>
        <w:gridCol w:w="4530"/>
      </w:tblGrid>
      <w:tr w14:paraId="6460A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30" w:type="dxa"/>
            <w:vAlign w:val="center"/>
          </w:tcPr>
          <w:p w14:paraId="613EF1F8">
            <w:pPr>
              <w:pStyle w:val="1343"/>
            </w:pPr>
            <w:r>
              <w:t>评价工作等级</w:t>
            </w:r>
          </w:p>
        </w:tc>
        <w:tc>
          <w:tcPr>
            <w:tcW w:w="4530" w:type="dxa"/>
            <w:vAlign w:val="center"/>
          </w:tcPr>
          <w:p w14:paraId="749CF37E">
            <w:pPr>
              <w:pStyle w:val="1343"/>
            </w:pPr>
            <w:r>
              <w:t>评价工作等级判据</w:t>
            </w:r>
          </w:p>
        </w:tc>
      </w:tr>
      <w:tr w14:paraId="3A91B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30" w:type="dxa"/>
            <w:vAlign w:val="center"/>
          </w:tcPr>
          <w:p w14:paraId="46060069">
            <w:pPr>
              <w:pStyle w:val="1343"/>
            </w:pPr>
            <w:r>
              <w:t>一级</w:t>
            </w:r>
          </w:p>
        </w:tc>
        <w:tc>
          <w:tcPr>
            <w:tcW w:w="4530" w:type="dxa"/>
            <w:vAlign w:val="center"/>
          </w:tcPr>
          <w:p w14:paraId="6D9E1FCE">
            <w:pPr>
              <w:pStyle w:val="1343"/>
            </w:pPr>
            <w:r>
              <w:t>P</w:t>
            </w:r>
            <w:r>
              <w:rPr>
                <w:vertAlign w:val="subscript"/>
              </w:rPr>
              <w:t>max</w:t>
            </w:r>
            <w:r>
              <w:t>≥10%</w:t>
            </w:r>
          </w:p>
        </w:tc>
      </w:tr>
      <w:tr w14:paraId="3C453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30" w:type="dxa"/>
            <w:vAlign w:val="center"/>
          </w:tcPr>
          <w:p w14:paraId="65EE3C12">
            <w:pPr>
              <w:pStyle w:val="1343"/>
            </w:pPr>
            <w:r>
              <w:t>二级</w:t>
            </w:r>
          </w:p>
        </w:tc>
        <w:tc>
          <w:tcPr>
            <w:tcW w:w="4530" w:type="dxa"/>
            <w:vAlign w:val="center"/>
          </w:tcPr>
          <w:p w14:paraId="0A6317B6">
            <w:pPr>
              <w:pStyle w:val="1343"/>
            </w:pPr>
            <w:r>
              <w:t>1%≤P</w:t>
            </w:r>
            <w:r>
              <w:rPr>
                <w:vertAlign w:val="subscript"/>
              </w:rPr>
              <w:t>max</w:t>
            </w:r>
            <w:r>
              <w:t>＜10%</w:t>
            </w:r>
          </w:p>
        </w:tc>
      </w:tr>
      <w:tr w14:paraId="6C0D5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530" w:type="dxa"/>
            <w:vAlign w:val="center"/>
          </w:tcPr>
          <w:p w14:paraId="54B932AB">
            <w:pPr>
              <w:pStyle w:val="1343"/>
            </w:pPr>
            <w:r>
              <w:t>三级</w:t>
            </w:r>
          </w:p>
        </w:tc>
        <w:tc>
          <w:tcPr>
            <w:tcW w:w="4530" w:type="dxa"/>
            <w:vAlign w:val="center"/>
          </w:tcPr>
          <w:p w14:paraId="4DE02FE1">
            <w:pPr>
              <w:pStyle w:val="1343"/>
            </w:pPr>
            <w:r>
              <w:t>P</w:t>
            </w:r>
            <w:r>
              <w:rPr>
                <w:vertAlign w:val="subscript"/>
              </w:rPr>
              <w:t>max</w:t>
            </w:r>
            <w:r>
              <w:t>＜1%</w:t>
            </w:r>
          </w:p>
        </w:tc>
      </w:tr>
    </w:tbl>
    <w:p w14:paraId="5DDE01CE">
      <w:pPr>
        <w:pStyle w:val="234"/>
        <w:snapToGrid w:val="0"/>
        <w:spacing w:before="120" w:beforeLines="50"/>
      </w:pPr>
      <w:r>
        <w:t>（3）污染源参数</w:t>
      </w:r>
    </w:p>
    <w:p w14:paraId="13B117F8">
      <w:pPr>
        <w:pStyle w:val="234"/>
      </w:pPr>
      <w:r>
        <w:t>根据对本工程的性质和环境要素分析可知，本工程运行期大气污染源主要为</w:t>
      </w:r>
      <w:r>
        <w:rPr>
          <w:rFonts w:hint="eastAsia"/>
        </w:rPr>
        <w:t>新建耒阳分输站</w:t>
      </w:r>
      <w:r>
        <w:t>和</w:t>
      </w:r>
      <w:r>
        <w:rPr>
          <w:rFonts w:hint="eastAsia"/>
        </w:rPr>
        <w:t>28号阀室改造部分</w:t>
      </w:r>
      <w:r>
        <w:t>无组织排放的非甲烷总烃。矩形面源参数见表2.5-</w:t>
      </w:r>
      <w:r>
        <w:rPr>
          <w:rFonts w:hint="eastAsia"/>
        </w:rPr>
        <w:t>3</w:t>
      </w:r>
      <w:r>
        <w:t>。</w:t>
      </w:r>
    </w:p>
    <w:p w14:paraId="4584BC35">
      <w:pPr>
        <w:pStyle w:val="904"/>
      </w:pPr>
      <w:r>
        <w:t>表2.5-</w:t>
      </w:r>
      <w:r>
        <w:rPr>
          <w:rFonts w:hint="eastAsia"/>
        </w:rPr>
        <w:t>3</w:t>
      </w:r>
      <w:r>
        <w:t xml:space="preserve">  矩形面源参数表</w:t>
      </w:r>
    </w:p>
    <w:tbl>
      <w:tblPr>
        <w:tblStyle w:val="1396"/>
        <w:tblW w:w="495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2"/>
        <w:gridCol w:w="1145"/>
        <w:gridCol w:w="952"/>
        <w:gridCol w:w="830"/>
        <w:gridCol w:w="884"/>
        <w:gridCol w:w="1102"/>
        <w:gridCol w:w="762"/>
        <w:gridCol w:w="735"/>
        <w:gridCol w:w="1283"/>
      </w:tblGrid>
      <w:tr w14:paraId="2F6BF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tcMar>
              <w:top w:w="0" w:type="dxa"/>
              <w:left w:w="57" w:type="dxa"/>
              <w:bottom w:w="0" w:type="dxa"/>
              <w:right w:w="57" w:type="dxa"/>
            </w:tcMar>
            <w:vAlign w:val="center"/>
          </w:tcPr>
          <w:p w14:paraId="70079509">
            <w:pPr>
              <w:pStyle w:val="1343"/>
            </w:pPr>
            <w:r>
              <w:t>污染源</w:t>
            </w:r>
          </w:p>
        </w:tc>
        <w:tc>
          <w:tcPr>
            <w:tcW w:w="1159" w:type="dxa"/>
            <w:tcMar>
              <w:top w:w="0" w:type="dxa"/>
              <w:left w:w="57" w:type="dxa"/>
              <w:bottom w:w="0" w:type="dxa"/>
              <w:right w:w="57" w:type="dxa"/>
            </w:tcMar>
            <w:vAlign w:val="center"/>
          </w:tcPr>
          <w:p w14:paraId="2CA65AB0">
            <w:pPr>
              <w:pStyle w:val="1343"/>
            </w:pPr>
            <w:r>
              <w:t>面源</w:t>
            </w:r>
          </w:p>
          <w:p w14:paraId="6A64ECD9">
            <w:pPr>
              <w:pStyle w:val="1343"/>
            </w:pPr>
            <w:r>
              <w:t>海拔高度</w:t>
            </w:r>
          </w:p>
          <w:p w14:paraId="54CC33CE">
            <w:pPr>
              <w:pStyle w:val="1343"/>
            </w:pPr>
            <w:r>
              <w:t>（m）</w:t>
            </w:r>
          </w:p>
        </w:tc>
        <w:tc>
          <w:tcPr>
            <w:tcW w:w="962" w:type="dxa"/>
            <w:tcMar>
              <w:top w:w="0" w:type="dxa"/>
              <w:left w:w="57" w:type="dxa"/>
              <w:bottom w:w="0" w:type="dxa"/>
              <w:right w:w="57" w:type="dxa"/>
            </w:tcMar>
            <w:vAlign w:val="center"/>
          </w:tcPr>
          <w:p w14:paraId="1A444686">
            <w:pPr>
              <w:pStyle w:val="1343"/>
            </w:pPr>
            <w:r>
              <w:t>面源</w:t>
            </w:r>
          </w:p>
          <w:p w14:paraId="3502BC19">
            <w:pPr>
              <w:pStyle w:val="1343"/>
            </w:pPr>
            <w:r>
              <w:t>长度（m）</w:t>
            </w:r>
          </w:p>
        </w:tc>
        <w:tc>
          <w:tcPr>
            <w:tcW w:w="839" w:type="dxa"/>
            <w:tcMar>
              <w:top w:w="0" w:type="dxa"/>
              <w:left w:w="57" w:type="dxa"/>
              <w:bottom w:w="0" w:type="dxa"/>
              <w:right w:w="57" w:type="dxa"/>
            </w:tcMar>
            <w:vAlign w:val="center"/>
          </w:tcPr>
          <w:p w14:paraId="25AE4798">
            <w:pPr>
              <w:pStyle w:val="1343"/>
            </w:pPr>
            <w:r>
              <w:t>面源</w:t>
            </w:r>
          </w:p>
          <w:p w14:paraId="14D36D99">
            <w:pPr>
              <w:pStyle w:val="1343"/>
            </w:pPr>
            <w:r>
              <w:t>宽度（m）</w:t>
            </w:r>
          </w:p>
        </w:tc>
        <w:tc>
          <w:tcPr>
            <w:tcW w:w="893" w:type="dxa"/>
            <w:tcMar>
              <w:top w:w="0" w:type="dxa"/>
              <w:left w:w="57" w:type="dxa"/>
              <w:bottom w:w="0" w:type="dxa"/>
              <w:right w:w="57" w:type="dxa"/>
            </w:tcMar>
            <w:vAlign w:val="center"/>
          </w:tcPr>
          <w:p w14:paraId="042FAB95">
            <w:pPr>
              <w:pStyle w:val="1343"/>
            </w:pPr>
            <w:r>
              <w:t>与正北向夹角（°）</w:t>
            </w:r>
          </w:p>
        </w:tc>
        <w:tc>
          <w:tcPr>
            <w:tcW w:w="1114" w:type="dxa"/>
            <w:tcMar>
              <w:top w:w="0" w:type="dxa"/>
              <w:left w:w="57" w:type="dxa"/>
              <w:bottom w:w="0" w:type="dxa"/>
              <w:right w:w="57" w:type="dxa"/>
            </w:tcMar>
            <w:vAlign w:val="center"/>
          </w:tcPr>
          <w:p w14:paraId="3ADF9168">
            <w:pPr>
              <w:pStyle w:val="1343"/>
            </w:pPr>
            <w:r>
              <w:t>面源有效</w:t>
            </w:r>
          </w:p>
          <w:p w14:paraId="7DD955D6">
            <w:pPr>
              <w:pStyle w:val="1343"/>
            </w:pPr>
            <w:r>
              <w:t>排放高度（m）</w:t>
            </w:r>
          </w:p>
        </w:tc>
        <w:tc>
          <w:tcPr>
            <w:tcW w:w="770" w:type="dxa"/>
            <w:tcMar>
              <w:top w:w="0" w:type="dxa"/>
              <w:left w:w="57" w:type="dxa"/>
              <w:bottom w:w="0" w:type="dxa"/>
              <w:right w:w="57" w:type="dxa"/>
            </w:tcMar>
            <w:vAlign w:val="center"/>
          </w:tcPr>
          <w:p w14:paraId="5F271D1D">
            <w:pPr>
              <w:pStyle w:val="1343"/>
            </w:pPr>
            <w:r>
              <w:t>年排放小时数</w:t>
            </w:r>
          </w:p>
        </w:tc>
        <w:tc>
          <w:tcPr>
            <w:tcW w:w="742" w:type="dxa"/>
            <w:tcMar>
              <w:top w:w="0" w:type="dxa"/>
              <w:left w:w="57" w:type="dxa"/>
              <w:bottom w:w="0" w:type="dxa"/>
              <w:right w:w="57" w:type="dxa"/>
            </w:tcMar>
            <w:vAlign w:val="center"/>
          </w:tcPr>
          <w:p w14:paraId="103FA421">
            <w:pPr>
              <w:pStyle w:val="1343"/>
            </w:pPr>
            <w:r>
              <w:t>排放工况</w:t>
            </w:r>
          </w:p>
        </w:tc>
        <w:tc>
          <w:tcPr>
            <w:tcW w:w="1299" w:type="dxa"/>
            <w:tcMar>
              <w:top w:w="0" w:type="dxa"/>
              <w:left w:w="57" w:type="dxa"/>
              <w:bottom w:w="0" w:type="dxa"/>
              <w:right w:w="57" w:type="dxa"/>
            </w:tcMar>
            <w:vAlign w:val="center"/>
          </w:tcPr>
          <w:p w14:paraId="0F004B78">
            <w:pPr>
              <w:pStyle w:val="1343"/>
            </w:pPr>
            <w:r>
              <w:t>非甲烷总烃排放速率（kg/h）</w:t>
            </w:r>
          </w:p>
        </w:tc>
      </w:tr>
      <w:tr w14:paraId="7F665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tcMar>
              <w:top w:w="0" w:type="dxa"/>
              <w:left w:w="57" w:type="dxa"/>
              <w:bottom w:w="0" w:type="dxa"/>
              <w:right w:w="57" w:type="dxa"/>
            </w:tcMar>
            <w:vAlign w:val="center"/>
          </w:tcPr>
          <w:p w14:paraId="1178434A">
            <w:pPr>
              <w:pStyle w:val="1343"/>
            </w:pPr>
            <w:r>
              <w:rPr>
                <w:rFonts w:hint="eastAsia"/>
              </w:rPr>
              <w:t>耒阳分输站</w:t>
            </w:r>
          </w:p>
        </w:tc>
        <w:tc>
          <w:tcPr>
            <w:tcW w:w="1159" w:type="dxa"/>
            <w:tcMar>
              <w:top w:w="0" w:type="dxa"/>
              <w:left w:w="57" w:type="dxa"/>
              <w:bottom w:w="0" w:type="dxa"/>
              <w:right w:w="57" w:type="dxa"/>
            </w:tcMar>
            <w:vAlign w:val="center"/>
          </w:tcPr>
          <w:p w14:paraId="6B0254CE">
            <w:pPr>
              <w:pStyle w:val="1343"/>
            </w:pPr>
            <w:r>
              <w:t>1</w:t>
            </w:r>
            <w:r>
              <w:rPr>
                <w:rFonts w:hint="eastAsia"/>
              </w:rPr>
              <w:t>2</w:t>
            </w:r>
            <w:r>
              <w:t>5</w:t>
            </w:r>
          </w:p>
        </w:tc>
        <w:tc>
          <w:tcPr>
            <w:tcW w:w="962" w:type="dxa"/>
            <w:tcMar>
              <w:top w:w="0" w:type="dxa"/>
              <w:left w:w="57" w:type="dxa"/>
              <w:bottom w:w="0" w:type="dxa"/>
              <w:right w:w="57" w:type="dxa"/>
            </w:tcMar>
            <w:vAlign w:val="center"/>
          </w:tcPr>
          <w:p w14:paraId="3EAE4535">
            <w:pPr>
              <w:pStyle w:val="1343"/>
            </w:pPr>
            <w:r>
              <w:rPr>
                <w:rFonts w:hint="eastAsia"/>
              </w:rPr>
              <w:t>80</w:t>
            </w:r>
          </w:p>
        </w:tc>
        <w:tc>
          <w:tcPr>
            <w:tcW w:w="839" w:type="dxa"/>
            <w:tcMar>
              <w:top w:w="0" w:type="dxa"/>
              <w:left w:w="57" w:type="dxa"/>
              <w:bottom w:w="0" w:type="dxa"/>
              <w:right w:w="57" w:type="dxa"/>
            </w:tcMar>
            <w:vAlign w:val="center"/>
          </w:tcPr>
          <w:p w14:paraId="493B1E6D">
            <w:pPr>
              <w:pStyle w:val="1343"/>
            </w:pPr>
            <w:r>
              <w:rPr>
                <w:rFonts w:hint="eastAsia"/>
              </w:rPr>
              <w:t>70</w:t>
            </w:r>
          </w:p>
        </w:tc>
        <w:tc>
          <w:tcPr>
            <w:tcW w:w="893" w:type="dxa"/>
            <w:tcMar>
              <w:top w:w="0" w:type="dxa"/>
              <w:left w:w="57" w:type="dxa"/>
              <w:bottom w:w="0" w:type="dxa"/>
              <w:right w:w="57" w:type="dxa"/>
            </w:tcMar>
            <w:vAlign w:val="center"/>
          </w:tcPr>
          <w:p w14:paraId="5F480B23">
            <w:pPr>
              <w:pStyle w:val="1343"/>
            </w:pPr>
            <w:r>
              <w:rPr>
                <w:rFonts w:hint="eastAsia"/>
              </w:rPr>
              <w:t>80</w:t>
            </w:r>
          </w:p>
        </w:tc>
        <w:tc>
          <w:tcPr>
            <w:tcW w:w="1114" w:type="dxa"/>
            <w:tcMar>
              <w:top w:w="0" w:type="dxa"/>
              <w:left w:w="57" w:type="dxa"/>
              <w:bottom w:w="0" w:type="dxa"/>
              <w:right w:w="57" w:type="dxa"/>
            </w:tcMar>
            <w:vAlign w:val="center"/>
          </w:tcPr>
          <w:p w14:paraId="55F1038D">
            <w:pPr>
              <w:pStyle w:val="1343"/>
            </w:pPr>
            <w:r>
              <w:t>1.5</w:t>
            </w:r>
          </w:p>
        </w:tc>
        <w:tc>
          <w:tcPr>
            <w:tcW w:w="770" w:type="dxa"/>
            <w:tcMar>
              <w:top w:w="0" w:type="dxa"/>
              <w:left w:w="57" w:type="dxa"/>
              <w:bottom w:w="0" w:type="dxa"/>
              <w:right w:w="57" w:type="dxa"/>
            </w:tcMar>
            <w:vAlign w:val="center"/>
          </w:tcPr>
          <w:p w14:paraId="22003BC8">
            <w:pPr>
              <w:pStyle w:val="1343"/>
            </w:pPr>
            <w:r>
              <w:t>8760</w:t>
            </w:r>
          </w:p>
        </w:tc>
        <w:tc>
          <w:tcPr>
            <w:tcW w:w="742" w:type="dxa"/>
            <w:tcMar>
              <w:top w:w="0" w:type="dxa"/>
              <w:left w:w="57" w:type="dxa"/>
              <w:bottom w:w="0" w:type="dxa"/>
              <w:right w:w="57" w:type="dxa"/>
            </w:tcMar>
            <w:vAlign w:val="center"/>
          </w:tcPr>
          <w:p w14:paraId="70FB2EE4">
            <w:pPr>
              <w:pStyle w:val="1343"/>
            </w:pPr>
            <w:r>
              <w:t>连续排放</w:t>
            </w:r>
          </w:p>
        </w:tc>
        <w:tc>
          <w:tcPr>
            <w:tcW w:w="1299" w:type="dxa"/>
            <w:tcMar>
              <w:top w:w="0" w:type="dxa"/>
              <w:left w:w="57" w:type="dxa"/>
              <w:bottom w:w="0" w:type="dxa"/>
              <w:right w:w="57" w:type="dxa"/>
            </w:tcMar>
            <w:vAlign w:val="center"/>
          </w:tcPr>
          <w:p w14:paraId="5079D024">
            <w:pPr>
              <w:pStyle w:val="1343"/>
              <w:rPr>
                <w:rFonts w:hint="default" w:eastAsia="宋体"/>
                <w:i/>
                <w:iCs/>
                <w:color w:val="auto"/>
                <w:highlight w:val="none"/>
                <w:u w:val="single"/>
                <w:lang w:val="en-US" w:eastAsia="zh-CN"/>
              </w:rPr>
            </w:pPr>
            <w:r>
              <w:rPr>
                <w:i/>
                <w:iCs/>
                <w:color w:val="auto"/>
                <w:highlight w:val="none"/>
                <w:u w:val="single"/>
              </w:rPr>
              <w:t>0.0</w:t>
            </w:r>
            <w:r>
              <w:rPr>
                <w:rFonts w:hint="eastAsia"/>
                <w:i/>
                <w:iCs/>
                <w:color w:val="auto"/>
                <w:highlight w:val="none"/>
                <w:u w:val="single"/>
                <w:lang w:val="en-US" w:eastAsia="zh-CN"/>
              </w:rPr>
              <w:t>028</w:t>
            </w:r>
          </w:p>
        </w:tc>
      </w:tr>
      <w:tr w14:paraId="1886E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9" w:type="dxa"/>
            <w:tcMar>
              <w:top w:w="0" w:type="dxa"/>
              <w:left w:w="57" w:type="dxa"/>
              <w:bottom w:w="0" w:type="dxa"/>
              <w:right w:w="57" w:type="dxa"/>
            </w:tcMar>
            <w:vAlign w:val="center"/>
          </w:tcPr>
          <w:p w14:paraId="5BBDBE78">
            <w:pPr>
              <w:pStyle w:val="1343"/>
            </w:pPr>
            <w:r>
              <w:rPr>
                <w:rFonts w:hint="eastAsia"/>
              </w:rPr>
              <w:t>28号阀室</w:t>
            </w:r>
          </w:p>
          <w:p w14:paraId="53F1FCF7">
            <w:pPr>
              <w:pStyle w:val="1343"/>
            </w:pPr>
            <w:r>
              <w:rPr>
                <w:rFonts w:hint="eastAsia"/>
              </w:rPr>
              <w:t>（改造部分）</w:t>
            </w:r>
          </w:p>
        </w:tc>
        <w:tc>
          <w:tcPr>
            <w:tcW w:w="1159" w:type="dxa"/>
            <w:tcMar>
              <w:top w:w="0" w:type="dxa"/>
              <w:left w:w="57" w:type="dxa"/>
              <w:bottom w:w="0" w:type="dxa"/>
              <w:right w:w="57" w:type="dxa"/>
            </w:tcMar>
            <w:vAlign w:val="center"/>
          </w:tcPr>
          <w:p w14:paraId="393C78CF">
            <w:pPr>
              <w:pStyle w:val="1343"/>
            </w:pPr>
            <w:r>
              <w:rPr>
                <w:rFonts w:hint="eastAsia"/>
              </w:rPr>
              <w:t>10</w:t>
            </w:r>
            <w:r>
              <w:t>0</w:t>
            </w:r>
          </w:p>
        </w:tc>
        <w:tc>
          <w:tcPr>
            <w:tcW w:w="962" w:type="dxa"/>
            <w:tcMar>
              <w:top w:w="0" w:type="dxa"/>
              <w:left w:w="57" w:type="dxa"/>
              <w:bottom w:w="0" w:type="dxa"/>
              <w:right w:w="57" w:type="dxa"/>
            </w:tcMar>
            <w:vAlign w:val="center"/>
          </w:tcPr>
          <w:p w14:paraId="25984AB6">
            <w:pPr>
              <w:pStyle w:val="1343"/>
            </w:pPr>
            <w:r>
              <w:rPr>
                <w:rFonts w:hint="eastAsia"/>
              </w:rPr>
              <w:t>24</w:t>
            </w:r>
          </w:p>
        </w:tc>
        <w:tc>
          <w:tcPr>
            <w:tcW w:w="839" w:type="dxa"/>
            <w:tcMar>
              <w:top w:w="0" w:type="dxa"/>
              <w:left w:w="57" w:type="dxa"/>
              <w:bottom w:w="0" w:type="dxa"/>
              <w:right w:w="57" w:type="dxa"/>
            </w:tcMar>
            <w:vAlign w:val="center"/>
          </w:tcPr>
          <w:p w14:paraId="55573571">
            <w:pPr>
              <w:pStyle w:val="1343"/>
            </w:pPr>
            <w:r>
              <w:rPr>
                <w:rFonts w:hint="eastAsia"/>
              </w:rPr>
              <w:t>18</w:t>
            </w:r>
          </w:p>
        </w:tc>
        <w:tc>
          <w:tcPr>
            <w:tcW w:w="893" w:type="dxa"/>
            <w:tcMar>
              <w:top w:w="0" w:type="dxa"/>
              <w:left w:w="57" w:type="dxa"/>
              <w:bottom w:w="0" w:type="dxa"/>
              <w:right w:w="57" w:type="dxa"/>
            </w:tcMar>
            <w:vAlign w:val="center"/>
          </w:tcPr>
          <w:p w14:paraId="00520EE9">
            <w:pPr>
              <w:pStyle w:val="1343"/>
            </w:pPr>
            <w:r>
              <w:t>0</w:t>
            </w:r>
          </w:p>
        </w:tc>
        <w:tc>
          <w:tcPr>
            <w:tcW w:w="1114" w:type="dxa"/>
            <w:tcMar>
              <w:top w:w="0" w:type="dxa"/>
              <w:left w:w="57" w:type="dxa"/>
              <w:bottom w:w="0" w:type="dxa"/>
              <w:right w:w="57" w:type="dxa"/>
            </w:tcMar>
            <w:vAlign w:val="center"/>
          </w:tcPr>
          <w:p w14:paraId="10AB2AD7">
            <w:pPr>
              <w:pStyle w:val="1343"/>
            </w:pPr>
            <w:r>
              <w:t>1.5</w:t>
            </w:r>
          </w:p>
        </w:tc>
        <w:tc>
          <w:tcPr>
            <w:tcW w:w="770" w:type="dxa"/>
            <w:tcMar>
              <w:top w:w="0" w:type="dxa"/>
              <w:left w:w="57" w:type="dxa"/>
              <w:bottom w:w="0" w:type="dxa"/>
              <w:right w:w="57" w:type="dxa"/>
            </w:tcMar>
            <w:vAlign w:val="center"/>
          </w:tcPr>
          <w:p w14:paraId="1CB4D30F">
            <w:pPr>
              <w:pStyle w:val="1343"/>
            </w:pPr>
            <w:r>
              <w:t>8760</w:t>
            </w:r>
          </w:p>
        </w:tc>
        <w:tc>
          <w:tcPr>
            <w:tcW w:w="742" w:type="dxa"/>
            <w:tcMar>
              <w:top w:w="0" w:type="dxa"/>
              <w:left w:w="57" w:type="dxa"/>
              <w:bottom w:w="0" w:type="dxa"/>
              <w:right w:w="57" w:type="dxa"/>
            </w:tcMar>
            <w:vAlign w:val="center"/>
          </w:tcPr>
          <w:p w14:paraId="6C5AAE87">
            <w:pPr>
              <w:pStyle w:val="1343"/>
            </w:pPr>
            <w:r>
              <w:t>连续排放</w:t>
            </w:r>
          </w:p>
        </w:tc>
        <w:tc>
          <w:tcPr>
            <w:tcW w:w="1299" w:type="dxa"/>
            <w:tcMar>
              <w:top w:w="0" w:type="dxa"/>
              <w:left w:w="57" w:type="dxa"/>
              <w:bottom w:w="0" w:type="dxa"/>
              <w:right w:w="57" w:type="dxa"/>
            </w:tcMar>
            <w:vAlign w:val="center"/>
          </w:tcPr>
          <w:p w14:paraId="0EA0F3A6">
            <w:pPr>
              <w:pStyle w:val="1343"/>
              <w:rPr>
                <w:rFonts w:hint="default" w:eastAsia="宋体"/>
                <w:i/>
                <w:iCs/>
                <w:color w:val="auto"/>
                <w:highlight w:val="none"/>
                <w:u w:val="single"/>
                <w:lang w:val="en-US" w:eastAsia="zh-CN"/>
              </w:rPr>
            </w:pPr>
            <w:r>
              <w:rPr>
                <w:i/>
                <w:iCs/>
                <w:color w:val="auto"/>
                <w:highlight w:val="none"/>
                <w:u w:val="single"/>
              </w:rPr>
              <w:t>0.0</w:t>
            </w:r>
            <w:r>
              <w:rPr>
                <w:rFonts w:hint="eastAsia"/>
                <w:i/>
                <w:iCs/>
                <w:color w:val="auto"/>
                <w:highlight w:val="none"/>
                <w:u w:val="single"/>
              </w:rPr>
              <w:t>0</w:t>
            </w:r>
            <w:r>
              <w:rPr>
                <w:rFonts w:hint="eastAsia"/>
                <w:i/>
                <w:iCs/>
                <w:color w:val="auto"/>
                <w:highlight w:val="none"/>
                <w:u w:val="single"/>
                <w:lang w:val="en-US" w:eastAsia="zh-CN"/>
              </w:rPr>
              <w:t>012</w:t>
            </w:r>
          </w:p>
        </w:tc>
      </w:tr>
    </w:tbl>
    <w:p w14:paraId="7961ADAB">
      <w:pPr>
        <w:pStyle w:val="234"/>
        <w:snapToGrid w:val="0"/>
        <w:spacing w:before="120" w:beforeLines="50"/>
      </w:pPr>
      <w:r>
        <w:t>（4）估算模型参数</w:t>
      </w:r>
    </w:p>
    <w:p w14:paraId="648C9AEF">
      <w:pPr>
        <w:pStyle w:val="234"/>
      </w:pPr>
      <w:r>
        <w:t>本工程大气环境影响评价估算模型所用参数见表2.5-</w:t>
      </w:r>
      <w:r>
        <w:rPr>
          <w:rFonts w:hint="eastAsia"/>
        </w:rPr>
        <w:t>4</w:t>
      </w:r>
      <w:r>
        <w:t>。</w:t>
      </w:r>
    </w:p>
    <w:p w14:paraId="313E2E7B">
      <w:pPr>
        <w:pStyle w:val="904"/>
      </w:pPr>
      <w:r>
        <w:t>表2.5-</w:t>
      </w:r>
      <w:r>
        <w:rPr>
          <w:rFonts w:hint="eastAsia"/>
        </w:rPr>
        <w:t>4</w:t>
      </w:r>
      <w:r>
        <w:t xml:space="preserve">   估算模型参数一览表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36"/>
        <w:gridCol w:w="3863"/>
        <w:gridCol w:w="2041"/>
        <w:gridCol w:w="1840"/>
      </w:tblGrid>
      <w:tr w14:paraId="45D05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63" w:type="pct"/>
            <w:gridSpan w:val="2"/>
            <w:vMerge w:val="restart"/>
            <w:vAlign w:val="center"/>
          </w:tcPr>
          <w:p w14:paraId="699634D0">
            <w:pPr>
              <w:pStyle w:val="1343"/>
            </w:pPr>
            <w:r>
              <w:t>参数</w:t>
            </w:r>
          </w:p>
        </w:tc>
        <w:tc>
          <w:tcPr>
            <w:tcW w:w="2137" w:type="pct"/>
            <w:gridSpan w:val="2"/>
            <w:vAlign w:val="center"/>
          </w:tcPr>
          <w:p w14:paraId="3485A571">
            <w:pPr>
              <w:pStyle w:val="1343"/>
            </w:pPr>
            <w:r>
              <w:t>参数取值</w:t>
            </w:r>
          </w:p>
        </w:tc>
      </w:tr>
      <w:tr w14:paraId="193A8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63" w:type="pct"/>
            <w:gridSpan w:val="2"/>
            <w:vMerge w:val="continue"/>
            <w:vAlign w:val="center"/>
          </w:tcPr>
          <w:p w14:paraId="44AAEC1B">
            <w:pPr>
              <w:pStyle w:val="1343"/>
            </w:pPr>
          </w:p>
        </w:tc>
        <w:tc>
          <w:tcPr>
            <w:tcW w:w="1124" w:type="pct"/>
            <w:vAlign w:val="center"/>
          </w:tcPr>
          <w:p w14:paraId="2B4E0F2B">
            <w:pPr>
              <w:pStyle w:val="1343"/>
            </w:pPr>
            <w:r>
              <w:rPr>
                <w:rFonts w:hint="eastAsia"/>
              </w:rPr>
              <w:t>耒阳分输站</w:t>
            </w:r>
          </w:p>
        </w:tc>
        <w:tc>
          <w:tcPr>
            <w:tcW w:w="1013" w:type="pct"/>
            <w:vAlign w:val="center"/>
          </w:tcPr>
          <w:p w14:paraId="26791DA5">
            <w:pPr>
              <w:pStyle w:val="1343"/>
            </w:pPr>
            <w:r>
              <w:rPr>
                <w:rFonts w:hint="eastAsia"/>
              </w:rPr>
              <w:t>28号阀室</w:t>
            </w:r>
          </w:p>
        </w:tc>
      </w:tr>
      <w:tr w14:paraId="31D59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6" w:type="pct"/>
            <w:vMerge w:val="restart"/>
            <w:tcMar>
              <w:left w:w="0" w:type="dxa"/>
              <w:right w:w="0" w:type="dxa"/>
            </w:tcMar>
            <w:vAlign w:val="center"/>
          </w:tcPr>
          <w:p w14:paraId="53D3285A">
            <w:pPr>
              <w:pStyle w:val="1343"/>
            </w:pPr>
            <w:r>
              <w:t>城市/农村选项</w:t>
            </w:r>
          </w:p>
        </w:tc>
        <w:tc>
          <w:tcPr>
            <w:tcW w:w="2127" w:type="pct"/>
            <w:tcMar>
              <w:left w:w="0" w:type="dxa"/>
              <w:right w:w="0" w:type="dxa"/>
            </w:tcMar>
            <w:vAlign w:val="center"/>
          </w:tcPr>
          <w:p w14:paraId="2292B3D6">
            <w:pPr>
              <w:pStyle w:val="1343"/>
            </w:pPr>
            <w:r>
              <w:t>城市/农村</w:t>
            </w:r>
          </w:p>
        </w:tc>
        <w:tc>
          <w:tcPr>
            <w:tcW w:w="1124" w:type="pct"/>
            <w:vAlign w:val="center"/>
          </w:tcPr>
          <w:p w14:paraId="32440E62">
            <w:pPr>
              <w:pStyle w:val="1343"/>
            </w:pPr>
            <w:r>
              <w:t>农村</w:t>
            </w:r>
          </w:p>
        </w:tc>
        <w:tc>
          <w:tcPr>
            <w:tcW w:w="1013" w:type="pct"/>
            <w:vAlign w:val="center"/>
          </w:tcPr>
          <w:p w14:paraId="3987C394">
            <w:pPr>
              <w:pStyle w:val="1343"/>
            </w:pPr>
            <w:r>
              <w:t>农村</w:t>
            </w:r>
          </w:p>
        </w:tc>
      </w:tr>
      <w:tr w14:paraId="18D7D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6" w:type="pct"/>
            <w:vMerge w:val="continue"/>
            <w:tcMar>
              <w:left w:w="0" w:type="dxa"/>
              <w:right w:w="0" w:type="dxa"/>
            </w:tcMar>
            <w:vAlign w:val="center"/>
          </w:tcPr>
          <w:p w14:paraId="1BA9F5C0">
            <w:pPr>
              <w:pStyle w:val="1343"/>
            </w:pPr>
          </w:p>
        </w:tc>
        <w:tc>
          <w:tcPr>
            <w:tcW w:w="2127" w:type="pct"/>
            <w:tcMar>
              <w:left w:w="0" w:type="dxa"/>
              <w:right w:w="0" w:type="dxa"/>
            </w:tcMar>
            <w:vAlign w:val="center"/>
          </w:tcPr>
          <w:p w14:paraId="1801B958">
            <w:pPr>
              <w:pStyle w:val="1343"/>
            </w:pPr>
            <w:r>
              <w:t>人口数（城市选项时）</w:t>
            </w:r>
          </w:p>
        </w:tc>
        <w:tc>
          <w:tcPr>
            <w:tcW w:w="1124" w:type="pct"/>
            <w:vAlign w:val="center"/>
          </w:tcPr>
          <w:p w14:paraId="28027B0F">
            <w:pPr>
              <w:pStyle w:val="1343"/>
            </w:pPr>
            <w:r>
              <w:t>/</w:t>
            </w:r>
          </w:p>
        </w:tc>
        <w:tc>
          <w:tcPr>
            <w:tcW w:w="1013" w:type="pct"/>
            <w:vAlign w:val="center"/>
          </w:tcPr>
          <w:p w14:paraId="53467016">
            <w:pPr>
              <w:pStyle w:val="1343"/>
            </w:pPr>
            <w:r>
              <w:t>/</w:t>
            </w:r>
          </w:p>
        </w:tc>
      </w:tr>
      <w:tr w14:paraId="061BE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63" w:type="pct"/>
            <w:gridSpan w:val="2"/>
            <w:tcMar>
              <w:left w:w="0" w:type="dxa"/>
              <w:right w:w="0" w:type="dxa"/>
            </w:tcMar>
            <w:vAlign w:val="center"/>
          </w:tcPr>
          <w:p w14:paraId="7CF23521">
            <w:pPr>
              <w:pStyle w:val="1343"/>
            </w:pPr>
            <w:r>
              <w:t>最高环境温度/℃</w:t>
            </w:r>
          </w:p>
        </w:tc>
        <w:tc>
          <w:tcPr>
            <w:tcW w:w="1124" w:type="pct"/>
            <w:vAlign w:val="center"/>
          </w:tcPr>
          <w:p w14:paraId="5CC35517">
            <w:pPr>
              <w:pStyle w:val="1343"/>
            </w:pPr>
            <w:r>
              <w:rPr>
                <w:rFonts w:hint="eastAsia"/>
              </w:rPr>
              <w:t>41.1</w:t>
            </w:r>
          </w:p>
        </w:tc>
        <w:tc>
          <w:tcPr>
            <w:tcW w:w="1013" w:type="pct"/>
            <w:vAlign w:val="center"/>
          </w:tcPr>
          <w:p w14:paraId="72769272">
            <w:pPr>
              <w:pStyle w:val="1343"/>
            </w:pPr>
            <w:r>
              <w:rPr>
                <w:rFonts w:hint="eastAsia"/>
              </w:rPr>
              <w:t>41.1</w:t>
            </w:r>
          </w:p>
        </w:tc>
      </w:tr>
      <w:tr w14:paraId="0E7F6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63" w:type="pct"/>
            <w:gridSpan w:val="2"/>
            <w:tcMar>
              <w:left w:w="0" w:type="dxa"/>
              <w:right w:w="0" w:type="dxa"/>
            </w:tcMar>
            <w:vAlign w:val="center"/>
          </w:tcPr>
          <w:p w14:paraId="0648881B">
            <w:pPr>
              <w:pStyle w:val="1343"/>
            </w:pPr>
            <w:r>
              <w:t>最低环境温度/℃</w:t>
            </w:r>
          </w:p>
        </w:tc>
        <w:tc>
          <w:tcPr>
            <w:tcW w:w="1124" w:type="pct"/>
            <w:vAlign w:val="center"/>
          </w:tcPr>
          <w:p w14:paraId="34D64F15">
            <w:pPr>
              <w:pStyle w:val="1343"/>
            </w:pPr>
            <w:r>
              <w:t>-</w:t>
            </w:r>
            <w:r>
              <w:rPr>
                <w:rFonts w:hint="eastAsia"/>
              </w:rPr>
              <w:t>3.5</w:t>
            </w:r>
          </w:p>
        </w:tc>
        <w:tc>
          <w:tcPr>
            <w:tcW w:w="1013" w:type="pct"/>
            <w:vAlign w:val="center"/>
          </w:tcPr>
          <w:p w14:paraId="3BC4724D">
            <w:pPr>
              <w:pStyle w:val="1343"/>
            </w:pPr>
            <w:r>
              <w:t>-</w:t>
            </w:r>
            <w:r>
              <w:rPr>
                <w:rFonts w:hint="eastAsia"/>
              </w:rPr>
              <w:t>3.5</w:t>
            </w:r>
          </w:p>
        </w:tc>
      </w:tr>
      <w:tr w14:paraId="02EF5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63" w:type="pct"/>
            <w:gridSpan w:val="2"/>
            <w:tcMar>
              <w:left w:w="0" w:type="dxa"/>
              <w:right w:w="0" w:type="dxa"/>
            </w:tcMar>
            <w:vAlign w:val="center"/>
          </w:tcPr>
          <w:p w14:paraId="10FC3E42">
            <w:pPr>
              <w:pStyle w:val="1343"/>
            </w:pPr>
            <w:r>
              <w:t>土地利用类型</w:t>
            </w:r>
          </w:p>
        </w:tc>
        <w:tc>
          <w:tcPr>
            <w:tcW w:w="1124" w:type="pct"/>
            <w:vAlign w:val="center"/>
          </w:tcPr>
          <w:p w14:paraId="56342A0A">
            <w:pPr>
              <w:pStyle w:val="1343"/>
              <w:rPr>
                <w:color w:val="0000FF"/>
              </w:rPr>
            </w:pPr>
            <w:r>
              <w:rPr>
                <w:rFonts w:hint="eastAsia"/>
              </w:rPr>
              <w:t>落叶林</w:t>
            </w:r>
          </w:p>
        </w:tc>
        <w:tc>
          <w:tcPr>
            <w:tcW w:w="1013" w:type="pct"/>
            <w:vAlign w:val="center"/>
          </w:tcPr>
          <w:p w14:paraId="608093B9">
            <w:pPr>
              <w:pStyle w:val="1343"/>
              <w:rPr>
                <w:color w:val="0000FF"/>
              </w:rPr>
            </w:pPr>
            <w:r>
              <w:rPr>
                <w:rFonts w:hint="eastAsia"/>
              </w:rPr>
              <w:t>农作地</w:t>
            </w:r>
          </w:p>
        </w:tc>
      </w:tr>
      <w:tr w14:paraId="444B6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63" w:type="pct"/>
            <w:gridSpan w:val="2"/>
            <w:tcMar>
              <w:left w:w="0" w:type="dxa"/>
              <w:right w:w="0" w:type="dxa"/>
            </w:tcMar>
            <w:vAlign w:val="center"/>
          </w:tcPr>
          <w:p w14:paraId="14FB2896">
            <w:pPr>
              <w:pStyle w:val="1343"/>
            </w:pPr>
            <w:r>
              <w:t>区域湿度条件</w:t>
            </w:r>
          </w:p>
        </w:tc>
        <w:tc>
          <w:tcPr>
            <w:tcW w:w="1124" w:type="pct"/>
            <w:vAlign w:val="center"/>
          </w:tcPr>
          <w:p w14:paraId="0859976A">
            <w:pPr>
              <w:pStyle w:val="1343"/>
            </w:pPr>
            <w:r>
              <w:rPr>
                <w:rFonts w:hint="eastAsia"/>
              </w:rPr>
              <w:t>潮湿气候</w:t>
            </w:r>
          </w:p>
        </w:tc>
        <w:tc>
          <w:tcPr>
            <w:tcW w:w="1013" w:type="pct"/>
            <w:vAlign w:val="center"/>
          </w:tcPr>
          <w:p w14:paraId="130759DE">
            <w:pPr>
              <w:pStyle w:val="1343"/>
            </w:pPr>
            <w:r>
              <w:rPr>
                <w:rFonts w:hint="eastAsia"/>
              </w:rPr>
              <w:t>潮湿气候</w:t>
            </w:r>
          </w:p>
        </w:tc>
      </w:tr>
      <w:tr w14:paraId="68CFE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6" w:type="pct"/>
            <w:vMerge w:val="restart"/>
            <w:tcMar>
              <w:left w:w="0" w:type="dxa"/>
              <w:right w:w="0" w:type="dxa"/>
            </w:tcMar>
            <w:vAlign w:val="center"/>
          </w:tcPr>
          <w:p w14:paraId="2F8EDADE">
            <w:pPr>
              <w:pStyle w:val="1343"/>
            </w:pPr>
            <w:r>
              <w:t>是否考虑地形</w:t>
            </w:r>
          </w:p>
        </w:tc>
        <w:tc>
          <w:tcPr>
            <w:tcW w:w="2127" w:type="pct"/>
            <w:tcMar>
              <w:left w:w="0" w:type="dxa"/>
              <w:right w:w="0" w:type="dxa"/>
            </w:tcMar>
            <w:vAlign w:val="center"/>
          </w:tcPr>
          <w:p w14:paraId="09BFC22F">
            <w:pPr>
              <w:pStyle w:val="1343"/>
            </w:pPr>
            <w:r>
              <w:t>考虑地形</w:t>
            </w:r>
          </w:p>
        </w:tc>
        <w:tc>
          <w:tcPr>
            <w:tcW w:w="1124" w:type="pct"/>
            <w:vAlign w:val="center"/>
          </w:tcPr>
          <w:p w14:paraId="0F6EBF84">
            <w:pPr>
              <w:pStyle w:val="1343"/>
            </w:pPr>
            <w:r>
              <w:rPr>
                <w:rFonts w:hint="eastAsia"/>
              </w:rPr>
              <w:t>考虑</w:t>
            </w:r>
          </w:p>
        </w:tc>
        <w:tc>
          <w:tcPr>
            <w:tcW w:w="1013" w:type="pct"/>
            <w:vAlign w:val="center"/>
          </w:tcPr>
          <w:p w14:paraId="75E318AC">
            <w:pPr>
              <w:pStyle w:val="1343"/>
            </w:pPr>
            <w:r>
              <w:rPr>
                <w:rFonts w:hint="eastAsia"/>
              </w:rPr>
              <w:t>考虑</w:t>
            </w:r>
          </w:p>
        </w:tc>
      </w:tr>
      <w:tr w14:paraId="4B763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6" w:type="pct"/>
            <w:vMerge w:val="continue"/>
            <w:tcMar>
              <w:left w:w="0" w:type="dxa"/>
              <w:right w:w="0" w:type="dxa"/>
            </w:tcMar>
            <w:vAlign w:val="center"/>
          </w:tcPr>
          <w:p w14:paraId="01E8E465">
            <w:pPr>
              <w:pStyle w:val="1343"/>
            </w:pPr>
          </w:p>
        </w:tc>
        <w:tc>
          <w:tcPr>
            <w:tcW w:w="2127" w:type="pct"/>
            <w:tcMar>
              <w:left w:w="0" w:type="dxa"/>
              <w:right w:w="0" w:type="dxa"/>
            </w:tcMar>
            <w:vAlign w:val="center"/>
          </w:tcPr>
          <w:p w14:paraId="7AEF6A79">
            <w:pPr>
              <w:pStyle w:val="1343"/>
            </w:pPr>
            <w:r>
              <w:t>地形数据分辨率</w:t>
            </w:r>
          </w:p>
        </w:tc>
        <w:tc>
          <w:tcPr>
            <w:tcW w:w="1124" w:type="pct"/>
            <w:vAlign w:val="center"/>
          </w:tcPr>
          <w:p w14:paraId="04D1672D">
            <w:pPr>
              <w:pStyle w:val="1343"/>
            </w:pPr>
            <w:r>
              <w:t>90</w:t>
            </w:r>
          </w:p>
        </w:tc>
        <w:tc>
          <w:tcPr>
            <w:tcW w:w="1013" w:type="pct"/>
            <w:vAlign w:val="center"/>
          </w:tcPr>
          <w:p w14:paraId="22D616F7">
            <w:pPr>
              <w:pStyle w:val="1343"/>
            </w:pPr>
            <w:r>
              <w:t>90</w:t>
            </w:r>
          </w:p>
        </w:tc>
      </w:tr>
      <w:tr w14:paraId="64696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6" w:type="pct"/>
            <w:vMerge w:val="restart"/>
            <w:tcMar>
              <w:left w:w="0" w:type="dxa"/>
              <w:right w:w="0" w:type="dxa"/>
            </w:tcMar>
            <w:vAlign w:val="center"/>
          </w:tcPr>
          <w:p w14:paraId="4474DDA9">
            <w:pPr>
              <w:pStyle w:val="1343"/>
            </w:pPr>
            <w:r>
              <w:t>是否考虑岸线熏烟</w:t>
            </w:r>
          </w:p>
        </w:tc>
        <w:tc>
          <w:tcPr>
            <w:tcW w:w="2127" w:type="pct"/>
            <w:tcMar>
              <w:left w:w="0" w:type="dxa"/>
              <w:right w:w="0" w:type="dxa"/>
            </w:tcMar>
            <w:vAlign w:val="center"/>
          </w:tcPr>
          <w:p w14:paraId="320107C7">
            <w:pPr>
              <w:pStyle w:val="1343"/>
            </w:pPr>
            <w:r>
              <w:t>考虑岸线熏烟</w:t>
            </w:r>
          </w:p>
        </w:tc>
        <w:tc>
          <w:tcPr>
            <w:tcW w:w="1124" w:type="pct"/>
            <w:vAlign w:val="center"/>
          </w:tcPr>
          <w:p w14:paraId="016C4E30">
            <w:pPr>
              <w:pStyle w:val="1343"/>
            </w:pPr>
            <w:r>
              <w:rPr>
                <w:rFonts w:hint="eastAsia"/>
              </w:rPr>
              <w:t>不考虑</w:t>
            </w:r>
          </w:p>
        </w:tc>
        <w:tc>
          <w:tcPr>
            <w:tcW w:w="1013" w:type="pct"/>
            <w:vAlign w:val="center"/>
          </w:tcPr>
          <w:p w14:paraId="5FDAD5C4">
            <w:pPr>
              <w:pStyle w:val="1343"/>
            </w:pPr>
            <w:r>
              <w:rPr>
                <w:rFonts w:hint="eastAsia"/>
              </w:rPr>
              <w:t>不考虑</w:t>
            </w:r>
          </w:p>
        </w:tc>
      </w:tr>
      <w:tr w14:paraId="04200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6" w:type="pct"/>
            <w:vMerge w:val="continue"/>
            <w:tcMar>
              <w:left w:w="0" w:type="dxa"/>
              <w:right w:w="0" w:type="dxa"/>
            </w:tcMar>
            <w:vAlign w:val="center"/>
          </w:tcPr>
          <w:p w14:paraId="4524B85D">
            <w:pPr>
              <w:pStyle w:val="1343"/>
            </w:pPr>
          </w:p>
        </w:tc>
        <w:tc>
          <w:tcPr>
            <w:tcW w:w="2127" w:type="pct"/>
            <w:tcMar>
              <w:left w:w="0" w:type="dxa"/>
              <w:right w:w="0" w:type="dxa"/>
            </w:tcMar>
            <w:vAlign w:val="center"/>
          </w:tcPr>
          <w:p w14:paraId="3CB4E358">
            <w:pPr>
              <w:pStyle w:val="1343"/>
            </w:pPr>
            <w:r>
              <w:t>岸线距离/km</w:t>
            </w:r>
          </w:p>
        </w:tc>
        <w:tc>
          <w:tcPr>
            <w:tcW w:w="1124" w:type="pct"/>
            <w:vAlign w:val="center"/>
          </w:tcPr>
          <w:p w14:paraId="050C5F98">
            <w:pPr>
              <w:pStyle w:val="1343"/>
            </w:pPr>
            <w:r>
              <w:t>/</w:t>
            </w:r>
          </w:p>
        </w:tc>
        <w:tc>
          <w:tcPr>
            <w:tcW w:w="1013" w:type="pct"/>
            <w:vAlign w:val="center"/>
          </w:tcPr>
          <w:p w14:paraId="64F256A7">
            <w:pPr>
              <w:pStyle w:val="1343"/>
            </w:pPr>
            <w:r>
              <w:t>/</w:t>
            </w:r>
          </w:p>
        </w:tc>
      </w:tr>
      <w:tr w14:paraId="64D96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6" w:type="pct"/>
            <w:vMerge w:val="continue"/>
            <w:tcMar>
              <w:left w:w="0" w:type="dxa"/>
              <w:right w:w="0" w:type="dxa"/>
            </w:tcMar>
            <w:vAlign w:val="center"/>
          </w:tcPr>
          <w:p w14:paraId="7BAEFF06">
            <w:pPr>
              <w:pStyle w:val="1343"/>
            </w:pPr>
          </w:p>
        </w:tc>
        <w:tc>
          <w:tcPr>
            <w:tcW w:w="2127" w:type="pct"/>
            <w:tcMar>
              <w:left w:w="0" w:type="dxa"/>
              <w:right w:w="0" w:type="dxa"/>
            </w:tcMar>
            <w:vAlign w:val="center"/>
          </w:tcPr>
          <w:p w14:paraId="5F57BA0A">
            <w:pPr>
              <w:pStyle w:val="1343"/>
            </w:pPr>
            <w:r>
              <w:t>岸线方向/°</w:t>
            </w:r>
          </w:p>
        </w:tc>
        <w:tc>
          <w:tcPr>
            <w:tcW w:w="1124" w:type="pct"/>
            <w:vAlign w:val="center"/>
          </w:tcPr>
          <w:p w14:paraId="337E5996">
            <w:pPr>
              <w:pStyle w:val="1343"/>
            </w:pPr>
            <w:r>
              <w:t>/</w:t>
            </w:r>
          </w:p>
        </w:tc>
        <w:tc>
          <w:tcPr>
            <w:tcW w:w="1013" w:type="pct"/>
            <w:vAlign w:val="center"/>
          </w:tcPr>
          <w:p w14:paraId="26297E5B">
            <w:pPr>
              <w:pStyle w:val="1343"/>
            </w:pPr>
            <w:r>
              <w:t>/</w:t>
            </w:r>
          </w:p>
        </w:tc>
      </w:tr>
    </w:tbl>
    <w:p w14:paraId="64D80558">
      <w:pPr>
        <w:pStyle w:val="234"/>
        <w:snapToGrid w:val="0"/>
        <w:spacing w:before="120" w:beforeLines="50"/>
        <w:rPr>
          <w:i/>
          <w:iCs/>
          <w:color w:val="auto"/>
          <w:highlight w:val="none"/>
          <w:u w:val="single"/>
        </w:rPr>
      </w:pPr>
      <w:r>
        <w:rPr>
          <w:rFonts w:hint="eastAsia"/>
          <w:i/>
          <w:iCs/>
          <w:color w:val="auto"/>
          <w:highlight w:val="none"/>
          <w:u w:val="single"/>
        </w:rPr>
        <w:t>估算过程及结果截图见图2.5-1。</w:t>
      </w:r>
    </w:p>
    <w:tbl>
      <w:tblPr>
        <w:tblStyle w:val="89"/>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755"/>
        <w:gridCol w:w="4531"/>
      </w:tblGrid>
      <w:tr w14:paraId="68BEC3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59" w:type="pct"/>
            <w:vAlign w:val="center"/>
          </w:tcPr>
          <w:p w14:paraId="27EC0F1D">
            <w:pPr>
              <w:pStyle w:val="234"/>
              <w:snapToGrid w:val="0"/>
              <w:spacing w:line="240" w:lineRule="auto"/>
              <w:ind w:firstLine="0" w:firstLineChars="0"/>
              <w:jc w:val="center"/>
              <w:rPr>
                <w:highlight w:val="yellow"/>
              </w:rPr>
            </w:pPr>
            <w:r>
              <w:rPr>
                <w:highlight w:val="yellow"/>
              </w:rPr>
              <w:drawing>
                <wp:inline distT="0" distB="0" distL="114300" distR="114300">
                  <wp:extent cx="2876550" cy="1381125"/>
                  <wp:effectExtent l="0" t="0" r="0" b="952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32"/>
                          <a:stretch>
                            <a:fillRect/>
                          </a:stretch>
                        </pic:blipFill>
                        <pic:spPr>
                          <a:xfrm>
                            <a:off x="0" y="0"/>
                            <a:ext cx="2876550" cy="1381125"/>
                          </a:xfrm>
                          <a:prstGeom prst="rect">
                            <a:avLst/>
                          </a:prstGeom>
                          <a:noFill/>
                          <a:ln>
                            <a:noFill/>
                          </a:ln>
                        </pic:spPr>
                      </pic:pic>
                    </a:graphicData>
                  </a:graphic>
                </wp:inline>
              </w:drawing>
            </w:r>
          </w:p>
        </w:tc>
        <w:tc>
          <w:tcPr>
            <w:tcW w:w="2440" w:type="pct"/>
            <w:vAlign w:val="center"/>
          </w:tcPr>
          <w:p w14:paraId="24D23531">
            <w:pPr>
              <w:pStyle w:val="234"/>
              <w:snapToGrid w:val="0"/>
              <w:spacing w:line="240" w:lineRule="auto"/>
              <w:ind w:firstLine="0" w:firstLineChars="0"/>
              <w:jc w:val="center"/>
              <w:rPr>
                <w:highlight w:val="yellow"/>
              </w:rPr>
            </w:pPr>
            <w:r>
              <w:rPr>
                <w:highlight w:val="yellow"/>
              </w:rPr>
              <w:drawing>
                <wp:inline distT="0" distB="0" distL="114300" distR="114300">
                  <wp:extent cx="2739390" cy="1353820"/>
                  <wp:effectExtent l="0" t="0" r="3810" b="17780"/>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33"/>
                          <a:stretch>
                            <a:fillRect/>
                          </a:stretch>
                        </pic:blipFill>
                        <pic:spPr>
                          <a:xfrm>
                            <a:off x="0" y="0"/>
                            <a:ext cx="2739390" cy="1353820"/>
                          </a:xfrm>
                          <a:prstGeom prst="rect">
                            <a:avLst/>
                          </a:prstGeom>
                          <a:noFill/>
                          <a:ln>
                            <a:noFill/>
                          </a:ln>
                        </pic:spPr>
                      </pic:pic>
                    </a:graphicData>
                  </a:graphic>
                </wp:inline>
              </w:drawing>
            </w:r>
          </w:p>
        </w:tc>
      </w:tr>
      <w:tr w14:paraId="73D6D7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59" w:type="pct"/>
            <w:vAlign w:val="center"/>
          </w:tcPr>
          <w:p w14:paraId="4AB65205">
            <w:pPr>
              <w:pStyle w:val="234"/>
              <w:snapToGrid w:val="0"/>
              <w:spacing w:line="240" w:lineRule="auto"/>
              <w:ind w:firstLine="0" w:firstLineChars="0"/>
              <w:jc w:val="center"/>
              <w:rPr>
                <w:i/>
                <w:iCs/>
                <w:color w:val="auto"/>
                <w:sz w:val="21"/>
                <w:szCs w:val="21"/>
                <w:highlight w:val="none"/>
                <w:u w:val="single"/>
              </w:rPr>
            </w:pPr>
            <w:r>
              <w:rPr>
                <w:rFonts w:hint="eastAsia"/>
                <w:i/>
                <w:iCs/>
                <w:color w:val="auto"/>
                <w:sz w:val="21"/>
                <w:szCs w:val="21"/>
                <w:highlight w:val="none"/>
                <w:u w:val="single"/>
              </w:rPr>
              <w:t>耒阳分输站面源参数截图</w:t>
            </w:r>
          </w:p>
        </w:tc>
        <w:tc>
          <w:tcPr>
            <w:tcW w:w="2440" w:type="pct"/>
            <w:vAlign w:val="center"/>
          </w:tcPr>
          <w:p w14:paraId="1E5DD022">
            <w:pPr>
              <w:pStyle w:val="234"/>
              <w:snapToGrid w:val="0"/>
              <w:spacing w:line="240" w:lineRule="auto"/>
              <w:ind w:firstLine="0" w:firstLineChars="0"/>
              <w:jc w:val="center"/>
              <w:rPr>
                <w:i/>
                <w:iCs/>
                <w:color w:val="auto"/>
                <w:sz w:val="21"/>
                <w:szCs w:val="21"/>
                <w:highlight w:val="none"/>
                <w:u w:val="single"/>
              </w:rPr>
            </w:pPr>
            <w:r>
              <w:rPr>
                <w:rFonts w:hint="eastAsia"/>
                <w:i/>
                <w:iCs/>
                <w:color w:val="auto"/>
                <w:sz w:val="21"/>
                <w:szCs w:val="21"/>
                <w:highlight w:val="none"/>
                <w:u w:val="single"/>
              </w:rPr>
              <w:t>28号阀室面源参数截图</w:t>
            </w:r>
          </w:p>
        </w:tc>
      </w:tr>
      <w:tr w14:paraId="525D0B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59" w:type="pct"/>
            <w:vAlign w:val="center"/>
          </w:tcPr>
          <w:p w14:paraId="10ABE906">
            <w:pPr>
              <w:pStyle w:val="234"/>
              <w:snapToGrid w:val="0"/>
              <w:spacing w:line="240" w:lineRule="auto"/>
              <w:ind w:firstLine="0" w:firstLineChars="0"/>
              <w:jc w:val="center"/>
              <w:rPr>
                <w:highlight w:val="yellow"/>
              </w:rPr>
            </w:pPr>
            <w:r>
              <w:rPr>
                <w:highlight w:val="yellow"/>
              </w:rPr>
              <w:drawing>
                <wp:inline distT="0" distB="0" distL="114300" distR="114300">
                  <wp:extent cx="2877185" cy="1384935"/>
                  <wp:effectExtent l="0" t="0" r="18415" b="571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34"/>
                          <a:stretch>
                            <a:fillRect/>
                          </a:stretch>
                        </pic:blipFill>
                        <pic:spPr>
                          <a:xfrm>
                            <a:off x="0" y="0"/>
                            <a:ext cx="2877185" cy="1384935"/>
                          </a:xfrm>
                          <a:prstGeom prst="rect">
                            <a:avLst/>
                          </a:prstGeom>
                          <a:noFill/>
                          <a:ln>
                            <a:noFill/>
                          </a:ln>
                        </pic:spPr>
                      </pic:pic>
                    </a:graphicData>
                  </a:graphic>
                </wp:inline>
              </w:drawing>
            </w:r>
          </w:p>
        </w:tc>
        <w:tc>
          <w:tcPr>
            <w:tcW w:w="2440" w:type="pct"/>
            <w:vAlign w:val="center"/>
          </w:tcPr>
          <w:p w14:paraId="242F5B9C">
            <w:pPr>
              <w:pStyle w:val="234"/>
              <w:snapToGrid w:val="0"/>
              <w:spacing w:line="240" w:lineRule="auto"/>
              <w:ind w:firstLine="0" w:firstLineChars="0"/>
              <w:jc w:val="center"/>
              <w:rPr>
                <w:sz w:val="21"/>
                <w:szCs w:val="21"/>
                <w:highlight w:val="yellow"/>
              </w:rPr>
            </w:pPr>
            <w:r>
              <w:rPr>
                <w:highlight w:val="yellow"/>
              </w:rPr>
              <w:drawing>
                <wp:inline distT="0" distB="0" distL="114300" distR="114300">
                  <wp:extent cx="2736850" cy="1349375"/>
                  <wp:effectExtent l="0" t="0" r="6350" b="3175"/>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35"/>
                          <a:stretch>
                            <a:fillRect/>
                          </a:stretch>
                        </pic:blipFill>
                        <pic:spPr>
                          <a:xfrm>
                            <a:off x="0" y="0"/>
                            <a:ext cx="2736850" cy="1349375"/>
                          </a:xfrm>
                          <a:prstGeom prst="rect">
                            <a:avLst/>
                          </a:prstGeom>
                          <a:noFill/>
                          <a:ln>
                            <a:noFill/>
                          </a:ln>
                        </pic:spPr>
                      </pic:pic>
                    </a:graphicData>
                  </a:graphic>
                </wp:inline>
              </w:drawing>
            </w:r>
          </w:p>
        </w:tc>
      </w:tr>
      <w:tr w14:paraId="31867F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59" w:type="pct"/>
            <w:vAlign w:val="center"/>
          </w:tcPr>
          <w:p w14:paraId="08F6C400">
            <w:pPr>
              <w:pStyle w:val="234"/>
              <w:snapToGrid w:val="0"/>
              <w:spacing w:line="240" w:lineRule="auto"/>
              <w:ind w:firstLine="0" w:firstLineChars="0"/>
              <w:jc w:val="center"/>
              <w:rPr>
                <w:i/>
                <w:iCs/>
                <w:color w:val="auto"/>
                <w:sz w:val="21"/>
                <w:szCs w:val="21"/>
                <w:highlight w:val="none"/>
                <w:u w:val="single"/>
              </w:rPr>
            </w:pPr>
            <w:r>
              <w:rPr>
                <w:rFonts w:hint="eastAsia"/>
                <w:i/>
                <w:iCs/>
                <w:color w:val="auto"/>
                <w:sz w:val="21"/>
                <w:szCs w:val="21"/>
                <w:highlight w:val="none"/>
                <w:u w:val="single"/>
              </w:rPr>
              <w:t>耒阳分输站排放参数截图</w:t>
            </w:r>
          </w:p>
        </w:tc>
        <w:tc>
          <w:tcPr>
            <w:tcW w:w="2440" w:type="pct"/>
            <w:vAlign w:val="center"/>
          </w:tcPr>
          <w:p w14:paraId="48EC5605">
            <w:pPr>
              <w:pStyle w:val="234"/>
              <w:snapToGrid w:val="0"/>
              <w:spacing w:line="240" w:lineRule="auto"/>
              <w:ind w:firstLine="0" w:firstLineChars="0"/>
              <w:jc w:val="center"/>
              <w:rPr>
                <w:i/>
                <w:iCs/>
                <w:color w:val="auto"/>
                <w:sz w:val="21"/>
                <w:szCs w:val="21"/>
                <w:highlight w:val="none"/>
                <w:u w:val="single"/>
              </w:rPr>
            </w:pPr>
            <w:r>
              <w:rPr>
                <w:rFonts w:hint="eastAsia"/>
                <w:i/>
                <w:iCs/>
                <w:color w:val="auto"/>
                <w:sz w:val="21"/>
                <w:szCs w:val="21"/>
                <w:highlight w:val="none"/>
                <w:u w:val="single"/>
              </w:rPr>
              <w:t>28号阀室排放参数截图</w:t>
            </w:r>
          </w:p>
        </w:tc>
      </w:tr>
      <w:tr w14:paraId="65B6B1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59" w:type="pct"/>
            <w:vAlign w:val="center"/>
          </w:tcPr>
          <w:p w14:paraId="17B0E4D7">
            <w:pPr>
              <w:pStyle w:val="234"/>
              <w:snapToGrid w:val="0"/>
              <w:spacing w:line="240" w:lineRule="auto"/>
              <w:ind w:firstLine="0" w:firstLineChars="0"/>
              <w:jc w:val="center"/>
              <w:rPr>
                <w:sz w:val="21"/>
                <w:szCs w:val="21"/>
                <w:highlight w:val="yellow"/>
              </w:rPr>
            </w:pPr>
            <w:r>
              <w:rPr>
                <w:highlight w:val="yellow"/>
              </w:rPr>
              <w:drawing>
                <wp:inline distT="0" distB="0" distL="114300" distR="114300">
                  <wp:extent cx="2878455" cy="1868805"/>
                  <wp:effectExtent l="0" t="0" r="17145" b="17145"/>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36"/>
                          <a:stretch>
                            <a:fillRect/>
                          </a:stretch>
                        </pic:blipFill>
                        <pic:spPr>
                          <a:xfrm>
                            <a:off x="0" y="0"/>
                            <a:ext cx="2878455" cy="1868805"/>
                          </a:xfrm>
                          <a:prstGeom prst="rect">
                            <a:avLst/>
                          </a:prstGeom>
                          <a:noFill/>
                          <a:ln>
                            <a:noFill/>
                          </a:ln>
                        </pic:spPr>
                      </pic:pic>
                    </a:graphicData>
                  </a:graphic>
                </wp:inline>
              </w:drawing>
            </w:r>
          </w:p>
        </w:tc>
        <w:tc>
          <w:tcPr>
            <w:tcW w:w="2440" w:type="pct"/>
            <w:vAlign w:val="center"/>
          </w:tcPr>
          <w:p w14:paraId="258D1209">
            <w:pPr>
              <w:pStyle w:val="234"/>
              <w:snapToGrid w:val="0"/>
              <w:spacing w:line="240" w:lineRule="auto"/>
              <w:ind w:firstLine="0" w:firstLineChars="0"/>
              <w:jc w:val="center"/>
              <w:rPr>
                <w:sz w:val="21"/>
                <w:szCs w:val="21"/>
                <w:highlight w:val="yellow"/>
              </w:rPr>
            </w:pPr>
            <w:r>
              <w:rPr>
                <w:highlight w:val="yellow"/>
              </w:rPr>
              <w:drawing>
                <wp:inline distT="0" distB="0" distL="114300" distR="114300">
                  <wp:extent cx="2738755" cy="1673860"/>
                  <wp:effectExtent l="0" t="0" r="4445" b="2540"/>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37"/>
                          <a:stretch>
                            <a:fillRect/>
                          </a:stretch>
                        </pic:blipFill>
                        <pic:spPr>
                          <a:xfrm>
                            <a:off x="0" y="0"/>
                            <a:ext cx="2738755" cy="1673860"/>
                          </a:xfrm>
                          <a:prstGeom prst="rect">
                            <a:avLst/>
                          </a:prstGeom>
                          <a:noFill/>
                          <a:ln>
                            <a:noFill/>
                          </a:ln>
                        </pic:spPr>
                      </pic:pic>
                    </a:graphicData>
                  </a:graphic>
                </wp:inline>
              </w:drawing>
            </w:r>
          </w:p>
        </w:tc>
      </w:tr>
      <w:tr w14:paraId="052661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59" w:type="pct"/>
            <w:vAlign w:val="center"/>
          </w:tcPr>
          <w:p w14:paraId="61E42365">
            <w:pPr>
              <w:pStyle w:val="234"/>
              <w:snapToGrid w:val="0"/>
              <w:spacing w:line="240" w:lineRule="auto"/>
              <w:ind w:firstLine="0" w:firstLineChars="0"/>
              <w:jc w:val="center"/>
              <w:rPr>
                <w:i/>
                <w:iCs/>
                <w:color w:val="auto"/>
                <w:sz w:val="21"/>
                <w:szCs w:val="21"/>
                <w:highlight w:val="none"/>
                <w:u w:val="single"/>
              </w:rPr>
            </w:pPr>
            <w:r>
              <w:rPr>
                <w:rFonts w:hint="eastAsia"/>
                <w:i/>
                <w:iCs/>
                <w:color w:val="auto"/>
                <w:sz w:val="21"/>
                <w:szCs w:val="21"/>
                <w:highlight w:val="none"/>
                <w:u w:val="single"/>
              </w:rPr>
              <w:t>耒阳分输站估算结果截图</w:t>
            </w:r>
          </w:p>
        </w:tc>
        <w:tc>
          <w:tcPr>
            <w:tcW w:w="2440" w:type="pct"/>
            <w:vAlign w:val="center"/>
          </w:tcPr>
          <w:p w14:paraId="5241808F">
            <w:pPr>
              <w:pStyle w:val="234"/>
              <w:snapToGrid w:val="0"/>
              <w:spacing w:line="240" w:lineRule="auto"/>
              <w:ind w:firstLine="0" w:firstLineChars="0"/>
              <w:jc w:val="center"/>
              <w:rPr>
                <w:i/>
                <w:iCs/>
                <w:color w:val="auto"/>
                <w:sz w:val="21"/>
                <w:szCs w:val="21"/>
                <w:highlight w:val="none"/>
                <w:u w:val="single"/>
              </w:rPr>
            </w:pPr>
            <w:r>
              <w:rPr>
                <w:rFonts w:hint="eastAsia"/>
                <w:i/>
                <w:iCs/>
                <w:color w:val="auto"/>
                <w:sz w:val="21"/>
                <w:szCs w:val="21"/>
                <w:highlight w:val="none"/>
                <w:u w:val="single"/>
              </w:rPr>
              <w:t>28号阀室估算结果截图</w:t>
            </w:r>
          </w:p>
        </w:tc>
      </w:tr>
    </w:tbl>
    <w:p w14:paraId="0931160E">
      <w:pPr>
        <w:pStyle w:val="904"/>
        <w:spacing w:before="120" w:beforeLines="50"/>
        <w:rPr>
          <w:i/>
          <w:iCs/>
          <w:color w:val="auto"/>
          <w:highlight w:val="yellow"/>
          <w:u w:val="single"/>
        </w:rPr>
      </w:pPr>
      <w:r>
        <w:rPr>
          <w:rFonts w:hint="eastAsia"/>
          <w:i/>
          <w:iCs/>
          <w:color w:val="auto"/>
          <w:highlight w:val="none"/>
          <w:u w:val="single"/>
        </w:rPr>
        <w:t>图2.5-1  大气环境影响评价估算过程及结果截图</w:t>
      </w:r>
    </w:p>
    <w:p w14:paraId="71FF0211">
      <w:pPr>
        <w:pStyle w:val="234"/>
        <w:snapToGrid w:val="0"/>
        <w:spacing w:before="120" w:beforeLines="50"/>
      </w:pPr>
      <w:r>
        <w:t>（5）评价工作等级判定</w:t>
      </w:r>
    </w:p>
    <w:p w14:paraId="3164493B">
      <w:pPr>
        <w:pStyle w:val="234"/>
      </w:pPr>
      <w:r>
        <w:t>本工程所有污染源正常排放污染物的最大占标率预测结果详见表2.5-</w:t>
      </w:r>
      <w:r>
        <w:rPr>
          <w:rFonts w:hint="eastAsia"/>
        </w:rPr>
        <w:t>5</w:t>
      </w:r>
      <w:r>
        <w:t>。</w:t>
      </w:r>
    </w:p>
    <w:p w14:paraId="30F03464">
      <w:pPr>
        <w:pStyle w:val="904"/>
      </w:pPr>
      <w:r>
        <w:t>表2.5-</w:t>
      </w:r>
      <w:r>
        <w:rPr>
          <w:rFonts w:hint="eastAsia"/>
        </w:rPr>
        <w:t>5</w:t>
      </w:r>
      <w:r>
        <w:t xml:space="preserve">  本工程各工艺站场最大占标率估算结果表</w:t>
      </w:r>
    </w:p>
    <w:tbl>
      <w:tblPr>
        <w:tblStyle w:val="88"/>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6"/>
        <w:gridCol w:w="1689"/>
        <w:gridCol w:w="1500"/>
        <w:gridCol w:w="2431"/>
        <w:gridCol w:w="2115"/>
      </w:tblGrid>
      <w:tr w14:paraId="0EA56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pct"/>
            <w:vAlign w:val="center"/>
          </w:tcPr>
          <w:p w14:paraId="65FF82B2">
            <w:pPr>
              <w:pStyle w:val="1343"/>
              <w:rPr>
                <w:i/>
                <w:iCs/>
                <w:color w:val="auto"/>
                <w:highlight w:val="none"/>
                <w:u w:val="single"/>
              </w:rPr>
            </w:pPr>
            <w:r>
              <w:rPr>
                <w:i/>
                <w:iCs/>
                <w:color w:val="auto"/>
                <w:highlight w:val="none"/>
                <w:u w:val="single"/>
              </w:rPr>
              <w:t>名称</w:t>
            </w:r>
          </w:p>
        </w:tc>
        <w:tc>
          <w:tcPr>
            <w:tcW w:w="930" w:type="pct"/>
            <w:vAlign w:val="center"/>
          </w:tcPr>
          <w:p w14:paraId="3B7B49BE">
            <w:pPr>
              <w:pStyle w:val="1343"/>
              <w:rPr>
                <w:i/>
                <w:iCs/>
                <w:color w:val="auto"/>
                <w:highlight w:val="none"/>
                <w:u w:val="single"/>
              </w:rPr>
            </w:pPr>
            <w:r>
              <w:rPr>
                <w:i/>
                <w:iCs/>
                <w:color w:val="auto"/>
                <w:highlight w:val="none"/>
                <w:u w:val="single"/>
              </w:rPr>
              <w:t>最大落地距离</w:t>
            </w:r>
          </w:p>
        </w:tc>
        <w:tc>
          <w:tcPr>
            <w:tcW w:w="826" w:type="pct"/>
            <w:vAlign w:val="center"/>
          </w:tcPr>
          <w:p w14:paraId="29EBBB69">
            <w:pPr>
              <w:pStyle w:val="1343"/>
              <w:rPr>
                <w:i/>
                <w:iCs/>
                <w:color w:val="auto"/>
                <w:highlight w:val="none"/>
                <w:u w:val="single"/>
              </w:rPr>
            </w:pPr>
            <w:r>
              <w:rPr>
                <w:i/>
                <w:iCs/>
                <w:color w:val="auto"/>
                <w:highlight w:val="none"/>
                <w:u w:val="single"/>
              </w:rPr>
              <w:t>污染物</w:t>
            </w:r>
          </w:p>
        </w:tc>
        <w:tc>
          <w:tcPr>
            <w:tcW w:w="1339" w:type="pct"/>
            <w:vAlign w:val="center"/>
          </w:tcPr>
          <w:p w14:paraId="14F9FD35">
            <w:pPr>
              <w:pStyle w:val="1343"/>
              <w:rPr>
                <w:i/>
                <w:iCs/>
                <w:color w:val="auto"/>
                <w:highlight w:val="none"/>
                <w:u w:val="single"/>
              </w:rPr>
            </w:pPr>
            <w:r>
              <w:rPr>
                <w:i/>
                <w:iCs/>
                <w:color w:val="auto"/>
                <w:highlight w:val="none"/>
                <w:u w:val="single"/>
              </w:rPr>
              <w:t>最大落地浓度（</w:t>
            </w:r>
            <w:r>
              <w:rPr>
                <w:rFonts w:hint="eastAsia"/>
                <w:i/>
                <w:iCs/>
                <w:color w:val="auto"/>
                <w:highlight w:val="none"/>
                <w:u w:val="single"/>
              </w:rPr>
              <w:t>m</w:t>
            </w:r>
            <w:r>
              <w:rPr>
                <w:i/>
                <w:iCs/>
                <w:color w:val="auto"/>
                <w:highlight w:val="none"/>
                <w:u w:val="single"/>
              </w:rPr>
              <w:t>g/m</w:t>
            </w:r>
            <w:r>
              <w:rPr>
                <w:i/>
                <w:iCs/>
                <w:color w:val="auto"/>
                <w:highlight w:val="none"/>
                <w:u w:val="single"/>
                <w:vertAlign w:val="superscript"/>
              </w:rPr>
              <w:t>3</w:t>
            </w:r>
            <w:r>
              <w:rPr>
                <w:i/>
                <w:iCs/>
                <w:color w:val="auto"/>
                <w:highlight w:val="none"/>
                <w:u w:val="single"/>
              </w:rPr>
              <w:t>）</w:t>
            </w:r>
          </w:p>
        </w:tc>
        <w:tc>
          <w:tcPr>
            <w:tcW w:w="1165" w:type="pct"/>
            <w:vAlign w:val="center"/>
          </w:tcPr>
          <w:p w14:paraId="4BC0350A">
            <w:pPr>
              <w:pStyle w:val="1343"/>
              <w:rPr>
                <w:i/>
                <w:iCs/>
                <w:color w:val="auto"/>
                <w:highlight w:val="none"/>
                <w:u w:val="single"/>
              </w:rPr>
            </w:pPr>
            <w:r>
              <w:rPr>
                <w:i/>
                <w:iCs/>
                <w:color w:val="auto"/>
                <w:highlight w:val="none"/>
                <w:u w:val="single"/>
              </w:rPr>
              <w:t>P</w:t>
            </w:r>
            <w:r>
              <w:rPr>
                <w:i/>
                <w:iCs/>
                <w:color w:val="auto"/>
                <w:highlight w:val="none"/>
                <w:u w:val="single"/>
                <w:vertAlign w:val="subscript"/>
              </w:rPr>
              <w:t>max</w:t>
            </w:r>
            <w:r>
              <w:rPr>
                <w:rFonts w:hint="eastAsia"/>
                <w:i/>
                <w:iCs/>
                <w:color w:val="auto"/>
                <w:highlight w:val="none"/>
                <w:u w:val="single"/>
              </w:rPr>
              <w:t>（%）</w:t>
            </w:r>
          </w:p>
        </w:tc>
      </w:tr>
      <w:tr w14:paraId="74B6E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pct"/>
            <w:vAlign w:val="center"/>
          </w:tcPr>
          <w:p w14:paraId="61FBE560">
            <w:pPr>
              <w:pStyle w:val="1343"/>
              <w:rPr>
                <w:i/>
                <w:iCs/>
                <w:color w:val="auto"/>
                <w:highlight w:val="none"/>
                <w:u w:val="single"/>
                <w:lang w:bidi="ar"/>
              </w:rPr>
            </w:pPr>
            <w:r>
              <w:rPr>
                <w:rFonts w:hint="eastAsia"/>
                <w:i/>
                <w:iCs/>
                <w:color w:val="auto"/>
                <w:highlight w:val="none"/>
                <w:u w:val="single"/>
                <w:lang w:bidi="ar"/>
              </w:rPr>
              <w:t>耒阳分输站</w:t>
            </w:r>
          </w:p>
        </w:tc>
        <w:tc>
          <w:tcPr>
            <w:tcW w:w="930" w:type="pct"/>
            <w:vAlign w:val="center"/>
          </w:tcPr>
          <w:p w14:paraId="41916FB7">
            <w:pPr>
              <w:pStyle w:val="1343"/>
              <w:rPr>
                <w:rFonts w:hint="eastAsia" w:eastAsia="宋体"/>
                <w:i/>
                <w:iCs/>
                <w:color w:val="auto"/>
                <w:highlight w:val="none"/>
                <w:u w:val="single"/>
                <w:lang w:eastAsia="zh-CN"/>
              </w:rPr>
            </w:pPr>
            <w:r>
              <w:rPr>
                <w:rFonts w:hint="eastAsia"/>
                <w:i/>
                <w:iCs/>
                <w:color w:val="auto"/>
                <w:highlight w:val="none"/>
                <w:u w:val="single"/>
                <w:lang w:bidi="ar"/>
              </w:rPr>
              <w:t>5</w:t>
            </w:r>
            <w:r>
              <w:rPr>
                <w:rFonts w:hint="eastAsia"/>
                <w:i/>
                <w:iCs/>
                <w:color w:val="auto"/>
                <w:highlight w:val="none"/>
                <w:u w:val="single"/>
                <w:lang w:val="en-US" w:eastAsia="zh-CN" w:bidi="ar"/>
              </w:rPr>
              <w:t>4</w:t>
            </w:r>
          </w:p>
        </w:tc>
        <w:tc>
          <w:tcPr>
            <w:tcW w:w="826" w:type="pct"/>
            <w:vAlign w:val="center"/>
          </w:tcPr>
          <w:p w14:paraId="3F750CED">
            <w:pPr>
              <w:pStyle w:val="1343"/>
              <w:rPr>
                <w:i/>
                <w:iCs/>
                <w:color w:val="auto"/>
                <w:highlight w:val="none"/>
                <w:u w:val="single"/>
              </w:rPr>
            </w:pPr>
            <w:r>
              <w:rPr>
                <w:i/>
                <w:iCs/>
                <w:color w:val="auto"/>
                <w:highlight w:val="none"/>
                <w:u w:val="single"/>
              </w:rPr>
              <w:t>非甲烷总烃</w:t>
            </w:r>
          </w:p>
        </w:tc>
        <w:tc>
          <w:tcPr>
            <w:tcW w:w="1339" w:type="pct"/>
            <w:vAlign w:val="center"/>
          </w:tcPr>
          <w:p w14:paraId="0C23A3C8">
            <w:pPr>
              <w:pStyle w:val="1343"/>
              <w:rPr>
                <w:rFonts w:hint="default" w:eastAsia="等线"/>
                <w:i/>
                <w:iCs/>
                <w:color w:val="auto"/>
                <w:highlight w:val="none"/>
                <w:u w:val="single"/>
                <w:lang w:val="en-US" w:eastAsia="zh-CN"/>
              </w:rPr>
            </w:pPr>
            <w:r>
              <w:rPr>
                <w:rFonts w:hint="eastAsia" w:eastAsia="等线"/>
                <w:i/>
                <w:iCs/>
                <w:color w:val="auto"/>
                <w:highlight w:val="none"/>
                <w:u w:val="single"/>
                <w:lang w:val="en-US" w:eastAsia="zh-CN"/>
              </w:rPr>
              <w:t>0.0106</w:t>
            </w:r>
          </w:p>
        </w:tc>
        <w:tc>
          <w:tcPr>
            <w:tcW w:w="1165" w:type="pct"/>
            <w:vAlign w:val="center"/>
          </w:tcPr>
          <w:p w14:paraId="3F567E47">
            <w:pPr>
              <w:pStyle w:val="1343"/>
              <w:rPr>
                <w:rFonts w:hint="default" w:eastAsia="宋体"/>
                <w:i/>
                <w:iCs/>
                <w:color w:val="auto"/>
                <w:highlight w:val="none"/>
                <w:u w:val="single"/>
                <w:lang w:val="en-US" w:eastAsia="zh-CN"/>
              </w:rPr>
            </w:pPr>
            <w:r>
              <w:rPr>
                <w:rFonts w:hint="eastAsia"/>
                <w:i/>
                <w:iCs/>
                <w:color w:val="auto"/>
                <w:highlight w:val="none"/>
                <w:u w:val="single"/>
                <w:lang w:val="en-US" w:eastAsia="zh-CN"/>
              </w:rPr>
              <w:t>0.53</w:t>
            </w:r>
          </w:p>
        </w:tc>
      </w:tr>
      <w:tr w14:paraId="48D48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pct"/>
            <w:vAlign w:val="center"/>
          </w:tcPr>
          <w:p w14:paraId="75C66BB6">
            <w:pPr>
              <w:pStyle w:val="1343"/>
              <w:rPr>
                <w:i/>
                <w:iCs/>
                <w:color w:val="auto"/>
                <w:highlight w:val="none"/>
                <w:u w:val="single"/>
              </w:rPr>
            </w:pPr>
            <w:r>
              <w:rPr>
                <w:rFonts w:hint="eastAsia"/>
                <w:i/>
                <w:iCs/>
                <w:color w:val="auto"/>
                <w:highlight w:val="none"/>
                <w:u w:val="single"/>
              </w:rPr>
              <w:t>28号阀室</w:t>
            </w:r>
          </w:p>
        </w:tc>
        <w:tc>
          <w:tcPr>
            <w:tcW w:w="930" w:type="pct"/>
            <w:vAlign w:val="center"/>
          </w:tcPr>
          <w:p w14:paraId="3EB338EA">
            <w:pPr>
              <w:pStyle w:val="1343"/>
              <w:rPr>
                <w:rFonts w:hint="default" w:eastAsia="宋体"/>
                <w:i/>
                <w:iCs/>
                <w:color w:val="auto"/>
                <w:highlight w:val="none"/>
                <w:u w:val="single"/>
                <w:lang w:val="en-US" w:eastAsia="zh-CN" w:bidi="ar"/>
              </w:rPr>
            </w:pPr>
            <w:r>
              <w:rPr>
                <w:rFonts w:hint="eastAsia"/>
                <w:i/>
                <w:iCs/>
                <w:color w:val="auto"/>
                <w:highlight w:val="none"/>
                <w:u w:val="single"/>
                <w:lang w:val="en-US" w:eastAsia="zh-CN"/>
              </w:rPr>
              <w:t>18</w:t>
            </w:r>
          </w:p>
        </w:tc>
        <w:tc>
          <w:tcPr>
            <w:tcW w:w="826" w:type="pct"/>
            <w:vAlign w:val="center"/>
          </w:tcPr>
          <w:p w14:paraId="3DF82A9F">
            <w:pPr>
              <w:pStyle w:val="1343"/>
              <w:rPr>
                <w:i/>
                <w:iCs/>
                <w:color w:val="auto"/>
                <w:highlight w:val="none"/>
                <w:u w:val="single"/>
              </w:rPr>
            </w:pPr>
            <w:r>
              <w:rPr>
                <w:i/>
                <w:iCs/>
                <w:color w:val="auto"/>
                <w:highlight w:val="none"/>
                <w:u w:val="single"/>
              </w:rPr>
              <w:t>非甲烷总烃</w:t>
            </w:r>
          </w:p>
        </w:tc>
        <w:tc>
          <w:tcPr>
            <w:tcW w:w="1339" w:type="pct"/>
            <w:vAlign w:val="center"/>
          </w:tcPr>
          <w:p w14:paraId="5CD1F185">
            <w:pPr>
              <w:pStyle w:val="1343"/>
              <w:rPr>
                <w:i/>
                <w:iCs/>
                <w:color w:val="auto"/>
                <w:highlight w:val="none"/>
                <w:u w:val="single"/>
              </w:rPr>
            </w:pPr>
            <w:r>
              <w:rPr>
                <w:rFonts w:hint="eastAsia" w:eastAsia="等线"/>
                <w:i/>
                <w:iCs/>
                <w:color w:val="auto"/>
                <w:sz w:val="22"/>
                <w:szCs w:val="22"/>
                <w:highlight w:val="none"/>
                <w:u w:val="single"/>
              </w:rPr>
              <w:t>0.</w:t>
            </w:r>
            <w:r>
              <w:rPr>
                <w:rFonts w:hint="eastAsia" w:eastAsia="等线"/>
                <w:i/>
                <w:iCs/>
                <w:color w:val="auto"/>
                <w:sz w:val="22"/>
                <w:szCs w:val="22"/>
                <w:highlight w:val="none"/>
                <w:u w:val="single"/>
                <w:lang w:val="en-US" w:eastAsia="zh-CN"/>
              </w:rPr>
              <w:t>00179</w:t>
            </w:r>
          </w:p>
        </w:tc>
        <w:tc>
          <w:tcPr>
            <w:tcW w:w="1165" w:type="pct"/>
            <w:vAlign w:val="center"/>
          </w:tcPr>
          <w:p w14:paraId="58DC0E46">
            <w:pPr>
              <w:pStyle w:val="1343"/>
              <w:rPr>
                <w:rFonts w:hint="default" w:eastAsia="宋体"/>
                <w:i/>
                <w:iCs/>
                <w:color w:val="auto"/>
                <w:highlight w:val="none"/>
                <w:u w:val="single"/>
                <w:lang w:val="en-US" w:eastAsia="zh-CN"/>
              </w:rPr>
            </w:pPr>
            <w:r>
              <w:rPr>
                <w:rFonts w:hint="eastAsia"/>
                <w:i/>
                <w:iCs/>
                <w:color w:val="auto"/>
                <w:highlight w:val="none"/>
                <w:u w:val="single"/>
                <w:lang w:val="en-US" w:eastAsia="zh-CN"/>
              </w:rPr>
              <w:t>0.09</w:t>
            </w:r>
          </w:p>
        </w:tc>
      </w:tr>
    </w:tbl>
    <w:p w14:paraId="5AB75FB4">
      <w:pPr>
        <w:pStyle w:val="234"/>
        <w:snapToGrid w:val="0"/>
        <w:spacing w:before="120" w:beforeLines="50"/>
        <w:rPr>
          <w:i/>
          <w:iCs/>
          <w:color w:val="auto"/>
          <w:highlight w:val="yellow"/>
          <w:u w:val="single"/>
        </w:rPr>
      </w:pPr>
      <w:r>
        <w:rPr>
          <w:i/>
          <w:iCs/>
          <w:color w:val="auto"/>
          <w:highlight w:val="none"/>
          <w:u w:val="single"/>
        </w:rPr>
        <w:t>综上，本工程</w:t>
      </w:r>
      <w:r>
        <w:rPr>
          <w:rFonts w:hint="eastAsia"/>
          <w:i/>
          <w:iCs/>
          <w:color w:val="auto"/>
          <w:highlight w:val="none"/>
          <w:u w:val="single"/>
        </w:rPr>
        <w:t>运营期</w:t>
      </w:r>
      <w:r>
        <w:rPr>
          <w:i/>
          <w:iCs/>
          <w:color w:val="auto"/>
          <w:highlight w:val="none"/>
          <w:u w:val="single"/>
        </w:rPr>
        <w:t>最大占标率污染物为</w:t>
      </w:r>
      <w:r>
        <w:rPr>
          <w:rFonts w:hint="eastAsia"/>
          <w:i/>
          <w:iCs/>
          <w:color w:val="auto"/>
          <w:highlight w:val="none"/>
          <w:u w:val="single"/>
        </w:rPr>
        <w:t>耒阳分输站</w:t>
      </w:r>
      <w:r>
        <w:rPr>
          <w:i/>
          <w:iCs/>
          <w:color w:val="auto"/>
          <w:highlight w:val="none"/>
          <w:u w:val="single"/>
        </w:rPr>
        <w:t>无组织挥发的非甲烷总烃，P</w:t>
      </w:r>
      <w:r>
        <w:rPr>
          <w:i/>
          <w:iCs/>
          <w:color w:val="auto"/>
          <w:highlight w:val="none"/>
          <w:u w:val="single"/>
          <w:vertAlign w:val="subscript"/>
        </w:rPr>
        <w:t>max</w:t>
      </w:r>
      <w:r>
        <w:rPr>
          <w:i/>
          <w:iCs/>
          <w:color w:val="auto"/>
          <w:highlight w:val="none"/>
          <w:u w:val="single"/>
        </w:rPr>
        <w:t>=</w:t>
      </w:r>
      <w:r>
        <w:rPr>
          <w:rFonts w:hint="eastAsia"/>
          <w:i/>
          <w:iCs/>
          <w:color w:val="auto"/>
          <w:highlight w:val="none"/>
          <w:u w:val="single"/>
          <w:lang w:val="en-US" w:eastAsia="zh-CN"/>
        </w:rPr>
        <w:t>0</w:t>
      </w:r>
      <w:r>
        <w:rPr>
          <w:rFonts w:hint="eastAsia"/>
          <w:i/>
          <w:iCs/>
          <w:color w:val="auto"/>
          <w:highlight w:val="none"/>
          <w:u w:val="single"/>
        </w:rPr>
        <w:t>.53</w:t>
      </w:r>
      <w:r>
        <w:rPr>
          <w:i/>
          <w:iCs/>
          <w:color w:val="auto"/>
          <w:highlight w:val="none"/>
          <w:u w:val="single"/>
        </w:rPr>
        <w:t>%，P</w:t>
      </w:r>
      <w:r>
        <w:rPr>
          <w:i/>
          <w:iCs/>
          <w:color w:val="auto"/>
          <w:highlight w:val="none"/>
          <w:u w:val="single"/>
          <w:vertAlign w:val="subscript"/>
        </w:rPr>
        <w:t>max</w:t>
      </w:r>
      <w:r>
        <w:rPr>
          <w:i/>
          <w:iCs/>
          <w:color w:val="auto"/>
          <w:highlight w:val="none"/>
          <w:u w:val="single"/>
        </w:rPr>
        <w:t>＜1%，对照《环境影响评价技术导则 大气环境》（HJ 2.2-2018）判别依据，本工程大气环境影响评价工作等级为</w:t>
      </w:r>
      <w:r>
        <w:rPr>
          <w:rFonts w:hint="eastAsia"/>
          <w:i/>
          <w:iCs/>
          <w:color w:val="auto"/>
          <w:highlight w:val="none"/>
          <w:u w:val="single"/>
          <w:lang w:val="en-US" w:eastAsia="zh-CN"/>
        </w:rPr>
        <w:t>三</w:t>
      </w:r>
      <w:r>
        <w:rPr>
          <w:i/>
          <w:iCs/>
          <w:color w:val="auto"/>
          <w:highlight w:val="none"/>
          <w:u w:val="single"/>
        </w:rPr>
        <w:t>级</w:t>
      </w:r>
      <w:r>
        <w:rPr>
          <w:rFonts w:hint="default" w:ascii="Times New Roman" w:hAnsi="Times New Roman" w:cs="Times New Roman"/>
          <w:i/>
          <w:iCs/>
          <w:color w:val="auto"/>
          <w:highlight w:val="none"/>
          <w:u w:val="single"/>
        </w:rPr>
        <w:t>，不需设置大气环境影响评价范围。</w:t>
      </w:r>
    </w:p>
    <w:p w14:paraId="29ED725A">
      <w:pPr>
        <w:pStyle w:val="5"/>
        <w:rPr>
          <w:color w:val="auto"/>
        </w:rPr>
      </w:pPr>
      <w:r>
        <w:rPr>
          <w:color w:val="auto"/>
        </w:rPr>
        <w:t>地表水</w:t>
      </w:r>
    </w:p>
    <w:p w14:paraId="7F1209A8">
      <w:pPr>
        <w:pStyle w:val="234"/>
      </w:pPr>
      <w:r>
        <w:t>根据《环境影响评价技术导则 地表水环境》（HJ2.3-2018）表1中注10，</w:t>
      </w:r>
      <w:r>
        <w:rPr>
          <w:rFonts w:hint="eastAsia"/>
        </w:rPr>
        <w:t>“</w:t>
      </w:r>
      <w:r>
        <w:t>建设项目生产工艺中有废水产生，但作为回水利用，不排放到外环境的，按三级B评价</w:t>
      </w:r>
      <w:r>
        <w:rPr>
          <w:rFonts w:hint="eastAsia"/>
        </w:rPr>
        <w:t>”</w:t>
      </w:r>
      <w:r>
        <w:t>。根据工程分析，本工程</w:t>
      </w:r>
      <w:r>
        <w:rPr>
          <w:rFonts w:hint="eastAsia"/>
        </w:rPr>
        <w:t>施工期</w:t>
      </w:r>
      <w:r>
        <w:t>施工生活污水</w:t>
      </w:r>
      <w:r>
        <w:rPr>
          <w:rFonts w:hint="eastAsia"/>
        </w:rPr>
        <w:t>排入当地农村现有设施处理；管道试压排水采用过滤处理后回用于农田灌溉、道路洒水等；</w:t>
      </w:r>
      <w:r>
        <w:t>运行期站场不新增职工定员，</w:t>
      </w:r>
      <w:r>
        <w:rPr>
          <w:rFonts w:hint="eastAsia"/>
        </w:rPr>
        <w:t>巡检人员产生的少量</w:t>
      </w:r>
      <w:r>
        <w:t>生活污水</w:t>
      </w:r>
      <w:r>
        <w:rPr>
          <w:rFonts w:hint="eastAsia"/>
        </w:rPr>
        <w:t>定期委托拉运处理，属于间接排放</w:t>
      </w:r>
      <w:r>
        <w:t>。因此确定地表水环境影响评价等级为三级B。不设地表水评价范围</w:t>
      </w:r>
      <w:r>
        <w:rPr>
          <w:rFonts w:hint="eastAsia"/>
        </w:rPr>
        <w:t>，评价时对水污染控制和水环境影响减缓措施有效性进行相应的评价</w:t>
      </w:r>
      <w:r>
        <w:t>。</w:t>
      </w:r>
    </w:p>
    <w:p w14:paraId="3D74B170">
      <w:pPr>
        <w:pStyle w:val="5"/>
        <w:rPr>
          <w:color w:val="auto"/>
        </w:rPr>
      </w:pPr>
      <w:r>
        <w:rPr>
          <w:color w:val="auto"/>
        </w:rPr>
        <w:t>地下水</w:t>
      </w:r>
    </w:p>
    <w:p w14:paraId="0A2A45E8">
      <w:pPr>
        <w:pStyle w:val="234"/>
      </w:pPr>
      <w:r>
        <w:t>根据《环境影响评价技术导则 地下水环境》（HJ 610-2016），本工程属于</w:t>
      </w:r>
      <w:r>
        <w:rPr>
          <w:rFonts w:hint="eastAsia"/>
        </w:rPr>
        <w:t>“</w:t>
      </w:r>
      <w:r>
        <w:t>附录A</w:t>
      </w:r>
      <w:r>
        <w:rPr>
          <w:rFonts w:hint="eastAsia"/>
        </w:rPr>
        <w:t>”</w:t>
      </w:r>
      <w:r>
        <w:t>中的</w:t>
      </w:r>
      <w:r>
        <w:rPr>
          <w:rFonts w:hint="eastAsia"/>
        </w:rPr>
        <w:t>“</w:t>
      </w:r>
      <w:r>
        <w:t>F石油、天然气</w:t>
      </w:r>
      <w:r>
        <w:rPr>
          <w:rFonts w:hint="eastAsia"/>
        </w:rPr>
        <w:t>”</w:t>
      </w:r>
      <w:r>
        <w:t>之</w:t>
      </w:r>
      <w:r>
        <w:rPr>
          <w:rFonts w:hint="eastAsia"/>
        </w:rPr>
        <w:t>“</w:t>
      </w:r>
      <w:r>
        <w:t>41、石油、天然气、成品油管线（不含城市天然气管线）</w:t>
      </w:r>
      <w:r>
        <w:rPr>
          <w:rFonts w:hint="eastAsia"/>
        </w:rPr>
        <w:t>”</w:t>
      </w:r>
      <w:r>
        <w:t>中的</w:t>
      </w:r>
      <w:r>
        <w:rPr>
          <w:rFonts w:hint="eastAsia"/>
        </w:rPr>
        <w:t>“</w:t>
      </w:r>
      <w:r>
        <w:t>天然气管线</w:t>
      </w:r>
      <w:r>
        <w:rPr>
          <w:rFonts w:hint="eastAsia"/>
        </w:rPr>
        <w:t>”</w:t>
      </w:r>
      <w:r>
        <w:t>，对应的地下水环境影响评价项目类别为III类。</w:t>
      </w:r>
    </w:p>
    <w:p w14:paraId="1ABD974B">
      <w:pPr>
        <w:pStyle w:val="234"/>
      </w:pPr>
      <w:r>
        <w:rPr>
          <w:rFonts w:hint="eastAsia"/>
        </w:rPr>
        <w:t>本工程管线周边区域</w:t>
      </w:r>
      <w:r>
        <w:t>无集中式地下水饮用水水源井、特殊地下水资源保护区，无热水、矿泉水、温泉等特殊地下水资源保护区，且项目未在集中式饮用水准保护区和未划定准保护区的集中式饮用水水源保护区以外的补给径流区，</w:t>
      </w:r>
      <w:r>
        <w:rPr>
          <w:rFonts w:hint="eastAsia"/>
          <w:i/>
          <w:iCs/>
          <w:color w:val="auto"/>
          <w:u w:val="single"/>
        </w:rPr>
        <w:t>管线沿线村庄居民主要采用自来水作为饮用水源，村庄中水井主要功能为牲畜饮用，也作为村民备用的饮用水源，</w:t>
      </w:r>
      <w:r>
        <w:rPr>
          <w:rFonts w:hint="eastAsia"/>
        </w:rPr>
        <w:t>属于分散式饮用水水源地。</w:t>
      </w:r>
      <w:r>
        <w:t>由此判定，评价区域地下水环境敏感程度为</w:t>
      </w:r>
      <w:r>
        <w:rPr>
          <w:rFonts w:hint="eastAsia"/>
        </w:rPr>
        <w:t>较</w:t>
      </w:r>
      <w:r>
        <w:t>敏感。</w:t>
      </w:r>
    </w:p>
    <w:p w14:paraId="593CAD14">
      <w:pPr>
        <w:pStyle w:val="234"/>
        <w:rPr>
          <w:kern w:val="0"/>
        </w:rPr>
      </w:pPr>
      <w:r>
        <w:t>根据《环境影响评价技术导则 地下水环境》（HJ 610-2016）进行判定，本工程的地下水环境影响评价工作等级为三级</w:t>
      </w:r>
      <w:r>
        <w:rPr>
          <w:kern w:val="0"/>
        </w:rPr>
        <w:t>，评价范围为</w:t>
      </w:r>
      <w:r>
        <w:t>管道两侧各200m内区域及场站周围6km</w:t>
      </w:r>
      <w:r>
        <w:rPr>
          <w:vertAlign w:val="superscript"/>
        </w:rPr>
        <w:t>2</w:t>
      </w:r>
      <w:r>
        <w:t>范围内。</w:t>
      </w:r>
      <w:r>
        <w:rPr>
          <w:kern w:val="0"/>
        </w:rPr>
        <w:t>详见表</w:t>
      </w:r>
      <w:r>
        <w:rPr>
          <w:bCs/>
          <w:kern w:val="0"/>
        </w:rPr>
        <w:t>2.5-</w:t>
      </w:r>
      <w:r>
        <w:rPr>
          <w:rFonts w:hint="eastAsia"/>
          <w:bCs/>
          <w:kern w:val="0"/>
        </w:rPr>
        <w:t>6</w:t>
      </w:r>
      <w:r>
        <w:rPr>
          <w:kern w:val="0"/>
        </w:rPr>
        <w:t>。</w:t>
      </w:r>
    </w:p>
    <w:p w14:paraId="511BF5C8">
      <w:pPr>
        <w:pStyle w:val="904"/>
        <w:ind w:firstLine="480"/>
      </w:pPr>
    </w:p>
    <w:p w14:paraId="75E3BCC3">
      <w:pPr>
        <w:pStyle w:val="904"/>
        <w:ind w:firstLine="480"/>
      </w:pPr>
      <w:r>
        <w:t>表2.5-</w:t>
      </w:r>
      <w:r>
        <w:rPr>
          <w:rFonts w:hint="eastAsia"/>
        </w:rPr>
        <w:t>6</w:t>
      </w:r>
      <w:r>
        <w:t>地下水环境评价等级</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90"/>
        <w:gridCol w:w="1794"/>
        <w:gridCol w:w="1536"/>
        <w:gridCol w:w="1666"/>
      </w:tblGrid>
      <w:tr w14:paraId="2E355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10" w:type="pct"/>
            <w:shd w:val="clear" w:color="auto" w:fill="auto"/>
            <w:noWrap/>
            <w:vAlign w:val="center"/>
          </w:tcPr>
          <w:p w14:paraId="1DF44C43">
            <w:pPr>
              <w:pStyle w:val="1343"/>
            </w:pPr>
            <w:r>
              <w:t>项目类别环境敏感程度</w:t>
            </w:r>
          </w:p>
        </w:tc>
        <w:tc>
          <w:tcPr>
            <w:tcW w:w="966" w:type="pct"/>
            <w:shd w:val="clear" w:color="auto" w:fill="auto"/>
            <w:noWrap/>
            <w:vAlign w:val="center"/>
          </w:tcPr>
          <w:p w14:paraId="48A19EB3">
            <w:pPr>
              <w:pStyle w:val="1343"/>
            </w:pPr>
            <w:r>
              <w:t>I类项目</w:t>
            </w:r>
          </w:p>
        </w:tc>
        <w:tc>
          <w:tcPr>
            <w:tcW w:w="827" w:type="pct"/>
            <w:shd w:val="clear" w:color="auto" w:fill="auto"/>
            <w:noWrap/>
            <w:vAlign w:val="center"/>
          </w:tcPr>
          <w:p w14:paraId="6F812B40">
            <w:pPr>
              <w:pStyle w:val="1343"/>
            </w:pPr>
            <w:r>
              <w:t>II</w:t>
            </w:r>
            <w:r>
              <w:rPr>
                <w:rFonts w:hint="eastAsia"/>
              </w:rPr>
              <w:t>类</w:t>
            </w:r>
            <w:r>
              <w:t>项目</w:t>
            </w:r>
          </w:p>
        </w:tc>
        <w:tc>
          <w:tcPr>
            <w:tcW w:w="897" w:type="pct"/>
            <w:shd w:val="clear" w:color="auto" w:fill="auto"/>
            <w:noWrap/>
            <w:vAlign w:val="center"/>
          </w:tcPr>
          <w:p w14:paraId="340EEFC4">
            <w:pPr>
              <w:pStyle w:val="1343"/>
            </w:pPr>
            <w:r>
              <w:t>III</w:t>
            </w:r>
            <w:r>
              <w:rPr>
                <w:rFonts w:hint="eastAsia"/>
              </w:rPr>
              <w:t>类</w:t>
            </w:r>
            <w:r>
              <w:t>项目</w:t>
            </w:r>
          </w:p>
        </w:tc>
      </w:tr>
      <w:tr w14:paraId="190E4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10" w:type="pct"/>
            <w:shd w:val="clear" w:color="auto" w:fill="auto"/>
            <w:noWrap/>
            <w:vAlign w:val="center"/>
          </w:tcPr>
          <w:p w14:paraId="44C37E81">
            <w:pPr>
              <w:pStyle w:val="1343"/>
            </w:pPr>
            <w:r>
              <w:t>敏感</w:t>
            </w:r>
          </w:p>
        </w:tc>
        <w:tc>
          <w:tcPr>
            <w:tcW w:w="966" w:type="pct"/>
            <w:shd w:val="clear" w:color="auto" w:fill="auto"/>
            <w:noWrap/>
            <w:vAlign w:val="center"/>
          </w:tcPr>
          <w:p w14:paraId="39E6494A">
            <w:pPr>
              <w:pStyle w:val="1343"/>
            </w:pPr>
            <w:r>
              <w:t>一</w:t>
            </w:r>
          </w:p>
        </w:tc>
        <w:tc>
          <w:tcPr>
            <w:tcW w:w="827" w:type="pct"/>
            <w:shd w:val="clear" w:color="auto" w:fill="auto"/>
            <w:noWrap/>
            <w:vAlign w:val="center"/>
          </w:tcPr>
          <w:p w14:paraId="5E5C4778">
            <w:pPr>
              <w:pStyle w:val="1343"/>
            </w:pPr>
            <w:r>
              <w:t>一</w:t>
            </w:r>
          </w:p>
        </w:tc>
        <w:tc>
          <w:tcPr>
            <w:tcW w:w="897" w:type="pct"/>
            <w:tcBorders>
              <w:bottom w:val="single" w:color="auto" w:sz="4" w:space="0"/>
            </w:tcBorders>
            <w:shd w:val="clear" w:color="auto" w:fill="auto"/>
            <w:noWrap/>
            <w:vAlign w:val="center"/>
          </w:tcPr>
          <w:p w14:paraId="3841CEAB">
            <w:pPr>
              <w:pStyle w:val="1343"/>
            </w:pPr>
            <w:r>
              <w:t>二</w:t>
            </w:r>
          </w:p>
        </w:tc>
      </w:tr>
      <w:tr w14:paraId="1C7F9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10" w:type="pct"/>
            <w:shd w:val="clear" w:color="auto" w:fill="auto"/>
            <w:noWrap/>
            <w:vAlign w:val="center"/>
          </w:tcPr>
          <w:p w14:paraId="718FCC33">
            <w:pPr>
              <w:pStyle w:val="1343"/>
            </w:pPr>
            <w:r>
              <w:t>较敏感</w:t>
            </w:r>
          </w:p>
        </w:tc>
        <w:tc>
          <w:tcPr>
            <w:tcW w:w="966" w:type="pct"/>
            <w:shd w:val="clear" w:color="auto" w:fill="auto"/>
            <w:noWrap/>
            <w:vAlign w:val="center"/>
          </w:tcPr>
          <w:p w14:paraId="1EDD484E">
            <w:pPr>
              <w:pStyle w:val="1343"/>
            </w:pPr>
            <w:r>
              <w:t>一</w:t>
            </w:r>
          </w:p>
        </w:tc>
        <w:tc>
          <w:tcPr>
            <w:tcW w:w="827" w:type="pct"/>
            <w:shd w:val="clear" w:color="auto" w:fill="auto"/>
            <w:noWrap/>
            <w:vAlign w:val="center"/>
          </w:tcPr>
          <w:p w14:paraId="3DD2CA89">
            <w:pPr>
              <w:pStyle w:val="1343"/>
            </w:pPr>
            <w:r>
              <w:t>二</w:t>
            </w:r>
          </w:p>
        </w:tc>
        <w:tc>
          <w:tcPr>
            <w:tcW w:w="897" w:type="pct"/>
            <w:tcBorders>
              <w:bottom w:val="single" w:color="auto" w:sz="4" w:space="0"/>
            </w:tcBorders>
            <w:shd w:val="clear" w:color="auto" w:fill="D8D8D8" w:themeFill="background1" w:themeFillShade="D9"/>
            <w:noWrap/>
            <w:vAlign w:val="center"/>
          </w:tcPr>
          <w:p w14:paraId="6D33645D">
            <w:pPr>
              <w:pStyle w:val="1343"/>
            </w:pPr>
            <w:r>
              <w:t>三</w:t>
            </w:r>
          </w:p>
        </w:tc>
      </w:tr>
      <w:tr w14:paraId="33D01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10" w:type="pct"/>
            <w:shd w:val="clear" w:color="auto" w:fill="auto"/>
            <w:noWrap/>
            <w:vAlign w:val="center"/>
          </w:tcPr>
          <w:p w14:paraId="6119DA6C">
            <w:pPr>
              <w:pStyle w:val="1343"/>
            </w:pPr>
            <w:r>
              <w:t>不敏感</w:t>
            </w:r>
          </w:p>
        </w:tc>
        <w:tc>
          <w:tcPr>
            <w:tcW w:w="966" w:type="pct"/>
            <w:shd w:val="clear" w:color="auto" w:fill="auto"/>
            <w:noWrap/>
            <w:vAlign w:val="center"/>
          </w:tcPr>
          <w:p w14:paraId="039AD9B3">
            <w:pPr>
              <w:pStyle w:val="1343"/>
            </w:pPr>
            <w:r>
              <w:t>二</w:t>
            </w:r>
          </w:p>
        </w:tc>
        <w:tc>
          <w:tcPr>
            <w:tcW w:w="827" w:type="pct"/>
            <w:shd w:val="clear" w:color="auto" w:fill="auto"/>
            <w:noWrap/>
            <w:vAlign w:val="center"/>
          </w:tcPr>
          <w:p w14:paraId="6948A0C2">
            <w:pPr>
              <w:pStyle w:val="1343"/>
            </w:pPr>
            <w:r>
              <w:t>三</w:t>
            </w:r>
          </w:p>
        </w:tc>
        <w:tc>
          <w:tcPr>
            <w:tcW w:w="897" w:type="pct"/>
            <w:shd w:val="clear" w:color="auto" w:fill="FFFFFF" w:themeFill="background1"/>
            <w:noWrap/>
            <w:vAlign w:val="center"/>
          </w:tcPr>
          <w:p w14:paraId="71D2C7C2">
            <w:pPr>
              <w:pStyle w:val="1343"/>
            </w:pPr>
            <w:r>
              <w:t>三</w:t>
            </w:r>
          </w:p>
        </w:tc>
      </w:tr>
    </w:tbl>
    <w:p w14:paraId="61B42426">
      <w:pPr>
        <w:pStyle w:val="5"/>
        <w:snapToGrid w:val="0"/>
        <w:spacing w:before="120" w:beforeLines="50"/>
        <w:rPr>
          <w:color w:val="auto"/>
        </w:rPr>
      </w:pPr>
      <w:r>
        <w:rPr>
          <w:rFonts w:hint="eastAsia"/>
          <w:color w:val="auto"/>
        </w:rPr>
        <w:t>声环境</w:t>
      </w:r>
    </w:p>
    <w:p w14:paraId="4C6F9A72">
      <w:pPr>
        <w:pStyle w:val="234"/>
        <w:adjustRightInd w:val="0"/>
        <w:snapToGrid w:val="0"/>
      </w:pPr>
      <w:r>
        <w:t>根据《环境影响评价技术导则 声环境》（HJ 2.4-2021）中规定的声环境影响评价工作等级划分原则：建设项目所处的声环境功能区为《声环境质量标准》（GB 3096-2008）规定的1类</w:t>
      </w:r>
      <w:r>
        <w:rPr>
          <w:rFonts w:hint="eastAsia"/>
        </w:rPr>
        <w:t>、2类</w:t>
      </w:r>
      <w:r>
        <w:t>地区，或建设项目建设前后评价范围内声环境保护目标噪声级增量达3dB(A)～5dB(A)，或受噪声影响人口数量增加较多时，按二级评价。</w:t>
      </w:r>
    </w:p>
    <w:p w14:paraId="2428401B">
      <w:pPr>
        <w:pStyle w:val="234"/>
        <w:adjustRightInd w:val="0"/>
        <w:snapToGrid w:val="0"/>
      </w:pPr>
      <w:r>
        <w:rPr>
          <w:i/>
          <w:iCs/>
          <w:color w:val="auto"/>
          <w:u w:val="single"/>
        </w:rPr>
        <w:t>本工程所处的声环境功能区为《声环境质量标准》（GB 3096-2008）中</w:t>
      </w:r>
      <w:r>
        <w:rPr>
          <w:rFonts w:hint="eastAsia" w:eastAsia="TimesNewRomanPSMT"/>
          <w:i/>
          <w:iCs/>
          <w:color w:val="auto"/>
          <w:u w:val="single"/>
        </w:rPr>
        <w:t>2</w:t>
      </w:r>
      <w:r>
        <w:rPr>
          <w:i/>
          <w:iCs/>
          <w:color w:val="auto"/>
          <w:u w:val="single"/>
        </w:rPr>
        <w:t>类地区，</w:t>
      </w:r>
      <w:r>
        <w:t>项目主要噪声源为运行期</w:t>
      </w:r>
      <w:r>
        <w:rPr>
          <w:rFonts w:hint="eastAsia"/>
        </w:rPr>
        <w:t>新建耒阳分输站及</w:t>
      </w:r>
      <w:r>
        <w:t>依托</w:t>
      </w:r>
      <w:r>
        <w:rPr>
          <w:rFonts w:hint="eastAsia"/>
        </w:rPr>
        <w:t>28号阀室</w:t>
      </w:r>
      <w:r>
        <w:t>设备运行持续性噪声源等，声环境评价等级为二级。声环境评价范围为站场</w:t>
      </w:r>
      <w:r>
        <w:rPr>
          <w:rFonts w:hint="eastAsia"/>
        </w:rPr>
        <w:t>、阀室</w:t>
      </w:r>
      <w:r>
        <w:t>厂界及</w:t>
      </w:r>
      <w:r>
        <w:rPr>
          <w:rFonts w:hint="eastAsia"/>
        </w:rPr>
        <w:t>管线中心线两侧</w:t>
      </w:r>
      <w:r>
        <w:t>各200m范围</w:t>
      </w:r>
      <w:r>
        <w:rPr>
          <w:rFonts w:hint="eastAsia"/>
        </w:rPr>
        <w:t>。</w:t>
      </w:r>
    </w:p>
    <w:p w14:paraId="47E62E76">
      <w:pPr>
        <w:pStyle w:val="5"/>
        <w:rPr>
          <w:color w:val="auto"/>
        </w:rPr>
      </w:pPr>
      <w:r>
        <w:rPr>
          <w:color w:val="auto"/>
        </w:rPr>
        <w:t>环境风险</w:t>
      </w:r>
    </w:p>
    <w:p w14:paraId="0EFB7187">
      <w:pPr>
        <w:pStyle w:val="234"/>
      </w:pPr>
      <w:r>
        <w:t>本工程为天然气管道输送工程，以天然气主要成分甲烷作为风险物质。对照《建设项目环境风险评价</w:t>
      </w:r>
      <w:r>
        <w:rPr>
          <w:spacing w:val="-1"/>
        </w:rPr>
        <w:t>技术导则》</w:t>
      </w:r>
      <w:r>
        <w:rPr>
          <w:rFonts w:hint="eastAsia"/>
          <w:spacing w:val="-1"/>
        </w:rPr>
        <w:t>（</w:t>
      </w:r>
      <w:r>
        <w:rPr>
          <w:spacing w:val="-1"/>
        </w:rPr>
        <w:t>HJ 169-2018</w:t>
      </w:r>
      <w:r>
        <w:rPr>
          <w:rFonts w:hint="eastAsia"/>
          <w:spacing w:val="-1"/>
        </w:rPr>
        <w:t>）</w:t>
      </w:r>
      <w:r>
        <w:rPr>
          <w:spacing w:val="-1"/>
        </w:rPr>
        <w:t>附录C，对于长输管道项目，按照两个截断阀室之间管段危</w:t>
      </w:r>
      <w:r>
        <w:t>险物质最大存在总量计算。本工程</w:t>
      </w:r>
      <w:r>
        <w:rPr>
          <w:rFonts w:hint="eastAsia"/>
        </w:rPr>
        <w:t>28号阀室</w:t>
      </w:r>
      <w:r>
        <w:t>、</w:t>
      </w:r>
      <w:r>
        <w:rPr>
          <w:rFonts w:hint="eastAsia"/>
        </w:rPr>
        <w:t>耒阳分输站</w:t>
      </w:r>
      <w:r>
        <w:t>设有截断阀，一旦出现天然气管道破损泄漏导致压力异常即自动关阀。本工程管道设计压力为10MPa，</w:t>
      </w:r>
      <w:r>
        <w:rPr>
          <w:rFonts w:hint="eastAsia"/>
        </w:rPr>
        <w:t>管道内径</w:t>
      </w:r>
      <w:r>
        <w:t>为</w:t>
      </w:r>
      <w:r>
        <w:rPr>
          <w:rFonts w:hint="eastAsia"/>
        </w:rPr>
        <w:t>298.9</w:t>
      </w:r>
      <w:r>
        <w:t>mm</w:t>
      </w:r>
      <w:r>
        <w:rPr>
          <w:rFonts w:hint="eastAsia"/>
        </w:rPr>
        <w:t>（</w:t>
      </w:r>
      <w:r>
        <w:t>Φ</w:t>
      </w:r>
      <w:r>
        <w:rPr>
          <w:rFonts w:hint="eastAsia"/>
        </w:rPr>
        <w:t>323.9×12.5）</w:t>
      </w:r>
      <w:r>
        <w:t>，根据</w:t>
      </w:r>
      <w:r>
        <w:rPr>
          <w:rFonts w:hint="eastAsia"/>
        </w:rPr>
        <w:t>理想气体状态方程</w:t>
      </w:r>
      <w:r>
        <w:t>计算管道内天然气的密度约为</w:t>
      </w:r>
      <w:r>
        <w:rPr>
          <w:rFonts w:hint="eastAsia"/>
        </w:rPr>
        <w:t>64.55</w:t>
      </w:r>
      <w:r>
        <w:t>kg/m</w:t>
      </w:r>
      <w:r>
        <w:rPr>
          <w:vertAlign w:val="superscript"/>
        </w:rPr>
        <w:t>3</w:t>
      </w:r>
      <w:r>
        <w:t>。</w:t>
      </w:r>
      <w:r>
        <w:rPr>
          <w:rFonts w:hint="eastAsia"/>
        </w:rPr>
        <w:t>耒阳分输站内管道长度为0.38km，最大管径为298.9</w:t>
      </w:r>
      <w:r>
        <w:t>mm</w:t>
      </w:r>
      <w:r>
        <w:rPr>
          <w:rFonts w:hint="eastAsia"/>
        </w:rPr>
        <w:t>（</w:t>
      </w:r>
      <w:r>
        <w:t>Φ</w:t>
      </w:r>
      <w:r>
        <w:rPr>
          <w:rFonts w:hint="eastAsia"/>
        </w:rPr>
        <w:t>323.9×12.5）。</w:t>
      </w:r>
    </w:p>
    <w:p w14:paraId="2BF816AF">
      <w:pPr>
        <w:pStyle w:val="234"/>
      </w:pPr>
      <w:r>
        <w:rPr>
          <w:rFonts w:hint="eastAsia"/>
        </w:rPr>
        <w:t>工程新建耒阳分输站设备用柴油发电机，发电机最大容积为200L，常规储存最大容量的70%，密度为0.85kg/L。</w:t>
      </w:r>
    </w:p>
    <w:p w14:paraId="5F57B215">
      <w:pPr>
        <w:pStyle w:val="234"/>
      </w:pPr>
      <w:r>
        <w:t>各危险单元Q值确定见2.5-</w:t>
      </w:r>
      <w:r>
        <w:rPr>
          <w:rFonts w:hint="eastAsia"/>
        </w:rPr>
        <w:t>7</w:t>
      </w:r>
      <w:r>
        <w:t>。</w:t>
      </w:r>
    </w:p>
    <w:p w14:paraId="1D93DDC6">
      <w:pPr>
        <w:pStyle w:val="904"/>
      </w:pPr>
      <w:bookmarkStart w:id="95" w:name="_Ref74057123"/>
      <w:r>
        <w:t>表 2.</w:t>
      </w:r>
      <w:bookmarkEnd w:id="95"/>
      <w:bookmarkStart w:id="96" w:name="_Ref74057118"/>
      <w:r>
        <w:t>5-</w:t>
      </w:r>
      <w:r>
        <w:rPr>
          <w:rFonts w:hint="eastAsia"/>
        </w:rPr>
        <w:t xml:space="preserve">7  </w:t>
      </w:r>
      <w:r>
        <w:t>本工程Q值确定表</w:t>
      </w:r>
      <w:bookmarkEnd w:id="96"/>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9"/>
        <w:gridCol w:w="1414"/>
        <w:gridCol w:w="1568"/>
        <w:gridCol w:w="1238"/>
        <w:gridCol w:w="1137"/>
        <w:gridCol w:w="1186"/>
        <w:gridCol w:w="924"/>
        <w:gridCol w:w="1100"/>
      </w:tblGrid>
      <w:tr w14:paraId="42D46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vMerge w:val="restart"/>
            <w:vAlign w:val="center"/>
          </w:tcPr>
          <w:p w14:paraId="5537A152">
            <w:pPr>
              <w:pStyle w:val="1343"/>
            </w:pPr>
            <w:r>
              <w:t>序号</w:t>
            </w:r>
          </w:p>
        </w:tc>
        <w:tc>
          <w:tcPr>
            <w:tcW w:w="1605" w:type="pct"/>
            <w:gridSpan w:val="2"/>
            <w:vAlign w:val="center"/>
          </w:tcPr>
          <w:p w14:paraId="25F177C0">
            <w:pPr>
              <w:pStyle w:val="1343"/>
            </w:pPr>
            <w:r>
              <w:rPr>
                <w:spacing w:val="-1"/>
              </w:rPr>
              <w:t>危险单元</w:t>
            </w:r>
          </w:p>
        </w:tc>
        <w:tc>
          <w:tcPr>
            <w:tcW w:w="666" w:type="pct"/>
            <w:vMerge w:val="restart"/>
            <w:vAlign w:val="center"/>
          </w:tcPr>
          <w:p w14:paraId="27CDF09E">
            <w:pPr>
              <w:pStyle w:val="1343"/>
              <w:rPr>
                <w:spacing w:val="-1"/>
              </w:rPr>
            </w:pPr>
            <w:r>
              <w:rPr>
                <w:spacing w:val="-1"/>
              </w:rPr>
              <w:t>距离(km)</w:t>
            </w:r>
          </w:p>
        </w:tc>
        <w:tc>
          <w:tcPr>
            <w:tcW w:w="612" w:type="pct"/>
            <w:vMerge w:val="restart"/>
            <w:vAlign w:val="center"/>
          </w:tcPr>
          <w:p w14:paraId="58EBE81F">
            <w:pPr>
              <w:pStyle w:val="1343"/>
            </w:pPr>
            <w:r>
              <w:rPr>
                <w:spacing w:val="-1"/>
              </w:rPr>
              <w:t>危险物质</w:t>
            </w:r>
          </w:p>
        </w:tc>
        <w:tc>
          <w:tcPr>
            <w:tcW w:w="638" w:type="pct"/>
            <w:vMerge w:val="restart"/>
            <w:vAlign w:val="center"/>
          </w:tcPr>
          <w:p w14:paraId="5F8BBCE9">
            <w:pPr>
              <w:pStyle w:val="1343"/>
            </w:pPr>
            <w:r>
              <w:t>在线量</w:t>
            </w:r>
            <w:r>
              <w:rPr>
                <w:rFonts w:hint="eastAsia"/>
              </w:rPr>
              <w:t>/</w:t>
            </w:r>
          </w:p>
          <w:p w14:paraId="6721108C">
            <w:pPr>
              <w:pStyle w:val="1343"/>
            </w:pPr>
            <w:r>
              <w:rPr>
                <w:rFonts w:hint="eastAsia"/>
              </w:rPr>
              <w:t>暂存量</w:t>
            </w:r>
            <w:r>
              <w:t>(t)</w:t>
            </w:r>
          </w:p>
        </w:tc>
        <w:tc>
          <w:tcPr>
            <w:tcW w:w="497" w:type="pct"/>
            <w:vMerge w:val="restart"/>
            <w:vAlign w:val="center"/>
          </w:tcPr>
          <w:p w14:paraId="595E4E03">
            <w:pPr>
              <w:pStyle w:val="1343"/>
            </w:pPr>
            <w:r>
              <w:rPr>
                <w:rFonts w:hint="eastAsia"/>
              </w:rPr>
              <w:t>临界量（t）</w:t>
            </w:r>
          </w:p>
        </w:tc>
        <w:tc>
          <w:tcPr>
            <w:tcW w:w="592" w:type="pct"/>
            <w:vMerge w:val="restart"/>
            <w:vAlign w:val="center"/>
          </w:tcPr>
          <w:p w14:paraId="0D481FAD">
            <w:pPr>
              <w:pStyle w:val="1343"/>
            </w:pPr>
            <w:r>
              <w:t>Q值</w:t>
            </w:r>
          </w:p>
        </w:tc>
      </w:tr>
      <w:tr w14:paraId="2BC35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vMerge w:val="continue"/>
            <w:vAlign w:val="center"/>
          </w:tcPr>
          <w:p w14:paraId="6BAE2811">
            <w:pPr>
              <w:pStyle w:val="1343"/>
              <w:rPr>
                <w:lang w:eastAsia="en-US"/>
              </w:rPr>
            </w:pPr>
          </w:p>
        </w:tc>
        <w:tc>
          <w:tcPr>
            <w:tcW w:w="761" w:type="pct"/>
            <w:vAlign w:val="center"/>
          </w:tcPr>
          <w:p w14:paraId="02046F59">
            <w:pPr>
              <w:pStyle w:val="1343"/>
            </w:pPr>
            <w:r>
              <w:t>起点</w:t>
            </w:r>
          </w:p>
        </w:tc>
        <w:tc>
          <w:tcPr>
            <w:tcW w:w="844" w:type="pct"/>
            <w:vAlign w:val="center"/>
          </w:tcPr>
          <w:p w14:paraId="1184B194">
            <w:pPr>
              <w:pStyle w:val="1343"/>
            </w:pPr>
            <w:r>
              <w:t>终点</w:t>
            </w:r>
          </w:p>
        </w:tc>
        <w:tc>
          <w:tcPr>
            <w:tcW w:w="666" w:type="pct"/>
            <w:vMerge w:val="continue"/>
            <w:vAlign w:val="center"/>
          </w:tcPr>
          <w:p w14:paraId="60647FC4">
            <w:pPr>
              <w:pStyle w:val="1343"/>
              <w:rPr>
                <w:lang w:eastAsia="en-US"/>
              </w:rPr>
            </w:pPr>
          </w:p>
        </w:tc>
        <w:tc>
          <w:tcPr>
            <w:tcW w:w="612" w:type="pct"/>
            <w:vMerge w:val="continue"/>
            <w:vAlign w:val="center"/>
          </w:tcPr>
          <w:p w14:paraId="5720A719">
            <w:pPr>
              <w:pStyle w:val="1343"/>
              <w:rPr>
                <w:lang w:eastAsia="en-US"/>
              </w:rPr>
            </w:pPr>
          </w:p>
        </w:tc>
        <w:tc>
          <w:tcPr>
            <w:tcW w:w="638" w:type="pct"/>
            <w:vMerge w:val="continue"/>
            <w:vAlign w:val="center"/>
          </w:tcPr>
          <w:p w14:paraId="4ADB3EAE">
            <w:pPr>
              <w:pStyle w:val="1343"/>
              <w:rPr>
                <w:rFonts w:eastAsia="Times New Roman"/>
              </w:rPr>
            </w:pPr>
          </w:p>
        </w:tc>
        <w:tc>
          <w:tcPr>
            <w:tcW w:w="497" w:type="pct"/>
            <w:vMerge w:val="continue"/>
            <w:vAlign w:val="center"/>
          </w:tcPr>
          <w:p w14:paraId="4750AA82">
            <w:pPr>
              <w:pStyle w:val="1343"/>
              <w:rPr>
                <w:rFonts w:eastAsia="Times New Roman"/>
              </w:rPr>
            </w:pPr>
          </w:p>
        </w:tc>
        <w:tc>
          <w:tcPr>
            <w:tcW w:w="592" w:type="pct"/>
            <w:vMerge w:val="continue"/>
            <w:vAlign w:val="center"/>
          </w:tcPr>
          <w:p w14:paraId="413006E6">
            <w:pPr>
              <w:pStyle w:val="1343"/>
              <w:rPr>
                <w:rFonts w:eastAsia="Times New Roman"/>
              </w:rPr>
            </w:pPr>
          </w:p>
        </w:tc>
      </w:tr>
      <w:tr w14:paraId="41C0D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vAlign w:val="center"/>
          </w:tcPr>
          <w:p w14:paraId="456DB53F">
            <w:pPr>
              <w:pStyle w:val="1343"/>
              <w:rPr>
                <w:rFonts w:eastAsia="Times New Roman"/>
              </w:rPr>
            </w:pPr>
            <w:r>
              <w:t>1</w:t>
            </w:r>
          </w:p>
        </w:tc>
        <w:tc>
          <w:tcPr>
            <w:tcW w:w="761" w:type="pct"/>
            <w:vAlign w:val="center"/>
          </w:tcPr>
          <w:p w14:paraId="2124E3A4">
            <w:pPr>
              <w:pStyle w:val="1343"/>
            </w:pPr>
            <w:r>
              <w:rPr>
                <w:rFonts w:hint="eastAsia"/>
              </w:rPr>
              <w:t>28号阀室</w:t>
            </w:r>
          </w:p>
        </w:tc>
        <w:tc>
          <w:tcPr>
            <w:tcW w:w="844" w:type="pct"/>
            <w:vAlign w:val="center"/>
          </w:tcPr>
          <w:p w14:paraId="130AB22C">
            <w:pPr>
              <w:pStyle w:val="1343"/>
            </w:pPr>
            <w:r>
              <w:rPr>
                <w:rFonts w:hint="eastAsia"/>
              </w:rPr>
              <w:t>耒阳分输站</w:t>
            </w:r>
          </w:p>
        </w:tc>
        <w:tc>
          <w:tcPr>
            <w:tcW w:w="666" w:type="pct"/>
            <w:vAlign w:val="center"/>
          </w:tcPr>
          <w:p w14:paraId="6FA10180">
            <w:pPr>
              <w:pStyle w:val="1343"/>
              <w:rPr>
                <w:rFonts w:hint="eastAsia" w:eastAsia="宋体"/>
                <w:i/>
                <w:iCs/>
                <w:color w:val="auto"/>
                <w:highlight w:val="none"/>
                <w:u w:val="single"/>
                <w:lang w:eastAsia="zh-CN"/>
              </w:rPr>
            </w:pPr>
            <w:r>
              <w:rPr>
                <w:rFonts w:hint="eastAsia"/>
                <w:i/>
                <w:iCs/>
                <w:color w:val="auto"/>
                <w:highlight w:val="none"/>
                <w:u w:val="single"/>
              </w:rPr>
              <w:t>0.76</w:t>
            </w:r>
            <w:r>
              <w:rPr>
                <w:rFonts w:hint="eastAsia"/>
                <w:i/>
                <w:iCs/>
                <w:color w:val="auto"/>
                <w:highlight w:val="none"/>
                <w:u w:val="single"/>
                <w:lang w:val="en-US" w:eastAsia="zh-CN"/>
              </w:rPr>
              <w:t>0</w:t>
            </w:r>
          </w:p>
        </w:tc>
        <w:tc>
          <w:tcPr>
            <w:tcW w:w="612" w:type="pct"/>
            <w:vAlign w:val="center"/>
          </w:tcPr>
          <w:p w14:paraId="048F93EE">
            <w:pPr>
              <w:pStyle w:val="1343"/>
              <w:rPr>
                <w:i/>
                <w:iCs/>
                <w:color w:val="auto"/>
                <w:highlight w:val="none"/>
                <w:u w:val="single"/>
              </w:rPr>
            </w:pPr>
            <w:r>
              <w:rPr>
                <w:i/>
                <w:iCs/>
                <w:color w:val="auto"/>
                <w:highlight w:val="none"/>
                <w:u w:val="single"/>
              </w:rPr>
              <w:t>天然气</w:t>
            </w:r>
          </w:p>
        </w:tc>
        <w:tc>
          <w:tcPr>
            <w:tcW w:w="638" w:type="pct"/>
            <w:vAlign w:val="center"/>
          </w:tcPr>
          <w:p w14:paraId="54C8FCF2">
            <w:pPr>
              <w:pStyle w:val="1343"/>
              <w:rPr>
                <w:rFonts w:hint="eastAsia" w:eastAsiaTheme="minorEastAsia"/>
                <w:i/>
                <w:iCs/>
                <w:color w:val="auto"/>
                <w:highlight w:val="none"/>
                <w:u w:val="single"/>
                <w:lang w:eastAsia="zh-CN"/>
              </w:rPr>
            </w:pPr>
            <w:r>
              <w:rPr>
                <w:rFonts w:hint="eastAsia" w:eastAsiaTheme="minorEastAsia"/>
                <w:i/>
                <w:iCs/>
                <w:color w:val="auto"/>
                <w:highlight w:val="none"/>
                <w:u w:val="single"/>
              </w:rPr>
              <w:t>3.4</w:t>
            </w:r>
            <w:r>
              <w:rPr>
                <w:rFonts w:hint="eastAsia" w:eastAsiaTheme="minorEastAsia"/>
                <w:i/>
                <w:iCs/>
                <w:color w:val="auto"/>
                <w:highlight w:val="none"/>
                <w:u w:val="single"/>
                <w:lang w:val="en-US" w:eastAsia="zh-CN"/>
              </w:rPr>
              <w:t>4</w:t>
            </w:r>
          </w:p>
        </w:tc>
        <w:tc>
          <w:tcPr>
            <w:tcW w:w="497" w:type="pct"/>
            <w:vAlign w:val="center"/>
          </w:tcPr>
          <w:p w14:paraId="531A9C65">
            <w:pPr>
              <w:pStyle w:val="1343"/>
              <w:rPr>
                <w:rFonts w:eastAsiaTheme="minorEastAsia"/>
                <w:i/>
                <w:iCs/>
                <w:color w:val="auto"/>
                <w:highlight w:val="none"/>
                <w:u w:val="single"/>
              </w:rPr>
            </w:pPr>
            <w:r>
              <w:rPr>
                <w:rFonts w:hint="eastAsia" w:eastAsiaTheme="minorEastAsia"/>
                <w:i/>
                <w:iCs/>
                <w:color w:val="auto"/>
                <w:highlight w:val="none"/>
                <w:u w:val="single"/>
              </w:rPr>
              <w:t>10</w:t>
            </w:r>
          </w:p>
        </w:tc>
        <w:tc>
          <w:tcPr>
            <w:tcW w:w="592" w:type="pct"/>
            <w:vAlign w:val="center"/>
          </w:tcPr>
          <w:p w14:paraId="19043A80">
            <w:pPr>
              <w:pStyle w:val="1343"/>
              <w:rPr>
                <w:rFonts w:hint="eastAsia" w:eastAsia="宋体"/>
                <w:i/>
                <w:iCs/>
                <w:color w:val="auto"/>
                <w:highlight w:val="none"/>
                <w:u w:val="single"/>
                <w:lang w:val="en-US" w:eastAsia="zh-CN"/>
              </w:rPr>
            </w:pPr>
            <w:r>
              <w:rPr>
                <w:rFonts w:hint="eastAsia"/>
                <w:i/>
                <w:iCs/>
                <w:color w:val="auto"/>
                <w:highlight w:val="none"/>
                <w:u w:val="single"/>
              </w:rPr>
              <w:t>0.34</w:t>
            </w:r>
            <w:r>
              <w:rPr>
                <w:rFonts w:hint="eastAsia"/>
                <w:i/>
                <w:iCs/>
                <w:color w:val="auto"/>
                <w:highlight w:val="none"/>
                <w:u w:val="single"/>
                <w:lang w:val="en-US" w:eastAsia="zh-CN"/>
              </w:rPr>
              <w:t>4</w:t>
            </w:r>
          </w:p>
        </w:tc>
      </w:tr>
      <w:tr w14:paraId="18687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vAlign w:val="center"/>
          </w:tcPr>
          <w:p w14:paraId="30403AA8">
            <w:pPr>
              <w:pStyle w:val="1343"/>
            </w:pPr>
            <w:r>
              <w:rPr>
                <w:rFonts w:hint="eastAsia"/>
              </w:rPr>
              <w:t>2</w:t>
            </w:r>
          </w:p>
        </w:tc>
        <w:tc>
          <w:tcPr>
            <w:tcW w:w="1605" w:type="pct"/>
            <w:gridSpan w:val="2"/>
            <w:vMerge w:val="restart"/>
            <w:vAlign w:val="center"/>
          </w:tcPr>
          <w:p w14:paraId="3FD0DD8E">
            <w:pPr>
              <w:pStyle w:val="1343"/>
              <w:rPr>
                <w:spacing w:val="-1"/>
              </w:rPr>
            </w:pPr>
            <w:r>
              <w:rPr>
                <w:rFonts w:hint="eastAsia"/>
                <w:spacing w:val="-1"/>
              </w:rPr>
              <w:t>耒阳分输站</w:t>
            </w:r>
          </w:p>
        </w:tc>
        <w:tc>
          <w:tcPr>
            <w:tcW w:w="666" w:type="pct"/>
            <w:vAlign w:val="center"/>
          </w:tcPr>
          <w:p w14:paraId="64B85D29">
            <w:pPr>
              <w:pStyle w:val="1343"/>
            </w:pPr>
            <w:r>
              <w:rPr>
                <w:rFonts w:hint="eastAsia"/>
              </w:rPr>
              <w:t>0.38</w:t>
            </w:r>
          </w:p>
        </w:tc>
        <w:tc>
          <w:tcPr>
            <w:tcW w:w="612" w:type="pct"/>
            <w:vAlign w:val="center"/>
          </w:tcPr>
          <w:p w14:paraId="06397AF8">
            <w:pPr>
              <w:pStyle w:val="1343"/>
            </w:pPr>
            <w:r>
              <w:t>天然气</w:t>
            </w:r>
          </w:p>
        </w:tc>
        <w:tc>
          <w:tcPr>
            <w:tcW w:w="638" w:type="pct"/>
            <w:vAlign w:val="center"/>
          </w:tcPr>
          <w:p w14:paraId="0B870C3E">
            <w:pPr>
              <w:pStyle w:val="1343"/>
              <w:rPr>
                <w:rFonts w:eastAsiaTheme="minorEastAsia"/>
              </w:rPr>
            </w:pPr>
            <w:r>
              <w:rPr>
                <w:rFonts w:hint="eastAsia" w:eastAsiaTheme="minorEastAsia"/>
              </w:rPr>
              <w:t>1.72</w:t>
            </w:r>
          </w:p>
        </w:tc>
        <w:tc>
          <w:tcPr>
            <w:tcW w:w="497" w:type="pct"/>
            <w:vAlign w:val="center"/>
          </w:tcPr>
          <w:p w14:paraId="02CB71F0">
            <w:pPr>
              <w:pStyle w:val="1343"/>
              <w:rPr>
                <w:rFonts w:eastAsiaTheme="minorEastAsia"/>
              </w:rPr>
            </w:pPr>
            <w:r>
              <w:rPr>
                <w:rFonts w:hint="eastAsia" w:eastAsiaTheme="minorEastAsia"/>
              </w:rPr>
              <w:t>10</w:t>
            </w:r>
          </w:p>
        </w:tc>
        <w:tc>
          <w:tcPr>
            <w:tcW w:w="592" w:type="pct"/>
            <w:vAlign w:val="center"/>
          </w:tcPr>
          <w:p w14:paraId="1EABAFFB">
            <w:pPr>
              <w:pStyle w:val="1343"/>
              <w:rPr>
                <w:rFonts w:eastAsiaTheme="minorEastAsia"/>
              </w:rPr>
            </w:pPr>
            <w:r>
              <w:rPr>
                <w:rFonts w:eastAsiaTheme="minorEastAsia"/>
              </w:rPr>
              <w:t>0.1</w:t>
            </w:r>
            <w:r>
              <w:rPr>
                <w:rFonts w:hint="eastAsia" w:eastAsiaTheme="minorEastAsia"/>
              </w:rPr>
              <w:t>72</w:t>
            </w:r>
          </w:p>
        </w:tc>
      </w:tr>
      <w:tr w14:paraId="2398E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7" w:type="pct"/>
            <w:vAlign w:val="center"/>
          </w:tcPr>
          <w:p w14:paraId="51E988F7">
            <w:pPr>
              <w:pStyle w:val="1343"/>
            </w:pPr>
            <w:r>
              <w:rPr>
                <w:rFonts w:hint="eastAsia"/>
              </w:rPr>
              <w:t>3</w:t>
            </w:r>
          </w:p>
        </w:tc>
        <w:tc>
          <w:tcPr>
            <w:tcW w:w="1605" w:type="pct"/>
            <w:gridSpan w:val="2"/>
            <w:vMerge w:val="continue"/>
            <w:vAlign w:val="center"/>
          </w:tcPr>
          <w:p w14:paraId="5AED6023">
            <w:pPr>
              <w:pStyle w:val="1343"/>
              <w:rPr>
                <w:spacing w:val="-1"/>
              </w:rPr>
            </w:pPr>
          </w:p>
        </w:tc>
        <w:tc>
          <w:tcPr>
            <w:tcW w:w="666" w:type="pct"/>
            <w:vAlign w:val="center"/>
          </w:tcPr>
          <w:p w14:paraId="027760FA">
            <w:pPr>
              <w:pStyle w:val="1343"/>
            </w:pPr>
            <w:r>
              <w:rPr>
                <w:rFonts w:hint="eastAsia"/>
              </w:rPr>
              <w:t>/</w:t>
            </w:r>
          </w:p>
        </w:tc>
        <w:tc>
          <w:tcPr>
            <w:tcW w:w="612" w:type="pct"/>
            <w:vAlign w:val="center"/>
          </w:tcPr>
          <w:p w14:paraId="73CE71D8">
            <w:pPr>
              <w:pStyle w:val="1343"/>
            </w:pPr>
            <w:r>
              <w:rPr>
                <w:rFonts w:hint="eastAsia"/>
              </w:rPr>
              <w:t>柴油</w:t>
            </w:r>
          </w:p>
        </w:tc>
        <w:tc>
          <w:tcPr>
            <w:tcW w:w="638" w:type="pct"/>
            <w:vAlign w:val="center"/>
          </w:tcPr>
          <w:p w14:paraId="53FFE1D8">
            <w:pPr>
              <w:pStyle w:val="1343"/>
              <w:rPr>
                <w:rFonts w:eastAsiaTheme="minorEastAsia"/>
              </w:rPr>
            </w:pPr>
            <w:r>
              <w:rPr>
                <w:rFonts w:hint="eastAsia" w:eastAsiaTheme="minorEastAsia"/>
              </w:rPr>
              <w:t>0.12</w:t>
            </w:r>
          </w:p>
        </w:tc>
        <w:tc>
          <w:tcPr>
            <w:tcW w:w="497" w:type="pct"/>
            <w:vAlign w:val="center"/>
          </w:tcPr>
          <w:p w14:paraId="4ACE04C0">
            <w:pPr>
              <w:pStyle w:val="1343"/>
              <w:rPr>
                <w:rFonts w:eastAsiaTheme="minorEastAsia"/>
              </w:rPr>
            </w:pPr>
            <w:r>
              <w:rPr>
                <w:rFonts w:hint="eastAsia" w:eastAsiaTheme="minorEastAsia"/>
              </w:rPr>
              <w:t>2500</w:t>
            </w:r>
          </w:p>
        </w:tc>
        <w:tc>
          <w:tcPr>
            <w:tcW w:w="592" w:type="pct"/>
            <w:vAlign w:val="center"/>
          </w:tcPr>
          <w:p w14:paraId="06C45496">
            <w:pPr>
              <w:pStyle w:val="1343"/>
              <w:rPr>
                <w:rFonts w:eastAsiaTheme="minorEastAsia"/>
              </w:rPr>
            </w:pPr>
            <w:r>
              <w:rPr>
                <w:rFonts w:hint="eastAsia" w:eastAsiaTheme="minorEastAsia"/>
              </w:rPr>
              <w:t>0.000048</w:t>
            </w:r>
          </w:p>
        </w:tc>
      </w:tr>
    </w:tbl>
    <w:p w14:paraId="1869D5AC">
      <w:pPr>
        <w:pStyle w:val="234"/>
        <w:snapToGrid w:val="0"/>
        <w:spacing w:before="120" w:beforeLines="50"/>
      </w:pPr>
      <w:r>
        <w:t>因此，本工程</w:t>
      </w:r>
      <w:r>
        <w:rPr>
          <w:rFonts w:hint="eastAsia"/>
        </w:rPr>
        <w:t>场站和管线Q值＜1，直接判定为简单分析</w:t>
      </w:r>
      <w:r>
        <w:t>。</w:t>
      </w:r>
    </w:p>
    <w:p w14:paraId="0D401016">
      <w:pPr>
        <w:pStyle w:val="234"/>
      </w:pPr>
      <w:r>
        <w:t>本工程输送介质为天然气，次生污染物主要为CO，均为气态污染物，通过大气扩散对项目周围大气环境造成危害，不涉及地表水和地下水环境风险。</w:t>
      </w:r>
      <w:r>
        <w:rPr>
          <w:rFonts w:hint="eastAsia"/>
        </w:rPr>
        <w:t>根据</w:t>
      </w:r>
      <w:r>
        <w:t>《建设项目环境风险评价</w:t>
      </w:r>
      <w:r>
        <w:rPr>
          <w:spacing w:val="-1"/>
        </w:rPr>
        <w:t>技术导则》</w:t>
      </w:r>
      <w:r>
        <w:rPr>
          <w:rFonts w:hint="eastAsia"/>
          <w:spacing w:val="-1"/>
        </w:rPr>
        <w:t>（</w:t>
      </w:r>
      <w:r>
        <w:rPr>
          <w:spacing w:val="-1"/>
        </w:rPr>
        <w:t>HJ 169-2018</w:t>
      </w:r>
      <w:r>
        <w:rPr>
          <w:rFonts w:hint="eastAsia"/>
          <w:spacing w:val="-1"/>
        </w:rPr>
        <w:t>）</w:t>
      </w:r>
      <w:r>
        <w:t>，</w:t>
      </w:r>
      <w:r>
        <w:rPr>
          <w:rFonts w:hint="eastAsia"/>
        </w:rPr>
        <w:t>环境风险评价范围应根据环境敏感目标分布情况、事故后果预测可能对环境产生危害的范围等综合确定，项目周边所在区域，评价范围外存在需要特别关注的敏感目标，评价范围需延伸至所关心的目标。综上，确定本项目环境风险评价范围为管道中心线两侧100m及站场边界外3km范围</w:t>
      </w:r>
      <w:r>
        <w:t>。</w:t>
      </w:r>
    </w:p>
    <w:p w14:paraId="0B65D28D">
      <w:pPr>
        <w:pStyle w:val="5"/>
        <w:rPr>
          <w:color w:val="auto"/>
        </w:rPr>
      </w:pPr>
      <w:r>
        <w:rPr>
          <w:color w:val="auto"/>
        </w:rPr>
        <w:t>土壤</w:t>
      </w:r>
      <w:r>
        <w:rPr>
          <w:rFonts w:hint="eastAsia"/>
          <w:color w:val="auto"/>
        </w:rPr>
        <w:t>环境</w:t>
      </w:r>
    </w:p>
    <w:p w14:paraId="40FD2166">
      <w:pPr>
        <w:pStyle w:val="234"/>
      </w:pPr>
      <w:r>
        <w:t>本工程为输气管道工程，根据《环境影响评价技术导则土壤环境</w:t>
      </w:r>
      <w:r>
        <w:rPr>
          <w:rFonts w:hint="eastAsia"/>
        </w:rPr>
        <w:t>（</w:t>
      </w:r>
      <w:r>
        <w:t>试行</w:t>
      </w:r>
      <w:r>
        <w:rPr>
          <w:rFonts w:hint="eastAsia"/>
        </w:rPr>
        <w:t>）</w:t>
      </w:r>
      <w:r>
        <w:t>》</w:t>
      </w:r>
      <w:r>
        <w:rPr>
          <w:rFonts w:hint="eastAsia"/>
        </w:rPr>
        <w:t>（</w:t>
      </w:r>
      <w:r>
        <w:t>HJ 964-2018</w:t>
      </w:r>
      <w:r>
        <w:rPr>
          <w:rFonts w:hint="eastAsia"/>
        </w:rPr>
        <w:t>）</w:t>
      </w:r>
      <w:r>
        <w:t>附录A</w:t>
      </w:r>
      <w:r>
        <w:rPr>
          <w:rFonts w:hint="eastAsia"/>
        </w:rPr>
        <w:t>“</w:t>
      </w:r>
      <w:r>
        <w:t>交通运输仓储邮政业</w:t>
      </w:r>
      <w:r>
        <w:rPr>
          <w:rFonts w:hint="eastAsia"/>
        </w:rPr>
        <w:t>”</w:t>
      </w:r>
      <w:r>
        <w:t>中</w:t>
      </w:r>
      <w:r>
        <w:rPr>
          <w:rFonts w:hint="eastAsia"/>
        </w:rPr>
        <w:t>“</w:t>
      </w:r>
      <w:r>
        <w:t>其它</w:t>
      </w:r>
      <w:r>
        <w:rPr>
          <w:rFonts w:hint="eastAsia"/>
        </w:rPr>
        <w:t>”</w:t>
      </w:r>
      <w:r>
        <w:t>类别，为Ⅳ类项目，Ⅳ类可不开展土壤环境影响评价。</w:t>
      </w:r>
    </w:p>
    <w:p w14:paraId="681A086E">
      <w:pPr>
        <w:pStyle w:val="234"/>
      </w:pPr>
      <w:r>
        <w:t>综上，本次环境影响评价范围见</w:t>
      </w:r>
      <w:r>
        <w:rPr>
          <w:rFonts w:hint="eastAsia"/>
        </w:rPr>
        <w:t>表2</w:t>
      </w:r>
      <w:r>
        <w:t>.5</w:t>
      </w:r>
      <w:r>
        <w:rPr>
          <w:rFonts w:hint="eastAsia"/>
        </w:rPr>
        <w:t>-8</w:t>
      </w:r>
      <w:r>
        <w:t>和图2.5-</w:t>
      </w:r>
      <w:r>
        <w:rPr>
          <w:rFonts w:hint="eastAsia"/>
        </w:rPr>
        <w:t>1</w:t>
      </w:r>
      <w:r>
        <w:t>。</w:t>
      </w:r>
    </w:p>
    <w:p w14:paraId="31BFB06F">
      <w:pPr>
        <w:pStyle w:val="904"/>
      </w:pPr>
      <w:bookmarkStart w:id="97" w:name="表1.5-5__环境影响评价范围一览表"/>
      <w:bookmarkEnd w:id="97"/>
      <w:bookmarkStart w:id="98" w:name="_Ref74308700"/>
      <w:r>
        <w:t xml:space="preserve">表 </w:t>
      </w:r>
      <w:bookmarkEnd w:id="98"/>
      <w:r>
        <w:t>2.5-</w:t>
      </w:r>
      <w:r>
        <w:rPr>
          <w:rFonts w:hint="eastAsia"/>
        </w:rPr>
        <w:t>8</w:t>
      </w:r>
      <w:r>
        <w:t>环境影响评价等级及评价范围一览表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02"/>
        <w:gridCol w:w="2140"/>
        <w:gridCol w:w="4644"/>
      </w:tblGrid>
      <w:tr w14:paraId="25DB8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7" w:type="pct"/>
            <w:vAlign w:val="center"/>
          </w:tcPr>
          <w:p w14:paraId="67873C70">
            <w:pPr>
              <w:pStyle w:val="1343"/>
            </w:pPr>
            <w:r>
              <w:t>环境要素</w:t>
            </w:r>
          </w:p>
        </w:tc>
        <w:tc>
          <w:tcPr>
            <w:tcW w:w="1152" w:type="pct"/>
            <w:vAlign w:val="center"/>
          </w:tcPr>
          <w:p w14:paraId="669D374D">
            <w:pPr>
              <w:pStyle w:val="1343"/>
            </w:pPr>
            <w:r>
              <w:t>评价等级</w:t>
            </w:r>
          </w:p>
        </w:tc>
        <w:tc>
          <w:tcPr>
            <w:tcW w:w="2500" w:type="pct"/>
            <w:vAlign w:val="center"/>
          </w:tcPr>
          <w:p w14:paraId="7A891930">
            <w:pPr>
              <w:pStyle w:val="1343"/>
            </w:pPr>
            <w:r>
              <w:t>评价范围</w:t>
            </w:r>
          </w:p>
        </w:tc>
      </w:tr>
      <w:tr w14:paraId="192D6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7" w:type="pct"/>
            <w:vAlign w:val="center"/>
          </w:tcPr>
          <w:p w14:paraId="2F854632">
            <w:pPr>
              <w:pStyle w:val="1343"/>
              <w:rPr>
                <w:i/>
                <w:iCs/>
                <w:color w:val="auto"/>
                <w:u w:val="single"/>
              </w:rPr>
            </w:pPr>
            <w:r>
              <w:rPr>
                <w:i/>
                <w:iCs/>
                <w:color w:val="auto"/>
                <w:u w:val="single"/>
              </w:rPr>
              <w:t>生态环境</w:t>
            </w:r>
          </w:p>
        </w:tc>
        <w:tc>
          <w:tcPr>
            <w:tcW w:w="1152" w:type="pct"/>
            <w:vAlign w:val="center"/>
          </w:tcPr>
          <w:p w14:paraId="11BE2A7E">
            <w:pPr>
              <w:pStyle w:val="1343"/>
              <w:rPr>
                <w:i/>
                <w:iCs/>
                <w:color w:val="auto"/>
                <w:u w:val="single"/>
              </w:rPr>
            </w:pPr>
            <w:r>
              <w:rPr>
                <w:rFonts w:hint="eastAsia"/>
                <w:i/>
                <w:iCs/>
                <w:color w:val="auto"/>
                <w:u w:val="single"/>
              </w:rPr>
              <w:t>三</w:t>
            </w:r>
            <w:r>
              <w:rPr>
                <w:i/>
                <w:iCs/>
                <w:color w:val="auto"/>
                <w:u w:val="single"/>
              </w:rPr>
              <w:t>级</w:t>
            </w:r>
          </w:p>
        </w:tc>
        <w:tc>
          <w:tcPr>
            <w:tcW w:w="2500" w:type="pct"/>
            <w:vAlign w:val="center"/>
          </w:tcPr>
          <w:p w14:paraId="0913CF0F">
            <w:pPr>
              <w:pStyle w:val="1343"/>
              <w:jc w:val="left"/>
            </w:pPr>
            <w:r>
              <w:t>站场、阀室</w:t>
            </w:r>
            <w:r>
              <w:rPr>
                <w:rFonts w:hint="eastAsia"/>
              </w:rPr>
              <w:t>厂界周边3</w:t>
            </w:r>
            <w:r>
              <w:t>00</w:t>
            </w:r>
            <w:r>
              <w:rPr>
                <w:rFonts w:hint="eastAsia"/>
              </w:rPr>
              <w:t>m，</w:t>
            </w:r>
            <w:r>
              <w:t>管道</w:t>
            </w:r>
            <w:r>
              <w:rPr>
                <w:rFonts w:hint="eastAsia"/>
              </w:rPr>
              <w:t>、进站路</w:t>
            </w:r>
            <w:r>
              <w:t>两侧300m区域</w:t>
            </w:r>
          </w:p>
        </w:tc>
      </w:tr>
      <w:tr w14:paraId="4C7D7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7" w:type="pct"/>
            <w:vAlign w:val="center"/>
          </w:tcPr>
          <w:p w14:paraId="6ED1B46F">
            <w:pPr>
              <w:pStyle w:val="1343"/>
              <w:rPr>
                <w:i/>
                <w:iCs/>
                <w:color w:val="auto"/>
                <w:u w:val="single"/>
              </w:rPr>
            </w:pPr>
            <w:r>
              <w:rPr>
                <w:i/>
                <w:iCs/>
                <w:color w:val="auto"/>
                <w:u w:val="single"/>
              </w:rPr>
              <w:t>环境空气</w:t>
            </w:r>
          </w:p>
        </w:tc>
        <w:tc>
          <w:tcPr>
            <w:tcW w:w="1152" w:type="pct"/>
            <w:vAlign w:val="center"/>
          </w:tcPr>
          <w:p w14:paraId="201A5BF3">
            <w:pPr>
              <w:pStyle w:val="1343"/>
              <w:rPr>
                <w:i/>
                <w:iCs/>
                <w:color w:val="auto"/>
                <w:u w:val="single"/>
              </w:rPr>
            </w:pPr>
            <w:r>
              <w:rPr>
                <w:rFonts w:hint="eastAsia"/>
                <w:i/>
                <w:iCs/>
                <w:color w:val="auto"/>
                <w:u w:val="single"/>
                <w:lang w:val="en-US" w:eastAsia="zh-CN"/>
              </w:rPr>
              <w:t>三</w:t>
            </w:r>
            <w:r>
              <w:rPr>
                <w:i/>
                <w:iCs/>
                <w:color w:val="auto"/>
                <w:u w:val="single"/>
              </w:rPr>
              <w:t>级</w:t>
            </w:r>
          </w:p>
        </w:tc>
        <w:tc>
          <w:tcPr>
            <w:tcW w:w="2500" w:type="pct"/>
            <w:vAlign w:val="center"/>
          </w:tcPr>
          <w:p w14:paraId="5BAE4BA3">
            <w:pPr>
              <w:pStyle w:val="1343"/>
              <w:jc w:val="left"/>
              <w:rPr>
                <w:rFonts w:hint="eastAsia" w:eastAsia="宋体"/>
                <w:color w:val="FF0000"/>
                <w:lang w:eastAsia="zh-CN"/>
              </w:rPr>
            </w:pPr>
            <w:r>
              <w:rPr>
                <w:i/>
                <w:iCs/>
                <w:color w:val="auto"/>
                <w:u w:val="single"/>
              </w:rPr>
              <w:t>不设评价范围</w:t>
            </w:r>
          </w:p>
        </w:tc>
      </w:tr>
      <w:tr w14:paraId="3002D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7" w:type="pct"/>
            <w:vAlign w:val="center"/>
          </w:tcPr>
          <w:p w14:paraId="2CFB081F">
            <w:pPr>
              <w:pStyle w:val="1343"/>
            </w:pPr>
            <w:r>
              <w:t>地表水环境</w:t>
            </w:r>
          </w:p>
        </w:tc>
        <w:tc>
          <w:tcPr>
            <w:tcW w:w="1152" w:type="pct"/>
            <w:vAlign w:val="center"/>
          </w:tcPr>
          <w:p w14:paraId="5180A70F">
            <w:pPr>
              <w:pStyle w:val="1343"/>
            </w:pPr>
            <w:r>
              <w:t>三级B</w:t>
            </w:r>
          </w:p>
        </w:tc>
        <w:tc>
          <w:tcPr>
            <w:tcW w:w="2500" w:type="pct"/>
            <w:vAlign w:val="center"/>
          </w:tcPr>
          <w:p w14:paraId="73B8D62C">
            <w:pPr>
              <w:pStyle w:val="1343"/>
              <w:jc w:val="left"/>
            </w:pPr>
            <w:r>
              <w:t>不设评价范围</w:t>
            </w:r>
            <w:r>
              <w:rPr>
                <w:rFonts w:hint="eastAsia"/>
              </w:rPr>
              <w:t>，评价时对水污染控制和水环境影响减缓措施有效性进行相应的评价</w:t>
            </w:r>
          </w:p>
        </w:tc>
      </w:tr>
      <w:tr w14:paraId="3196E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7" w:type="pct"/>
            <w:vAlign w:val="center"/>
          </w:tcPr>
          <w:p w14:paraId="1D778EE3">
            <w:pPr>
              <w:pStyle w:val="1343"/>
            </w:pPr>
            <w:r>
              <w:t>地下水环境</w:t>
            </w:r>
          </w:p>
        </w:tc>
        <w:tc>
          <w:tcPr>
            <w:tcW w:w="1152" w:type="pct"/>
            <w:vAlign w:val="center"/>
          </w:tcPr>
          <w:p w14:paraId="4055DA79">
            <w:pPr>
              <w:pStyle w:val="1343"/>
            </w:pPr>
            <w:r>
              <w:t>三级</w:t>
            </w:r>
          </w:p>
        </w:tc>
        <w:tc>
          <w:tcPr>
            <w:tcW w:w="2500" w:type="pct"/>
            <w:vAlign w:val="center"/>
          </w:tcPr>
          <w:p w14:paraId="135830D9">
            <w:pPr>
              <w:pStyle w:val="1343"/>
              <w:jc w:val="left"/>
            </w:pPr>
            <w:r>
              <w:t>管线：管道两侧各200m范围</w:t>
            </w:r>
          </w:p>
          <w:p w14:paraId="35C39F55">
            <w:pPr>
              <w:pStyle w:val="1343"/>
              <w:jc w:val="left"/>
            </w:pPr>
            <w:r>
              <w:t>站场：站场周边6km</w:t>
            </w:r>
            <w:r>
              <w:rPr>
                <w:vertAlign w:val="superscript"/>
              </w:rPr>
              <w:t>2</w:t>
            </w:r>
            <w:r>
              <w:t>范围</w:t>
            </w:r>
          </w:p>
        </w:tc>
      </w:tr>
      <w:tr w14:paraId="6D7B4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7" w:type="pct"/>
            <w:vAlign w:val="center"/>
          </w:tcPr>
          <w:p w14:paraId="1E02CBAC">
            <w:pPr>
              <w:pStyle w:val="1343"/>
            </w:pPr>
            <w:r>
              <w:t>声环境</w:t>
            </w:r>
          </w:p>
        </w:tc>
        <w:tc>
          <w:tcPr>
            <w:tcW w:w="1152" w:type="pct"/>
            <w:vAlign w:val="center"/>
          </w:tcPr>
          <w:p w14:paraId="0879F5F7">
            <w:pPr>
              <w:pStyle w:val="1343"/>
            </w:pPr>
            <w:r>
              <w:t>二级</w:t>
            </w:r>
          </w:p>
        </w:tc>
        <w:tc>
          <w:tcPr>
            <w:tcW w:w="2500" w:type="pct"/>
            <w:vAlign w:val="center"/>
          </w:tcPr>
          <w:p w14:paraId="318BC960">
            <w:pPr>
              <w:pStyle w:val="1343"/>
              <w:jc w:val="left"/>
            </w:pPr>
            <w:r>
              <w:t>站场</w:t>
            </w:r>
            <w:r>
              <w:rPr>
                <w:rFonts w:hint="eastAsia"/>
              </w:rPr>
              <w:t>、阀室</w:t>
            </w:r>
            <w:r>
              <w:t>厂界及</w:t>
            </w:r>
            <w:r>
              <w:rPr>
                <w:rFonts w:hint="eastAsia"/>
              </w:rPr>
              <w:t>管线中心线两侧</w:t>
            </w:r>
            <w:r>
              <w:t>各200m范围</w:t>
            </w:r>
          </w:p>
        </w:tc>
      </w:tr>
      <w:tr w14:paraId="1451C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7" w:type="pct"/>
            <w:vAlign w:val="center"/>
          </w:tcPr>
          <w:p w14:paraId="0888F5E6">
            <w:pPr>
              <w:pStyle w:val="1343"/>
            </w:pPr>
            <w:r>
              <w:t>环境风险</w:t>
            </w:r>
          </w:p>
        </w:tc>
        <w:tc>
          <w:tcPr>
            <w:tcW w:w="1152" w:type="pct"/>
            <w:vAlign w:val="center"/>
          </w:tcPr>
          <w:p w14:paraId="70847B66">
            <w:pPr>
              <w:pStyle w:val="1343"/>
            </w:pPr>
            <w:r>
              <w:rPr>
                <w:rFonts w:hint="eastAsia"/>
              </w:rPr>
              <w:t>简单分析</w:t>
            </w:r>
          </w:p>
        </w:tc>
        <w:tc>
          <w:tcPr>
            <w:tcW w:w="2500" w:type="pct"/>
            <w:vAlign w:val="center"/>
          </w:tcPr>
          <w:p w14:paraId="3C13FB35">
            <w:pPr>
              <w:pStyle w:val="1343"/>
              <w:jc w:val="left"/>
            </w:pPr>
            <w:r>
              <w:rPr>
                <w:rFonts w:hint="eastAsia"/>
              </w:rPr>
              <w:t>管线：管道中心线两侧100m范围</w:t>
            </w:r>
          </w:p>
          <w:p w14:paraId="3E545BEF">
            <w:pPr>
              <w:pStyle w:val="1343"/>
              <w:jc w:val="left"/>
            </w:pPr>
            <w:r>
              <w:rPr>
                <w:rFonts w:hint="eastAsia"/>
              </w:rPr>
              <w:t>站场：站场边界外扩3km范围</w:t>
            </w:r>
          </w:p>
        </w:tc>
      </w:tr>
      <w:tr w14:paraId="1D3D0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7" w:type="pct"/>
            <w:vAlign w:val="center"/>
          </w:tcPr>
          <w:p w14:paraId="09D9B12C">
            <w:pPr>
              <w:pStyle w:val="1343"/>
            </w:pPr>
            <w:r>
              <w:t>土壤环境</w:t>
            </w:r>
          </w:p>
        </w:tc>
        <w:tc>
          <w:tcPr>
            <w:tcW w:w="3652" w:type="pct"/>
            <w:gridSpan w:val="2"/>
            <w:vAlign w:val="center"/>
          </w:tcPr>
          <w:p w14:paraId="69FAE8E1">
            <w:pPr>
              <w:pStyle w:val="1343"/>
            </w:pPr>
            <w:r>
              <w:t>不开展土壤环境影响评价</w:t>
            </w:r>
          </w:p>
        </w:tc>
      </w:tr>
      <w:bookmarkEnd w:id="89"/>
      <w:bookmarkEnd w:id="90"/>
      <w:bookmarkEnd w:id="91"/>
      <w:bookmarkEnd w:id="92"/>
    </w:tbl>
    <w:p w14:paraId="0B03EA4E">
      <w:pPr>
        <w:pStyle w:val="4"/>
        <w:spacing w:before="120" w:beforeLines="50"/>
      </w:pPr>
      <w:bookmarkStart w:id="99" w:name="_Toc20280"/>
      <w:bookmarkStart w:id="100" w:name="_Toc16517"/>
      <w:bookmarkStart w:id="101" w:name="_Toc387934213"/>
      <w:bookmarkStart w:id="102" w:name="_Toc226224918"/>
      <w:bookmarkStart w:id="103" w:name="_Toc13006"/>
      <w:bookmarkStart w:id="104" w:name="_Toc391471571"/>
      <w:bookmarkStart w:id="105" w:name="_Toc21732"/>
      <w:bookmarkStart w:id="106" w:name="_Toc391471577"/>
      <w:bookmarkStart w:id="107" w:name="_Toc14898"/>
      <w:bookmarkStart w:id="108" w:name="_Toc234656828"/>
      <w:bookmarkStart w:id="109" w:name="_Toc181976297"/>
      <w:bookmarkStart w:id="110" w:name="_Toc72672337"/>
      <w:bookmarkStart w:id="111" w:name="_Toc387934207"/>
      <w:bookmarkStart w:id="112" w:name="_Toc5109"/>
      <w:bookmarkStart w:id="113" w:name="_Toc26593"/>
      <w:bookmarkStart w:id="114" w:name="_Toc144484581"/>
      <w:r>
        <w:rPr>
          <w:rFonts w:hint="eastAsia"/>
        </w:rPr>
        <w:t>环境功能区划</w:t>
      </w:r>
      <w:bookmarkEnd w:id="99"/>
    </w:p>
    <w:p w14:paraId="09F3030C">
      <w:pPr>
        <w:pStyle w:val="234"/>
        <w:rPr>
          <w:lang w:val="zh-CN"/>
        </w:rPr>
      </w:pPr>
      <w:r>
        <w:rPr>
          <w:rFonts w:hint="eastAsia"/>
          <w:lang w:val="zh-CN"/>
        </w:rPr>
        <w:t>本工程影响范围内环境功能区划情况见表2</w:t>
      </w:r>
      <w:r>
        <w:rPr>
          <w:lang w:val="zh-CN"/>
        </w:rPr>
        <w:t>.6</w:t>
      </w:r>
      <w:r>
        <w:rPr>
          <w:rFonts w:hint="eastAsia"/>
          <w:lang w:val="zh-CN"/>
        </w:rPr>
        <w:t>-</w:t>
      </w:r>
      <w:r>
        <w:rPr>
          <w:lang w:val="zh-CN"/>
        </w:rPr>
        <w:t>1</w:t>
      </w:r>
      <w:r>
        <w:rPr>
          <w:rFonts w:hint="eastAsia"/>
          <w:lang w:val="zh-CN"/>
        </w:rPr>
        <w:t>。</w:t>
      </w:r>
    </w:p>
    <w:p w14:paraId="01FE3AA9">
      <w:pPr>
        <w:pStyle w:val="904"/>
        <w:rPr>
          <w:lang w:val="zh-CN"/>
        </w:rPr>
      </w:pPr>
      <w:r>
        <w:rPr>
          <w:rFonts w:hint="eastAsia"/>
          <w:lang w:val="zh-CN"/>
        </w:rPr>
        <w:t>表2</w:t>
      </w:r>
      <w:r>
        <w:rPr>
          <w:lang w:val="zh-CN"/>
        </w:rPr>
        <w:t>.6</w:t>
      </w:r>
      <w:r>
        <w:rPr>
          <w:rFonts w:hint="eastAsia"/>
          <w:lang w:val="zh-CN"/>
        </w:rPr>
        <w:t>-</w:t>
      </w:r>
      <w:r>
        <w:rPr>
          <w:lang w:val="zh-CN"/>
        </w:rPr>
        <w:t xml:space="preserve">1  </w:t>
      </w:r>
      <w:r>
        <w:rPr>
          <w:rFonts w:hint="eastAsia"/>
          <w:lang w:val="zh-CN"/>
        </w:rPr>
        <w:t>本工程评价范围内环境功能区划情况</w:t>
      </w:r>
    </w:p>
    <w:tbl>
      <w:tblPr>
        <w:tblStyle w:val="139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1"/>
        <w:gridCol w:w="2225"/>
        <w:gridCol w:w="1925"/>
        <w:gridCol w:w="3229"/>
      </w:tblGrid>
      <w:tr w14:paraId="0A539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81" w:type="dxa"/>
            <w:vAlign w:val="center"/>
          </w:tcPr>
          <w:p w14:paraId="0D3B3722">
            <w:pPr>
              <w:pStyle w:val="1343"/>
              <w:rPr>
                <w:lang w:val="zh-CN"/>
              </w:rPr>
            </w:pPr>
            <w:r>
              <w:rPr>
                <w:rFonts w:hint="eastAsia"/>
                <w:lang w:val="zh-CN"/>
              </w:rPr>
              <w:t>类别</w:t>
            </w:r>
          </w:p>
        </w:tc>
        <w:tc>
          <w:tcPr>
            <w:tcW w:w="2225" w:type="dxa"/>
            <w:vAlign w:val="center"/>
          </w:tcPr>
          <w:p w14:paraId="20957331">
            <w:pPr>
              <w:pStyle w:val="1343"/>
            </w:pPr>
            <w:r>
              <w:rPr>
                <w:rFonts w:hint="eastAsia"/>
              </w:rPr>
              <w:t>环境功能区</w:t>
            </w:r>
          </w:p>
        </w:tc>
        <w:tc>
          <w:tcPr>
            <w:tcW w:w="1925" w:type="dxa"/>
            <w:vAlign w:val="center"/>
          </w:tcPr>
          <w:p w14:paraId="18C4393A">
            <w:pPr>
              <w:pStyle w:val="1343"/>
              <w:rPr>
                <w:lang w:val="zh-CN"/>
              </w:rPr>
            </w:pPr>
            <w:r>
              <w:rPr>
                <w:rFonts w:hint="eastAsia"/>
                <w:lang w:val="zh-CN"/>
              </w:rPr>
              <w:t>环境功能区划</w:t>
            </w:r>
          </w:p>
        </w:tc>
        <w:tc>
          <w:tcPr>
            <w:tcW w:w="3229" w:type="dxa"/>
            <w:vAlign w:val="center"/>
          </w:tcPr>
          <w:p w14:paraId="7B8494DE">
            <w:pPr>
              <w:pStyle w:val="1343"/>
            </w:pPr>
            <w:r>
              <w:rPr>
                <w:rFonts w:hint="eastAsia"/>
              </w:rPr>
              <w:t>区划依据</w:t>
            </w:r>
          </w:p>
        </w:tc>
      </w:tr>
      <w:tr w14:paraId="4B7D2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81" w:type="dxa"/>
            <w:vAlign w:val="center"/>
          </w:tcPr>
          <w:p w14:paraId="66193A19">
            <w:pPr>
              <w:pStyle w:val="1343"/>
              <w:rPr>
                <w:lang w:val="zh-CN"/>
              </w:rPr>
            </w:pPr>
            <w:r>
              <w:rPr>
                <w:rFonts w:hint="eastAsia"/>
                <w:lang w:val="zh-CN"/>
              </w:rPr>
              <w:t>环境空气</w:t>
            </w:r>
          </w:p>
        </w:tc>
        <w:tc>
          <w:tcPr>
            <w:tcW w:w="2225" w:type="dxa"/>
            <w:vAlign w:val="center"/>
          </w:tcPr>
          <w:p w14:paraId="69DBD7A1">
            <w:pPr>
              <w:pStyle w:val="1343"/>
            </w:pPr>
            <w:r>
              <w:rPr>
                <w:rFonts w:hint="eastAsia"/>
              </w:rPr>
              <w:t>管道沿线及站场周边村庄</w:t>
            </w:r>
          </w:p>
        </w:tc>
        <w:tc>
          <w:tcPr>
            <w:tcW w:w="1925" w:type="dxa"/>
            <w:vAlign w:val="center"/>
          </w:tcPr>
          <w:p w14:paraId="57C81CC3">
            <w:pPr>
              <w:pStyle w:val="1343"/>
              <w:rPr>
                <w:lang w:val="zh-CN"/>
              </w:rPr>
            </w:pPr>
            <w:r>
              <w:rPr>
                <w:rFonts w:hint="eastAsia"/>
                <w:lang w:val="zh-CN"/>
              </w:rPr>
              <w:t>二类区</w:t>
            </w:r>
          </w:p>
        </w:tc>
        <w:tc>
          <w:tcPr>
            <w:tcW w:w="3229" w:type="dxa"/>
            <w:vAlign w:val="center"/>
          </w:tcPr>
          <w:p w14:paraId="4C732E9A">
            <w:pPr>
              <w:pStyle w:val="1343"/>
              <w:rPr>
                <w:lang w:val="zh-CN"/>
              </w:rPr>
            </w:pPr>
            <w:r>
              <w:rPr>
                <w:rFonts w:hint="eastAsia"/>
                <w:lang w:val="zh-CN"/>
              </w:rPr>
              <w:t>《</w:t>
            </w:r>
            <w:r>
              <w:rPr>
                <w:rFonts w:hint="eastAsia"/>
              </w:rPr>
              <w:t>环境空气质量标准</w:t>
            </w:r>
            <w:r>
              <w:rPr>
                <w:rFonts w:hint="eastAsia"/>
                <w:lang w:val="zh-CN"/>
              </w:rPr>
              <w:t>》（</w:t>
            </w:r>
            <w:r>
              <w:rPr>
                <w:rFonts w:hint="eastAsia"/>
              </w:rPr>
              <w:t>GB3095-2021</w:t>
            </w:r>
            <w:r>
              <w:rPr>
                <w:rFonts w:hint="eastAsia"/>
                <w:lang w:val="zh-CN"/>
              </w:rPr>
              <w:t>）</w:t>
            </w:r>
          </w:p>
        </w:tc>
      </w:tr>
      <w:tr w14:paraId="48A9A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81" w:type="dxa"/>
            <w:vAlign w:val="center"/>
          </w:tcPr>
          <w:p w14:paraId="7FF227E7">
            <w:pPr>
              <w:pStyle w:val="1343"/>
            </w:pPr>
            <w:r>
              <w:rPr>
                <w:rFonts w:hint="eastAsia"/>
              </w:rPr>
              <w:t>地表水</w:t>
            </w:r>
          </w:p>
        </w:tc>
        <w:tc>
          <w:tcPr>
            <w:tcW w:w="2225" w:type="dxa"/>
            <w:vAlign w:val="center"/>
          </w:tcPr>
          <w:p w14:paraId="5362DBE0">
            <w:pPr>
              <w:pStyle w:val="1343"/>
            </w:pPr>
            <w:r>
              <w:rPr>
                <w:rFonts w:hint="eastAsia"/>
              </w:rPr>
              <w:t>管线附近坑塘（灌溉用水）</w:t>
            </w:r>
          </w:p>
        </w:tc>
        <w:tc>
          <w:tcPr>
            <w:tcW w:w="1925" w:type="dxa"/>
            <w:vAlign w:val="center"/>
          </w:tcPr>
          <w:p w14:paraId="18D95828">
            <w:pPr>
              <w:pStyle w:val="1343"/>
              <w:rPr>
                <w:lang w:val="zh-CN"/>
              </w:rPr>
            </w:pPr>
            <w:r>
              <w:rPr>
                <w:rFonts w:hint="eastAsia"/>
                <w:i/>
                <w:iCs/>
                <w:color w:val="auto"/>
                <w:u w:val="single"/>
                <w:lang w:val="en-US" w:eastAsia="zh-CN"/>
              </w:rPr>
              <w:t>Ⅲ</w:t>
            </w:r>
            <w:r>
              <w:rPr>
                <w:rFonts w:hint="eastAsia"/>
                <w:i/>
                <w:iCs/>
                <w:color w:val="auto"/>
                <w:u w:val="single"/>
              </w:rPr>
              <w:t>类功能</w:t>
            </w:r>
          </w:p>
        </w:tc>
        <w:tc>
          <w:tcPr>
            <w:tcW w:w="3229" w:type="dxa"/>
            <w:vAlign w:val="center"/>
          </w:tcPr>
          <w:p w14:paraId="3DC10438">
            <w:pPr>
              <w:pStyle w:val="1343"/>
            </w:pPr>
            <w:r>
              <w:t>《</w:t>
            </w:r>
            <w:r>
              <w:rPr>
                <w:rFonts w:hint="eastAsia"/>
              </w:rPr>
              <w:t>地表水环境质量标</w:t>
            </w:r>
            <w:r>
              <w:t>准》</w:t>
            </w:r>
            <w:r>
              <w:rPr>
                <w:rFonts w:hint="eastAsia"/>
              </w:rPr>
              <w:t>（</w:t>
            </w:r>
            <w:r>
              <w:t>GB</w:t>
            </w:r>
            <w:r>
              <w:rPr>
                <w:rFonts w:hint="eastAsia"/>
              </w:rPr>
              <w:t>3838-2002）</w:t>
            </w:r>
          </w:p>
        </w:tc>
      </w:tr>
      <w:tr w14:paraId="75F38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81" w:type="dxa"/>
            <w:vAlign w:val="center"/>
          </w:tcPr>
          <w:p w14:paraId="09D1005B">
            <w:pPr>
              <w:pStyle w:val="1343"/>
              <w:rPr>
                <w:lang w:val="zh-CN"/>
              </w:rPr>
            </w:pPr>
            <w:r>
              <w:rPr>
                <w:rFonts w:hint="eastAsia"/>
                <w:lang w:val="zh-CN"/>
              </w:rPr>
              <w:t>地下水</w:t>
            </w:r>
          </w:p>
        </w:tc>
        <w:tc>
          <w:tcPr>
            <w:tcW w:w="2225" w:type="dxa"/>
            <w:vAlign w:val="center"/>
          </w:tcPr>
          <w:p w14:paraId="66B4A306">
            <w:pPr>
              <w:pStyle w:val="1343"/>
              <w:rPr>
                <w:lang w:val="zh-CN"/>
              </w:rPr>
            </w:pPr>
            <w:r>
              <w:rPr>
                <w:rFonts w:hint="eastAsia"/>
              </w:rPr>
              <w:t>管道沿线及站场周边</w:t>
            </w:r>
            <w:r>
              <w:rPr>
                <w:rFonts w:hint="eastAsia"/>
                <w:lang w:val="zh-CN"/>
              </w:rPr>
              <w:t>地下水</w:t>
            </w:r>
          </w:p>
        </w:tc>
        <w:tc>
          <w:tcPr>
            <w:tcW w:w="1925" w:type="dxa"/>
            <w:vAlign w:val="center"/>
          </w:tcPr>
          <w:p w14:paraId="41B0058E">
            <w:pPr>
              <w:pStyle w:val="1343"/>
              <w:rPr>
                <w:lang w:val="zh-CN"/>
              </w:rPr>
            </w:pPr>
            <w:r>
              <w:rPr>
                <w:rFonts w:hint="eastAsia"/>
                <w:lang w:val="zh-CN"/>
              </w:rPr>
              <w:t>I</w:t>
            </w:r>
            <w:r>
              <w:rPr>
                <w:lang w:val="zh-CN"/>
              </w:rPr>
              <w:t>II</w:t>
            </w:r>
            <w:r>
              <w:rPr>
                <w:rFonts w:hint="eastAsia"/>
                <w:lang w:val="zh-CN"/>
              </w:rPr>
              <w:t>类标准</w:t>
            </w:r>
          </w:p>
        </w:tc>
        <w:tc>
          <w:tcPr>
            <w:tcW w:w="3229" w:type="dxa"/>
            <w:vAlign w:val="center"/>
          </w:tcPr>
          <w:p w14:paraId="41D584DF">
            <w:pPr>
              <w:pStyle w:val="1343"/>
              <w:rPr>
                <w:lang w:val="zh-CN"/>
              </w:rPr>
            </w:pPr>
            <w:r>
              <w:rPr>
                <w:rFonts w:hint="eastAsia"/>
                <w:lang w:val="zh-CN"/>
              </w:rPr>
              <w:t>《</w:t>
            </w:r>
            <w:r>
              <w:rPr>
                <w:rFonts w:hint="eastAsia"/>
              </w:rPr>
              <w:t>地下水质量标准</w:t>
            </w:r>
            <w:r>
              <w:rPr>
                <w:rFonts w:hint="eastAsia"/>
                <w:lang w:val="zh-CN"/>
              </w:rPr>
              <w:t>》（</w:t>
            </w:r>
            <w:r>
              <w:rPr>
                <w:rFonts w:hint="eastAsia"/>
              </w:rPr>
              <w:t>GB/T14848-2017</w:t>
            </w:r>
            <w:r>
              <w:rPr>
                <w:rFonts w:hint="eastAsia"/>
                <w:lang w:val="zh-CN"/>
              </w:rPr>
              <w:t>）</w:t>
            </w:r>
          </w:p>
        </w:tc>
      </w:tr>
      <w:tr w14:paraId="72A43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81" w:type="dxa"/>
            <w:vMerge w:val="restart"/>
            <w:vAlign w:val="center"/>
          </w:tcPr>
          <w:p w14:paraId="0EA938EE">
            <w:pPr>
              <w:pStyle w:val="1343"/>
              <w:rPr>
                <w:lang w:val="zh-CN"/>
              </w:rPr>
            </w:pPr>
            <w:r>
              <w:rPr>
                <w:rFonts w:hint="eastAsia"/>
                <w:lang w:val="zh-CN"/>
              </w:rPr>
              <w:t>声环境</w:t>
            </w:r>
          </w:p>
        </w:tc>
        <w:tc>
          <w:tcPr>
            <w:tcW w:w="2225" w:type="dxa"/>
            <w:vAlign w:val="center"/>
          </w:tcPr>
          <w:p w14:paraId="71D82933">
            <w:pPr>
              <w:pStyle w:val="1343"/>
              <w:rPr>
                <w:lang w:val="zh-CN"/>
              </w:rPr>
            </w:pPr>
            <w:r>
              <w:rPr>
                <w:rFonts w:hint="eastAsia"/>
                <w:lang w:val="zh-CN"/>
              </w:rPr>
              <w:t>G356国道两侧35m±5m以内区域</w:t>
            </w:r>
          </w:p>
        </w:tc>
        <w:tc>
          <w:tcPr>
            <w:tcW w:w="1925" w:type="dxa"/>
            <w:vAlign w:val="center"/>
          </w:tcPr>
          <w:p w14:paraId="089D43C9">
            <w:pPr>
              <w:pStyle w:val="1343"/>
              <w:rPr>
                <w:lang w:val="zh-CN"/>
              </w:rPr>
            </w:pPr>
            <w:r>
              <w:rPr>
                <w:rFonts w:hint="eastAsia"/>
                <w:lang w:val="zh-CN"/>
              </w:rPr>
              <w:t>4a类区域</w:t>
            </w:r>
          </w:p>
        </w:tc>
        <w:tc>
          <w:tcPr>
            <w:tcW w:w="3229" w:type="dxa"/>
            <w:vMerge w:val="restart"/>
            <w:vAlign w:val="center"/>
          </w:tcPr>
          <w:p w14:paraId="37F52887">
            <w:pPr>
              <w:pStyle w:val="1343"/>
              <w:rPr>
                <w:lang w:val="zh-CN"/>
              </w:rPr>
            </w:pPr>
            <w:r>
              <w:t>《声环境功能区划分技术规范》</w:t>
            </w:r>
            <w:r>
              <w:rPr>
                <w:rFonts w:hint="eastAsia"/>
              </w:rPr>
              <w:t>（</w:t>
            </w:r>
            <w:r>
              <w:t>GB/T15190-2014</w:t>
            </w:r>
            <w:r>
              <w:rPr>
                <w:rFonts w:hint="eastAsia"/>
              </w:rPr>
              <w:t>）、《</w:t>
            </w:r>
            <w:r>
              <w:rPr>
                <w:rFonts w:hint="eastAsia"/>
                <w:lang w:val="zh-CN"/>
              </w:rPr>
              <w:t>声环境质量标准》（GB3096-2008）</w:t>
            </w:r>
          </w:p>
        </w:tc>
      </w:tr>
      <w:tr w14:paraId="49AEB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81" w:type="dxa"/>
            <w:vMerge w:val="continue"/>
            <w:vAlign w:val="center"/>
          </w:tcPr>
          <w:p w14:paraId="3BB841F3">
            <w:pPr>
              <w:pStyle w:val="1343"/>
              <w:rPr>
                <w:lang w:val="zh-CN"/>
              </w:rPr>
            </w:pPr>
          </w:p>
        </w:tc>
        <w:tc>
          <w:tcPr>
            <w:tcW w:w="2225" w:type="dxa"/>
            <w:vAlign w:val="center"/>
          </w:tcPr>
          <w:p w14:paraId="5F754579">
            <w:pPr>
              <w:pStyle w:val="1343"/>
              <w:rPr>
                <w:i/>
                <w:iCs/>
                <w:color w:val="auto"/>
                <w:u w:val="single"/>
              </w:rPr>
            </w:pPr>
            <w:r>
              <w:rPr>
                <w:rFonts w:hint="eastAsia"/>
                <w:i/>
                <w:iCs/>
                <w:color w:val="auto"/>
                <w:u w:val="single"/>
              </w:rPr>
              <w:t>站场、阀室周边区域及</w:t>
            </w:r>
            <w:r>
              <w:rPr>
                <w:rFonts w:hint="eastAsia"/>
                <w:i/>
                <w:iCs/>
                <w:color w:val="auto"/>
                <w:u w:val="single"/>
                <w:lang w:val="zh-CN"/>
              </w:rPr>
              <w:t>沿线农村</w:t>
            </w:r>
            <w:r>
              <w:rPr>
                <w:rFonts w:hint="eastAsia"/>
                <w:i/>
                <w:iCs/>
                <w:color w:val="auto"/>
                <w:u w:val="single"/>
              </w:rPr>
              <w:t>居住</w:t>
            </w:r>
            <w:r>
              <w:rPr>
                <w:rFonts w:hint="eastAsia"/>
                <w:i/>
                <w:iCs/>
                <w:color w:val="auto"/>
                <w:u w:val="single"/>
                <w:lang w:val="zh-CN"/>
              </w:rPr>
              <w:t>区域</w:t>
            </w:r>
          </w:p>
        </w:tc>
        <w:tc>
          <w:tcPr>
            <w:tcW w:w="1925" w:type="dxa"/>
            <w:vAlign w:val="center"/>
          </w:tcPr>
          <w:p w14:paraId="1F63D4A8">
            <w:pPr>
              <w:pStyle w:val="1343"/>
              <w:rPr>
                <w:i/>
                <w:iCs/>
                <w:color w:val="auto"/>
                <w:u w:val="single"/>
              </w:rPr>
            </w:pPr>
            <w:r>
              <w:rPr>
                <w:rFonts w:hint="eastAsia"/>
                <w:i/>
                <w:iCs/>
                <w:color w:val="auto"/>
                <w:u w:val="single"/>
              </w:rPr>
              <w:t>2类区域</w:t>
            </w:r>
          </w:p>
        </w:tc>
        <w:tc>
          <w:tcPr>
            <w:tcW w:w="3229" w:type="dxa"/>
            <w:vMerge w:val="continue"/>
            <w:vAlign w:val="center"/>
          </w:tcPr>
          <w:p w14:paraId="51DC3232">
            <w:pPr>
              <w:pStyle w:val="1343"/>
            </w:pPr>
          </w:p>
        </w:tc>
      </w:tr>
    </w:tbl>
    <w:p w14:paraId="4E064902">
      <w:pPr>
        <w:pStyle w:val="4"/>
        <w:spacing w:before="120" w:beforeLines="50"/>
        <w:rPr>
          <w:snapToGrid w:val="0"/>
        </w:rPr>
      </w:pPr>
      <w:bookmarkStart w:id="115" w:name="_Toc6"/>
      <w:r>
        <w:rPr>
          <w:snapToGrid w:val="0"/>
        </w:rPr>
        <w:t>评价标准</w:t>
      </w:r>
      <w:bookmarkEnd w:id="115"/>
    </w:p>
    <w:p w14:paraId="042ABC4B">
      <w:pPr>
        <w:pStyle w:val="5"/>
        <w:rPr>
          <w:snapToGrid w:val="0"/>
          <w:color w:val="auto"/>
        </w:rPr>
      </w:pPr>
      <w:bookmarkStart w:id="116" w:name="_Toc143330056"/>
      <w:bookmarkStart w:id="117" w:name="_Toc17798"/>
      <w:bookmarkStart w:id="118" w:name="_Toc30838"/>
      <w:bookmarkStart w:id="119" w:name="_Toc457946368"/>
      <w:bookmarkStart w:id="120" w:name="_Toc137366116"/>
      <w:bookmarkStart w:id="121" w:name="_Toc125468899"/>
      <w:bookmarkStart w:id="122" w:name="_Toc177888812"/>
      <w:bookmarkStart w:id="123" w:name="_Toc375038297"/>
      <w:r>
        <w:rPr>
          <w:snapToGrid w:val="0"/>
          <w:color w:val="auto"/>
        </w:rPr>
        <w:t xml:space="preserve"> 环境质量标准</w:t>
      </w:r>
      <w:bookmarkEnd w:id="116"/>
      <w:bookmarkEnd w:id="117"/>
      <w:bookmarkEnd w:id="118"/>
      <w:bookmarkEnd w:id="119"/>
      <w:bookmarkEnd w:id="120"/>
      <w:bookmarkEnd w:id="121"/>
      <w:bookmarkEnd w:id="122"/>
      <w:bookmarkEnd w:id="123"/>
    </w:p>
    <w:p w14:paraId="4B63A28E">
      <w:pPr>
        <w:pStyle w:val="7"/>
      </w:pPr>
      <w:r>
        <w:t xml:space="preserve"> 环境空气</w:t>
      </w:r>
    </w:p>
    <w:p w14:paraId="0FA1233D">
      <w:pPr>
        <w:pStyle w:val="234"/>
      </w:pPr>
      <w:r>
        <w:t>本工程站场及线路均位于环境空气二类功能区，其中基本污染物执行《环境空气质量标准》</w:t>
      </w:r>
      <w:r>
        <w:rPr>
          <w:rFonts w:hint="eastAsia"/>
        </w:rPr>
        <w:t>（</w:t>
      </w:r>
      <w:r>
        <w:t>GB3095-2012</w:t>
      </w:r>
      <w:r>
        <w:rPr>
          <w:rFonts w:hint="eastAsia"/>
        </w:rPr>
        <w:t>）</w:t>
      </w:r>
      <w:r>
        <w:t>及2018年修改单二级标准，非甲烷总烃执行《大气污染物综合排放标准详解》中要求限值，具体标准限值见</w:t>
      </w:r>
      <w:r>
        <w:rPr>
          <w:rStyle w:val="238"/>
        </w:rPr>
        <w:fldChar w:fldCharType="begin"/>
      </w:r>
      <w:r>
        <w:rPr>
          <w:rStyle w:val="238"/>
        </w:rPr>
        <w:instrText xml:space="preserve"> REF _Ref74320760 \h  \* MERGEFORMAT </w:instrText>
      </w:r>
      <w:r>
        <w:rPr>
          <w:rStyle w:val="238"/>
        </w:rPr>
        <w:fldChar w:fldCharType="separate"/>
      </w:r>
      <w:r>
        <w:rPr>
          <w:rStyle w:val="238"/>
        </w:rPr>
        <w:t>表</w:t>
      </w:r>
      <w:r>
        <w:t xml:space="preserve"> 2.7</w:t>
      </w:r>
      <w:r>
        <w:noBreakHyphen/>
      </w:r>
      <w:r>
        <w:t>1</w:t>
      </w:r>
      <w:r>
        <w:rPr>
          <w:rStyle w:val="238"/>
        </w:rPr>
        <w:fldChar w:fldCharType="end"/>
      </w:r>
      <w:r>
        <w:t>。</w:t>
      </w:r>
    </w:p>
    <w:p w14:paraId="473306C6">
      <w:pPr>
        <w:pStyle w:val="904"/>
      </w:pPr>
      <w:bookmarkStart w:id="124" w:name="_Ref74320760"/>
      <w:r>
        <w:t xml:space="preserve">表 </w:t>
      </w:r>
      <w:r>
        <w:fldChar w:fldCharType="begin"/>
      </w:r>
      <w:r>
        <w:instrText xml:space="preserve"> STYLEREF 2 \s </w:instrText>
      </w:r>
      <w:r>
        <w:fldChar w:fldCharType="separate"/>
      </w:r>
      <w:r>
        <w:t>2.7</w:t>
      </w:r>
      <w:r>
        <w:fldChar w:fldCharType="end"/>
      </w:r>
      <w:r>
        <w:noBreakHyphen/>
      </w:r>
      <w:r>
        <w:fldChar w:fldCharType="begin"/>
      </w:r>
      <w:r>
        <w:instrText xml:space="preserve"> SEQ 表 \* ARABIC \s 2 </w:instrText>
      </w:r>
      <w:r>
        <w:fldChar w:fldCharType="separate"/>
      </w:r>
      <w:r>
        <w:t>1</w:t>
      </w:r>
      <w:r>
        <w:fldChar w:fldCharType="end"/>
      </w:r>
      <w:bookmarkEnd w:id="124"/>
      <w:r>
        <w:t>环境空气质量标准</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8"/>
        <w:gridCol w:w="2081"/>
        <w:gridCol w:w="1163"/>
        <w:gridCol w:w="1081"/>
        <w:gridCol w:w="3513"/>
      </w:tblGrid>
      <w:tr w14:paraId="2F287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pct"/>
            <w:vAlign w:val="center"/>
          </w:tcPr>
          <w:p w14:paraId="1FD02219">
            <w:pPr>
              <w:pStyle w:val="1343"/>
            </w:pPr>
            <w:r>
              <w:t>污染物项目</w:t>
            </w:r>
          </w:p>
        </w:tc>
        <w:tc>
          <w:tcPr>
            <w:tcW w:w="1120" w:type="pct"/>
            <w:vAlign w:val="center"/>
          </w:tcPr>
          <w:p w14:paraId="16215E43">
            <w:pPr>
              <w:pStyle w:val="1343"/>
            </w:pPr>
            <w:r>
              <w:t>平均时间</w:t>
            </w:r>
          </w:p>
        </w:tc>
        <w:tc>
          <w:tcPr>
            <w:tcW w:w="626" w:type="pct"/>
            <w:vAlign w:val="center"/>
          </w:tcPr>
          <w:p w14:paraId="1F680FBC">
            <w:pPr>
              <w:pStyle w:val="1343"/>
            </w:pPr>
            <w:r>
              <w:t>二级浓度限值</w:t>
            </w:r>
          </w:p>
        </w:tc>
        <w:tc>
          <w:tcPr>
            <w:tcW w:w="582" w:type="pct"/>
            <w:vAlign w:val="center"/>
          </w:tcPr>
          <w:p w14:paraId="72B02454">
            <w:pPr>
              <w:pStyle w:val="1343"/>
            </w:pPr>
            <w:r>
              <w:t>单位</w:t>
            </w:r>
          </w:p>
        </w:tc>
        <w:tc>
          <w:tcPr>
            <w:tcW w:w="1891" w:type="pct"/>
            <w:vAlign w:val="center"/>
          </w:tcPr>
          <w:p w14:paraId="7D9A0DDE">
            <w:pPr>
              <w:pStyle w:val="1343"/>
            </w:pPr>
            <w:r>
              <w:t>标准来源</w:t>
            </w:r>
          </w:p>
        </w:tc>
      </w:tr>
      <w:tr w14:paraId="7EEC3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pct"/>
            <w:vMerge w:val="restart"/>
            <w:vAlign w:val="center"/>
          </w:tcPr>
          <w:p w14:paraId="1368E2B9">
            <w:pPr>
              <w:pStyle w:val="1343"/>
              <w:rPr>
                <w:szCs w:val="18"/>
              </w:rPr>
            </w:pPr>
            <w:r>
              <w:rPr>
                <w:szCs w:val="18"/>
              </w:rPr>
              <w:t>二氧化硫</w:t>
            </w:r>
          </w:p>
          <w:p w14:paraId="6DE6EACE">
            <w:pPr>
              <w:pStyle w:val="1343"/>
              <w:rPr>
                <w:szCs w:val="18"/>
              </w:rPr>
            </w:pPr>
            <w:r>
              <w:rPr>
                <w:szCs w:val="18"/>
              </w:rPr>
              <w:t>SO</w:t>
            </w:r>
            <w:r>
              <w:rPr>
                <w:szCs w:val="18"/>
                <w:vertAlign w:val="subscript"/>
              </w:rPr>
              <w:t>2</w:t>
            </w:r>
          </w:p>
        </w:tc>
        <w:tc>
          <w:tcPr>
            <w:tcW w:w="1120" w:type="pct"/>
            <w:vAlign w:val="center"/>
          </w:tcPr>
          <w:p w14:paraId="1A8EF9F6">
            <w:pPr>
              <w:pStyle w:val="1343"/>
              <w:rPr>
                <w:szCs w:val="18"/>
              </w:rPr>
            </w:pPr>
            <w:r>
              <w:rPr>
                <w:szCs w:val="18"/>
              </w:rPr>
              <w:t>年平均</w:t>
            </w:r>
          </w:p>
        </w:tc>
        <w:tc>
          <w:tcPr>
            <w:tcW w:w="626" w:type="pct"/>
            <w:vAlign w:val="center"/>
          </w:tcPr>
          <w:p w14:paraId="3A7EFCB0">
            <w:pPr>
              <w:pStyle w:val="1343"/>
              <w:rPr>
                <w:szCs w:val="18"/>
              </w:rPr>
            </w:pPr>
            <w:r>
              <w:rPr>
                <w:szCs w:val="18"/>
              </w:rPr>
              <w:t>60</w:t>
            </w:r>
          </w:p>
        </w:tc>
        <w:tc>
          <w:tcPr>
            <w:tcW w:w="582" w:type="pct"/>
            <w:vMerge w:val="restart"/>
            <w:vAlign w:val="center"/>
          </w:tcPr>
          <w:p w14:paraId="5B941581">
            <w:pPr>
              <w:pStyle w:val="1343"/>
              <w:rPr>
                <w:szCs w:val="18"/>
              </w:rPr>
            </w:pPr>
            <w:r>
              <w:rPr>
                <w:szCs w:val="18"/>
              </w:rPr>
              <w:t>μg/m</w:t>
            </w:r>
            <w:r>
              <w:rPr>
                <w:szCs w:val="18"/>
                <w:vertAlign w:val="superscript"/>
              </w:rPr>
              <w:t>3</w:t>
            </w:r>
          </w:p>
        </w:tc>
        <w:tc>
          <w:tcPr>
            <w:tcW w:w="1891" w:type="pct"/>
            <w:vMerge w:val="restart"/>
            <w:vAlign w:val="center"/>
          </w:tcPr>
          <w:p w14:paraId="7D540FAD">
            <w:pPr>
              <w:pStyle w:val="1343"/>
            </w:pPr>
            <w:r>
              <w:t>《环境空气质量标准》</w:t>
            </w:r>
          </w:p>
          <w:p w14:paraId="3A31178F">
            <w:pPr>
              <w:pStyle w:val="1343"/>
              <w:rPr>
                <w:szCs w:val="18"/>
              </w:rPr>
            </w:pPr>
            <w:r>
              <w:t>(GB3095-2012)及2018年修改单</w:t>
            </w:r>
          </w:p>
        </w:tc>
      </w:tr>
      <w:tr w14:paraId="6B066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pct"/>
            <w:vMerge w:val="continue"/>
            <w:vAlign w:val="center"/>
          </w:tcPr>
          <w:p w14:paraId="19274DC5">
            <w:pPr>
              <w:pStyle w:val="1343"/>
              <w:rPr>
                <w:szCs w:val="18"/>
              </w:rPr>
            </w:pPr>
          </w:p>
        </w:tc>
        <w:tc>
          <w:tcPr>
            <w:tcW w:w="1120" w:type="pct"/>
            <w:vAlign w:val="center"/>
          </w:tcPr>
          <w:p w14:paraId="60C5B3D2">
            <w:pPr>
              <w:pStyle w:val="1343"/>
              <w:rPr>
                <w:szCs w:val="18"/>
              </w:rPr>
            </w:pPr>
            <w:r>
              <w:rPr>
                <w:szCs w:val="18"/>
              </w:rPr>
              <w:t>24小时平均</w:t>
            </w:r>
          </w:p>
        </w:tc>
        <w:tc>
          <w:tcPr>
            <w:tcW w:w="626" w:type="pct"/>
            <w:vAlign w:val="center"/>
          </w:tcPr>
          <w:p w14:paraId="1D0E588B">
            <w:pPr>
              <w:pStyle w:val="1343"/>
              <w:rPr>
                <w:szCs w:val="18"/>
              </w:rPr>
            </w:pPr>
            <w:r>
              <w:rPr>
                <w:szCs w:val="18"/>
              </w:rPr>
              <w:t>150</w:t>
            </w:r>
          </w:p>
        </w:tc>
        <w:tc>
          <w:tcPr>
            <w:tcW w:w="582" w:type="pct"/>
            <w:vMerge w:val="continue"/>
            <w:vAlign w:val="center"/>
          </w:tcPr>
          <w:p w14:paraId="09CDB337">
            <w:pPr>
              <w:pStyle w:val="1343"/>
              <w:rPr>
                <w:szCs w:val="18"/>
              </w:rPr>
            </w:pPr>
          </w:p>
        </w:tc>
        <w:tc>
          <w:tcPr>
            <w:tcW w:w="1891" w:type="pct"/>
            <w:vMerge w:val="continue"/>
            <w:vAlign w:val="center"/>
          </w:tcPr>
          <w:p w14:paraId="4642CF7C">
            <w:pPr>
              <w:pStyle w:val="1343"/>
            </w:pPr>
          </w:p>
        </w:tc>
      </w:tr>
      <w:tr w14:paraId="414AA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pct"/>
            <w:vMerge w:val="continue"/>
            <w:vAlign w:val="center"/>
          </w:tcPr>
          <w:p w14:paraId="5055CE99">
            <w:pPr>
              <w:pStyle w:val="1343"/>
              <w:rPr>
                <w:szCs w:val="18"/>
              </w:rPr>
            </w:pPr>
          </w:p>
        </w:tc>
        <w:tc>
          <w:tcPr>
            <w:tcW w:w="1120" w:type="pct"/>
            <w:vAlign w:val="center"/>
          </w:tcPr>
          <w:p w14:paraId="7C850FF7">
            <w:pPr>
              <w:pStyle w:val="1343"/>
              <w:rPr>
                <w:szCs w:val="18"/>
              </w:rPr>
            </w:pPr>
            <w:r>
              <w:rPr>
                <w:szCs w:val="18"/>
              </w:rPr>
              <w:t>1小时平均</w:t>
            </w:r>
          </w:p>
        </w:tc>
        <w:tc>
          <w:tcPr>
            <w:tcW w:w="626" w:type="pct"/>
            <w:vAlign w:val="center"/>
          </w:tcPr>
          <w:p w14:paraId="383645E3">
            <w:pPr>
              <w:pStyle w:val="1343"/>
              <w:rPr>
                <w:szCs w:val="18"/>
              </w:rPr>
            </w:pPr>
            <w:r>
              <w:rPr>
                <w:szCs w:val="18"/>
              </w:rPr>
              <w:t>500</w:t>
            </w:r>
          </w:p>
        </w:tc>
        <w:tc>
          <w:tcPr>
            <w:tcW w:w="582" w:type="pct"/>
            <w:vMerge w:val="continue"/>
            <w:vAlign w:val="center"/>
          </w:tcPr>
          <w:p w14:paraId="63A63E89">
            <w:pPr>
              <w:pStyle w:val="1343"/>
              <w:rPr>
                <w:szCs w:val="18"/>
              </w:rPr>
            </w:pPr>
          </w:p>
        </w:tc>
        <w:tc>
          <w:tcPr>
            <w:tcW w:w="1891" w:type="pct"/>
            <w:vMerge w:val="continue"/>
            <w:vAlign w:val="center"/>
          </w:tcPr>
          <w:p w14:paraId="7BA38FA8">
            <w:pPr>
              <w:pStyle w:val="1343"/>
            </w:pPr>
          </w:p>
        </w:tc>
      </w:tr>
      <w:tr w14:paraId="1C371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pct"/>
            <w:vMerge w:val="restart"/>
            <w:vAlign w:val="center"/>
          </w:tcPr>
          <w:p w14:paraId="5990F003">
            <w:pPr>
              <w:pStyle w:val="1343"/>
              <w:rPr>
                <w:szCs w:val="18"/>
              </w:rPr>
            </w:pPr>
            <w:r>
              <w:rPr>
                <w:szCs w:val="18"/>
              </w:rPr>
              <w:t>二氧化氮</w:t>
            </w:r>
          </w:p>
          <w:p w14:paraId="4929D43F">
            <w:pPr>
              <w:pStyle w:val="1343"/>
              <w:rPr>
                <w:szCs w:val="18"/>
              </w:rPr>
            </w:pPr>
            <w:r>
              <w:rPr>
                <w:szCs w:val="18"/>
              </w:rPr>
              <w:t>NO</w:t>
            </w:r>
            <w:r>
              <w:rPr>
                <w:szCs w:val="18"/>
                <w:vertAlign w:val="subscript"/>
              </w:rPr>
              <w:t>2</w:t>
            </w:r>
          </w:p>
        </w:tc>
        <w:tc>
          <w:tcPr>
            <w:tcW w:w="1120" w:type="pct"/>
            <w:vAlign w:val="center"/>
          </w:tcPr>
          <w:p w14:paraId="477A82C7">
            <w:pPr>
              <w:pStyle w:val="1343"/>
              <w:rPr>
                <w:szCs w:val="18"/>
              </w:rPr>
            </w:pPr>
            <w:r>
              <w:rPr>
                <w:szCs w:val="18"/>
              </w:rPr>
              <w:t>年平均</w:t>
            </w:r>
          </w:p>
        </w:tc>
        <w:tc>
          <w:tcPr>
            <w:tcW w:w="626" w:type="pct"/>
            <w:vAlign w:val="center"/>
          </w:tcPr>
          <w:p w14:paraId="7F9114A1">
            <w:pPr>
              <w:pStyle w:val="1343"/>
              <w:rPr>
                <w:szCs w:val="18"/>
              </w:rPr>
            </w:pPr>
            <w:r>
              <w:rPr>
                <w:szCs w:val="18"/>
              </w:rPr>
              <w:t>40</w:t>
            </w:r>
          </w:p>
        </w:tc>
        <w:tc>
          <w:tcPr>
            <w:tcW w:w="582" w:type="pct"/>
            <w:vMerge w:val="continue"/>
            <w:vAlign w:val="center"/>
          </w:tcPr>
          <w:p w14:paraId="61A6B84F">
            <w:pPr>
              <w:pStyle w:val="1343"/>
              <w:rPr>
                <w:szCs w:val="18"/>
              </w:rPr>
            </w:pPr>
          </w:p>
        </w:tc>
        <w:tc>
          <w:tcPr>
            <w:tcW w:w="1891" w:type="pct"/>
            <w:vMerge w:val="continue"/>
            <w:vAlign w:val="center"/>
          </w:tcPr>
          <w:p w14:paraId="4499F8D5">
            <w:pPr>
              <w:pStyle w:val="1343"/>
              <w:rPr>
                <w:szCs w:val="18"/>
              </w:rPr>
            </w:pPr>
          </w:p>
        </w:tc>
      </w:tr>
      <w:tr w14:paraId="591E5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pct"/>
            <w:vMerge w:val="continue"/>
            <w:vAlign w:val="center"/>
          </w:tcPr>
          <w:p w14:paraId="18E90F47">
            <w:pPr>
              <w:pStyle w:val="1343"/>
              <w:rPr>
                <w:szCs w:val="18"/>
              </w:rPr>
            </w:pPr>
          </w:p>
        </w:tc>
        <w:tc>
          <w:tcPr>
            <w:tcW w:w="1120" w:type="pct"/>
            <w:vAlign w:val="center"/>
          </w:tcPr>
          <w:p w14:paraId="59D3DFED">
            <w:pPr>
              <w:pStyle w:val="1343"/>
              <w:rPr>
                <w:szCs w:val="18"/>
              </w:rPr>
            </w:pPr>
            <w:r>
              <w:rPr>
                <w:szCs w:val="18"/>
              </w:rPr>
              <w:t>24小时平均</w:t>
            </w:r>
          </w:p>
        </w:tc>
        <w:tc>
          <w:tcPr>
            <w:tcW w:w="626" w:type="pct"/>
            <w:vAlign w:val="center"/>
          </w:tcPr>
          <w:p w14:paraId="3EFB9E48">
            <w:pPr>
              <w:pStyle w:val="1343"/>
              <w:rPr>
                <w:szCs w:val="18"/>
              </w:rPr>
            </w:pPr>
            <w:r>
              <w:rPr>
                <w:szCs w:val="18"/>
              </w:rPr>
              <w:t>80</w:t>
            </w:r>
          </w:p>
        </w:tc>
        <w:tc>
          <w:tcPr>
            <w:tcW w:w="582" w:type="pct"/>
            <w:vMerge w:val="continue"/>
            <w:vAlign w:val="center"/>
          </w:tcPr>
          <w:p w14:paraId="6B1CBCA0">
            <w:pPr>
              <w:pStyle w:val="1343"/>
              <w:rPr>
                <w:szCs w:val="18"/>
              </w:rPr>
            </w:pPr>
          </w:p>
        </w:tc>
        <w:tc>
          <w:tcPr>
            <w:tcW w:w="1891" w:type="pct"/>
            <w:vMerge w:val="continue"/>
            <w:vAlign w:val="center"/>
          </w:tcPr>
          <w:p w14:paraId="6D06E343">
            <w:pPr>
              <w:pStyle w:val="1343"/>
              <w:rPr>
                <w:szCs w:val="18"/>
              </w:rPr>
            </w:pPr>
          </w:p>
        </w:tc>
      </w:tr>
      <w:tr w14:paraId="4DF46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pct"/>
            <w:vMerge w:val="continue"/>
            <w:vAlign w:val="center"/>
          </w:tcPr>
          <w:p w14:paraId="5AF5B5C7">
            <w:pPr>
              <w:pStyle w:val="1343"/>
              <w:rPr>
                <w:szCs w:val="18"/>
              </w:rPr>
            </w:pPr>
          </w:p>
        </w:tc>
        <w:tc>
          <w:tcPr>
            <w:tcW w:w="1120" w:type="pct"/>
            <w:vAlign w:val="center"/>
          </w:tcPr>
          <w:p w14:paraId="7B84750A">
            <w:pPr>
              <w:pStyle w:val="1343"/>
              <w:rPr>
                <w:szCs w:val="18"/>
              </w:rPr>
            </w:pPr>
            <w:r>
              <w:rPr>
                <w:szCs w:val="18"/>
              </w:rPr>
              <w:t>1小时平均</w:t>
            </w:r>
          </w:p>
        </w:tc>
        <w:tc>
          <w:tcPr>
            <w:tcW w:w="626" w:type="pct"/>
            <w:vAlign w:val="center"/>
          </w:tcPr>
          <w:p w14:paraId="18E04D58">
            <w:pPr>
              <w:pStyle w:val="1343"/>
              <w:rPr>
                <w:szCs w:val="18"/>
              </w:rPr>
            </w:pPr>
            <w:r>
              <w:rPr>
                <w:szCs w:val="18"/>
              </w:rPr>
              <w:t>200</w:t>
            </w:r>
          </w:p>
        </w:tc>
        <w:tc>
          <w:tcPr>
            <w:tcW w:w="582" w:type="pct"/>
            <w:vMerge w:val="continue"/>
            <w:vAlign w:val="center"/>
          </w:tcPr>
          <w:p w14:paraId="7E8CEE1A">
            <w:pPr>
              <w:pStyle w:val="1343"/>
              <w:rPr>
                <w:szCs w:val="18"/>
              </w:rPr>
            </w:pPr>
          </w:p>
        </w:tc>
        <w:tc>
          <w:tcPr>
            <w:tcW w:w="1891" w:type="pct"/>
            <w:vMerge w:val="continue"/>
            <w:vAlign w:val="center"/>
          </w:tcPr>
          <w:p w14:paraId="0AC7EAF1">
            <w:pPr>
              <w:pStyle w:val="1343"/>
              <w:rPr>
                <w:szCs w:val="18"/>
              </w:rPr>
            </w:pPr>
          </w:p>
        </w:tc>
      </w:tr>
      <w:tr w14:paraId="4C121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pct"/>
            <w:vMerge w:val="restart"/>
            <w:vAlign w:val="center"/>
          </w:tcPr>
          <w:p w14:paraId="56DA67D1">
            <w:pPr>
              <w:pStyle w:val="1343"/>
              <w:rPr>
                <w:szCs w:val="18"/>
              </w:rPr>
            </w:pPr>
            <w:r>
              <w:rPr>
                <w:szCs w:val="18"/>
              </w:rPr>
              <w:t>一氧化碳</w:t>
            </w:r>
          </w:p>
          <w:p w14:paraId="1EFA97C5">
            <w:pPr>
              <w:pStyle w:val="1343"/>
              <w:rPr>
                <w:szCs w:val="18"/>
              </w:rPr>
            </w:pPr>
            <w:r>
              <w:rPr>
                <w:szCs w:val="18"/>
              </w:rPr>
              <w:t>CO</w:t>
            </w:r>
          </w:p>
        </w:tc>
        <w:tc>
          <w:tcPr>
            <w:tcW w:w="1120" w:type="pct"/>
            <w:vAlign w:val="center"/>
          </w:tcPr>
          <w:p w14:paraId="0040B36C">
            <w:pPr>
              <w:pStyle w:val="1343"/>
              <w:rPr>
                <w:szCs w:val="18"/>
              </w:rPr>
            </w:pPr>
            <w:r>
              <w:rPr>
                <w:szCs w:val="18"/>
              </w:rPr>
              <w:t>24小时平均</w:t>
            </w:r>
          </w:p>
        </w:tc>
        <w:tc>
          <w:tcPr>
            <w:tcW w:w="626" w:type="pct"/>
            <w:vAlign w:val="center"/>
          </w:tcPr>
          <w:p w14:paraId="5AD5788B">
            <w:pPr>
              <w:pStyle w:val="1343"/>
              <w:rPr>
                <w:szCs w:val="18"/>
              </w:rPr>
            </w:pPr>
            <w:r>
              <w:rPr>
                <w:szCs w:val="18"/>
              </w:rPr>
              <w:t>4</w:t>
            </w:r>
          </w:p>
        </w:tc>
        <w:tc>
          <w:tcPr>
            <w:tcW w:w="582" w:type="pct"/>
            <w:vMerge w:val="restart"/>
            <w:vAlign w:val="center"/>
          </w:tcPr>
          <w:p w14:paraId="74B82051">
            <w:pPr>
              <w:pStyle w:val="1343"/>
              <w:rPr>
                <w:szCs w:val="18"/>
              </w:rPr>
            </w:pPr>
            <w:r>
              <w:rPr>
                <w:szCs w:val="18"/>
              </w:rPr>
              <w:t>mg/m</w:t>
            </w:r>
            <w:r>
              <w:rPr>
                <w:szCs w:val="18"/>
                <w:vertAlign w:val="superscript"/>
              </w:rPr>
              <w:t>3</w:t>
            </w:r>
          </w:p>
        </w:tc>
        <w:tc>
          <w:tcPr>
            <w:tcW w:w="1891" w:type="pct"/>
            <w:vMerge w:val="continue"/>
            <w:vAlign w:val="center"/>
          </w:tcPr>
          <w:p w14:paraId="6BED4163">
            <w:pPr>
              <w:pStyle w:val="1343"/>
              <w:rPr>
                <w:szCs w:val="18"/>
              </w:rPr>
            </w:pPr>
          </w:p>
        </w:tc>
      </w:tr>
      <w:tr w14:paraId="16079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pct"/>
            <w:vMerge w:val="continue"/>
            <w:vAlign w:val="center"/>
          </w:tcPr>
          <w:p w14:paraId="0425ACD9">
            <w:pPr>
              <w:pStyle w:val="1343"/>
              <w:rPr>
                <w:szCs w:val="18"/>
              </w:rPr>
            </w:pPr>
          </w:p>
        </w:tc>
        <w:tc>
          <w:tcPr>
            <w:tcW w:w="1120" w:type="pct"/>
            <w:vAlign w:val="center"/>
          </w:tcPr>
          <w:p w14:paraId="3A7D877E">
            <w:pPr>
              <w:pStyle w:val="1343"/>
              <w:rPr>
                <w:szCs w:val="18"/>
              </w:rPr>
            </w:pPr>
            <w:r>
              <w:rPr>
                <w:szCs w:val="18"/>
              </w:rPr>
              <w:t>1小时平均</w:t>
            </w:r>
          </w:p>
        </w:tc>
        <w:tc>
          <w:tcPr>
            <w:tcW w:w="626" w:type="pct"/>
            <w:vAlign w:val="center"/>
          </w:tcPr>
          <w:p w14:paraId="1159D785">
            <w:pPr>
              <w:pStyle w:val="1343"/>
              <w:rPr>
                <w:szCs w:val="18"/>
              </w:rPr>
            </w:pPr>
            <w:r>
              <w:rPr>
                <w:szCs w:val="18"/>
              </w:rPr>
              <w:t>10</w:t>
            </w:r>
          </w:p>
        </w:tc>
        <w:tc>
          <w:tcPr>
            <w:tcW w:w="582" w:type="pct"/>
            <w:vMerge w:val="continue"/>
            <w:vAlign w:val="center"/>
          </w:tcPr>
          <w:p w14:paraId="0AE1230F">
            <w:pPr>
              <w:pStyle w:val="1343"/>
              <w:rPr>
                <w:szCs w:val="18"/>
              </w:rPr>
            </w:pPr>
          </w:p>
        </w:tc>
        <w:tc>
          <w:tcPr>
            <w:tcW w:w="1891" w:type="pct"/>
            <w:vMerge w:val="continue"/>
            <w:vAlign w:val="center"/>
          </w:tcPr>
          <w:p w14:paraId="631A8AA6">
            <w:pPr>
              <w:pStyle w:val="1343"/>
              <w:rPr>
                <w:szCs w:val="18"/>
              </w:rPr>
            </w:pPr>
          </w:p>
        </w:tc>
      </w:tr>
      <w:tr w14:paraId="66893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pct"/>
            <w:vMerge w:val="restart"/>
            <w:vAlign w:val="center"/>
          </w:tcPr>
          <w:p w14:paraId="098B8A70">
            <w:pPr>
              <w:pStyle w:val="1343"/>
              <w:rPr>
                <w:szCs w:val="18"/>
              </w:rPr>
            </w:pPr>
            <w:r>
              <w:rPr>
                <w:szCs w:val="18"/>
              </w:rPr>
              <w:t>颗粒物</w:t>
            </w:r>
          </w:p>
          <w:p w14:paraId="56EF4939">
            <w:pPr>
              <w:pStyle w:val="1343"/>
              <w:rPr>
                <w:szCs w:val="18"/>
              </w:rPr>
            </w:pPr>
            <w:r>
              <w:rPr>
                <w:szCs w:val="18"/>
              </w:rPr>
              <w:t>PM</w:t>
            </w:r>
            <w:r>
              <w:rPr>
                <w:szCs w:val="18"/>
                <w:vertAlign w:val="subscript"/>
              </w:rPr>
              <w:t>10</w:t>
            </w:r>
          </w:p>
        </w:tc>
        <w:tc>
          <w:tcPr>
            <w:tcW w:w="1120" w:type="pct"/>
            <w:vAlign w:val="center"/>
          </w:tcPr>
          <w:p w14:paraId="0FD3270D">
            <w:pPr>
              <w:pStyle w:val="1343"/>
              <w:rPr>
                <w:szCs w:val="18"/>
              </w:rPr>
            </w:pPr>
            <w:r>
              <w:rPr>
                <w:szCs w:val="18"/>
              </w:rPr>
              <w:t>年平均</w:t>
            </w:r>
          </w:p>
        </w:tc>
        <w:tc>
          <w:tcPr>
            <w:tcW w:w="626" w:type="pct"/>
            <w:vAlign w:val="center"/>
          </w:tcPr>
          <w:p w14:paraId="559C37B4">
            <w:pPr>
              <w:pStyle w:val="1343"/>
              <w:rPr>
                <w:szCs w:val="18"/>
              </w:rPr>
            </w:pPr>
            <w:r>
              <w:rPr>
                <w:szCs w:val="18"/>
              </w:rPr>
              <w:t>70</w:t>
            </w:r>
          </w:p>
        </w:tc>
        <w:tc>
          <w:tcPr>
            <w:tcW w:w="582" w:type="pct"/>
            <w:vMerge w:val="restart"/>
            <w:vAlign w:val="center"/>
          </w:tcPr>
          <w:p w14:paraId="7EA4A2F7">
            <w:pPr>
              <w:pStyle w:val="1343"/>
              <w:rPr>
                <w:szCs w:val="18"/>
              </w:rPr>
            </w:pPr>
            <w:r>
              <w:rPr>
                <w:szCs w:val="18"/>
              </w:rPr>
              <w:t>μg/m</w:t>
            </w:r>
            <w:r>
              <w:rPr>
                <w:szCs w:val="18"/>
                <w:vertAlign w:val="superscript"/>
              </w:rPr>
              <w:t>3</w:t>
            </w:r>
          </w:p>
        </w:tc>
        <w:tc>
          <w:tcPr>
            <w:tcW w:w="1891" w:type="pct"/>
            <w:vMerge w:val="continue"/>
            <w:vAlign w:val="center"/>
          </w:tcPr>
          <w:p w14:paraId="2E87FECA">
            <w:pPr>
              <w:pStyle w:val="1343"/>
              <w:rPr>
                <w:szCs w:val="18"/>
              </w:rPr>
            </w:pPr>
          </w:p>
        </w:tc>
      </w:tr>
      <w:tr w14:paraId="34648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pct"/>
            <w:vMerge w:val="continue"/>
            <w:vAlign w:val="center"/>
          </w:tcPr>
          <w:p w14:paraId="5D1FE4B6">
            <w:pPr>
              <w:pStyle w:val="1343"/>
              <w:rPr>
                <w:szCs w:val="18"/>
              </w:rPr>
            </w:pPr>
          </w:p>
        </w:tc>
        <w:tc>
          <w:tcPr>
            <w:tcW w:w="1120" w:type="pct"/>
            <w:vAlign w:val="center"/>
          </w:tcPr>
          <w:p w14:paraId="4AC9C968">
            <w:pPr>
              <w:pStyle w:val="1343"/>
              <w:rPr>
                <w:szCs w:val="18"/>
              </w:rPr>
            </w:pPr>
            <w:r>
              <w:rPr>
                <w:szCs w:val="18"/>
              </w:rPr>
              <w:t>24小时平均</w:t>
            </w:r>
          </w:p>
        </w:tc>
        <w:tc>
          <w:tcPr>
            <w:tcW w:w="626" w:type="pct"/>
            <w:vAlign w:val="center"/>
          </w:tcPr>
          <w:p w14:paraId="2939CBAA">
            <w:pPr>
              <w:pStyle w:val="1343"/>
              <w:rPr>
                <w:szCs w:val="18"/>
              </w:rPr>
            </w:pPr>
            <w:r>
              <w:rPr>
                <w:szCs w:val="18"/>
              </w:rPr>
              <w:t>150</w:t>
            </w:r>
          </w:p>
        </w:tc>
        <w:tc>
          <w:tcPr>
            <w:tcW w:w="582" w:type="pct"/>
            <w:vMerge w:val="continue"/>
            <w:vAlign w:val="center"/>
          </w:tcPr>
          <w:p w14:paraId="37360BDF">
            <w:pPr>
              <w:pStyle w:val="1343"/>
              <w:rPr>
                <w:szCs w:val="18"/>
              </w:rPr>
            </w:pPr>
          </w:p>
        </w:tc>
        <w:tc>
          <w:tcPr>
            <w:tcW w:w="1891" w:type="pct"/>
            <w:vMerge w:val="continue"/>
            <w:vAlign w:val="center"/>
          </w:tcPr>
          <w:p w14:paraId="1013BE70">
            <w:pPr>
              <w:pStyle w:val="1343"/>
              <w:rPr>
                <w:szCs w:val="18"/>
              </w:rPr>
            </w:pPr>
          </w:p>
        </w:tc>
      </w:tr>
      <w:tr w14:paraId="160F3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pct"/>
            <w:vMerge w:val="restart"/>
            <w:vAlign w:val="center"/>
          </w:tcPr>
          <w:p w14:paraId="0C06D53E">
            <w:pPr>
              <w:pStyle w:val="1343"/>
              <w:rPr>
                <w:szCs w:val="18"/>
              </w:rPr>
            </w:pPr>
            <w:r>
              <w:rPr>
                <w:szCs w:val="18"/>
              </w:rPr>
              <w:t>颗粒物</w:t>
            </w:r>
          </w:p>
          <w:p w14:paraId="21D20FEF">
            <w:pPr>
              <w:pStyle w:val="1343"/>
              <w:rPr>
                <w:szCs w:val="18"/>
              </w:rPr>
            </w:pPr>
            <w:r>
              <w:rPr>
                <w:szCs w:val="18"/>
              </w:rPr>
              <w:t>PM</w:t>
            </w:r>
            <w:r>
              <w:rPr>
                <w:szCs w:val="18"/>
                <w:vertAlign w:val="subscript"/>
              </w:rPr>
              <w:t>2.5</w:t>
            </w:r>
          </w:p>
        </w:tc>
        <w:tc>
          <w:tcPr>
            <w:tcW w:w="1120" w:type="pct"/>
            <w:vAlign w:val="center"/>
          </w:tcPr>
          <w:p w14:paraId="44A406F0">
            <w:pPr>
              <w:pStyle w:val="1343"/>
              <w:rPr>
                <w:szCs w:val="18"/>
              </w:rPr>
            </w:pPr>
            <w:r>
              <w:rPr>
                <w:szCs w:val="18"/>
              </w:rPr>
              <w:t>年平均</w:t>
            </w:r>
          </w:p>
        </w:tc>
        <w:tc>
          <w:tcPr>
            <w:tcW w:w="626" w:type="pct"/>
            <w:vAlign w:val="center"/>
          </w:tcPr>
          <w:p w14:paraId="20131FC3">
            <w:pPr>
              <w:pStyle w:val="1343"/>
              <w:rPr>
                <w:szCs w:val="18"/>
              </w:rPr>
            </w:pPr>
            <w:r>
              <w:rPr>
                <w:szCs w:val="18"/>
              </w:rPr>
              <w:t>35</w:t>
            </w:r>
          </w:p>
        </w:tc>
        <w:tc>
          <w:tcPr>
            <w:tcW w:w="582" w:type="pct"/>
            <w:vMerge w:val="continue"/>
            <w:vAlign w:val="center"/>
          </w:tcPr>
          <w:p w14:paraId="073AAADB">
            <w:pPr>
              <w:pStyle w:val="1343"/>
              <w:rPr>
                <w:szCs w:val="18"/>
              </w:rPr>
            </w:pPr>
          </w:p>
        </w:tc>
        <w:tc>
          <w:tcPr>
            <w:tcW w:w="1891" w:type="pct"/>
            <w:vMerge w:val="continue"/>
            <w:vAlign w:val="center"/>
          </w:tcPr>
          <w:p w14:paraId="3DBF646C">
            <w:pPr>
              <w:pStyle w:val="1343"/>
              <w:rPr>
                <w:szCs w:val="18"/>
              </w:rPr>
            </w:pPr>
          </w:p>
        </w:tc>
      </w:tr>
      <w:tr w14:paraId="67FA3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pct"/>
            <w:vMerge w:val="continue"/>
            <w:vAlign w:val="center"/>
          </w:tcPr>
          <w:p w14:paraId="2FD7B632">
            <w:pPr>
              <w:pStyle w:val="1343"/>
              <w:rPr>
                <w:szCs w:val="18"/>
              </w:rPr>
            </w:pPr>
          </w:p>
        </w:tc>
        <w:tc>
          <w:tcPr>
            <w:tcW w:w="1120" w:type="pct"/>
            <w:vAlign w:val="center"/>
          </w:tcPr>
          <w:p w14:paraId="45F7F830">
            <w:pPr>
              <w:pStyle w:val="1343"/>
              <w:rPr>
                <w:szCs w:val="18"/>
              </w:rPr>
            </w:pPr>
            <w:r>
              <w:rPr>
                <w:szCs w:val="18"/>
              </w:rPr>
              <w:t>24小时平均</w:t>
            </w:r>
          </w:p>
        </w:tc>
        <w:tc>
          <w:tcPr>
            <w:tcW w:w="626" w:type="pct"/>
            <w:vAlign w:val="center"/>
          </w:tcPr>
          <w:p w14:paraId="3D0C3E21">
            <w:pPr>
              <w:pStyle w:val="1343"/>
              <w:rPr>
                <w:szCs w:val="18"/>
              </w:rPr>
            </w:pPr>
            <w:r>
              <w:rPr>
                <w:szCs w:val="18"/>
              </w:rPr>
              <w:t>75</w:t>
            </w:r>
          </w:p>
        </w:tc>
        <w:tc>
          <w:tcPr>
            <w:tcW w:w="582" w:type="pct"/>
            <w:vMerge w:val="continue"/>
            <w:vAlign w:val="center"/>
          </w:tcPr>
          <w:p w14:paraId="426CEE75">
            <w:pPr>
              <w:pStyle w:val="1343"/>
              <w:rPr>
                <w:szCs w:val="18"/>
              </w:rPr>
            </w:pPr>
          </w:p>
        </w:tc>
        <w:tc>
          <w:tcPr>
            <w:tcW w:w="1891" w:type="pct"/>
            <w:vMerge w:val="continue"/>
            <w:vAlign w:val="center"/>
          </w:tcPr>
          <w:p w14:paraId="4F9397CB">
            <w:pPr>
              <w:pStyle w:val="1343"/>
              <w:rPr>
                <w:szCs w:val="18"/>
              </w:rPr>
            </w:pPr>
          </w:p>
        </w:tc>
      </w:tr>
      <w:tr w14:paraId="0853D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pct"/>
            <w:vMerge w:val="restart"/>
            <w:vAlign w:val="center"/>
          </w:tcPr>
          <w:p w14:paraId="40DF6AA8">
            <w:pPr>
              <w:pStyle w:val="1343"/>
              <w:rPr>
                <w:szCs w:val="18"/>
              </w:rPr>
            </w:pPr>
            <w:r>
              <w:rPr>
                <w:szCs w:val="18"/>
              </w:rPr>
              <w:t>臭氧O</w:t>
            </w:r>
            <w:r>
              <w:rPr>
                <w:szCs w:val="18"/>
                <w:vertAlign w:val="subscript"/>
              </w:rPr>
              <w:t>3</w:t>
            </w:r>
          </w:p>
        </w:tc>
        <w:tc>
          <w:tcPr>
            <w:tcW w:w="1120" w:type="pct"/>
            <w:vAlign w:val="center"/>
          </w:tcPr>
          <w:p w14:paraId="17AA2A28">
            <w:pPr>
              <w:pStyle w:val="1343"/>
              <w:rPr>
                <w:szCs w:val="18"/>
              </w:rPr>
            </w:pPr>
            <w:r>
              <w:rPr>
                <w:szCs w:val="18"/>
              </w:rPr>
              <w:t>日最大8小时平均</w:t>
            </w:r>
          </w:p>
        </w:tc>
        <w:tc>
          <w:tcPr>
            <w:tcW w:w="626" w:type="pct"/>
            <w:vAlign w:val="center"/>
          </w:tcPr>
          <w:p w14:paraId="28D27FAE">
            <w:pPr>
              <w:pStyle w:val="1343"/>
              <w:rPr>
                <w:szCs w:val="18"/>
              </w:rPr>
            </w:pPr>
            <w:r>
              <w:rPr>
                <w:szCs w:val="18"/>
              </w:rPr>
              <w:t>160</w:t>
            </w:r>
          </w:p>
        </w:tc>
        <w:tc>
          <w:tcPr>
            <w:tcW w:w="582" w:type="pct"/>
            <w:vMerge w:val="restart"/>
            <w:vAlign w:val="center"/>
          </w:tcPr>
          <w:p w14:paraId="4809FD16">
            <w:pPr>
              <w:pStyle w:val="1343"/>
              <w:rPr>
                <w:szCs w:val="18"/>
              </w:rPr>
            </w:pPr>
            <w:r>
              <w:rPr>
                <w:szCs w:val="18"/>
              </w:rPr>
              <w:t>μg/m</w:t>
            </w:r>
            <w:r>
              <w:rPr>
                <w:szCs w:val="18"/>
                <w:vertAlign w:val="superscript"/>
              </w:rPr>
              <w:t>3</w:t>
            </w:r>
          </w:p>
        </w:tc>
        <w:tc>
          <w:tcPr>
            <w:tcW w:w="1891" w:type="pct"/>
            <w:vMerge w:val="continue"/>
            <w:vAlign w:val="center"/>
          </w:tcPr>
          <w:p w14:paraId="7D4AE071">
            <w:pPr>
              <w:pStyle w:val="1343"/>
              <w:rPr>
                <w:szCs w:val="18"/>
              </w:rPr>
            </w:pPr>
          </w:p>
        </w:tc>
      </w:tr>
      <w:tr w14:paraId="2BA6B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pct"/>
            <w:vMerge w:val="continue"/>
            <w:vAlign w:val="center"/>
          </w:tcPr>
          <w:p w14:paraId="3B51C1B3">
            <w:pPr>
              <w:pStyle w:val="1343"/>
              <w:rPr>
                <w:szCs w:val="18"/>
              </w:rPr>
            </w:pPr>
          </w:p>
        </w:tc>
        <w:tc>
          <w:tcPr>
            <w:tcW w:w="1120" w:type="pct"/>
            <w:vAlign w:val="center"/>
          </w:tcPr>
          <w:p w14:paraId="6C233637">
            <w:pPr>
              <w:pStyle w:val="1343"/>
              <w:rPr>
                <w:szCs w:val="18"/>
              </w:rPr>
            </w:pPr>
            <w:r>
              <w:rPr>
                <w:szCs w:val="18"/>
              </w:rPr>
              <w:t>1小时平均</w:t>
            </w:r>
          </w:p>
        </w:tc>
        <w:tc>
          <w:tcPr>
            <w:tcW w:w="626" w:type="pct"/>
            <w:vAlign w:val="center"/>
          </w:tcPr>
          <w:p w14:paraId="360877AD">
            <w:pPr>
              <w:pStyle w:val="1343"/>
              <w:rPr>
                <w:szCs w:val="18"/>
              </w:rPr>
            </w:pPr>
            <w:r>
              <w:rPr>
                <w:szCs w:val="18"/>
              </w:rPr>
              <w:t>200</w:t>
            </w:r>
          </w:p>
        </w:tc>
        <w:tc>
          <w:tcPr>
            <w:tcW w:w="582" w:type="pct"/>
            <w:vMerge w:val="continue"/>
            <w:vAlign w:val="center"/>
          </w:tcPr>
          <w:p w14:paraId="389CAA52">
            <w:pPr>
              <w:pStyle w:val="1343"/>
              <w:rPr>
                <w:szCs w:val="18"/>
              </w:rPr>
            </w:pPr>
          </w:p>
        </w:tc>
        <w:tc>
          <w:tcPr>
            <w:tcW w:w="1891" w:type="pct"/>
            <w:vMerge w:val="continue"/>
            <w:vAlign w:val="center"/>
          </w:tcPr>
          <w:p w14:paraId="59821CEE">
            <w:pPr>
              <w:pStyle w:val="1343"/>
              <w:rPr>
                <w:szCs w:val="18"/>
              </w:rPr>
            </w:pPr>
          </w:p>
        </w:tc>
      </w:tr>
      <w:tr w14:paraId="1B21E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0" w:type="pct"/>
            <w:vAlign w:val="center"/>
          </w:tcPr>
          <w:p w14:paraId="68D269AD">
            <w:pPr>
              <w:pStyle w:val="1343"/>
              <w:rPr>
                <w:szCs w:val="18"/>
              </w:rPr>
            </w:pPr>
            <w:r>
              <w:rPr>
                <w:szCs w:val="18"/>
              </w:rPr>
              <w:t>非甲烷总烃</w:t>
            </w:r>
          </w:p>
        </w:tc>
        <w:tc>
          <w:tcPr>
            <w:tcW w:w="1120" w:type="pct"/>
            <w:vAlign w:val="center"/>
          </w:tcPr>
          <w:p w14:paraId="46F34B4F">
            <w:pPr>
              <w:pStyle w:val="1343"/>
              <w:rPr>
                <w:szCs w:val="18"/>
              </w:rPr>
            </w:pPr>
            <w:r>
              <w:rPr>
                <w:szCs w:val="18"/>
              </w:rPr>
              <w:t>小时值</w:t>
            </w:r>
          </w:p>
        </w:tc>
        <w:tc>
          <w:tcPr>
            <w:tcW w:w="626" w:type="pct"/>
            <w:vAlign w:val="center"/>
          </w:tcPr>
          <w:p w14:paraId="6B445E5C">
            <w:pPr>
              <w:pStyle w:val="1343"/>
              <w:rPr>
                <w:szCs w:val="18"/>
              </w:rPr>
            </w:pPr>
            <w:r>
              <w:rPr>
                <w:szCs w:val="18"/>
              </w:rPr>
              <w:t>2</w:t>
            </w:r>
          </w:p>
        </w:tc>
        <w:tc>
          <w:tcPr>
            <w:tcW w:w="582" w:type="pct"/>
            <w:vAlign w:val="center"/>
          </w:tcPr>
          <w:p w14:paraId="410F8AD0">
            <w:pPr>
              <w:pStyle w:val="1343"/>
              <w:rPr>
                <w:szCs w:val="18"/>
              </w:rPr>
            </w:pPr>
            <w:r>
              <w:rPr>
                <w:szCs w:val="18"/>
              </w:rPr>
              <w:t>mg/m</w:t>
            </w:r>
            <w:r>
              <w:rPr>
                <w:szCs w:val="18"/>
                <w:vertAlign w:val="superscript"/>
              </w:rPr>
              <w:t>3</w:t>
            </w:r>
          </w:p>
        </w:tc>
        <w:tc>
          <w:tcPr>
            <w:tcW w:w="1891" w:type="pct"/>
            <w:vAlign w:val="center"/>
          </w:tcPr>
          <w:p w14:paraId="77CAA04F">
            <w:pPr>
              <w:pStyle w:val="1343"/>
              <w:rPr>
                <w:szCs w:val="18"/>
              </w:rPr>
            </w:pPr>
            <w:r>
              <w:rPr>
                <w:kern w:val="2"/>
              </w:rPr>
              <w:t>《大气污染物综合排放标准详解》</w:t>
            </w:r>
            <w:r>
              <w:rPr>
                <w:rFonts w:hint="eastAsia"/>
                <w:kern w:val="2"/>
              </w:rPr>
              <w:t>（</w:t>
            </w:r>
            <w:r>
              <w:rPr>
                <w:kern w:val="2"/>
              </w:rPr>
              <w:t>中国环境科学出版社出版</w:t>
            </w:r>
            <w:r>
              <w:rPr>
                <w:rFonts w:hint="eastAsia"/>
                <w:kern w:val="2"/>
              </w:rPr>
              <w:t>）</w:t>
            </w:r>
            <w:r>
              <w:rPr>
                <w:kern w:val="2"/>
              </w:rPr>
              <w:t>P244页说明，目前我国</w:t>
            </w:r>
            <w:r>
              <w:rPr>
                <w:rFonts w:hint="eastAsia"/>
                <w:kern w:val="2"/>
              </w:rPr>
              <w:t>“</w:t>
            </w:r>
            <w:r>
              <w:rPr>
                <w:kern w:val="2"/>
              </w:rPr>
              <w:t>非甲烷总烃</w:t>
            </w:r>
            <w:r>
              <w:rPr>
                <w:rFonts w:hint="eastAsia"/>
                <w:kern w:val="2"/>
              </w:rPr>
              <w:t>”</w:t>
            </w:r>
            <w:r>
              <w:rPr>
                <w:kern w:val="2"/>
              </w:rPr>
              <w:t>的环境质量标准，可选用2mg/m</w:t>
            </w:r>
            <w:r>
              <w:rPr>
                <w:kern w:val="2"/>
                <w:vertAlign w:val="superscript"/>
              </w:rPr>
              <w:t>3</w:t>
            </w:r>
            <w:r>
              <w:rPr>
                <w:kern w:val="2"/>
              </w:rPr>
              <w:t>作为计算依据</w:t>
            </w:r>
          </w:p>
        </w:tc>
      </w:tr>
    </w:tbl>
    <w:p w14:paraId="18965B1C">
      <w:pPr>
        <w:pStyle w:val="7"/>
        <w:snapToGrid w:val="0"/>
        <w:spacing w:before="120" w:beforeLines="50"/>
      </w:pPr>
      <w:r>
        <w:t>地表水环境</w:t>
      </w:r>
    </w:p>
    <w:p w14:paraId="33B79985">
      <w:pPr>
        <w:pStyle w:val="234"/>
      </w:pPr>
      <w:r>
        <w:t>管道沿线</w:t>
      </w:r>
      <w:r>
        <w:rPr>
          <w:rFonts w:hint="eastAsia"/>
        </w:rPr>
        <w:t>附近的坑塘功能为农田灌溉，</w:t>
      </w:r>
      <w:r>
        <w:rPr>
          <w:rFonts w:hint="eastAsia"/>
          <w:i/>
          <w:iCs/>
          <w:color w:val="auto"/>
          <w:u w:val="single"/>
        </w:rPr>
        <w:t>属于</w:t>
      </w:r>
      <w:r>
        <w:rPr>
          <w:rFonts w:hint="eastAsia"/>
          <w:i/>
          <w:iCs/>
          <w:color w:val="auto"/>
          <w:u w:val="single"/>
          <w:lang w:val="en-US" w:eastAsia="zh-CN"/>
        </w:rPr>
        <w:t>Ⅲ</w:t>
      </w:r>
      <w:r>
        <w:rPr>
          <w:rFonts w:hint="eastAsia"/>
          <w:i/>
          <w:iCs/>
          <w:color w:val="auto"/>
          <w:u w:val="single"/>
        </w:rPr>
        <w:t>类环境功能区</w:t>
      </w:r>
      <w:r>
        <w:rPr>
          <w:rFonts w:hint="eastAsia"/>
        </w:rPr>
        <w:t>，执行</w:t>
      </w:r>
      <w:r>
        <w:t>《</w:t>
      </w:r>
      <w:r>
        <w:rPr>
          <w:rFonts w:hint="eastAsia"/>
        </w:rPr>
        <w:t>地表水环境质量标</w:t>
      </w:r>
      <w:r>
        <w:t>准》</w:t>
      </w:r>
      <w:r>
        <w:rPr>
          <w:rFonts w:hint="eastAsia"/>
        </w:rPr>
        <w:t>（</w:t>
      </w:r>
      <w:r>
        <w:t>GB</w:t>
      </w:r>
      <w:r>
        <w:rPr>
          <w:rFonts w:hint="eastAsia"/>
        </w:rPr>
        <w:t>3838-2002）</w:t>
      </w:r>
      <w:r>
        <w:t>中</w:t>
      </w:r>
      <w:r>
        <w:rPr>
          <w:rFonts w:hint="eastAsia"/>
          <w:i/>
          <w:iCs/>
          <w:color w:val="auto"/>
          <w:u w:val="single"/>
          <w:lang w:val="en-US" w:eastAsia="zh-CN"/>
        </w:rPr>
        <w:t>Ⅲ</w:t>
      </w:r>
      <w:r>
        <w:rPr>
          <w:rFonts w:hint="eastAsia"/>
          <w:i/>
          <w:iCs/>
          <w:color w:val="auto"/>
          <w:u w:val="single"/>
        </w:rPr>
        <w:t>类标准限值</w:t>
      </w:r>
      <w:r>
        <w:rPr>
          <w:rFonts w:hint="eastAsia"/>
        </w:rPr>
        <w:t>，悬浮物参照《农田灌溉水质标准》（GB 5084-2021）中水田作物标准限值</w:t>
      </w:r>
      <w:r>
        <w:t>。具体标准限值见</w:t>
      </w:r>
      <w:r>
        <w:fldChar w:fldCharType="begin"/>
      </w:r>
      <w:r>
        <w:instrText xml:space="preserve"> REF _Ref74755251 \h  \* MERGEFORMAT </w:instrText>
      </w:r>
      <w:r>
        <w:fldChar w:fldCharType="separate"/>
      </w:r>
      <w:r>
        <w:t>表 2.7</w:t>
      </w:r>
      <w:r>
        <w:noBreakHyphen/>
      </w:r>
      <w:r>
        <w:t>2</w:t>
      </w:r>
      <w:r>
        <w:fldChar w:fldCharType="end"/>
      </w:r>
      <w:r>
        <w:t>。</w:t>
      </w:r>
    </w:p>
    <w:p w14:paraId="46D13E0B">
      <w:pPr>
        <w:pStyle w:val="904"/>
        <w:rPr>
          <w:i/>
          <w:iCs/>
          <w:color w:val="auto"/>
          <w:u w:val="single"/>
        </w:rPr>
      </w:pPr>
      <w:bookmarkStart w:id="125" w:name="_Ref74755251"/>
      <w:r>
        <w:rPr>
          <w:i/>
          <w:iCs/>
          <w:color w:val="auto"/>
          <w:u w:val="single"/>
        </w:rPr>
        <w:t xml:space="preserve">表 </w:t>
      </w:r>
      <w:r>
        <w:rPr>
          <w:i/>
          <w:iCs/>
          <w:color w:val="auto"/>
          <w:u w:val="single"/>
        </w:rPr>
        <w:fldChar w:fldCharType="begin"/>
      </w:r>
      <w:r>
        <w:rPr>
          <w:i/>
          <w:iCs/>
          <w:color w:val="auto"/>
          <w:u w:val="single"/>
        </w:rPr>
        <w:instrText xml:space="preserve"> STYLEREF 2 \s </w:instrText>
      </w:r>
      <w:r>
        <w:rPr>
          <w:i/>
          <w:iCs/>
          <w:color w:val="auto"/>
          <w:u w:val="single"/>
        </w:rPr>
        <w:fldChar w:fldCharType="separate"/>
      </w:r>
      <w:r>
        <w:rPr>
          <w:i/>
          <w:iCs/>
          <w:color w:val="auto"/>
          <w:u w:val="single"/>
        </w:rPr>
        <w:t>2.7</w:t>
      </w:r>
      <w:r>
        <w:rPr>
          <w:i/>
          <w:iCs/>
          <w:color w:val="auto"/>
          <w:u w:val="single"/>
        </w:rPr>
        <w:fldChar w:fldCharType="end"/>
      </w:r>
      <w:r>
        <w:rPr>
          <w:i/>
          <w:iCs/>
          <w:color w:val="auto"/>
          <w:u w:val="single"/>
        </w:rPr>
        <w:noBreakHyphen/>
      </w:r>
      <w:r>
        <w:rPr>
          <w:i/>
          <w:iCs/>
          <w:color w:val="auto"/>
          <w:u w:val="single"/>
        </w:rPr>
        <w:fldChar w:fldCharType="begin"/>
      </w:r>
      <w:r>
        <w:rPr>
          <w:i/>
          <w:iCs/>
          <w:color w:val="auto"/>
          <w:u w:val="single"/>
        </w:rPr>
        <w:instrText xml:space="preserve"> SEQ 表 \* ARABIC \s 2 </w:instrText>
      </w:r>
      <w:r>
        <w:rPr>
          <w:i/>
          <w:iCs/>
          <w:color w:val="auto"/>
          <w:u w:val="single"/>
        </w:rPr>
        <w:fldChar w:fldCharType="separate"/>
      </w:r>
      <w:r>
        <w:rPr>
          <w:i/>
          <w:iCs/>
          <w:color w:val="auto"/>
          <w:u w:val="single"/>
        </w:rPr>
        <w:t>2</w:t>
      </w:r>
      <w:r>
        <w:rPr>
          <w:i/>
          <w:iCs/>
          <w:color w:val="auto"/>
          <w:u w:val="single"/>
        </w:rPr>
        <w:fldChar w:fldCharType="end"/>
      </w:r>
      <w:bookmarkEnd w:id="125"/>
      <w:r>
        <w:rPr>
          <w:rFonts w:hint="eastAsia"/>
          <w:i/>
          <w:iCs/>
          <w:color w:val="auto"/>
          <w:u w:val="single"/>
        </w:rPr>
        <w:t xml:space="preserve">  地表水</w:t>
      </w:r>
      <w:r>
        <w:rPr>
          <w:rFonts w:hint="eastAsia"/>
          <w:i/>
          <w:iCs/>
          <w:color w:val="auto"/>
          <w:u w:val="single"/>
          <w:lang w:val="en-US" w:eastAsia="zh-CN"/>
        </w:rPr>
        <w:t>环境</w:t>
      </w:r>
      <w:r>
        <w:rPr>
          <w:rFonts w:hint="eastAsia"/>
          <w:i/>
          <w:iCs/>
          <w:color w:val="auto"/>
          <w:u w:val="single"/>
        </w:rPr>
        <w:t>质量</w:t>
      </w:r>
      <w:r>
        <w:rPr>
          <w:i/>
          <w:iCs/>
          <w:color w:val="auto"/>
          <w:u w:val="single"/>
        </w:rPr>
        <w:t>标准</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5"/>
        <w:gridCol w:w="2763"/>
        <w:gridCol w:w="2126"/>
        <w:gridCol w:w="3642"/>
      </w:tblGrid>
      <w:tr w14:paraId="303F8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14:paraId="083156DA">
            <w:pPr>
              <w:pStyle w:val="1343"/>
            </w:pPr>
            <w:r>
              <w:t>序号</w:t>
            </w:r>
          </w:p>
        </w:tc>
        <w:tc>
          <w:tcPr>
            <w:tcW w:w="1487" w:type="pct"/>
            <w:vAlign w:val="center"/>
          </w:tcPr>
          <w:p w14:paraId="21FA5581">
            <w:pPr>
              <w:pStyle w:val="1343"/>
            </w:pPr>
            <w:r>
              <w:t>指标</w:t>
            </w:r>
          </w:p>
        </w:tc>
        <w:tc>
          <w:tcPr>
            <w:tcW w:w="1144" w:type="pct"/>
            <w:vAlign w:val="center"/>
          </w:tcPr>
          <w:p w14:paraId="1CA12CA9">
            <w:pPr>
              <w:pStyle w:val="1343"/>
            </w:pPr>
            <w:r>
              <w:rPr>
                <w:rFonts w:hint="eastAsia"/>
              </w:rPr>
              <w:t>单位</w:t>
            </w:r>
          </w:p>
        </w:tc>
        <w:tc>
          <w:tcPr>
            <w:tcW w:w="1960" w:type="pct"/>
            <w:vAlign w:val="center"/>
          </w:tcPr>
          <w:p w14:paraId="31BF8A27">
            <w:pPr>
              <w:pStyle w:val="1343"/>
              <w:rPr>
                <w:i/>
                <w:iCs/>
                <w:color w:val="auto"/>
                <w:u w:val="single"/>
              </w:rPr>
            </w:pPr>
            <w:r>
              <w:rPr>
                <w:rFonts w:hint="eastAsia"/>
                <w:i/>
                <w:iCs/>
                <w:color w:val="auto"/>
                <w:u w:val="single"/>
                <w:lang w:val="en-US" w:eastAsia="zh-CN"/>
              </w:rPr>
              <w:t>Ⅲ</w:t>
            </w:r>
            <w:r>
              <w:rPr>
                <w:rFonts w:hint="eastAsia"/>
                <w:i/>
                <w:iCs/>
                <w:color w:val="auto"/>
                <w:u w:val="single"/>
              </w:rPr>
              <w:t>类</w:t>
            </w:r>
          </w:p>
        </w:tc>
      </w:tr>
      <w:tr w14:paraId="12430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14:paraId="7365CA73">
            <w:pPr>
              <w:pStyle w:val="1343"/>
            </w:pPr>
            <w:r>
              <w:t>1</w:t>
            </w:r>
          </w:p>
        </w:tc>
        <w:tc>
          <w:tcPr>
            <w:tcW w:w="1487" w:type="pct"/>
            <w:vAlign w:val="center"/>
          </w:tcPr>
          <w:p w14:paraId="63E8858F">
            <w:pPr>
              <w:pStyle w:val="1343"/>
            </w:pPr>
            <w:r>
              <w:t>pH值（无量纲）</w:t>
            </w:r>
          </w:p>
        </w:tc>
        <w:tc>
          <w:tcPr>
            <w:tcW w:w="1144" w:type="pct"/>
            <w:vAlign w:val="center"/>
          </w:tcPr>
          <w:p w14:paraId="70F6321C">
            <w:pPr>
              <w:pStyle w:val="1343"/>
            </w:pPr>
            <w:r>
              <w:rPr>
                <w:rFonts w:hint="eastAsia"/>
              </w:rPr>
              <w:t>/</w:t>
            </w:r>
          </w:p>
        </w:tc>
        <w:tc>
          <w:tcPr>
            <w:tcW w:w="1960" w:type="pct"/>
            <w:vAlign w:val="center"/>
          </w:tcPr>
          <w:p w14:paraId="52DADF40">
            <w:pPr>
              <w:pStyle w:val="1343"/>
              <w:rPr>
                <w:i/>
                <w:iCs/>
                <w:color w:val="auto"/>
                <w:u w:val="single"/>
              </w:rPr>
            </w:pPr>
            <w:r>
              <w:rPr>
                <w:rFonts w:hint="eastAsia"/>
                <w:i/>
                <w:iCs/>
                <w:color w:val="auto"/>
                <w:u w:val="single"/>
              </w:rPr>
              <w:t>6~9</w:t>
            </w:r>
          </w:p>
        </w:tc>
      </w:tr>
      <w:tr w14:paraId="77A04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14:paraId="07D94FBA">
            <w:pPr>
              <w:pStyle w:val="1343"/>
            </w:pPr>
            <w:r>
              <w:t>2</w:t>
            </w:r>
          </w:p>
        </w:tc>
        <w:tc>
          <w:tcPr>
            <w:tcW w:w="1487" w:type="pct"/>
            <w:vAlign w:val="center"/>
          </w:tcPr>
          <w:p w14:paraId="2E20C658">
            <w:pPr>
              <w:pStyle w:val="1343"/>
            </w:pPr>
            <w:r>
              <w:t>化学需氧量（COD</w:t>
            </w:r>
            <w:r>
              <w:rPr>
                <w:vertAlign w:val="subscript"/>
              </w:rPr>
              <w:t>Cr</w:t>
            </w:r>
            <w:r>
              <w:t>）</w:t>
            </w:r>
          </w:p>
        </w:tc>
        <w:tc>
          <w:tcPr>
            <w:tcW w:w="1144" w:type="pct"/>
            <w:vAlign w:val="center"/>
          </w:tcPr>
          <w:p w14:paraId="64ABEDA0">
            <w:pPr>
              <w:pStyle w:val="1343"/>
            </w:pPr>
            <w:r>
              <w:t>mg/L</w:t>
            </w:r>
          </w:p>
        </w:tc>
        <w:tc>
          <w:tcPr>
            <w:tcW w:w="1960" w:type="pct"/>
            <w:vAlign w:val="center"/>
          </w:tcPr>
          <w:p w14:paraId="0FFBE821">
            <w:pPr>
              <w:pStyle w:val="1343"/>
              <w:rPr>
                <w:rFonts w:hint="default" w:eastAsia="宋体"/>
                <w:i/>
                <w:iCs/>
                <w:color w:val="auto"/>
                <w:u w:val="single"/>
                <w:lang w:val="en-US" w:eastAsia="zh-CN"/>
              </w:rPr>
            </w:pPr>
            <w:r>
              <w:rPr>
                <w:i/>
                <w:iCs/>
                <w:color w:val="auto"/>
                <w:u w:val="single"/>
              </w:rPr>
              <w:t>≤</w:t>
            </w:r>
            <w:r>
              <w:rPr>
                <w:rFonts w:hint="eastAsia"/>
                <w:i/>
                <w:iCs/>
                <w:color w:val="auto"/>
                <w:u w:val="single"/>
                <w:lang w:val="en-US" w:eastAsia="zh-CN"/>
              </w:rPr>
              <w:t>20</w:t>
            </w:r>
          </w:p>
        </w:tc>
      </w:tr>
      <w:tr w14:paraId="5C3CF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14:paraId="43360F5E">
            <w:pPr>
              <w:pStyle w:val="1343"/>
            </w:pPr>
            <w:r>
              <w:t>3</w:t>
            </w:r>
          </w:p>
        </w:tc>
        <w:tc>
          <w:tcPr>
            <w:tcW w:w="1487" w:type="pct"/>
            <w:vAlign w:val="center"/>
          </w:tcPr>
          <w:p w14:paraId="19F3E4E9">
            <w:pPr>
              <w:pStyle w:val="1343"/>
            </w:pPr>
            <w:r>
              <w:t>五日生化需氧量（BOD</w:t>
            </w:r>
            <w:r>
              <w:rPr>
                <w:vertAlign w:val="subscript"/>
              </w:rPr>
              <w:t>5</w:t>
            </w:r>
            <w:r>
              <w:t>）</w:t>
            </w:r>
          </w:p>
        </w:tc>
        <w:tc>
          <w:tcPr>
            <w:tcW w:w="1144" w:type="pct"/>
            <w:vAlign w:val="center"/>
          </w:tcPr>
          <w:p w14:paraId="6D2F7B16">
            <w:pPr>
              <w:pStyle w:val="1343"/>
            </w:pPr>
            <w:r>
              <w:t>mg/L</w:t>
            </w:r>
          </w:p>
        </w:tc>
        <w:tc>
          <w:tcPr>
            <w:tcW w:w="1960" w:type="pct"/>
            <w:vAlign w:val="center"/>
          </w:tcPr>
          <w:p w14:paraId="5CADE477">
            <w:pPr>
              <w:pStyle w:val="1343"/>
              <w:rPr>
                <w:rFonts w:hint="eastAsia" w:eastAsia="宋体"/>
                <w:i/>
                <w:iCs/>
                <w:color w:val="auto"/>
                <w:u w:val="single"/>
                <w:lang w:eastAsia="zh-CN"/>
              </w:rPr>
            </w:pPr>
            <w:r>
              <w:rPr>
                <w:i/>
                <w:iCs/>
                <w:color w:val="auto"/>
                <w:u w:val="single"/>
              </w:rPr>
              <w:t>≤</w:t>
            </w:r>
            <w:r>
              <w:rPr>
                <w:rFonts w:hint="eastAsia"/>
                <w:i/>
                <w:iCs/>
                <w:color w:val="auto"/>
                <w:u w:val="single"/>
                <w:lang w:val="en-US" w:eastAsia="zh-CN"/>
              </w:rPr>
              <w:t>4</w:t>
            </w:r>
          </w:p>
        </w:tc>
      </w:tr>
      <w:tr w14:paraId="386A2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14:paraId="675FC671">
            <w:pPr>
              <w:pStyle w:val="1343"/>
            </w:pPr>
            <w:r>
              <w:t>4</w:t>
            </w:r>
          </w:p>
        </w:tc>
        <w:tc>
          <w:tcPr>
            <w:tcW w:w="1487" w:type="pct"/>
            <w:vAlign w:val="center"/>
          </w:tcPr>
          <w:p w14:paraId="126A990B">
            <w:pPr>
              <w:pStyle w:val="1343"/>
            </w:pPr>
            <w:r>
              <w:rPr>
                <w:rFonts w:hint="eastAsia"/>
              </w:rPr>
              <w:t>悬浮物</w:t>
            </w:r>
          </w:p>
        </w:tc>
        <w:tc>
          <w:tcPr>
            <w:tcW w:w="1144" w:type="pct"/>
            <w:vAlign w:val="center"/>
          </w:tcPr>
          <w:p w14:paraId="5738F7E4">
            <w:pPr>
              <w:pStyle w:val="1343"/>
            </w:pPr>
            <w:r>
              <w:t>mg/L</w:t>
            </w:r>
          </w:p>
        </w:tc>
        <w:tc>
          <w:tcPr>
            <w:tcW w:w="1960" w:type="pct"/>
            <w:vAlign w:val="center"/>
          </w:tcPr>
          <w:p w14:paraId="75DCEB98">
            <w:pPr>
              <w:pStyle w:val="1343"/>
              <w:rPr>
                <w:i/>
                <w:iCs/>
                <w:color w:val="auto"/>
                <w:u w:val="single"/>
              </w:rPr>
            </w:pPr>
            <w:r>
              <w:rPr>
                <w:i/>
                <w:iCs/>
                <w:color w:val="auto"/>
                <w:u w:val="single"/>
              </w:rPr>
              <w:t>≤</w:t>
            </w:r>
            <w:r>
              <w:rPr>
                <w:rFonts w:hint="eastAsia"/>
                <w:i/>
                <w:iCs/>
                <w:color w:val="auto"/>
                <w:u w:val="single"/>
              </w:rPr>
              <w:t>80</w:t>
            </w:r>
          </w:p>
        </w:tc>
      </w:tr>
      <w:tr w14:paraId="13179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14:paraId="46C32F7D">
            <w:pPr>
              <w:pStyle w:val="1343"/>
            </w:pPr>
            <w:r>
              <w:t>5</w:t>
            </w:r>
          </w:p>
        </w:tc>
        <w:tc>
          <w:tcPr>
            <w:tcW w:w="1487" w:type="pct"/>
            <w:vAlign w:val="center"/>
          </w:tcPr>
          <w:p w14:paraId="483789B8">
            <w:pPr>
              <w:pStyle w:val="1343"/>
            </w:pPr>
            <w:r>
              <w:t>石油类</w:t>
            </w:r>
          </w:p>
        </w:tc>
        <w:tc>
          <w:tcPr>
            <w:tcW w:w="1144" w:type="pct"/>
            <w:vAlign w:val="center"/>
          </w:tcPr>
          <w:p w14:paraId="0F8F9B75">
            <w:pPr>
              <w:pStyle w:val="1343"/>
            </w:pPr>
            <w:r>
              <w:t>mg/L</w:t>
            </w:r>
          </w:p>
        </w:tc>
        <w:tc>
          <w:tcPr>
            <w:tcW w:w="1960" w:type="pct"/>
            <w:vAlign w:val="center"/>
          </w:tcPr>
          <w:p w14:paraId="5A83A5B8">
            <w:pPr>
              <w:pStyle w:val="1343"/>
              <w:rPr>
                <w:i/>
                <w:iCs/>
                <w:color w:val="auto"/>
                <w:u w:val="single"/>
              </w:rPr>
            </w:pPr>
            <w:r>
              <w:rPr>
                <w:i/>
                <w:iCs/>
                <w:color w:val="auto"/>
                <w:u w:val="single"/>
              </w:rPr>
              <w:t>≤</w:t>
            </w:r>
            <w:r>
              <w:rPr>
                <w:rFonts w:hint="eastAsia"/>
                <w:i/>
                <w:iCs/>
                <w:color w:val="auto"/>
                <w:u w:val="single"/>
              </w:rPr>
              <w:t>0.</w:t>
            </w:r>
            <w:r>
              <w:rPr>
                <w:rFonts w:hint="eastAsia"/>
                <w:i/>
                <w:iCs/>
                <w:color w:val="auto"/>
                <w:u w:val="single"/>
                <w:lang w:val="en-US" w:eastAsia="zh-CN"/>
              </w:rPr>
              <w:t>0</w:t>
            </w:r>
            <w:r>
              <w:rPr>
                <w:rFonts w:hint="eastAsia"/>
                <w:i/>
                <w:iCs/>
                <w:color w:val="auto"/>
                <w:u w:val="single"/>
              </w:rPr>
              <w:t>5</w:t>
            </w:r>
          </w:p>
        </w:tc>
      </w:tr>
      <w:tr w14:paraId="5505A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14:paraId="51720056">
            <w:pPr>
              <w:pStyle w:val="1343"/>
            </w:pPr>
            <w:r>
              <w:t>6</w:t>
            </w:r>
          </w:p>
        </w:tc>
        <w:tc>
          <w:tcPr>
            <w:tcW w:w="1487" w:type="pct"/>
            <w:vAlign w:val="center"/>
          </w:tcPr>
          <w:p w14:paraId="01F0E33A">
            <w:pPr>
              <w:pStyle w:val="1343"/>
            </w:pPr>
            <w:r>
              <w:rPr>
                <w:rFonts w:hint="eastAsia"/>
              </w:rPr>
              <w:t>挥发酚</w:t>
            </w:r>
          </w:p>
        </w:tc>
        <w:tc>
          <w:tcPr>
            <w:tcW w:w="1144" w:type="pct"/>
            <w:vAlign w:val="center"/>
          </w:tcPr>
          <w:p w14:paraId="56C73EF3">
            <w:pPr>
              <w:pStyle w:val="1343"/>
            </w:pPr>
            <w:r>
              <w:t>mg/L</w:t>
            </w:r>
          </w:p>
        </w:tc>
        <w:tc>
          <w:tcPr>
            <w:tcW w:w="1960" w:type="pct"/>
            <w:vAlign w:val="center"/>
          </w:tcPr>
          <w:p w14:paraId="55603D25">
            <w:pPr>
              <w:pStyle w:val="1343"/>
              <w:rPr>
                <w:rFonts w:hint="default" w:eastAsia="宋体"/>
                <w:i/>
                <w:iCs/>
                <w:color w:val="auto"/>
                <w:u w:val="single"/>
                <w:lang w:val="en-US" w:eastAsia="zh-CN"/>
              </w:rPr>
            </w:pPr>
            <w:r>
              <w:rPr>
                <w:i/>
                <w:iCs/>
                <w:color w:val="auto"/>
                <w:u w:val="single"/>
              </w:rPr>
              <w:t>≤</w:t>
            </w:r>
            <w:r>
              <w:rPr>
                <w:rFonts w:hint="eastAsia"/>
                <w:i/>
                <w:iCs/>
                <w:color w:val="auto"/>
                <w:u w:val="single"/>
              </w:rPr>
              <w:t>0.0</w:t>
            </w:r>
            <w:r>
              <w:rPr>
                <w:rFonts w:hint="eastAsia"/>
                <w:i/>
                <w:iCs/>
                <w:color w:val="auto"/>
                <w:u w:val="single"/>
                <w:lang w:val="en-US" w:eastAsia="zh-CN"/>
              </w:rPr>
              <w:t>05</w:t>
            </w:r>
          </w:p>
        </w:tc>
      </w:tr>
      <w:tr w14:paraId="2946D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14:paraId="65AB714D">
            <w:pPr>
              <w:pStyle w:val="1343"/>
            </w:pPr>
            <w:r>
              <w:t>7</w:t>
            </w:r>
          </w:p>
        </w:tc>
        <w:tc>
          <w:tcPr>
            <w:tcW w:w="1487" w:type="pct"/>
            <w:vAlign w:val="center"/>
          </w:tcPr>
          <w:p w14:paraId="097FAE59">
            <w:pPr>
              <w:pStyle w:val="1343"/>
            </w:pPr>
            <w:r>
              <w:rPr>
                <w:rFonts w:hint="eastAsia"/>
              </w:rPr>
              <w:t>粪大肠菌群数</w:t>
            </w:r>
          </w:p>
        </w:tc>
        <w:tc>
          <w:tcPr>
            <w:tcW w:w="1144" w:type="pct"/>
            <w:vAlign w:val="center"/>
          </w:tcPr>
          <w:p w14:paraId="4867E148">
            <w:pPr>
              <w:pStyle w:val="1343"/>
            </w:pPr>
            <w:r>
              <w:rPr>
                <w:rFonts w:hint="eastAsia"/>
              </w:rPr>
              <w:t>个</w:t>
            </w:r>
            <w:r>
              <w:t>/L</w:t>
            </w:r>
          </w:p>
        </w:tc>
        <w:tc>
          <w:tcPr>
            <w:tcW w:w="1960" w:type="pct"/>
            <w:vAlign w:val="center"/>
          </w:tcPr>
          <w:p w14:paraId="2DC92A8B">
            <w:pPr>
              <w:pStyle w:val="1343"/>
              <w:rPr>
                <w:i/>
                <w:iCs/>
                <w:color w:val="auto"/>
                <w:u w:val="single"/>
              </w:rPr>
            </w:pPr>
            <w:r>
              <w:rPr>
                <w:i/>
                <w:iCs/>
                <w:color w:val="auto"/>
                <w:u w:val="single"/>
              </w:rPr>
              <w:t>≤</w:t>
            </w:r>
            <w:r>
              <w:rPr>
                <w:rFonts w:hint="eastAsia"/>
                <w:i/>
                <w:iCs/>
                <w:color w:val="auto"/>
                <w:u w:val="single"/>
                <w:lang w:val="en-US" w:eastAsia="zh-CN"/>
              </w:rPr>
              <w:t>1</w:t>
            </w:r>
            <w:r>
              <w:rPr>
                <w:rFonts w:hint="eastAsia"/>
                <w:i/>
                <w:iCs/>
                <w:color w:val="auto"/>
                <w:u w:val="single"/>
              </w:rPr>
              <w:t>0000</w:t>
            </w:r>
          </w:p>
        </w:tc>
      </w:tr>
    </w:tbl>
    <w:p w14:paraId="6AAC2637">
      <w:pPr>
        <w:pStyle w:val="7"/>
        <w:snapToGrid w:val="0"/>
        <w:spacing w:before="120" w:beforeLines="50"/>
      </w:pPr>
      <w:r>
        <w:t>地下水环境</w:t>
      </w:r>
    </w:p>
    <w:p w14:paraId="7696597B">
      <w:pPr>
        <w:pStyle w:val="234"/>
      </w:pPr>
      <w:r>
        <w:t>本工程沿线区域地下水环境质量执行《地下水质量标准》(GB/T14848-2017)Ⅲ类水质标准，石油类参照《地表水环境质量标准》(GB3838-2002)Ⅲ类标准要求。标准限值详见</w:t>
      </w:r>
      <w:r>
        <w:fldChar w:fldCharType="begin"/>
      </w:r>
      <w:r>
        <w:instrText xml:space="preserve"> REF _Ref74760081 \h  \* MERGEFORMAT </w:instrText>
      </w:r>
      <w:r>
        <w:fldChar w:fldCharType="separate"/>
      </w:r>
      <w:r>
        <w:t>表 2.7</w:t>
      </w:r>
      <w:r>
        <w:noBreakHyphen/>
      </w:r>
      <w:r>
        <w:t>3</w:t>
      </w:r>
      <w:r>
        <w:fldChar w:fldCharType="end"/>
      </w:r>
      <w:r>
        <w:t>。</w:t>
      </w:r>
    </w:p>
    <w:p w14:paraId="53BB63F3">
      <w:pPr>
        <w:pStyle w:val="904"/>
        <w:rPr>
          <w:i/>
          <w:iCs/>
          <w:color w:val="auto"/>
          <w:u w:val="single"/>
        </w:rPr>
      </w:pPr>
      <w:bookmarkStart w:id="126" w:name="_Ref74760081"/>
      <w:r>
        <w:rPr>
          <w:i/>
          <w:iCs/>
          <w:color w:val="auto"/>
          <w:u w:val="single"/>
        </w:rPr>
        <w:t xml:space="preserve">表 </w:t>
      </w:r>
      <w:r>
        <w:rPr>
          <w:i/>
          <w:iCs/>
          <w:color w:val="auto"/>
          <w:u w:val="single"/>
        </w:rPr>
        <w:fldChar w:fldCharType="begin"/>
      </w:r>
      <w:r>
        <w:rPr>
          <w:i/>
          <w:iCs/>
          <w:color w:val="auto"/>
          <w:u w:val="single"/>
        </w:rPr>
        <w:instrText xml:space="preserve"> STYLEREF 2 \s </w:instrText>
      </w:r>
      <w:r>
        <w:rPr>
          <w:i/>
          <w:iCs/>
          <w:color w:val="auto"/>
          <w:u w:val="single"/>
        </w:rPr>
        <w:fldChar w:fldCharType="separate"/>
      </w:r>
      <w:r>
        <w:rPr>
          <w:i/>
          <w:iCs/>
          <w:color w:val="auto"/>
          <w:u w:val="single"/>
        </w:rPr>
        <w:t>2.7</w:t>
      </w:r>
      <w:r>
        <w:rPr>
          <w:i/>
          <w:iCs/>
          <w:color w:val="auto"/>
          <w:u w:val="single"/>
        </w:rPr>
        <w:fldChar w:fldCharType="end"/>
      </w:r>
      <w:r>
        <w:rPr>
          <w:i/>
          <w:iCs/>
          <w:color w:val="auto"/>
          <w:u w:val="single"/>
        </w:rPr>
        <w:noBreakHyphen/>
      </w:r>
      <w:r>
        <w:rPr>
          <w:i/>
          <w:iCs/>
          <w:color w:val="auto"/>
          <w:u w:val="single"/>
        </w:rPr>
        <w:fldChar w:fldCharType="begin"/>
      </w:r>
      <w:r>
        <w:rPr>
          <w:i/>
          <w:iCs/>
          <w:color w:val="auto"/>
          <w:u w:val="single"/>
        </w:rPr>
        <w:instrText xml:space="preserve"> SEQ 表 \* ARABIC \s 2 </w:instrText>
      </w:r>
      <w:r>
        <w:rPr>
          <w:i/>
          <w:iCs/>
          <w:color w:val="auto"/>
          <w:u w:val="single"/>
        </w:rPr>
        <w:fldChar w:fldCharType="separate"/>
      </w:r>
      <w:r>
        <w:rPr>
          <w:i/>
          <w:iCs/>
          <w:color w:val="auto"/>
          <w:u w:val="single"/>
        </w:rPr>
        <w:t>3</w:t>
      </w:r>
      <w:r>
        <w:rPr>
          <w:i/>
          <w:iCs/>
          <w:color w:val="auto"/>
          <w:u w:val="single"/>
        </w:rPr>
        <w:fldChar w:fldCharType="end"/>
      </w:r>
      <w:bookmarkEnd w:id="126"/>
      <w:r>
        <w:rPr>
          <w:i/>
          <w:iCs/>
          <w:color w:val="auto"/>
          <w:u w:val="single"/>
        </w:rPr>
        <w:t>地下水质量标准</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4"/>
        <w:gridCol w:w="1833"/>
        <w:gridCol w:w="994"/>
        <w:gridCol w:w="1166"/>
        <w:gridCol w:w="683"/>
        <w:gridCol w:w="1943"/>
        <w:gridCol w:w="1023"/>
        <w:gridCol w:w="960"/>
      </w:tblGrid>
      <w:tr w14:paraId="2618F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tcBorders>
              <w:top w:val="single" w:color="auto" w:sz="4" w:space="0"/>
              <w:left w:val="single" w:color="auto" w:sz="4" w:space="0"/>
              <w:bottom w:val="single" w:color="auto" w:sz="4" w:space="0"/>
              <w:right w:val="single" w:color="auto" w:sz="4" w:space="0"/>
            </w:tcBorders>
            <w:vAlign w:val="center"/>
          </w:tcPr>
          <w:p w14:paraId="47AA8E9A">
            <w:pPr>
              <w:pStyle w:val="1343"/>
            </w:pPr>
            <w:r>
              <w:t>序号</w:t>
            </w:r>
          </w:p>
        </w:tc>
        <w:tc>
          <w:tcPr>
            <w:tcW w:w="1837" w:type="dxa"/>
            <w:tcBorders>
              <w:top w:val="single" w:color="auto" w:sz="4" w:space="0"/>
              <w:left w:val="single" w:color="auto" w:sz="4" w:space="0"/>
              <w:bottom w:val="single" w:color="auto" w:sz="4" w:space="0"/>
              <w:right w:val="single" w:color="auto" w:sz="4" w:space="0"/>
            </w:tcBorders>
            <w:vAlign w:val="center"/>
          </w:tcPr>
          <w:p w14:paraId="637C31B9">
            <w:pPr>
              <w:pStyle w:val="1343"/>
            </w:pPr>
            <w:r>
              <w:t>项目</w:t>
            </w:r>
          </w:p>
        </w:tc>
        <w:tc>
          <w:tcPr>
            <w:tcW w:w="993" w:type="dxa"/>
            <w:tcBorders>
              <w:top w:val="single" w:color="auto" w:sz="4" w:space="0"/>
              <w:left w:val="single" w:color="auto" w:sz="4" w:space="0"/>
              <w:bottom w:val="single" w:color="auto" w:sz="4" w:space="0"/>
              <w:right w:val="single" w:color="auto" w:sz="4" w:space="0"/>
            </w:tcBorders>
            <w:vAlign w:val="center"/>
          </w:tcPr>
          <w:p w14:paraId="0C39B1EA">
            <w:pPr>
              <w:pStyle w:val="1343"/>
            </w:pPr>
            <w:r>
              <w:t>单位</w:t>
            </w:r>
          </w:p>
        </w:tc>
        <w:tc>
          <w:tcPr>
            <w:tcW w:w="1166" w:type="dxa"/>
            <w:tcBorders>
              <w:top w:val="single" w:color="auto" w:sz="4" w:space="0"/>
              <w:left w:val="single" w:color="auto" w:sz="4" w:space="0"/>
              <w:bottom w:val="single" w:color="auto" w:sz="4" w:space="0"/>
              <w:right w:val="single" w:color="auto" w:sz="4" w:space="0"/>
            </w:tcBorders>
            <w:vAlign w:val="center"/>
          </w:tcPr>
          <w:p w14:paraId="0AEC9C4E">
            <w:pPr>
              <w:pStyle w:val="1343"/>
            </w:pPr>
            <w:r>
              <w:t>标准值</w:t>
            </w:r>
          </w:p>
        </w:tc>
        <w:tc>
          <w:tcPr>
            <w:tcW w:w="680" w:type="dxa"/>
            <w:tcBorders>
              <w:top w:val="single" w:color="auto" w:sz="4" w:space="0"/>
              <w:left w:val="single" w:color="auto" w:sz="4" w:space="0"/>
              <w:bottom w:val="single" w:color="auto" w:sz="4" w:space="0"/>
              <w:right w:val="single" w:color="auto" w:sz="4" w:space="0"/>
            </w:tcBorders>
            <w:vAlign w:val="center"/>
          </w:tcPr>
          <w:p w14:paraId="115A5083">
            <w:pPr>
              <w:pStyle w:val="1343"/>
            </w:pPr>
            <w:r>
              <w:t>序号</w:t>
            </w:r>
          </w:p>
        </w:tc>
        <w:tc>
          <w:tcPr>
            <w:tcW w:w="1948" w:type="dxa"/>
            <w:tcBorders>
              <w:top w:val="single" w:color="auto" w:sz="4" w:space="0"/>
              <w:left w:val="single" w:color="auto" w:sz="4" w:space="0"/>
              <w:bottom w:val="single" w:color="auto" w:sz="4" w:space="0"/>
              <w:right w:val="single" w:color="auto" w:sz="4" w:space="0"/>
            </w:tcBorders>
            <w:vAlign w:val="center"/>
          </w:tcPr>
          <w:p w14:paraId="104B42CF">
            <w:pPr>
              <w:pStyle w:val="1343"/>
            </w:pPr>
            <w:r>
              <w:t>项目</w:t>
            </w:r>
          </w:p>
        </w:tc>
        <w:tc>
          <w:tcPr>
            <w:tcW w:w="1022" w:type="dxa"/>
            <w:tcBorders>
              <w:top w:val="single" w:color="auto" w:sz="4" w:space="0"/>
              <w:left w:val="single" w:color="auto" w:sz="4" w:space="0"/>
              <w:bottom w:val="single" w:color="auto" w:sz="4" w:space="0"/>
              <w:right w:val="single" w:color="auto" w:sz="4" w:space="0"/>
            </w:tcBorders>
            <w:vAlign w:val="center"/>
          </w:tcPr>
          <w:p w14:paraId="41BB3960">
            <w:pPr>
              <w:pStyle w:val="1343"/>
            </w:pPr>
            <w:r>
              <w:t>单位</w:t>
            </w:r>
          </w:p>
        </w:tc>
        <w:tc>
          <w:tcPr>
            <w:tcW w:w="959" w:type="dxa"/>
            <w:tcBorders>
              <w:top w:val="single" w:color="auto" w:sz="4" w:space="0"/>
              <w:left w:val="single" w:color="auto" w:sz="4" w:space="0"/>
              <w:bottom w:val="single" w:color="auto" w:sz="4" w:space="0"/>
              <w:right w:val="single" w:color="auto" w:sz="4" w:space="0"/>
            </w:tcBorders>
            <w:vAlign w:val="center"/>
          </w:tcPr>
          <w:p w14:paraId="74868A36">
            <w:pPr>
              <w:pStyle w:val="1343"/>
            </w:pPr>
            <w:r>
              <w:t>标准值</w:t>
            </w:r>
          </w:p>
        </w:tc>
      </w:tr>
      <w:tr w14:paraId="212DF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tcBorders>
              <w:top w:val="single" w:color="auto" w:sz="4" w:space="0"/>
              <w:left w:val="single" w:color="auto" w:sz="4" w:space="0"/>
              <w:bottom w:val="single" w:color="auto" w:sz="4" w:space="0"/>
              <w:right w:val="single" w:color="auto" w:sz="4" w:space="0"/>
            </w:tcBorders>
            <w:vAlign w:val="center"/>
          </w:tcPr>
          <w:p w14:paraId="157EB608">
            <w:pPr>
              <w:pStyle w:val="1343"/>
            </w:pPr>
            <w:r>
              <w:t>1</w:t>
            </w:r>
          </w:p>
        </w:tc>
        <w:tc>
          <w:tcPr>
            <w:tcW w:w="1837" w:type="dxa"/>
            <w:tcBorders>
              <w:top w:val="single" w:color="auto" w:sz="4" w:space="0"/>
              <w:left w:val="single" w:color="auto" w:sz="4" w:space="0"/>
              <w:bottom w:val="single" w:color="auto" w:sz="4" w:space="0"/>
              <w:right w:val="single" w:color="auto" w:sz="4" w:space="0"/>
            </w:tcBorders>
            <w:vAlign w:val="center"/>
          </w:tcPr>
          <w:p w14:paraId="5F92F8CE">
            <w:pPr>
              <w:pStyle w:val="1343"/>
            </w:pPr>
            <w:r>
              <w:t>钾</w:t>
            </w:r>
          </w:p>
        </w:tc>
        <w:tc>
          <w:tcPr>
            <w:tcW w:w="993" w:type="dxa"/>
            <w:tcBorders>
              <w:top w:val="single" w:color="auto" w:sz="4" w:space="0"/>
              <w:left w:val="single" w:color="auto" w:sz="4" w:space="0"/>
              <w:bottom w:val="single" w:color="auto" w:sz="4" w:space="0"/>
              <w:right w:val="single" w:color="auto" w:sz="4" w:space="0"/>
            </w:tcBorders>
            <w:vAlign w:val="center"/>
          </w:tcPr>
          <w:p w14:paraId="10D4EE2B">
            <w:pPr>
              <w:pStyle w:val="1343"/>
            </w:pPr>
            <w:r>
              <w:t>/</w:t>
            </w:r>
          </w:p>
        </w:tc>
        <w:tc>
          <w:tcPr>
            <w:tcW w:w="1166" w:type="dxa"/>
            <w:tcBorders>
              <w:top w:val="single" w:color="auto" w:sz="4" w:space="0"/>
              <w:left w:val="single" w:color="auto" w:sz="4" w:space="0"/>
              <w:bottom w:val="single" w:color="auto" w:sz="4" w:space="0"/>
              <w:right w:val="single" w:color="auto" w:sz="4" w:space="0"/>
            </w:tcBorders>
            <w:vAlign w:val="center"/>
          </w:tcPr>
          <w:p w14:paraId="5C7D1A80">
            <w:pPr>
              <w:pStyle w:val="1343"/>
            </w:pPr>
            <w:r>
              <w:t>/</w:t>
            </w:r>
          </w:p>
        </w:tc>
        <w:tc>
          <w:tcPr>
            <w:tcW w:w="680" w:type="dxa"/>
            <w:tcBorders>
              <w:top w:val="single" w:color="auto" w:sz="4" w:space="0"/>
              <w:left w:val="single" w:color="auto" w:sz="4" w:space="0"/>
              <w:bottom w:val="single" w:color="auto" w:sz="4" w:space="0"/>
              <w:right w:val="single" w:color="auto" w:sz="4" w:space="0"/>
            </w:tcBorders>
            <w:vAlign w:val="center"/>
          </w:tcPr>
          <w:p w14:paraId="7429E723">
            <w:pPr>
              <w:pStyle w:val="1343"/>
            </w:pPr>
            <w:r>
              <w:t>15</w:t>
            </w:r>
          </w:p>
        </w:tc>
        <w:tc>
          <w:tcPr>
            <w:tcW w:w="1948" w:type="dxa"/>
            <w:tcBorders>
              <w:top w:val="single" w:color="auto" w:sz="4" w:space="0"/>
              <w:left w:val="single" w:color="auto" w:sz="4" w:space="0"/>
              <w:bottom w:val="single" w:color="auto" w:sz="4" w:space="0"/>
              <w:right w:val="single" w:color="auto" w:sz="4" w:space="0"/>
            </w:tcBorders>
            <w:vAlign w:val="center"/>
          </w:tcPr>
          <w:p w14:paraId="370C7FFC">
            <w:pPr>
              <w:pStyle w:val="1343"/>
            </w:pPr>
            <w:r>
              <w:t>挥发性酚类（以苯酚计）</w:t>
            </w:r>
          </w:p>
        </w:tc>
        <w:tc>
          <w:tcPr>
            <w:tcW w:w="1022" w:type="dxa"/>
            <w:tcBorders>
              <w:top w:val="single" w:color="auto" w:sz="4" w:space="0"/>
              <w:left w:val="single" w:color="auto" w:sz="4" w:space="0"/>
              <w:bottom w:val="single" w:color="auto" w:sz="4" w:space="0"/>
              <w:right w:val="single" w:color="auto" w:sz="4" w:space="0"/>
            </w:tcBorders>
            <w:vAlign w:val="center"/>
          </w:tcPr>
          <w:p w14:paraId="043FEE50">
            <w:pPr>
              <w:pStyle w:val="1343"/>
            </w:pPr>
            <w:r>
              <w:t>mg/L</w:t>
            </w:r>
          </w:p>
        </w:tc>
        <w:tc>
          <w:tcPr>
            <w:tcW w:w="959" w:type="dxa"/>
            <w:tcBorders>
              <w:top w:val="single" w:color="auto" w:sz="4" w:space="0"/>
              <w:left w:val="single" w:color="auto" w:sz="4" w:space="0"/>
              <w:bottom w:val="single" w:color="auto" w:sz="4" w:space="0"/>
              <w:right w:val="single" w:color="auto" w:sz="4" w:space="0"/>
            </w:tcBorders>
            <w:vAlign w:val="center"/>
          </w:tcPr>
          <w:p w14:paraId="71B3EAE7">
            <w:pPr>
              <w:pStyle w:val="1343"/>
            </w:pPr>
            <w:r>
              <w:t>≤0.002</w:t>
            </w:r>
          </w:p>
        </w:tc>
      </w:tr>
      <w:tr w14:paraId="0FF35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tcBorders>
              <w:top w:val="single" w:color="auto" w:sz="4" w:space="0"/>
              <w:left w:val="single" w:color="auto" w:sz="4" w:space="0"/>
              <w:bottom w:val="single" w:color="auto" w:sz="4" w:space="0"/>
              <w:right w:val="single" w:color="auto" w:sz="4" w:space="0"/>
            </w:tcBorders>
            <w:vAlign w:val="center"/>
          </w:tcPr>
          <w:p w14:paraId="3D53D1B9">
            <w:pPr>
              <w:pStyle w:val="1343"/>
            </w:pPr>
            <w:r>
              <w:t>2</w:t>
            </w:r>
          </w:p>
        </w:tc>
        <w:tc>
          <w:tcPr>
            <w:tcW w:w="1837" w:type="dxa"/>
            <w:tcBorders>
              <w:top w:val="single" w:color="auto" w:sz="4" w:space="0"/>
              <w:left w:val="single" w:color="auto" w:sz="4" w:space="0"/>
              <w:bottom w:val="single" w:color="auto" w:sz="4" w:space="0"/>
              <w:right w:val="single" w:color="auto" w:sz="4" w:space="0"/>
            </w:tcBorders>
            <w:vAlign w:val="center"/>
          </w:tcPr>
          <w:p w14:paraId="1994CC89">
            <w:pPr>
              <w:pStyle w:val="1343"/>
            </w:pPr>
            <w:r>
              <w:t>钠</w:t>
            </w:r>
          </w:p>
        </w:tc>
        <w:tc>
          <w:tcPr>
            <w:tcW w:w="993" w:type="dxa"/>
            <w:tcBorders>
              <w:top w:val="single" w:color="auto" w:sz="4" w:space="0"/>
              <w:left w:val="single" w:color="auto" w:sz="4" w:space="0"/>
              <w:bottom w:val="single" w:color="auto" w:sz="4" w:space="0"/>
              <w:right w:val="single" w:color="auto" w:sz="4" w:space="0"/>
            </w:tcBorders>
            <w:vAlign w:val="center"/>
          </w:tcPr>
          <w:p w14:paraId="3C4E338B">
            <w:pPr>
              <w:pStyle w:val="1343"/>
            </w:pPr>
            <w:r>
              <w:t>mg/L</w:t>
            </w:r>
          </w:p>
        </w:tc>
        <w:tc>
          <w:tcPr>
            <w:tcW w:w="1166" w:type="dxa"/>
            <w:tcBorders>
              <w:top w:val="single" w:color="auto" w:sz="4" w:space="0"/>
              <w:left w:val="single" w:color="auto" w:sz="4" w:space="0"/>
              <w:bottom w:val="single" w:color="auto" w:sz="4" w:space="0"/>
              <w:right w:val="single" w:color="auto" w:sz="4" w:space="0"/>
            </w:tcBorders>
            <w:vAlign w:val="center"/>
          </w:tcPr>
          <w:p w14:paraId="6643AC95">
            <w:pPr>
              <w:pStyle w:val="1343"/>
            </w:pPr>
            <w:r>
              <w:t>≤200</w:t>
            </w:r>
          </w:p>
        </w:tc>
        <w:tc>
          <w:tcPr>
            <w:tcW w:w="680" w:type="dxa"/>
            <w:tcBorders>
              <w:top w:val="single" w:color="auto" w:sz="4" w:space="0"/>
              <w:left w:val="single" w:color="auto" w:sz="4" w:space="0"/>
              <w:bottom w:val="single" w:color="auto" w:sz="4" w:space="0"/>
              <w:right w:val="single" w:color="auto" w:sz="4" w:space="0"/>
            </w:tcBorders>
            <w:vAlign w:val="center"/>
          </w:tcPr>
          <w:p w14:paraId="36529EA9">
            <w:pPr>
              <w:pStyle w:val="1343"/>
            </w:pPr>
            <w:r>
              <w:t>16</w:t>
            </w:r>
          </w:p>
        </w:tc>
        <w:tc>
          <w:tcPr>
            <w:tcW w:w="1948" w:type="dxa"/>
            <w:tcBorders>
              <w:top w:val="single" w:color="auto" w:sz="4" w:space="0"/>
              <w:left w:val="single" w:color="auto" w:sz="4" w:space="0"/>
              <w:bottom w:val="single" w:color="auto" w:sz="4" w:space="0"/>
              <w:right w:val="single" w:color="auto" w:sz="4" w:space="0"/>
            </w:tcBorders>
            <w:vAlign w:val="center"/>
          </w:tcPr>
          <w:p w14:paraId="46571A14">
            <w:pPr>
              <w:pStyle w:val="1343"/>
            </w:pPr>
            <w:r>
              <w:t>氰化物</w:t>
            </w:r>
          </w:p>
        </w:tc>
        <w:tc>
          <w:tcPr>
            <w:tcW w:w="1022" w:type="dxa"/>
            <w:tcBorders>
              <w:top w:val="single" w:color="auto" w:sz="4" w:space="0"/>
              <w:left w:val="single" w:color="auto" w:sz="4" w:space="0"/>
              <w:bottom w:val="single" w:color="auto" w:sz="4" w:space="0"/>
              <w:right w:val="single" w:color="auto" w:sz="4" w:space="0"/>
            </w:tcBorders>
            <w:vAlign w:val="center"/>
          </w:tcPr>
          <w:p w14:paraId="25518781">
            <w:pPr>
              <w:pStyle w:val="1343"/>
            </w:pPr>
            <w:r>
              <w:t>mg/L</w:t>
            </w:r>
          </w:p>
        </w:tc>
        <w:tc>
          <w:tcPr>
            <w:tcW w:w="959" w:type="dxa"/>
            <w:tcBorders>
              <w:top w:val="single" w:color="auto" w:sz="4" w:space="0"/>
              <w:left w:val="single" w:color="auto" w:sz="4" w:space="0"/>
              <w:bottom w:val="single" w:color="auto" w:sz="4" w:space="0"/>
              <w:right w:val="single" w:color="auto" w:sz="4" w:space="0"/>
            </w:tcBorders>
            <w:vAlign w:val="center"/>
          </w:tcPr>
          <w:p w14:paraId="79AC6E5B">
            <w:pPr>
              <w:pStyle w:val="1343"/>
            </w:pPr>
            <w:r>
              <w:t>≤0.05</w:t>
            </w:r>
          </w:p>
        </w:tc>
      </w:tr>
      <w:tr w14:paraId="71A6E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tcBorders>
              <w:top w:val="single" w:color="auto" w:sz="4" w:space="0"/>
              <w:left w:val="single" w:color="auto" w:sz="4" w:space="0"/>
              <w:bottom w:val="single" w:color="auto" w:sz="4" w:space="0"/>
              <w:right w:val="single" w:color="auto" w:sz="4" w:space="0"/>
            </w:tcBorders>
            <w:vAlign w:val="center"/>
          </w:tcPr>
          <w:p w14:paraId="4F9B891C">
            <w:pPr>
              <w:pStyle w:val="1343"/>
            </w:pPr>
            <w:r>
              <w:t>3</w:t>
            </w:r>
          </w:p>
        </w:tc>
        <w:tc>
          <w:tcPr>
            <w:tcW w:w="1837" w:type="dxa"/>
            <w:tcBorders>
              <w:top w:val="single" w:color="auto" w:sz="4" w:space="0"/>
              <w:left w:val="single" w:color="auto" w:sz="4" w:space="0"/>
              <w:bottom w:val="single" w:color="auto" w:sz="4" w:space="0"/>
              <w:right w:val="single" w:color="auto" w:sz="4" w:space="0"/>
            </w:tcBorders>
            <w:vAlign w:val="center"/>
          </w:tcPr>
          <w:p w14:paraId="0B80BAC9">
            <w:pPr>
              <w:pStyle w:val="1343"/>
            </w:pPr>
            <w:r>
              <w:t>钙</w:t>
            </w:r>
          </w:p>
        </w:tc>
        <w:tc>
          <w:tcPr>
            <w:tcW w:w="993" w:type="dxa"/>
            <w:tcBorders>
              <w:top w:val="single" w:color="auto" w:sz="4" w:space="0"/>
              <w:left w:val="single" w:color="auto" w:sz="4" w:space="0"/>
              <w:bottom w:val="single" w:color="auto" w:sz="4" w:space="0"/>
              <w:right w:val="single" w:color="auto" w:sz="4" w:space="0"/>
            </w:tcBorders>
            <w:vAlign w:val="center"/>
          </w:tcPr>
          <w:p w14:paraId="3D11ED63">
            <w:pPr>
              <w:pStyle w:val="1343"/>
            </w:pPr>
            <w:r>
              <w:t>/</w:t>
            </w:r>
          </w:p>
        </w:tc>
        <w:tc>
          <w:tcPr>
            <w:tcW w:w="1166" w:type="dxa"/>
            <w:tcBorders>
              <w:top w:val="single" w:color="auto" w:sz="4" w:space="0"/>
              <w:left w:val="single" w:color="auto" w:sz="4" w:space="0"/>
              <w:bottom w:val="single" w:color="auto" w:sz="4" w:space="0"/>
              <w:right w:val="single" w:color="auto" w:sz="4" w:space="0"/>
            </w:tcBorders>
            <w:vAlign w:val="center"/>
          </w:tcPr>
          <w:p w14:paraId="4509CBEA">
            <w:pPr>
              <w:pStyle w:val="1343"/>
            </w:pPr>
            <w:r>
              <w:t>/</w:t>
            </w:r>
          </w:p>
        </w:tc>
        <w:tc>
          <w:tcPr>
            <w:tcW w:w="680" w:type="dxa"/>
            <w:tcBorders>
              <w:top w:val="single" w:color="auto" w:sz="4" w:space="0"/>
              <w:left w:val="single" w:color="auto" w:sz="4" w:space="0"/>
              <w:bottom w:val="single" w:color="auto" w:sz="4" w:space="0"/>
              <w:right w:val="single" w:color="auto" w:sz="4" w:space="0"/>
            </w:tcBorders>
            <w:vAlign w:val="center"/>
          </w:tcPr>
          <w:p w14:paraId="06BDBFD6">
            <w:pPr>
              <w:pStyle w:val="1343"/>
            </w:pPr>
            <w:r>
              <w:t>17</w:t>
            </w:r>
          </w:p>
        </w:tc>
        <w:tc>
          <w:tcPr>
            <w:tcW w:w="1948" w:type="dxa"/>
            <w:tcBorders>
              <w:top w:val="single" w:color="auto" w:sz="4" w:space="0"/>
              <w:left w:val="single" w:color="auto" w:sz="4" w:space="0"/>
              <w:bottom w:val="single" w:color="auto" w:sz="4" w:space="0"/>
              <w:right w:val="single" w:color="auto" w:sz="4" w:space="0"/>
            </w:tcBorders>
            <w:vAlign w:val="center"/>
          </w:tcPr>
          <w:p w14:paraId="2EFBC295">
            <w:pPr>
              <w:pStyle w:val="1343"/>
            </w:pPr>
            <w:r>
              <w:t>氟化物</w:t>
            </w:r>
          </w:p>
        </w:tc>
        <w:tc>
          <w:tcPr>
            <w:tcW w:w="1022" w:type="dxa"/>
            <w:tcBorders>
              <w:top w:val="single" w:color="auto" w:sz="4" w:space="0"/>
              <w:left w:val="single" w:color="auto" w:sz="4" w:space="0"/>
              <w:bottom w:val="single" w:color="auto" w:sz="4" w:space="0"/>
              <w:right w:val="single" w:color="auto" w:sz="4" w:space="0"/>
            </w:tcBorders>
            <w:vAlign w:val="center"/>
          </w:tcPr>
          <w:p w14:paraId="126CD498">
            <w:pPr>
              <w:pStyle w:val="1343"/>
            </w:pPr>
            <w:r>
              <w:t>mg/L</w:t>
            </w:r>
          </w:p>
        </w:tc>
        <w:tc>
          <w:tcPr>
            <w:tcW w:w="959" w:type="dxa"/>
            <w:tcBorders>
              <w:top w:val="single" w:color="auto" w:sz="4" w:space="0"/>
              <w:left w:val="single" w:color="auto" w:sz="4" w:space="0"/>
              <w:bottom w:val="single" w:color="auto" w:sz="4" w:space="0"/>
              <w:right w:val="single" w:color="auto" w:sz="4" w:space="0"/>
            </w:tcBorders>
            <w:vAlign w:val="center"/>
          </w:tcPr>
          <w:p w14:paraId="60F7C53D">
            <w:pPr>
              <w:pStyle w:val="1343"/>
            </w:pPr>
            <w:r>
              <w:t>≤1.0</w:t>
            </w:r>
          </w:p>
        </w:tc>
      </w:tr>
      <w:tr w14:paraId="557AA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tcBorders>
              <w:top w:val="single" w:color="auto" w:sz="4" w:space="0"/>
              <w:left w:val="single" w:color="auto" w:sz="4" w:space="0"/>
              <w:bottom w:val="single" w:color="auto" w:sz="4" w:space="0"/>
              <w:right w:val="single" w:color="auto" w:sz="4" w:space="0"/>
            </w:tcBorders>
            <w:vAlign w:val="center"/>
          </w:tcPr>
          <w:p w14:paraId="5A9896B8">
            <w:pPr>
              <w:pStyle w:val="1343"/>
            </w:pPr>
            <w:r>
              <w:t>4</w:t>
            </w:r>
          </w:p>
        </w:tc>
        <w:tc>
          <w:tcPr>
            <w:tcW w:w="1837" w:type="dxa"/>
            <w:tcBorders>
              <w:top w:val="single" w:color="auto" w:sz="4" w:space="0"/>
              <w:left w:val="single" w:color="auto" w:sz="4" w:space="0"/>
              <w:bottom w:val="single" w:color="auto" w:sz="4" w:space="0"/>
              <w:right w:val="single" w:color="auto" w:sz="4" w:space="0"/>
            </w:tcBorders>
            <w:vAlign w:val="center"/>
          </w:tcPr>
          <w:p w14:paraId="6FFE8CC5">
            <w:pPr>
              <w:pStyle w:val="1343"/>
            </w:pPr>
            <w:r>
              <w:t>镁</w:t>
            </w:r>
          </w:p>
        </w:tc>
        <w:tc>
          <w:tcPr>
            <w:tcW w:w="993" w:type="dxa"/>
            <w:tcBorders>
              <w:top w:val="single" w:color="auto" w:sz="4" w:space="0"/>
              <w:left w:val="single" w:color="auto" w:sz="4" w:space="0"/>
              <w:bottom w:val="single" w:color="auto" w:sz="4" w:space="0"/>
              <w:right w:val="single" w:color="auto" w:sz="4" w:space="0"/>
            </w:tcBorders>
            <w:vAlign w:val="center"/>
          </w:tcPr>
          <w:p w14:paraId="4CC93A89">
            <w:pPr>
              <w:pStyle w:val="1343"/>
            </w:pPr>
            <w:r>
              <w:t>/</w:t>
            </w:r>
          </w:p>
        </w:tc>
        <w:tc>
          <w:tcPr>
            <w:tcW w:w="1166" w:type="dxa"/>
            <w:tcBorders>
              <w:top w:val="single" w:color="auto" w:sz="4" w:space="0"/>
              <w:left w:val="single" w:color="auto" w:sz="4" w:space="0"/>
              <w:bottom w:val="single" w:color="auto" w:sz="4" w:space="0"/>
              <w:right w:val="single" w:color="auto" w:sz="4" w:space="0"/>
            </w:tcBorders>
            <w:vAlign w:val="center"/>
          </w:tcPr>
          <w:p w14:paraId="19DF62E8">
            <w:pPr>
              <w:pStyle w:val="1343"/>
            </w:pPr>
            <w:r>
              <w:t>/</w:t>
            </w:r>
          </w:p>
        </w:tc>
        <w:tc>
          <w:tcPr>
            <w:tcW w:w="680" w:type="dxa"/>
            <w:tcBorders>
              <w:top w:val="single" w:color="auto" w:sz="4" w:space="0"/>
              <w:left w:val="single" w:color="auto" w:sz="4" w:space="0"/>
              <w:bottom w:val="single" w:color="auto" w:sz="4" w:space="0"/>
              <w:right w:val="single" w:color="auto" w:sz="4" w:space="0"/>
            </w:tcBorders>
            <w:vAlign w:val="center"/>
          </w:tcPr>
          <w:p w14:paraId="4E141013">
            <w:pPr>
              <w:pStyle w:val="1343"/>
            </w:pPr>
            <w:r>
              <w:t>18</w:t>
            </w:r>
          </w:p>
        </w:tc>
        <w:tc>
          <w:tcPr>
            <w:tcW w:w="1948" w:type="dxa"/>
            <w:tcBorders>
              <w:top w:val="single" w:color="auto" w:sz="4" w:space="0"/>
              <w:left w:val="single" w:color="auto" w:sz="4" w:space="0"/>
              <w:bottom w:val="single" w:color="auto" w:sz="4" w:space="0"/>
              <w:right w:val="single" w:color="auto" w:sz="4" w:space="0"/>
            </w:tcBorders>
            <w:vAlign w:val="center"/>
          </w:tcPr>
          <w:p w14:paraId="3DCF4892">
            <w:pPr>
              <w:pStyle w:val="1343"/>
            </w:pPr>
            <w:r>
              <w:t>硝酸盐(以N计)</w:t>
            </w:r>
          </w:p>
        </w:tc>
        <w:tc>
          <w:tcPr>
            <w:tcW w:w="1022" w:type="dxa"/>
            <w:tcBorders>
              <w:top w:val="single" w:color="auto" w:sz="4" w:space="0"/>
              <w:left w:val="single" w:color="auto" w:sz="4" w:space="0"/>
              <w:bottom w:val="single" w:color="auto" w:sz="4" w:space="0"/>
              <w:right w:val="single" w:color="auto" w:sz="4" w:space="0"/>
            </w:tcBorders>
            <w:vAlign w:val="center"/>
          </w:tcPr>
          <w:p w14:paraId="3098A5F6">
            <w:pPr>
              <w:pStyle w:val="1343"/>
            </w:pPr>
            <w:r>
              <w:t>mg/L</w:t>
            </w:r>
          </w:p>
        </w:tc>
        <w:tc>
          <w:tcPr>
            <w:tcW w:w="959" w:type="dxa"/>
            <w:tcBorders>
              <w:top w:val="single" w:color="auto" w:sz="4" w:space="0"/>
              <w:left w:val="single" w:color="auto" w:sz="4" w:space="0"/>
              <w:bottom w:val="single" w:color="auto" w:sz="4" w:space="0"/>
              <w:right w:val="single" w:color="auto" w:sz="4" w:space="0"/>
            </w:tcBorders>
            <w:vAlign w:val="center"/>
          </w:tcPr>
          <w:p w14:paraId="29A3DDA9">
            <w:pPr>
              <w:pStyle w:val="1343"/>
            </w:pPr>
            <w:r>
              <w:t>≤20.0</w:t>
            </w:r>
          </w:p>
        </w:tc>
      </w:tr>
      <w:tr w14:paraId="68BAB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tcBorders>
              <w:top w:val="single" w:color="auto" w:sz="4" w:space="0"/>
              <w:left w:val="single" w:color="auto" w:sz="4" w:space="0"/>
              <w:bottom w:val="single" w:color="auto" w:sz="4" w:space="0"/>
              <w:right w:val="single" w:color="auto" w:sz="4" w:space="0"/>
            </w:tcBorders>
            <w:vAlign w:val="center"/>
          </w:tcPr>
          <w:p w14:paraId="37FE0D71">
            <w:pPr>
              <w:pStyle w:val="1343"/>
            </w:pPr>
            <w:r>
              <w:t>5</w:t>
            </w:r>
          </w:p>
        </w:tc>
        <w:tc>
          <w:tcPr>
            <w:tcW w:w="1837" w:type="dxa"/>
            <w:tcBorders>
              <w:top w:val="single" w:color="auto" w:sz="4" w:space="0"/>
              <w:left w:val="single" w:color="auto" w:sz="4" w:space="0"/>
              <w:bottom w:val="single" w:color="auto" w:sz="4" w:space="0"/>
              <w:right w:val="single" w:color="auto" w:sz="4" w:space="0"/>
            </w:tcBorders>
            <w:vAlign w:val="center"/>
          </w:tcPr>
          <w:p w14:paraId="580A3F13">
            <w:pPr>
              <w:pStyle w:val="1343"/>
            </w:pPr>
            <w:r>
              <w:t>CO</w:t>
            </w:r>
            <w:r>
              <w:rPr>
                <w:vertAlign w:val="subscript"/>
              </w:rPr>
              <w:t>3</w:t>
            </w:r>
            <w:r>
              <w:rPr>
                <w:vertAlign w:val="superscript"/>
              </w:rPr>
              <w:t>2-</w:t>
            </w:r>
          </w:p>
        </w:tc>
        <w:tc>
          <w:tcPr>
            <w:tcW w:w="993" w:type="dxa"/>
            <w:tcBorders>
              <w:top w:val="single" w:color="auto" w:sz="4" w:space="0"/>
              <w:left w:val="single" w:color="auto" w:sz="4" w:space="0"/>
              <w:bottom w:val="single" w:color="auto" w:sz="4" w:space="0"/>
              <w:right w:val="single" w:color="auto" w:sz="4" w:space="0"/>
            </w:tcBorders>
            <w:vAlign w:val="center"/>
          </w:tcPr>
          <w:p w14:paraId="3580973F">
            <w:pPr>
              <w:pStyle w:val="1343"/>
            </w:pPr>
            <w:r>
              <w:t>/</w:t>
            </w:r>
          </w:p>
        </w:tc>
        <w:tc>
          <w:tcPr>
            <w:tcW w:w="1166" w:type="dxa"/>
            <w:tcBorders>
              <w:top w:val="single" w:color="auto" w:sz="4" w:space="0"/>
              <w:left w:val="single" w:color="auto" w:sz="4" w:space="0"/>
              <w:bottom w:val="single" w:color="auto" w:sz="4" w:space="0"/>
              <w:right w:val="single" w:color="auto" w:sz="4" w:space="0"/>
            </w:tcBorders>
            <w:vAlign w:val="center"/>
          </w:tcPr>
          <w:p w14:paraId="7A281036">
            <w:pPr>
              <w:pStyle w:val="1343"/>
            </w:pPr>
            <w:r>
              <w:t>/</w:t>
            </w:r>
          </w:p>
        </w:tc>
        <w:tc>
          <w:tcPr>
            <w:tcW w:w="680" w:type="dxa"/>
            <w:tcBorders>
              <w:top w:val="single" w:color="auto" w:sz="4" w:space="0"/>
              <w:left w:val="single" w:color="auto" w:sz="4" w:space="0"/>
              <w:bottom w:val="single" w:color="auto" w:sz="4" w:space="0"/>
              <w:right w:val="single" w:color="auto" w:sz="4" w:space="0"/>
            </w:tcBorders>
            <w:vAlign w:val="center"/>
          </w:tcPr>
          <w:p w14:paraId="17557CE4">
            <w:pPr>
              <w:pStyle w:val="1343"/>
            </w:pPr>
            <w:r>
              <w:t>19</w:t>
            </w:r>
          </w:p>
        </w:tc>
        <w:tc>
          <w:tcPr>
            <w:tcW w:w="1948" w:type="dxa"/>
            <w:tcBorders>
              <w:top w:val="single" w:color="auto" w:sz="4" w:space="0"/>
              <w:left w:val="single" w:color="auto" w:sz="4" w:space="0"/>
              <w:bottom w:val="single" w:color="auto" w:sz="4" w:space="0"/>
              <w:right w:val="single" w:color="auto" w:sz="4" w:space="0"/>
            </w:tcBorders>
            <w:vAlign w:val="center"/>
          </w:tcPr>
          <w:p w14:paraId="53395215">
            <w:pPr>
              <w:pStyle w:val="1343"/>
            </w:pPr>
            <w:r>
              <w:t>亚硝酸盐(以N计)</w:t>
            </w:r>
          </w:p>
        </w:tc>
        <w:tc>
          <w:tcPr>
            <w:tcW w:w="1022" w:type="dxa"/>
            <w:tcBorders>
              <w:top w:val="single" w:color="auto" w:sz="4" w:space="0"/>
              <w:left w:val="single" w:color="auto" w:sz="4" w:space="0"/>
              <w:bottom w:val="single" w:color="auto" w:sz="4" w:space="0"/>
              <w:right w:val="single" w:color="auto" w:sz="4" w:space="0"/>
            </w:tcBorders>
            <w:vAlign w:val="center"/>
          </w:tcPr>
          <w:p w14:paraId="205B030A">
            <w:pPr>
              <w:pStyle w:val="1343"/>
            </w:pPr>
            <w:r>
              <w:t>mg/L</w:t>
            </w:r>
          </w:p>
        </w:tc>
        <w:tc>
          <w:tcPr>
            <w:tcW w:w="959" w:type="dxa"/>
            <w:tcBorders>
              <w:top w:val="single" w:color="auto" w:sz="4" w:space="0"/>
              <w:left w:val="single" w:color="auto" w:sz="4" w:space="0"/>
              <w:bottom w:val="single" w:color="auto" w:sz="4" w:space="0"/>
              <w:right w:val="single" w:color="auto" w:sz="4" w:space="0"/>
            </w:tcBorders>
            <w:vAlign w:val="center"/>
          </w:tcPr>
          <w:p w14:paraId="3F5D671B">
            <w:pPr>
              <w:pStyle w:val="1343"/>
            </w:pPr>
            <w:r>
              <w:t>≤1.00</w:t>
            </w:r>
          </w:p>
        </w:tc>
      </w:tr>
      <w:tr w14:paraId="46AAF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tcBorders>
              <w:top w:val="single" w:color="auto" w:sz="4" w:space="0"/>
              <w:left w:val="single" w:color="auto" w:sz="4" w:space="0"/>
              <w:bottom w:val="single" w:color="auto" w:sz="4" w:space="0"/>
              <w:right w:val="single" w:color="auto" w:sz="4" w:space="0"/>
            </w:tcBorders>
            <w:vAlign w:val="center"/>
          </w:tcPr>
          <w:p w14:paraId="0C939F55">
            <w:pPr>
              <w:pStyle w:val="1343"/>
            </w:pPr>
            <w:r>
              <w:t>6</w:t>
            </w:r>
          </w:p>
        </w:tc>
        <w:tc>
          <w:tcPr>
            <w:tcW w:w="1837" w:type="dxa"/>
            <w:tcBorders>
              <w:top w:val="single" w:color="auto" w:sz="4" w:space="0"/>
              <w:left w:val="single" w:color="auto" w:sz="4" w:space="0"/>
              <w:bottom w:val="single" w:color="auto" w:sz="4" w:space="0"/>
              <w:right w:val="single" w:color="auto" w:sz="4" w:space="0"/>
            </w:tcBorders>
            <w:vAlign w:val="center"/>
          </w:tcPr>
          <w:p w14:paraId="79BA78AB">
            <w:pPr>
              <w:pStyle w:val="1343"/>
            </w:pPr>
            <w:r>
              <w:t>HCO</w:t>
            </w:r>
            <w:r>
              <w:rPr>
                <w:vertAlign w:val="subscript"/>
              </w:rPr>
              <w:t>3</w:t>
            </w:r>
            <w:r>
              <w:rPr>
                <w:vertAlign w:val="superscript"/>
              </w:rPr>
              <w:t>-</w:t>
            </w:r>
          </w:p>
        </w:tc>
        <w:tc>
          <w:tcPr>
            <w:tcW w:w="993" w:type="dxa"/>
            <w:tcBorders>
              <w:top w:val="single" w:color="auto" w:sz="4" w:space="0"/>
              <w:left w:val="single" w:color="auto" w:sz="4" w:space="0"/>
              <w:bottom w:val="single" w:color="auto" w:sz="4" w:space="0"/>
              <w:right w:val="single" w:color="auto" w:sz="4" w:space="0"/>
            </w:tcBorders>
            <w:vAlign w:val="center"/>
          </w:tcPr>
          <w:p w14:paraId="6DCD5369">
            <w:pPr>
              <w:pStyle w:val="1343"/>
            </w:pPr>
            <w:r>
              <w:t>/</w:t>
            </w:r>
          </w:p>
        </w:tc>
        <w:tc>
          <w:tcPr>
            <w:tcW w:w="1166" w:type="dxa"/>
            <w:tcBorders>
              <w:top w:val="single" w:color="auto" w:sz="4" w:space="0"/>
              <w:left w:val="single" w:color="auto" w:sz="4" w:space="0"/>
              <w:bottom w:val="single" w:color="auto" w:sz="4" w:space="0"/>
              <w:right w:val="single" w:color="auto" w:sz="4" w:space="0"/>
            </w:tcBorders>
            <w:vAlign w:val="center"/>
          </w:tcPr>
          <w:p w14:paraId="54F58BAE">
            <w:pPr>
              <w:pStyle w:val="1343"/>
            </w:pPr>
            <w:r>
              <w:t>/</w:t>
            </w:r>
          </w:p>
        </w:tc>
        <w:tc>
          <w:tcPr>
            <w:tcW w:w="680" w:type="dxa"/>
            <w:tcBorders>
              <w:top w:val="single" w:color="auto" w:sz="4" w:space="0"/>
              <w:left w:val="single" w:color="auto" w:sz="4" w:space="0"/>
              <w:bottom w:val="single" w:color="auto" w:sz="4" w:space="0"/>
              <w:right w:val="single" w:color="auto" w:sz="4" w:space="0"/>
            </w:tcBorders>
            <w:vAlign w:val="center"/>
          </w:tcPr>
          <w:p w14:paraId="7B68AB17">
            <w:pPr>
              <w:pStyle w:val="1343"/>
            </w:pPr>
            <w:r>
              <w:t>20</w:t>
            </w:r>
          </w:p>
        </w:tc>
        <w:tc>
          <w:tcPr>
            <w:tcW w:w="1948" w:type="dxa"/>
            <w:tcBorders>
              <w:top w:val="single" w:color="auto" w:sz="4" w:space="0"/>
              <w:left w:val="single" w:color="auto" w:sz="4" w:space="0"/>
              <w:bottom w:val="single" w:color="auto" w:sz="4" w:space="0"/>
              <w:right w:val="single" w:color="auto" w:sz="4" w:space="0"/>
            </w:tcBorders>
            <w:vAlign w:val="center"/>
          </w:tcPr>
          <w:p w14:paraId="56A9E7C9">
            <w:pPr>
              <w:pStyle w:val="1343"/>
            </w:pPr>
            <w:r>
              <w:t>铬（六价）</w:t>
            </w:r>
          </w:p>
        </w:tc>
        <w:tc>
          <w:tcPr>
            <w:tcW w:w="1022" w:type="dxa"/>
            <w:tcBorders>
              <w:top w:val="single" w:color="auto" w:sz="4" w:space="0"/>
              <w:left w:val="single" w:color="auto" w:sz="4" w:space="0"/>
              <w:bottom w:val="single" w:color="auto" w:sz="4" w:space="0"/>
              <w:right w:val="single" w:color="auto" w:sz="4" w:space="0"/>
            </w:tcBorders>
            <w:vAlign w:val="center"/>
          </w:tcPr>
          <w:p w14:paraId="6EE000AE">
            <w:pPr>
              <w:pStyle w:val="1343"/>
            </w:pPr>
            <w:r>
              <w:t>mg/L</w:t>
            </w:r>
          </w:p>
        </w:tc>
        <w:tc>
          <w:tcPr>
            <w:tcW w:w="959" w:type="dxa"/>
            <w:tcBorders>
              <w:top w:val="single" w:color="auto" w:sz="4" w:space="0"/>
              <w:left w:val="single" w:color="auto" w:sz="4" w:space="0"/>
              <w:bottom w:val="single" w:color="auto" w:sz="4" w:space="0"/>
              <w:right w:val="single" w:color="auto" w:sz="4" w:space="0"/>
            </w:tcBorders>
            <w:vAlign w:val="center"/>
          </w:tcPr>
          <w:p w14:paraId="08A8B370">
            <w:pPr>
              <w:pStyle w:val="1343"/>
            </w:pPr>
            <w:r>
              <w:t>≤0.05</w:t>
            </w:r>
          </w:p>
        </w:tc>
      </w:tr>
      <w:tr w14:paraId="43DB7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tcBorders>
              <w:top w:val="single" w:color="auto" w:sz="4" w:space="0"/>
              <w:left w:val="single" w:color="auto" w:sz="4" w:space="0"/>
              <w:bottom w:val="single" w:color="auto" w:sz="4" w:space="0"/>
              <w:right w:val="single" w:color="auto" w:sz="4" w:space="0"/>
            </w:tcBorders>
            <w:vAlign w:val="center"/>
          </w:tcPr>
          <w:p w14:paraId="298BFC31">
            <w:pPr>
              <w:pStyle w:val="1343"/>
            </w:pPr>
            <w:r>
              <w:t>7</w:t>
            </w:r>
          </w:p>
        </w:tc>
        <w:tc>
          <w:tcPr>
            <w:tcW w:w="1837" w:type="dxa"/>
            <w:tcBorders>
              <w:top w:val="single" w:color="auto" w:sz="4" w:space="0"/>
              <w:left w:val="single" w:color="auto" w:sz="4" w:space="0"/>
              <w:bottom w:val="single" w:color="auto" w:sz="4" w:space="0"/>
              <w:right w:val="single" w:color="auto" w:sz="4" w:space="0"/>
            </w:tcBorders>
            <w:vAlign w:val="center"/>
          </w:tcPr>
          <w:p w14:paraId="3AC2D321">
            <w:pPr>
              <w:pStyle w:val="1343"/>
            </w:pPr>
            <w:r>
              <w:t>硫酸盐</w:t>
            </w:r>
          </w:p>
        </w:tc>
        <w:tc>
          <w:tcPr>
            <w:tcW w:w="993" w:type="dxa"/>
            <w:tcBorders>
              <w:top w:val="single" w:color="auto" w:sz="4" w:space="0"/>
              <w:left w:val="single" w:color="auto" w:sz="4" w:space="0"/>
              <w:bottom w:val="single" w:color="auto" w:sz="4" w:space="0"/>
              <w:right w:val="single" w:color="auto" w:sz="4" w:space="0"/>
            </w:tcBorders>
            <w:vAlign w:val="center"/>
          </w:tcPr>
          <w:p w14:paraId="42708AD7">
            <w:pPr>
              <w:pStyle w:val="1343"/>
            </w:pPr>
            <w:r>
              <w:t>mg/L</w:t>
            </w:r>
          </w:p>
        </w:tc>
        <w:tc>
          <w:tcPr>
            <w:tcW w:w="1166" w:type="dxa"/>
            <w:tcBorders>
              <w:top w:val="single" w:color="auto" w:sz="4" w:space="0"/>
              <w:left w:val="single" w:color="auto" w:sz="4" w:space="0"/>
              <w:bottom w:val="single" w:color="auto" w:sz="4" w:space="0"/>
              <w:right w:val="single" w:color="auto" w:sz="4" w:space="0"/>
            </w:tcBorders>
            <w:vAlign w:val="center"/>
          </w:tcPr>
          <w:p w14:paraId="0EA96776">
            <w:pPr>
              <w:pStyle w:val="1343"/>
            </w:pPr>
            <w:r>
              <w:t>≤250</w:t>
            </w:r>
          </w:p>
        </w:tc>
        <w:tc>
          <w:tcPr>
            <w:tcW w:w="680" w:type="dxa"/>
            <w:tcBorders>
              <w:top w:val="single" w:color="auto" w:sz="4" w:space="0"/>
              <w:left w:val="single" w:color="auto" w:sz="4" w:space="0"/>
              <w:bottom w:val="single" w:color="auto" w:sz="4" w:space="0"/>
              <w:right w:val="single" w:color="auto" w:sz="4" w:space="0"/>
            </w:tcBorders>
            <w:vAlign w:val="center"/>
          </w:tcPr>
          <w:p w14:paraId="2EDD8A94">
            <w:pPr>
              <w:pStyle w:val="1343"/>
            </w:pPr>
            <w:r>
              <w:t>21</w:t>
            </w:r>
          </w:p>
        </w:tc>
        <w:tc>
          <w:tcPr>
            <w:tcW w:w="1948" w:type="dxa"/>
            <w:tcBorders>
              <w:top w:val="single" w:color="auto" w:sz="4" w:space="0"/>
              <w:left w:val="single" w:color="auto" w:sz="4" w:space="0"/>
              <w:bottom w:val="single" w:color="auto" w:sz="4" w:space="0"/>
              <w:right w:val="single" w:color="auto" w:sz="4" w:space="0"/>
            </w:tcBorders>
            <w:vAlign w:val="center"/>
          </w:tcPr>
          <w:p w14:paraId="79F91C5B">
            <w:pPr>
              <w:pStyle w:val="1343"/>
            </w:pPr>
            <w:r>
              <w:t>砷</w:t>
            </w:r>
          </w:p>
        </w:tc>
        <w:tc>
          <w:tcPr>
            <w:tcW w:w="1022" w:type="dxa"/>
            <w:tcBorders>
              <w:top w:val="single" w:color="auto" w:sz="4" w:space="0"/>
              <w:left w:val="single" w:color="auto" w:sz="4" w:space="0"/>
              <w:bottom w:val="single" w:color="auto" w:sz="4" w:space="0"/>
              <w:right w:val="single" w:color="auto" w:sz="4" w:space="0"/>
            </w:tcBorders>
            <w:vAlign w:val="center"/>
          </w:tcPr>
          <w:p w14:paraId="17B2E31D">
            <w:pPr>
              <w:pStyle w:val="1343"/>
            </w:pPr>
            <w:r>
              <w:t>mg/L</w:t>
            </w:r>
          </w:p>
        </w:tc>
        <w:tc>
          <w:tcPr>
            <w:tcW w:w="959" w:type="dxa"/>
            <w:tcBorders>
              <w:top w:val="single" w:color="auto" w:sz="4" w:space="0"/>
              <w:left w:val="single" w:color="auto" w:sz="4" w:space="0"/>
              <w:bottom w:val="single" w:color="auto" w:sz="4" w:space="0"/>
              <w:right w:val="single" w:color="auto" w:sz="4" w:space="0"/>
            </w:tcBorders>
            <w:vAlign w:val="center"/>
          </w:tcPr>
          <w:p w14:paraId="731E4CBB">
            <w:pPr>
              <w:pStyle w:val="1343"/>
            </w:pPr>
            <w:r>
              <w:t>≤0.01</w:t>
            </w:r>
          </w:p>
        </w:tc>
      </w:tr>
      <w:tr w14:paraId="57B95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tcBorders>
              <w:top w:val="single" w:color="auto" w:sz="4" w:space="0"/>
              <w:left w:val="single" w:color="auto" w:sz="4" w:space="0"/>
              <w:bottom w:val="single" w:color="auto" w:sz="4" w:space="0"/>
              <w:right w:val="single" w:color="auto" w:sz="4" w:space="0"/>
            </w:tcBorders>
            <w:vAlign w:val="center"/>
          </w:tcPr>
          <w:p w14:paraId="28D53846">
            <w:pPr>
              <w:pStyle w:val="1343"/>
            </w:pPr>
            <w:r>
              <w:t>8</w:t>
            </w:r>
          </w:p>
        </w:tc>
        <w:tc>
          <w:tcPr>
            <w:tcW w:w="1837" w:type="dxa"/>
            <w:tcBorders>
              <w:top w:val="single" w:color="auto" w:sz="4" w:space="0"/>
              <w:left w:val="single" w:color="auto" w:sz="4" w:space="0"/>
              <w:bottom w:val="single" w:color="auto" w:sz="4" w:space="0"/>
              <w:right w:val="single" w:color="auto" w:sz="4" w:space="0"/>
            </w:tcBorders>
            <w:vAlign w:val="center"/>
          </w:tcPr>
          <w:p w14:paraId="61898271">
            <w:pPr>
              <w:pStyle w:val="1343"/>
            </w:pPr>
            <w:r>
              <w:t>氯化物</w:t>
            </w:r>
          </w:p>
        </w:tc>
        <w:tc>
          <w:tcPr>
            <w:tcW w:w="993" w:type="dxa"/>
            <w:tcBorders>
              <w:top w:val="single" w:color="auto" w:sz="4" w:space="0"/>
              <w:left w:val="single" w:color="auto" w:sz="4" w:space="0"/>
              <w:bottom w:val="single" w:color="auto" w:sz="4" w:space="0"/>
              <w:right w:val="single" w:color="auto" w:sz="4" w:space="0"/>
            </w:tcBorders>
            <w:vAlign w:val="center"/>
          </w:tcPr>
          <w:p w14:paraId="77650A42">
            <w:pPr>
              <w:pStyle w:val="1343"/>
            </w:pPr>
            <w:r>
              <w:t>mg/L</w:t>
            </w:r>
          </w:p>
        </w:tc>
        <w:tc>
          <w:tcPr>
            <w:tcW w:w="1166" w:type="dxa"/>
            <w:tcBorders>
              <w:top w:val="single" w:color="auto" w:sz="4" w:space="0"/>
              <w:left w:val="single" w:color="auto" w:sz="4" w:space="0"/>
              <w:bottom w:val="single" w:color="auto" w:sz="4" w:space="0"/>
              <w:right w:val="single" w:color="auto" w:sz="4" w:space="0"/>
            </w:tcBorders>
            <w:vAlign w:val="center"/>
          </w:tcPr>
          <w:p w14:paraId="6F471770">
            <w:pPr>
              <w:pStyle w:val="1343"/>
            </w:pPr>
            <w:r>
              <w:t>≤250</w:t>
            </w:r>
          </w:p>
        </w:tc>
        <w:tc>
          <w:tcPr>
            <w:tcW w:w="680" w:type="dxa"/>
            <w:tcBorders>
              <w:top w:val="single" w:color="auto" w:sz="4" w:space="0"/>
              <w:left w:val="single" w:color="auto" w:sz="4" w:space="0"/>
              <w:bottom w:val="single" w:color="auto" w:sz="4" w:space="0"/>
              <w:right w:val="single" w:color="auto" w:sz="4" w:space="0"/>
            </w:tcBorders>
            <w:vAlign w:val="center"/>
          </w:tcPr>
          <w:p w14:paraId="186B797B">
            <w:pPr>
              <w:pStyle w:val="1343"/>
            </w:pPr>
            <w:r>
              <w:t>22</w:t>
            </w:r>
          </w:p>
        </w:tc>
        <w:tc>
          <w:tcPr>
            <w:tcW w:w="1948" w:type="dxa"/>
            <w:tcBorders>
              <w:top w:val="single" w:color="auto" w:sz="4" w:space="0"/>
              <w:left w:val="single" w:color="auto" w:sz="4" w:space="0"/>
              <w:bottom w:val="single" w:color="auto" w:sz="4" w:space="0"/>
              <w:right w:val="single" w:color="auto" w:sz="4" w:space="0"/>
            </w:tcBorders>
            <w:vAlign w:val="center"/>
          </w:tcPr>
          <w:p w14:paraId="46EFCD2D">
            <w:pPr>
              <w:pStyle w:val="1343"/>
            </w:pPr>
            <w:r>
              <w:t>铅</w:t>
            </w:r>
          </w:p>
        </w:tc>
        <w:tc>
          <w:tcPr>
            <w:tcW w:w="1022" w:type="dxa"/>
            <w:tcBorders>
              <w:top w:val="single" w:color="auto" w:sz="4" w:space="0"/>
              <w:left w:val="single" w:color="auto" w:sz="4" w:space="0"/>
              <w:bottom w:val="single" w:color="auto" w:sz="4" w:space="0"/>
              <w:right w:val="single" w:color="auto" w:sz="4" w:space="0"/>
            </w:tcBorders>
            <w:vAlign w:val="center"/>
          </w:tcPr>
          <w:p w14:paraId="15DC9B08">
            <w:pPr>
              <w:pStyle w:val="1343"/>
            </w:pPr>
            <w:r>
              <w:t>mg/L</w:t>
            </w:r>
          </w:p>
        </w:tc>
        <w:tc>
          <w:tcPr>
            <w:tcW w:w="959" w:type="dxa"/>
            <w:tcBorders>
              <w:top w:val="single" w:color="auto" w:sz="4" w:space="0"/>
              <w:left w:val="single" w:color="auto" w:sz="4" w:space="0"/>
              <w:bottom w:val="single" w:color="auto" w:sz="4" w:space="0"/>
              <w:right w:val="single" w:color="auto" w:sz="4" w:space="0"/>
            </w:tcBorders>
            <w:vAlign w:val="center"/>
          </w:tcPr>
          <w:p w14:paraId="676FC3F6">
            <w:pPr>
              <w:pStyle w:val="1343"/>
            </w:pPr>
            <w:r>
              <w:t>≤0.01</w:t>
            </w:r>
          </w:p>
        </w:tc>
      </w:tr>
      <w:tr w14:paraId="53C65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tcBorders>
              <w:top w:val="single" w:color="auto" w:sz="4" w:space="0"/>
              <w:left w:val="single" w:color="auto" w:sz="4" w:space="0"/>
              <w:bottom w:val="single" w:color="auto" w:sz="4" w:space="0"/>
              <w:right w:val="single" w:color="auto" w:sz="4" w:space="0"/>
            </w:tcBorders>
            <w:vAlign w:val="center"/>
          </w:tcPr>
          <w:p w14:paraId="6449163B">
            <w:pPr>
              <w:pStyle w:val="1343"/>
            </w:pPr>
            <w:r>
              <w:t>9</w:t>
            </w:r>
          </w:p>
        </w:tc>
        <w:tc>
          <w:tcPr>
            <w:tcW w:w="1837" w:type="dxa"/>
            <w:tcBorders>
              <w:top w:val="single" w:color="auto" w:sz="4" w:space="0"/>
              <w:left w:val="single" w:color="auto" w:sz="4" w:space="0"/>
              <w:bottom w:val="single" w:color="auto" w:sz="4" w:space="0"/>
              <w:right w:val="single" w:color="auto" w:sz="4" w:space="0"/>
            </w:tcBorders>
            <w:vAlign w:val="center"/>
          </w:tcPr>
          <w:p w14:paraId="4DF1BB41">
            <w:pPr>
              <w:pStyle w:val="1343"/>
            </w:pPr>
            <w:r>
              <w:t>pH</w:t>
            </w:r>
          </w:p>
        </w:tc>
        <w:tc>
          <w:tcPr>
            <w:tcW w:w="993" w:type="dxa"/>
            <w:tcBorders>
              <w:top w:val="single" w:color="auto" w:sz="4" w:space="0"/>
              <w:left w:val="single" w:color="auto" w:sz="4" w:space="0"/>
              <w:bottom w:val="single" w:color="auto" w:sz="4" w:space="0"/>
              <w:right w:val="single" w:color="auto" w:sz="4" w:space="0"/>
            </w:tcBorders>
            <w:vAlign w:val="center"/>
          </w:tcPr>
          <w:p w14:paraId="179CFDFD">
            <w:pPr>
              <w:pStyle w:val="1343"/>
            </w:pPr>
            <w:r>
              <w:t>无量纲</w:t>
            </w:r>
          </w:p>
        </w:tc>
        <w:tc>
          <w:tcPr>
            <w:tcW w:w="1166" w:type="dxa"/>
            <w:tcBorders>
              <w:top w:val="single" w:color="auto" w:sz="4" w:space="0"/>
              <w:left w:val="single" w:color="auto" w:sz="4" w:space="0"/>
              <w:bottom w:val="single" w:color="auto" w:sz="4" w:space="0"/>
              <w:right w:val="single" w:color="auto" w:sz="4" w:space="0"/>
            </w:tcBorders>
            <w:vAlign w:val="center"/>
          </w:tcPr>
          <w:p w14:paraId="3F5281BF">
            <w:pPr>
              <w:pStyle w:val="1343"/>
            </w:pPr>
            <w:r>
              <w:t>6.5—8.5</w:t>
            </w:r>
          </w:p>
        </w:tc>
        <w:tc>
          <w:tcPr>
            <w:tcW w:w="680" w:type="dxa"/>
            <w:tcBorders>
              <w:top w:val="single" w:color="auto" w:sz="4" w:space="0"/>
              <w:left w:val="single" w:color="auto" w:sz="4" w:space="0"/>
              <w:bottom w:val="single" w:color="auto" w:sz="4" w:space="0"/>
              <w:right w:val="single" w:color="auto" w:sz="4" w:space="0"/>
            </w:tcBorders>
            <w:vAlign w:val="center"/>
          </w:tcPr>
          <w:p w14:paraId="0203CD7D">
            <w:pPr>
              <w:pStyle w:val="1343"/>
            </w:pPr>
            <w:r>
              <w:t>23</w:t>
            </w:r>
          </w:p>
        </w:tc>
        <w:tc>
          <w:tcPr>
            <w:tcW w:w="1948" w:type="dxa"/>
            <w:tcBorders>
              <w:top w:val="single" w:color="auto" w:sz="4" w:space="0"/>
              <w:left w:val="single" w:color="auto" w:sz="4" w:space="0"/>
              <w:bottom w:val="single" w:color="auto" w:sz="4" w:space="0"/>
              <w:right w:val="single" w:color="auto" w:sz="4" w:space="0"/>
            </w:tcBorders>
            <w:vAlign w:val="center"/>
          </w:tcPr>
          <w:p w14:paraId="360D8107">
            <w:pPr>
              <w:pStyle w:val="1343"/>
            </w:pPr>
            <w:r>
              <w:t>镉</w:t>
            </w:r>
          </w:p>
        </w:tc>
        <w:tc>
          <w:tcPr>
            <w:tcW w:w="1022" w:type="dxa"/>
            <w:tcBorders>
              <w:top w:val="single" w:color="auto" w:sz="4" w:space="0"/>
              <w:left w:val="single" w:color="auto" w:sz="4" w:space="0"/>
              <w:bottom w:val="single" w:color="auto" w:sz="4" w:space="0"/>
              <w:right w:val="single" w:color="auto" w:sz="4" w:space="0"/>
            </w:tcBorders>
            <w:vAlign w:val="center"/>
          </w:tcPr>
          <w:p w14:paraId="73428FEF">
            <w:pPr>
              <w:pStyle w:val="1343"/>
            </w:pPr>
            <w:r>
              <w:t>mg/L</w:t>
            </w:r>
          </w:p>
        </w:tc>
        <w:tc>
          <w:tcPr>
            <w:tcW w:w="959" w:type="dxa"/>
            <w:tcBorders>
              <w:top w:val="single" w:color="auto" w:sz="4" w:space="0"/>
              <w:left w:val="single" w:color="auto" w:sz="4" w:space="0"/>
              <w:bottom w:val="single" w:color="auto" w:sz="4" w:space="0"/>
              <w:right w:val="single" w:color="auto" w:sz="4" w:space="0"/>
            </w:tcBorders>
            <w:vAlign w:val="center"/>
          </w:tcPr>
          <w:p w14:paraId="6C9443B2">
            <w:pPr>
              <w:pStyle w:val="1343"/>
            </w:pPr>
            <w:r>
              <w:t>≤0.005</w:t>
            </w:r>
          </w:p>
        </w:tc>
      </w:tr>
      <w:tr w14:paraId="53022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tcBorders>
              <w:top w:val="single" w:color="auto" w:sz="4" w:space="0"/>
              <w:left w:val="single" w:color="auto" w:sz="4" w:space="0"/>
              <w:bottom w:val="single" w:color="auto" w:sz="4" w:space="0"/>
              <w:right w:val="single" w:color="auto" w:sz="4" w:space="0"/>
            </w:tcBorders>
            <w:vAlign w:val="center"/>
          </w:tcPr>
          <w:p w14:paraId="5B7C4664">
            <w:pPr>
              <w:pStyle w:val="1343"/>
            </w:pPr>
            <w:r>
              <w:t>10</w:t>
            </w:r>
          </w:p>
        </w:tc>
        <w:tc>
          <w:tcPr>
            <w:tcW w:w="1837" w:type="dxa"/>
            <w:tcBorders>
              <w:top w:val="single" w:color="auto" w:sz="4" w:space="0"/>
              <w:left w:val="single" w:color="auto" w:sz="4" w:space="0"/>
              <w:bottom w:val="single" w:color="auto" w:sz="4" w:space="0"/>
              <w:right w:val="single" w:color="auto" w:sz="4" w:space="0"/>
            </w:tcBorders>
            <w:vAlign w:val="center"/>
          </w:tcPr>
          <w:p w14:paraId="5F861F78">
            <w:pPr>
              <w:pStyle w:val="1343"/>
            </w:pPr>
            <w:r>
              <w:t>总硬度</w:t>
            </w:r>
          </w:p>
        </w:tc>
        <w:tc>
          <w:tcPr>
            <w:tcW w:w="993" w:type="dxa"/>
            <w:tcBorders>
              <w:top w:val="single" w:color="auto" w:sz="4" w:space="0"/>
              <w:left w:val="single" w:color="auto" w:sz="4" w:space="0"/>
              <w:bottom w:val="single" w:color="auto" w:sz="4" w:space="0"/>
              <w:right w:val="single" w:color="auto" w:sz="4" w:space="0"/>
            </w:tcBorders>
            <w:vAlign w:val="center"/>
          </w:tcPr>
          <w:p w14:paraId="38391007">
            <w:pPr>
              <w:pStyle w:val="1343"/>
            </w:pPr>
            <w:r>
              <w:t>mg/L</w:t>
            </w:r>
          </w:p>
        </w:tc>
        <w:tc>
          <w:tcPr>
            <w:tcW w:w="1166" w:type="dxa"/>
            <w:tcBorders>
              <w:top w:val="single" w:color="auto" w:sz="4" w:space="0"/>
              <w:left w:val="single" w:color="auto" w:sz="4" w:space="0"/>
              <w:bottom w:val="single" w:color="auto" w:sz="4" w:space="0"/>
              <w:right w:val="single" w:color="auto" w:sz="4" w:space="0"/>
            </w:tcBorders>
            <w:vAlign w:val="center"/>
          </w:tcPr>
          <w:p w14:paraId="4EE229D3">
            <w:pPr>
              <w:pStyle w:val="1343"/>
            </w:pPr>
            <w:r>
              <w:t>≤450</w:t>
            </w:r>
          </w:p>
        </w:tc>
        <w:tc>
          <w:tcPr>
            <w:tcW w:w="680" w:type="dxa"/>
            <w:tcBorders>
              <w:top w:val="single" w:color="auto" w:sz="4" w:space="0"/>
              <w:left w:val="single" w:color="auto" w:sz="4" w:space="0"/>
              <w:bottom w:val="single" w:color="auto" w:sz="4" w:space="0"/>
              <w:right w:val="single" w:color="auto" w:sz="4" w:space="0"/>
            </w:tcBorders>
            <w:vAlign w:val="center"/>
          </w:tcPr>
          <w:p w14:paraId="1B8FF3CD">
            <w:pPr>
              <w:pStyle w:val="1343"/>
            </w:pPr>
            <w:r>
              <w:t>24</w:t>
            </w:r>
          </w:p>
        </w:tc>
        <w:tc>
          <w:tcPr>
            <w:tcW w:w="1948" w:type="dxa"/>
            <w:tcBorders>
              <w:top w:val="single" w:color="auto" w:sz="4" w:space="0"/>
              <w:left w:val="single" w:color="auto" w:sz="4" w:space="0"/>
              <w:bottom w:val="single" w:color="auto" w:sz="4" w:space="0"/>
              <w:right w:val="single" w:color="auto" w:sz="4" w:space="0"/>
            </w:tcBorders>
            <w:vAlign w:val="center"/>
          </w:tcPr>
          <w:p w14:paraId="56C1F56A">
            <w:pPr>
              <w:pStyle w:val="1343"/>
            </w:pPr>
            <w:r>
              <w:t>铁</w:t>
            </w:r>
          </w:p>
        </w:tc>
        <w:tc>
          <w:tcPr>
            <w:tcW w:w="1022" w:type="dxa"/>
            <w:tcBorders>
              <w:top w:val="single" w:color="auto" w:sz="4" w:space="0"/>
              <w:left w:val="single" w:color="auto" w:sz="4" w:space="0"/>
              <w:bottom w:val="single" w:color="auto" w:sz="4" w:space="0"/>
              <w:right w:val="single" w:color="auto" w:sz="4" w:space="0"/>
            </w:tcBorders>
            <w:vAlign w:val="center"/>
          </w:tcPr>
          <w:p w14:paraId="16C4D5F7">
            <w:pPr>
              <w:pStyle w:val="1343"/>
            </w:pPr>
            <w:r>
              <w:t>mg/L</w:t>
            </w:r>
          </w:p>
        </w:tc>
        <w:tc>
          <w:tcPr>
            <w:tcW w:w="959" w:type="dxa"/>
            <w:tcBorders>
              <w:top w:val="single" w:color="auto" w:sz="4" w:space="0"/>
              <w:left w:val="single" w:color="auto" w:sz="4" w:space="0"/>
              <w:bottom w:val="single" w:color="auto" w:sz="4" w:space="0"/>
              <w:right w:val="single" w:color="auto" w:sz="4" w:space="0"/>
            </w:tcBorders>
            <w:vAlign w:val="center"/>
          </w:tcPr>
          <w:p w14:paraId="060B236E">
            <w:pPr>
              <w:pStyle w:val="1343"/>
            </w:pPr>
            <w:r>
              <w:t>≤0.3</w:t>
            </w:r>
          </w:p>
        </w:tc>
      </w:tr>
      <w:tr w14:paraId="7658D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tcBorders>
              <w:top w:val="single" w:color="auto" w:sz="4" w:space="0"/>
              <w:left w:val="single" w:color="auto" w:sz="4" w:space="0"/>
              <w:bottom w:val="single" w:color="auto" w:sz="4" w:space="0"/>
              <w:right w:val="single" w:color="auto" w:sz="4" w:space="0"/>
            </w:tcBorders>
            <w:vAlign w:val="center"/>
          </w:tcPr>
          <w:p w14:paraId="30F62BDC">
            <w:pPr>
              <w:pStyle w:val="1343"/>
            </w:pPr>
            <w:r>
              <w:t>11</w:t>
            </w:r>
          </w:p>
        </w:tc>
        <w:tc>
          <w:tcPr>
            <w:tcW w:w="1837" w:type="dxa"/>
            <w:tcBorders>
              <w:top w:val="single" w:color="auto" w:sz="4" w:space="0"/>
              <w:left w:val="single" w:color="auto" w:sz="4" w:space="0"/>
              <w:bottom w:val="single" w:color="auto" w:sz="4" w:space="0"/>
              <w:right w:val="single" w:color="auto" w:sz="4" w:space="0"/>
            </w:tcBorders>
            <w:vAlign w:val="center"/>
          </w:tcPr>
          <w:p w14:paraId="03BEB498">
            <w:pPr>
              <w:pStyle w:val="1343"/>
            </w:pPr>
            <w:r>
              <w:t>溶解性总固体</w:t>
            </w:r>
          </w:p>
        </w:tc>
        <w:tc>
          <w:tcPr>
            <w:tcW w:w="993" w:type="dxa"/>
            <w:tcBorders>
              <w:top w:val="single" w:color="auto" w:sz="4" w:space="0"/>
              <w:left w:val="single" w:color="auto" w:sz="4" w:space="0"/>
              <w:bottom w:val="single" w:color="auto" w:sz="4" w:space="0"/>
              <w:right w:val="single" w:color="auto" w:sz="4" w:space="0"/>
            </w:tcBorders>
            <w:vAlign w:val="center"/>
          </w:tcPr>
          <w:p w14:paraId="69808F92">
            <w:pPr>
              <w:pStyle w:val="1343"/>
            </w:pPr>
            <w:r>
              <w:t>mg/L</w:t>
            </w:r>
          </w:p>
        </w:tc>
        <w:tc>
          <w:tcPr>
            <w:tcW w:w="1166" w:type="dxa"/>
            <w:tcBorders>
              <w:top w:val="single" w:color="auto" w:sz="4" w:space="0"/>
              <w:left w:val="single" w:color="auto" w:sz="4" w:space="0"/>
              <w:bottom w:val="single" w:color="auto" w:sz="4" w:space="0"/>
              <w:right w:val="single" w:color="auto" w:sz="4" w:space="0"/>
            </w:tcBorders>
            <w:vAlign w:val="center"/>
          </w:tcPr>
          <w:p w14:paraId="1A53F53B">
            <w:pPr>
              <w:pStyle w:val="1343"/>
            </w:pPr>
            <w:r>
              <w:t>≤1000</w:t>
            </w:r>
          </w:p>
        </w:tc>
        <w:tc>
          <w:tcPr>
            <w:tcW w:w="680" w:type="dxa"/>
            <w:tcBorders>
              <w:top w:val="single" w:color="auto" w:sz="4" w:space="0"/>
              <w:left w:val="single" w:color="auto" w:sz="4" w:space="0"/>
              <w:bottom w:val="single" w:color="auto" w:sz="4" w:space="0"/>
              <w:right w:val="single" w:color="auto" w:sz="4" w:space="0"/>
            </w:tcBorders>
            <w:vAlign w:val="center"/>
          </w:tcPr>
          <w:p w14:paraId="68B8552A">
            <w:pPr>
              <w:pStyle w:val="1343"/>
            </w:pPr>
            <w:r>
              <w:t>25</w:t>
            </w:r>
          </w:p>
        </w:tc>
        <w:tc>
          <w:tcPr>
            <w:tcW w:w="1948" w:type="dxa"/>
            <w:tcBorders>
              <w:top w:val="single" w:color="auto" w:sz="4" w:space="0"/>
              <w:left w:val="single" w:color="auto" w:sz="4" w:space="0"/>
              <w:bottom w:val="single" w:color="auto" w:sz="4" w:space="0"/>
              <w:right w:val="single" w:color="auto" w:sz="4" w:space="0"/>
            </w:tcBorders>
            <w:vAlign w:val="center"/>
          </w:tcPr>
          <w:p w14:paraId="25A5037A">
            <w:pPr>
              <w:pStyle w:val="1343"/>
            </w:pPr>
            <w:r>
              <w:t>汞</w:t>
            </w:r>
          </w:p>
        </w:tc>
        <w:tc>
          <w:tcPr>
            <w:tcW w:w="1022" w:type="dxa"/>
            <w:tcBorders>
              <w:top w:val="single" w:color="auto" w:sz="4" w:space="0"/>
              <w:left w:val="single" w:color="auto" w:sz="4" w:space="0"/>
              <w:bottom w:val="single" w:color="auto" w:sz="4" w:space="0"/>
              <w:right w:val="single" w:color="auto" w:sz="4" w:space="0"/>
            </w:tcBorders>
            <w:vAlign w:val="center"/>
          </w:tcPr>
          <w:p w14:paraId="0A5C7365">
            <w:pPr>
              <w:pStyle w:val="1343"/>
            </w:pPr>
            <w:r>
              <w:t>mg/L</w:t>
            </w:r>
          </w:p>
        </w:tc>
        <w:tc>
          <w:tcPr>
            <w:tcW w:w="959" w:type="dxa"/>
            <w:tcBorders>
              <w:top w:val="single" w:color="auto" w:sz="4" w:space="0"/>
              <w:left w:val="single" w:color="auto" w:sz="4" w:space="0"/>
              <w:bottom w:val="single" w:color="auto" w:sz="4" w:space="0"/>
              <w:right w:val="single" w:color="auto" w:sz="4" w:space="0"/>
            </w:tcBorders>
            <w:vAlign w:val="center"/>
          </w:tcPr>
          <w:p w14:paraId="189D105C">
            <w:pPr>
              <w:pStyle w:val="1343"/>
            </w:pPr>
            <w:r>
              <w:t>≤0.001</w:t>
            </w:r>
          </w:p>
        </w:tc>
      </w:tr>
      <w:tr w14:paraId="40556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tcBorders>
              <w:top w:val="single" w:color="auto" w:sz="4" w:space="0"/>
              <w:left w:val="single" w:color="auto" w:sz="4" w:space="0"/>
              <w:bottom w:val="single" w:color="auto" w:sz="4" w:space="0"/>
              <w:right w:val="single" w:color="auto" w:sz="4" w:space="0"/>
            </w:tcBorders>
            <w:vAlign w:val="center"/>
          </w:tcPr>
          <w:p w14:paraId="6F949815">
            <w:pPr>
              <w:pStyle w:val="1343"/>
            </w:pPr>
            <w:r>
              <w:t>12</w:t>
            </w:r>
          </w:p>
        </w:tc>
        <w:tc>
          <w:tcPr>
            <w:tcW w:w="1837" w:type="dxa"/>
            <w:tcBorders>
              <w:top w:val="single" w:color="auto" w:sz="4" w:space="0"/>
              <w:left w:val="single" w:color="auto" w:sz="4" w:space="0"/>
              <w:bottom w:val="single" w:color="auto" w:sz="4" w:space="0"/>
              <w:right w:val="single" w:color="auto" w:sz="4" w:space="0"/>
            </w:tcBorders>
            <w:vAlign w:val="center"/>
          </w:tcPr>
          <w:p w14:paraId="1E8A6777">
            <w:pPr>
              <w:pStyle w:val="1343"/>
            </w:pPr>
            <w:r>
              <w:t>耗氧量（COD</w:t>
            </w:r>
            <w:r>
              <w:rPr>
                <w:vertAlign w:val="subscript"/>
              </w:rPr>
              <w:t>Mn</w:t>
            </w:r>
            <w:r>
              <w:t>法，以O</w:t>
            </w:r>
            <w:r>
              <w:rPr>
                <w:vertAlign w:val="subscript"/>
              </w:rPr>
              <w:t>2</w:t>
            </w:r>
            <w:r>
              <w:t>计）</w:t>
            </w:r>
          </w:p>
        </w:tc>
        <w:tc>
          <w:tcPr>
            <w:tcW w:w="993" w:type="dxa"/>
            <w:tcBorders>
              <w:top w:val="single" w:color="auto" w:sz="4" w:space="0"/>
              <w:left w:val="single" w:color="auto" w:sz="4" w:space="0"/>
              <w:bottom w:val="single" w:color="auto" w:sz="4" w:space="0"/>
              <w:right w:val="single" w:color="auto" w:sz="4" w:space="0"/>
            </w:tcBorders>
            <w:vAlign w:val="center"/>
          </w:tcPr>
          <w:p w14:paraId="6C898D77">
            <w:pPr>
              <w:pStyle w:val="1343"/>
            </w:pPr>
            <w:r>
              <w:t>mg/L</w:t>
            </w:r>
          </w:p>
        </w:tc>
        <w:tc>
          <w:tcPr>
            <w:tcW w:w="1166" w:type="dxa"/>
            <w:tcBorders>
              <w:top w:val="single" w:color="auto" w:sz="4" w:space="0"/>
              <w:left w:val="single" w:color="auto" w:sz="4" w:space="0"/>
              <w:bottom w:val="single" w:color="auto" w:sz="4" w:space="0"/>
              <w:right w:val="single" w:color="auto" w:sz="4" w:space="0"/>
            </w:tcBorders>
            <w:vAlign w:val="center"/>
          </w:tcPr>
          <w:p w14:paraId="1632AEBB">
            <w:pPr>
              <w:pStyle w:val="1343"/>
            </w:pPr>
            <w:r>
              <w:t>≤3.0</w:t>
            </w:r>
          </w:p>
        </w:tc>
        <w:tc>
          <w:tcPr>
            <w:tcW w:w="680" w:type="dxa"/>
            <w:tcBorders>
              <w:top w:val="single" w:color="auto" w:sz="4" w:space="0"/>
              <w:left w:val="single" w:color="auto" w:sz="4" w:space="0"/>
              <w:bottom w:val="single" w:color="auto" w:sz="4" w:space="0"/>
              <w:right w:val="single" w:color="auto" w:sz="4" w:space="0"/>
            </w:tcBorders>
            <w:vAlign w:val="center"/>
          </w:tcPr>
          <w:p w14:paraId="3ABF3BCC">
            <w:pPr>
              <w:pStyle w:val="1343"/>
            </w:pPr>
            <w:r>
              <w:t>26</w:t>
            </w:r>
          </w:p>
        </w:tc>
        <w:tc>
          <w:tcPr>
            <w:tcW w:w="1948" w:type="dxa"/>
            <w:tcBorders>
              <w:top w:val="single" w:color="auto" w:sz="4" w:space="0"/>
              <w:left w:val="single" w:color="auto" w:sz="4" w:space="0"/>
              <w:bottom w:val="single" w:color="auto" w:sz="4" w:space="0"/>
              <w:right w:val="single" w:color="auto" w:sz="4" w:space="0"/>
            </w:tcBorders>
            <w:vAlign w:val="center"/>
          </w:tcPr>
          <w:p w14:paraId="3EB6AA20">
            <w:pPr>
              <w:pStyle w:val="1343"/>
            </w:pPr>
            <w:r>
              <w:t>锰</w:t>
            </w:r>
          </w:p>
        </w:tc>
        <w:tc>
          <w:tcPr>
            <w:tcW w:w="1022" w:type="dxa"/>
            <w:tcBorders>
              <w:top w:val="single" w:color="auto" w:sz="4" w:space="0"/>
              <w:left w:val="single" w:color="auto" w:sz="4" w:space="0"/>
              <w:bottom w:val="single" w:color="auto" w:sz="4" w:space="0"/>
              <w:right w:val="single" w:color="auto" w:sz="4" w:space="0"/>
            </w:tcBorders>
            <w:vAlign w:val="center"/>
          </w:tcPr>
          <w:p w14:paraId="0E150943">
            <w:pPr>
              <w:pStyle w:val="1343"/>
            </w:pPr>
            <w:r>
              <w:t>mg/L</w:t>
            </w:r>
          </w:p>
        </w:tc>
        <w:tc>
          <w:tcPr>
            <w:tcW w:w="959" w:type="dxa"/>
            <w:tcBorders>
              <w:top w:val="single" w:color="auto" w:sz="4" w:space="0"/>
              <w:left w:val="single" w:color="auto" w:sz="4" w:space="0"/>
              <w:bottom w:val="single" w:color="auto" w:sz="4" w:space="0"/>
              <w:right w:val="single" w:color="auto" w:sz="4" w:space="0"/>
            </w:tcBorders>
            <w:vAlign w:val="center"/>
          </w:tcPr>
          <w:p w14:paraId="7EE11DDC">
            <w:pPr>
              <w:pStyle w:val="1343"/>
            </w:pPr>
            <w:r>
              <w:t>≤0.10</w:t>
            </w:r>
          </w:p>
        </w:tc>
      </w:tr>
      <w:tr w14:paraId="6B765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tcBorders>
              <w:top w:val="single" w:color="auto" w:sz="4" w:space="0"/>
              <w:left w:val="single" w:color="auto" w:sz="4" w:space="0"/>
              <w:bottom w:val="single" w:color="auto" w:sz="4" w:space="0"/>
              <w:right w:val="single" w:color="auto" w:sz="4" w:space="0"/>
            </w:tcBorders>
            <w:vAlign w:val="center"/>
          </w:tcPr>
          <w:p w14:paraId="619C1D48">
            <w:pPr>
              <w:pStyle w:val="1343"/>
            </w:pPr>
            <w:r>
              <w:t>13</w:t>
            </w:r>
          </w:p>
        </w:tc>
        <w:tc>
          <w:tcPr>
            <w:tcW w:w="1837" w:type="dxa"/>
            <w:tcBorders>
              <w:top w:val="single" w:color="auto" w:sz="4" w:space="0"/>
              <w:left w:val="single" w:color="auto" w:sz="4" w:space="0"/>
              <w:bottom w:val="single" w:color="auto" w:sz="4" w:space="0"/>
              <w:right w:val="single" w:color="auto" w:sz="4" w:space="0"/>
            </w:tcBorders>
            <w:vAlign w:val="center"/>
          </w:tcPr>
          <w:p w14:paraId="6CCA7CF9">
            <w:pPr>
              <w:pStyle w:val="1343"/>
            </w:pPr>
            <w:r>
              <w:t>氨氮</w:t>
            </w:r>
          </w:p>
        </w:tc>
        <w:tc>
          <w:tcPr>
            <w:tcW w:w="993" w:type="dxa"/>
            <w:tcBorders>
              <w:top w:val="single" w:color="auto" w:sz="4" w:space="0"/>
              <w:left w:val="single" w:color="auto" w:sz="4" w:space="0"/>
              <w:bottom w:val="single" w:color="auto" w:sz="4" w:space="0"/>
              <w:right w:val="single" w:color="auto" w:sz="4" w:space="0"/>
            </w:tcBorders>
            <w:vAlign w:val="center"/>
          </w:tcPr>
          <w:p w14:paraId="792D213E">
            <w:pPr>
              <w:pStyle w:val="1343"/>
            </w:pPr>
            <w:r>
              <w:t>mg/L</w:t>
            </w:r>
          </w:p>
        </w:tc>
        <w:tc>
          <w:tcPr>
            <w:tcW w:w="1166" w:type="dxa"/>
            <w:tcBorders>
              <w:top w:val="single" w:color="auto" w:sz="4" w:space="0"/>
              <w:left w:val="single" w:color="auto" w:sz="4" w:space="0"/>
              <w:bottom w:val="single" w:color="auto" w:sz="4" w:space="0"/>
              <w:right w:val="single" w:color="auto" w:sz="4" w:space="0"/>
            </w:tcBorders>
            <w:vAlign w:val="center"/>
          </w:tcPr>
          <w:p w14:paraId="37282912">
            <w:pPr>
              <w:pStyle w:val="1343"/>
            </w:pPr>
            <w:r>
              <w:t>≤0.50</w:t>
            </w:r>
          </w:p>
        </w:tc>
        <w:tc>
          <w:tcPr>
            <w:tcW w:w="680" w:type="dxa"/>
            <w:tcBorders>
              <w:top w:val="single" w:color="auto" w:sz="4" w:space="0"/>
              <w:left w:val="single" w:color="auto" w:sz="4" w:space="0"/>
              <w:bottom w:val="single" w:color="auto" w:sz="4" w:space="0"/>
              <w:right w:val="single" w:color="auto" w:sz="4" w:space="0"/>
            </w:tcBorders>
            <w:vAlign w:val="center"/>
          </w:tcPr>
          <w:p w14:paraId="7FE59C42">
            <w:pPr>
              <w:pStyle w:val="1343"/>
            </w:pPr>
            <w:r>
              <w:t>27</w:t>
            </w:r>
          </w:p>
        </w:tc>
        <w:tc>
          <w:tcPr>
            <w:tcW w:w="1948" w:type="dxa"/>
            <w:tcBorders>
              <w:top w:val="single" w:color="auto" w:sz="4" w:space="0"/>
              <w:left w:val="single" w:color="auto" w:sz="4" w:space="0"/>
              <w:bottom w:val="single" w:color="auto" w:sz="4" w:space="0"/>
              <w:right w:val="single" w:color="auto" w:sz="4" w:space="0"/>
            </w:tcBorders>
            <w:vAlign w:val="center"/>
          </w:tcPr>
          <w:p w14:paraId="457371C4">
            <w:pPr>
              <w:pStyle w:val="1343"/>
            </w:pPr>
            <w:r>
              <w:t>总大肠菌群</w:t>
            </w:r>
          </w:p>
        </w:tc>
        <w:tc>
          <w:tcPr>
            <w:tcW w:w="1022" w:type="dxa"/>
            <w:tcBorders>
              <w:top w:val="single" w:color="auto" w:sz="4" w:space="0"/>
              <w:left w:val="single" w:color="auto" w:sz="4" w:space="0"/>
              <w:bottom w:val="single" w:color="auto" w:sz="4" w:space="0"/>
              <w:right w:val="single" w:color="auto" w:sz="4" w:space="0"/>
            </w:tcBorders>
            <w:vAlign w:val="center"/>
          </w:tcPr>
          <w:p w14:paraId="0379B32E">
            <w:pPr>
              <w:pStyle w:val="1343"/>
            </w:pPr>
            <w:r>
              <w:t>MPN/</w:t>
            </w:r>
          </w:p>
          <w:p w14:paraId="3B9C8FC5">
            <w:pPr>
              <w:pStyle w:val="1343"/>
            </w:pPr>
            <w:r>
              <w:t>100mL</w:t>
            </w:r>
          </w:p>
        </w:tc>
        <w:tc>
          <w:tcPr>
            <w:tcW w:w="959" w:type="dxa"/>
            <w:tcBorders>
              <w:top w:val="single" w:color="auto" w:sz="4" w:space="0"/>
              <w:left w:val="single" w:color="auto" w:sz="4" w:space="0"/>
              <w:bottom w:val="single" w:color="auto" w:sz="4" w:space="0"/>
              <w:right w:val="single" w:color="auto" w:sz="4" w:space="0"/>
            </w:tcBorders>
            <w:vAlign w:val="center"/>
          </w:tcPr>
          <w:p w14:paraId="24C32EDC">
            <w:pPr>
              <w:pStyle w:val="1343"/>
            </w:pPr>
            <w:r>
              <w:t>≤3.0</w:t>
            </w:r>
          </w:p>
        </w:tc>
      </w:tr>
      <w:tr w14:paraId="3CE32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tcBorders>
              <w:top w:val="single" w:color="auto" w:sz="4" w:space="0"/>
              <w:left w:val="single" w:color="auto" w:sz="4" w:space="0"/>
              <w:bottom w:val="single" w:color="auto" w:sz="4" w:space="0"/>
              <w:right w:val="single" w:color="auto" w:sz="4" w:space="0"/>
            </w:tcBorders>
            <w:vAlign w:val="center"/>
          </w:tcPr>
          <w:p w14:paraId="6594AEA0">
            <w:pPr>
              <w:pStyle w:val="1343"/>
            </w:pPr>
            <w:r>
              <w:t>14</w:t>
            </w:r>
          </w:p>
        </w:tc>
        <w:tc>
          <w:tcPr>
            <w:tcW w:w="1837" w:type="dxa"/>
            <w:tcBorders>
              <w:top w:val="single" w:color="auto" w:sz="4" w:space="0"/>
              <w:left w:val="single" w:color="auto" w:sz="4" w:space="0"/>
              <w:bottom w:val="single" w:color="auto" w:sz="4" w:space="0"/>
              <w:right w:val="single" w:color="auto" w:sz="4" w:space="0"/>
            </w:tcBorders>
            <w:vAlign w:val="center"/>
          </w:tcPr>
          <w:p w14:paraId="1A5BCCBF">
            <w:pPr>
              <w:pStyle w:val="1343"/>
            </w:pPr>
            <w:r>
              <w:t>石油类</w:t>
            </w:r>
          </w:p>
        </w:tc>
        <w:tc>
          <w:tcPr>
            <w:tcW w:w="993" w:type="dxa"/>
            <w:tcBorders>
              <w:top w:val="single" w:color="auto" w:sz="4" w:space="0"/>
              <w:left w:val="single" w:color="auto" w:sz="4" w:space="0"/>
              <w:bottom w:val="single" w:color="auto" w:sz="4" w:space="0"/>
              <w:right w:val="single" w:color="auto" w:sz="4" w:space="0"/>
            </w:tcBorders>
            <w:vAlign w:val="center"/>
          </w:tcPr>
          <w:p w14:paraId="67FBD259">
            <w:pPr>
              <w:pStyle w:val="1343"/>
            </w:pPr>
            <w:r>
              <w:t>mg/L</w:t>
            </w:r>
          </w:p>
        </w:tc>
        <w:tc>
          <w:tcPr>
            <w:tcW w:w="1166" w:type="dxa"/>
            <w:tcBorders>
              <w:top w:val="single" w:color="auto" w:sz="4" w:space="0"/>
              <w:left w:val="single" w:color="auto" w:sz="4" w:space="0"/>
              <w:bottom w:val="single" w:color="auto" w:sz="4" w:space="0"/>
              <w:right w:val="single" w:color="auto" w:sz="4" w:space="0"/>
            </w:tcBorders>
            <w:vAlign w:val="center"/>
          </w:tcPr>
          <w:p w14:paraId="75883FA2">
            <w:pPr>
              <w:pStyle w:val="1343"/>
            </w:pPr>
            <w:r>
              <w:t>≤0.05</w:t>
            </w:r>
          </w:p>
        </w:tc>
        <w:tc>
          <w:tcPr>
            <w:tcW w:w="680" w:type="dxa"/>
            <w:tcBorders>
              <w:top w:val="single" w:color="auto" w:sz="4" w:space="0"/>
              <w:left w:val="single" w:color="auto" w:sz="4" w:space="0"/>
              <w:bottom w:val="single" w:color="auto" w:sz="4" w:space="0"/>
              <w:right w:val="single" w:color="auto" w:sz="4" w:space="0"/>
            </w:tcBorders>
            <w:vAlign w:val="center"/>
          </w:tcPr>
          <w:p w14:paraId="1C3B9C7C">
            <w:pPr>
              <w:pStyle w:val="1343"/>
            </w:pPr>
            <w:r>
              <w:t>28</w:t>
            </w:r>
          </w:p>
        </w:tc>
        <w:tc>
          <w:tcPr>
            <w:tcW w:w="1948" w:type="dxa"/>
            <w:tcBorders>
              <w:top w:val="single" w:color="auto" w:sz="4" w:space="0"/>
              <w:left w:val="single" w:color="auto" w:sz="4" w:space="0"/>
              <w:bottom w:val="single" w:color="auto" w:sz="4" w:space="0"/>
              <w:right w:val="single" w:color="auto" w:sz="4" w:space="0"/>
            </w:tcBorders>
            <w:vAlign w:val="center"/>
          </w:tcPr>
          <w:p w14:paraId="142A8B4E">
            <w:pPr>
              <w:pStyle w:val="1343"/>
            </w:pPr>
            <w:r>
              <w:t>菌落总数</w:t>
            </w:r>
          </w:p>
        </w:tc>
        <w:tc>
          <w:tcPr>
            <w:tcW w:w="1022" w:type="dxa"/>
            <w:tcBorders>
              <w:top w:val="single" w:color="auto" w:sz="4" w:space="0"/>
              <w:left w:val="single" w:color="auto" w:sz="4" w:space="0"/>
              <w:bottom w:val="single" w:color="auto" w:sz="4" w:space="0"/>
              <w:right w:val="single" w:color="auto" w:sz="4" w:space="0"/>
            </w:tcBorders>
            <w:vAlign w:val="center"/>
          </w:tcPr>
          <w:p w14:paraId="330460AD">
            <w:pPr>
              <w:pStyle w:val="1343"/>
            </w:pPr>
            <w:r>
              <w:t>CFU/mL</w:t>
            </w:r>
          </w:p>
        </w:tc>
        <w:tc>
          <w:tcPr>
            <w:tcW w:w="959" w:type="dxa"/>
            <w:tcBorders>
              <w:top w:val="single" w:color="auto" w:sz="4" w:space="0"/>
              <w:left w:val="single" w:color="auto" w:sz="4" w:space="0"/>
              <w:bottom w:val="single" w:color="auto" w:sz="4" w:space="0"/>
              <w:right w:val="single" w:color="auto" w:sz="4" w:space="0"/>
            </w:tcBorders>
            <w:vAlign w:val="center"/>
          </w:tcPr>
          <w:p w14:paraId="26B667A8">
            <w:pPr>
              <w:pStyle w:val="1343"/>
            </w:pPr>
            <w:r>
              <w:t>≤100</w:t>
            </w:r>
          </w:p>
        </w:tc>
      </w:tr>
    </w:tbl>
    <w:p w14:paraId="4EA6F7AB">
      <w:pPr>
        <w:pStyle w:val="7"/>
        <w:snapToGrid w:val="0"/>
        <w:spacing w:before="120" w:beforeLines="50"/>
      </w:pPr>
      <w:r>
        <w:t>声环境</w:t>
      </w:r>
    </w:p>
    <w:p w14:paraId="05B58920">
      <w:pPr>
        <w:pStyle w:val="234"/>
      </w:pPr>
      <w:r>
        <w:t>本工程沿线途径区域及分输站</w:t>
      </w:r>
      <w:r>
        <w:rPr>
          <w:rFonts w:hint="eastAsia"/>
        </w:rPr>
        <w:t>、阀室</w:t>
      </w:r>
      <w:r>
        <w:t>周边主要为</w:t>
      </w:r>
      <w:r>
        <w:rPr>
          <w:rFonts w:hint="eastAsia"/>
        </w:rPr>
        <w:t>农村居住地区，</w:t>
      </w:r>
      <w:r>
        <w:t>结合《声环境功能区划分技术规范》(GB/T15190-2014)</w:t>
      </w:r>
      <w:r>
        <w:rPr>
          <w:rFonts w:hint="eastAsia"/>
        </w:rPr>
        <w:t>及</w:t>
      </w:r>
      <w:r>
        <w:t>《声环境质量标准》(GB3096-2008)</w:t>
      </w:r>
      <w:r>
        <w:rPr>
          <w:rFonts w:hint="eastAsia"/>
        </w:rPr>
        <w:t>要求，</w:t>
      </w:r>
      <w:r>
        <w:rPr>
          <w:rFonts w:hint="eastAsia"/>
          <w:i/>
          <w:iCs/>
          <w:color w:val="auto"/>
          <w:u w:val="single"/>
        </w:rPr>
        <w:t>站场、阀室周边区域及项目周边农村居住区域</w:t>
      </w:r>
      <w:r>
        <w:rPr>
          <w:i/>
          <w:iCs/>
          <w:color w:val="auto"/>
          <w:u w:val="single"/>
        </w:rPr>
        <w:t>声</w:t>
      </w:r>
      <w:r>
        <w:rPr>
          <w:rFonts w:hint="eastAsia"/>
          <w:i/>
          <w:iCs/>
          <w:color w:val="auto"/>
          <w:u w:val="single"/>
        </w:rPr>
        <w:t>环境</w:t>
      </w:r>
      <w:r>
        <w:rPr>
          <w:i/>
          <w:iCs/>
          <w:color w:val="auto"/>
          <w:u w:val="single"/>
        </w:rPr>
        <w:t>执行《声环境质量标准》（GB3096-2008）</w:t>
      </w:r>
      <w:r>
        <w:rPr>
          <w:rFonts w:hint="eastAsia"/>
          <w:i/>
          <w:iCs/>
          <w:color w:val="auto"/>
          <w:u w:val="single"/>
        </w:rPr>
        <w:t>2</w:t>
      </w:r>
      <w:r>
        <w:rPr>
          <w:i/>
          <w:iCs/>
          <w:color w:val="auto"/>
          <w:u w:val="single"/>
        </w:rPr>
        <w:t>类标准，</w:t>
      </w:r>
      <w:r>
        <w:t>交通干线两侧</w:t>
      </w:r>
      <w:r>
        <w:rPr>
          <w:rFonts w:hint="eastAsia"/>
        </w:rPr>
        <w:t>35m±5m以内区域</w:t>
      </w:r>
      <w:r>
        <w:t>执行《声环境质量标准》（GB3096-2008）4</w:t>
      </w:r>
      <w:r>
        <w:rPr>
          <w:rFonts w:hint="eastAsia"/>
        </w:rPr>
        <w:t>a</w:t>
      </w:r>
      <w:r>
        <w:t>类标准，具体标准值见</w:t>
      </w:r>
      <w:r>
        <w:fldChar w:fldCharType="begin"/>
      </w:r>
      <w:r>
        <w:instrText xml:space="preserve"> REF _Ref74765158 \h  \* MERGEFORMAT </w:instrText>
      </w:r>
      <w:r>
        <w:fldChar w:fldCharType="separate"/>
      </w:r>
      <w:r>
        <w:t>表 2.7</w:t>
      </w:r>
      <w:r>
        <w:noBreakHyphen/>
      </w:r>
      <w:r>
        <w:t>4</w:t>
      </w:r>
      <w:r>
        <w:fldChar w:fldCharType="end"/>
      </w:r>
      <w:r>
        <w:t>。</w:t>
      </w:r>
    </w:p>
    <w:p w14:paraId="14E05B43">
      <w:pPr>
        <w:pStyle w:val="904"/>
      </w:pPr>
      <w:bookmarkStart w:id="127" w:name="_Ref74765158"/>
      <w:r>
        <w:t xml:space="preserve">表 </w:t>
      </w:r>
      <w:r>
        <w:fldChar w:fldCharType="begin"/>
      </w:r>
      <w:r>
        <w:instrText xml:space="preserve"> STYLEREF 2 \s </w:instrText>
      </w:r>
      <w:r>
        <w:fldChar w:fldCharType="separate"/>
      </w:r>
      <w:r>
        <w:t>2.7</w:t>
      </w:r>
      <w:r>
        <w:fldChar w:fldCharType="end"/>
      </w:r>
      <w:r>
        <w:noBreakHyphen/>
      </w:r>
      <w:r>
        <w:fldChar w:fldCharType="begin"/>
      </w:r>
      <w:r>
        <w:instrText xml:space="preserve"> SEQ 表 \* ARABIC \s 2 </w:instrText>
      </w:r>
      <w:r>
        <w:fldChar w:fldCharType="separate"/>
      </w:r>
      <w:r>
        <w:t>4</w:t>
      </w:r>
      <w:r>
        <w:fldChar w:fldCharType="end"/>
      </w:r>
      <w:bookmarkEnd w:id="127"/>
      <w:r>
        <w:t>声环境质量标准限值</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0"/>
        <w:gridCol w:w="1363"/>
        <w:gridCol w:w="1395"/>
        <w:gridCol w:w="4518"/>
      </w:tblGrid>
      <w:tr w14:paraId="797E5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2" w:type="pct"/>
            <w:vAlign w:val="center"/>
          </w:tcPr>
          <w:p w14:paraId="7E69E746">
            <w:pPr>
              <w:pStyle w:val="1343"/>
              <w:rPr>
                <w:szCs w:val="24"/>
              </w:rPr>
            </w:pPr>
            <w:r>
              <w:t>声环境功能区类别</w:t>
            </w:r>
          </w:p>
        </w:tc>
        <w:tc>
          <w:tcPr>
            <w:tcW w:w="734" w:type="pct"/>
            <w:vAlign w:val="center"/>
          </w:tcPr>
          <w:p w14:paraId="60173CDA">
            <w:pPr>
              <w:pStyle w:val="1343"/>
              <w:rPr>
                <w:szCs w:val="24"/>
              </w:rPr>
            </w:pPr>
            <w:r>
              <w:t>昼间dB(A)</w:t>
            </w:r>
          </w:p>
        </w:tc>
        <w:tc>
          <w:tcPr>
            <w:tcW w:w="751" w:type="pct"/>
            <w:vAlign w:val="center"/>
          </w:tcPr>
          <w:p w14:paraId="535B4B12">
            <w:pPr>
              <w:pStyle w:val="1343"/>
              <w:rPr>
                <w:szCs w:val="24"/>
              </w:rPr>
            </w:pPr>
            <w:r>
              <w:t>夜间dB(A)</w:t>
            </w:r>
          </w:p>
        </w:tc>
        <w:tc>
          <w:tcPr>
            <w:tcW w:w="2432" w:type="pct"/>
            <w:vAlign w:val="center"/>
          </w:tcPr>
          <w:p w14:paraId="08C438D2">
            <w:pPr>
              <w:pStyle w:val="1343"/>
            </w:pPr>
            <w:r>
              <w:rPr>
                <w:rFonts w:hint="eastAsia"/>
              </w:rPr>
              <w:t>备注</w:t>
            </w:r>
          </w:p>
        </w:tc>
      </w:tr>
      <w:tr w14:paraId="78BAB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2" w:type="pct"/>
            <w:vAlign w:val="center"/>
          </w:tcPr>
          <w:p w14:paraId="3CBE9BF7">
            <w:pPr>
              <w:pStyle w:val="1343"/>
              <w:rPr>
                <w:i/>
                <w:iCs/>
                <w:color w:val="auto"/>
                <w:szCs w:val="18"/>
                <w:u w:val="single"/>
              </w:rPr>
            </w:pPr>
            <w:r>
              <w:rPr>
                <w:rFonts w:hint="eastAsia"/>
                <w:i/>
                <w:iCs/>
                <w:color w:val="auto"/>
                <w:szCs w:val="18"/>
                <w:u w:val="single"/>
              </w:rPr>
              <w:t>2类</w:t>
            </w:r>
          </w:p>
        </w:tc>
        <w:tc>
          <w:tcPr>
            <w:tcW w:w="734" w:type="pct"/>
            <w:vAlign w:val="center"/>
          </w:tcPr>
          <w:p w14:paraId="789F4D5E">
            <w:pPr>
              <w:pStyle w:val="1343"/>
              <w:rPr>
                <w:i/>
                <w:iCs/>
                <w:color w:val="auto"/>
                <w:szCs w:val="18"/>
                <w:u w:val="single"/>
              </w:rPr>
            </w:pPr>
            <w:r>
              <w:rPr>
                <w:rFonts w:hint="eastAsia"/>
                <w:i/>
                <w:iCs/>
                <w:color w:val="auto"/>
                <w:szCs w:val="18"/>
                <w:u w:val="single"/>
              </w:rPr>
              <w:t>60</w:t>
            </w:r>
          </w:p>
        </w:tc>
        <w:tc>
          <w:tcPr>
            <w:tcW w:w="751" w:type="pct"/>
            <w:vAlign w:val="center"/>
          </w:tcPr>
          <w:p w14:paraId="4EA34D06">
            <w:pPr>
              <w:pStyle w:val="1343"/>
              <w:rPr>
                <w:i/>
                <w:iCs/>
                <w:color w:val="auto"/>
                <w:szCs w:val="18"/>
                <w:u w:val="single"/>
              </w:rPr>
            </w:pPr>
            <w:r>
              <w:rPr>
                <w:rFonts w:hint="eastAsia"/>
                <w:i/>
                <w:iCs/>
                <w:color w:val="auto"/>
                <w:szCs w:val="18"/>
                <w:u w:val="single"/>
              </w:rPr>
              <w:t>50</w:t>
            </w:r>
          </w:p>
        </w:tc>
        <w:tc>
          <w:tcPr>
            <w:tcW w:w="2432" w:type="pct"/>
            <w:vAlign w:val="center"/>
          </w:tcPr>
          <w:p w14:paraId="78C8532F">
            <w:pPr>
              <w:pStyle w:val="1343"/>
              <w:rPr>
                <w:i/>
                <w:iCs/>
                <w:color w:val="auto"/>
                <w:szCs w:val="18"/>
                <w:u w:val="single"/>
              </w:rPr>
            </w:pPr>
            <w:r>
              <w:rPr>
                <w:rFonts w:hint="eastAsia"/>
                <w:i/>
                <w:iCs/>
                <w:color w:val="auto"/>
                <w:szCs w:val="18"/>
                <w:u w:val="single"/>
              </w:rPr>
              <w:t>站场、阀室周边区域，属于居住、工业混杂区</w:t>
            </w:r>
          </w:p>
        </w:tc>
      </w:tr>
      <w:tr w14:paraId="5C4CF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2" w:type="pct"/>
            <w:vAlign w:val="center"/>
          </w:tcPr>
          <w:p w14:paraId="22E517D4">
            <w:pPr>
              <w:pStyle w:val="1343"/>
              <w:rPr>
                <w:szCs w:val="18"/>
              </w:rPr>
            </w:pPr>
            <w:r>
              <w:rPr>
                <w:szCs w:val="18"/>
              </w:rPr>
              <w:t>4a类</w:t>
            </w:r>
          </w:p>
        </w:tc>
        <w:tc>
          <w:tcPr>
            <w:tcW w:w="734" w:type="pct"/>
            <w:vAlign w:val="center"/>
          </w:tcPr>
          <w:p w14:paraId="5B45AC43">
            <w:pPr>
              <w:pStyle w:val="1343"/>
              <w:rPr>
                <w:szCs w:val="18"/>
              </w:rPr>
            </w:pPr>
            <w:r>
              <w:rPr>
                <w:szCs w:val="18"/>
              </w:rPr>
              <w:t>70</w:t>
            </w:r>
          </w:p>
        </w:tc>
        <w:tc>
          <w:tcPr>
            <w:tcW w:w="751" w:type="pct"/>
            <w:vAlign w:val="center"/>
          </w:tcPr>
          <w:p w14:paraId="4492D96D">
            <w:pPr>
              <w:pStyle w:val="1343"/>
              <w:rPr>
                <w:szCs w:val="18"/>
              </w:rPr>
            </w:pPr>
            <w:r>
              <w:rPr>
                <w:szCs w:val="18"/>
              </w:rPr>
              <w:t>55</w:t>
            </w:r>
          </w:p>
        </w:tc>
        <w:tc>
          <w:tcPr>
            <w:tcW w:w="2432" w:type="pct"/>
            <w:vAlign w:val="center"/>
          </w:tcPr>
          <w:p w14:paraId="1BC838D9">
            <w:pPr>
              <w:pStyle w:val="1343"/>
              <w:rPr>
                <w:szCs w:val="18"/>
              </w:rPr>
            </w:pPr>
            <w:r>
              <w:rPr>
                <w:rFonts w:hint="eastAsia"/>
                <w:szCs w:val="18"/>
              </w:rPr>
              <w:t>管道穿越国道</w:t>
            </w:r>
            <w:r>
              <w:rPr>
                <w:rFonts w:hint="eastAsia"/>
                <w:lang w:val="zh-CN"/>
              </w:rPr>
              <w:t>G356</w:t>
            </w:r>
            <w:r>
              <w:rPr>
                <w:rFonts w:hint="eastAsia"/>
              </w:rPr>
              <w:t>两侧35m±5m区域</w:t>
            </w:r>
          </w:p>
        </w:tc>
      </w:tr>
    </w:tbl>
    <w:p w14:paraId="248DB234">
      <w:pPr>
        <w:pStyle w:val="5"/>
        <w:snapToGrid w:val="0"/>
        <w:spacing w:before="120" w:beforeLines="50"/>
        <w:rPr>
          <w:color w:val="auto"/>
        </w:rPr>
      </w:pPr>
      <w:bookmarkStart w:id="128" w:name="_Toc532466353"/>
      <w:r>
        <w:rPr>
          <w:color w:val="auto"/>
        </w:rPr>
        <w:t>污染物排放标准</w:t>
      </w:r>
      <w:bookmarkEnd w:id="128"/>
    </w:p>
    <w:p w14:paraId="4DCBDF24">
      <w:pPr>
        <w:pStyle w:val="7"/>
      </w:pPr>
      <w:r>
        <w:t xml:space="preserve"> 废气排放标准</w:t>
      </w:r>
    </w:p>
    <w:p w14:paraId="0C58299D">
      <w:pPr>
        <w:pStyle w:val="234"/>
        <w:spacing w:before="48" w:after="48"/>
      </w:pPr>
      <w:r>
        <w:t>施工扬尘排放执行《大气污染物综合排放标准》</w:t>
      </w:r>
      <w:r>
        <w:rPr>
          <w:rFonts w:hint="eastAsia"/>
        </w:rPr>
        <w:t>（</w:t>
      </w:r>
      <w:r>
        <w:t>GB 16297-1996</w:t>
      </w:r>
      <w:r>
        <w:rPr>
          <w:rFonts w:hint="eastAsia"/>
        </w:rPr>
        <w:t>）</w:t>
      </w:r>
      <w:r>
        <w:t>表2中无组织排放监控浓度限值。</w:t>
      </w:r>
    </w:p>
    <w:p w14:paraId="54D8A1A0">
      <w:pPr>
        <w:pStyle w:val="234"/>
        <w:spacing w:before="48" w:after="48"/>
      </w:pPr>
      <w:r>
        <w:t>运营期无组织排放非甲烷总烃执行《</w:t>
      </w:r>
      <w:r>
        <w:rPr>
          <w:rFonts w:hint="eastAsia"/>
        </w:rPr>
        <w:t>大气污染物综合排放标准</w:t>
      </w:r>
      <w:r>
        <w:t>》</w:t>
      </w:r>
      <w:r>
        <w:rPr>
          <w:rFonts w:hint="eastAsia"/>
        </w:rPr>
        <w:t>（GB16297-1996）中厂界外最高浓度标准限值，此外，站场内生产工艺过程、设备与管线组件挥发性有机物无组织排放控制须满足《挥发性有机物无组织排放控制标准》（GB37822-2019）中相关控制要求</w:t>
      </w:r>
      <w:r>
        <w:t>。具体标准限值详见</w:t>
      </w:r>
      <w:r>
        <w:rPr>
          <w:rFonts w:hint="eastAsia"/>
        </w:rPr>
        <w:t>表2</w:t>
      </w:r>
      <w:r>
        <w:t>.7</w:t>
      </w:r>
      <w:r>
        <w:rPr>
          <w:rFonts w:hint="eastAsia"/>
        </w:rPr>
        <w:t>-</w:t>
      </w:r>
      <w:r>
        <w:t>5</w:t>
      </w:r>
      <w:r>
        <w:rPr>
          <w:rFonts w:hint="eastAsia"/>
        </w:rPr>
        <w:t>、表2.7-6。</w:t>
      </w:r>
    </w:p>
    <w:p w14:paraId="13D0466E">
      <w:pPr>
        <w:pStyle w:val="904"/>
      </w:pPr>
      <w:bookmarkStart w:id="129" w:name="_Ref74768044"/>
      <w:r>
        <w:t xml:space="preserve">表 </w:t>
      </w:r>
      <w:r>
        <w:fldChar w:fldCharType="begin"/>
      </w:r>
      <w:r>
        <w:instrText xml:space="preserve"> STYLEREF 2 \s </w:instrText>
      </w:r>
      <w:r>
        <w:fldChar w:fldCharType="separate"/>
      </w:r>
      <w:r>
        <w:t>2.7</w:t>
      </w:r>
      <w:r>
        <w:fldChar w:fldCharType="end"/>
      </w:r>
      <w:r>
        <w:noBreakHyphen/>
      </w:r>
      <w:bookmarkEnd w:id="129"/>
      <w:r>
        <w:t>5</w:t>
      </w:r>
      <w:r>
        <w:rPr>
          <w:rFonts w:hint="eastAsia"/>
        </w:rPr>
        <w:t xml:space="preserve">  </w:t>
      </w:r>
      <w:r>
        <w:t>大气污染物排放标准</w:t>
      </w:r>
    </w:p>
    <w:tbl>
      <w:tblPr>
        <w:tblStyle w:val="13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1276"/>
        <w:gridCol w:w="1765"/>
        <w:gridCol w:w="2062"/>
        <w:gridCol w:w="2828"/>
      </w:tblGrid>
      <w:tr w14:paraId="20431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29" w:type="dxa"/>
            <w:vAlign w:val="center"/>
          </w:tcPr>
          <w:p w14:paraId="0D22ED09">
            <w:pPr>
              <w:pStyle w:val="1343"/>
              <w:widowControl w:val="0"/>
              <w:rPr>
                <w:kern w:val="2"/>
              </w:rPr>
            </w:pPr>
            <w:r>
              <w:rPr>
                <w:kern w:val="2"/>
              </w:rPr>
              <w:t>时段</w:t>
            </w:r>
          </w:p>
        </w:tc>
        <w:tc>
          <w:tcPr>
            <w:tcW w:w="1276" w:type="dxa"/>
            <w:vAlign w:val="center"/>
          </w:tcPr>
          <w:p w14:paraId="1C460748">
            <w:pPr>
              <w:pStyle w:val="1343"/>
              <w:widowControl w:val="0"/>
              <w:rPr>
                <w:kern w:val="2"/>
              </w:rPr>
            </w:pPr>
            <w:r>
              <w:rPr>
                <w:kern w:val="2"/>
              </w:rPr>
              <w:t>污染物</w:t>
            </w:r>
          </w:p>
        </w:tc>
        <w:tc>
          <w:tcPr>
            <w:tcW w:w="1765" w:type="dxa"/>
            <w:vAlign w:val="center"/>
          </w:tcPr>
          <w:p w14:paraId="08B4D826">
            <w:pPr>
              <w:pStyle w:val="1343"/>
              <w:widowControl w:val="0"/>
              <w:rPr>
                <w:kern w:val="2"/>
              </w:rPr>
            </w:pPr>
            <w:r>
              <w:rPr>
                <w:kern w:val="2"/>
              </w:rPr>
              <w:t>监控位置</w:t>
            </w:r>
          </w:p>
        </w:tc>
        <w:tc>
          <w:tcPr>
            <w:tcW w:w="2062" w:type="dxa"/>
            <w:vAlign w:val="center"/>
          </w:tcPr>
          <w:p w14:paraId="56910F0A">
            <w:pPr>
              <w:pStyle w:val="1343"/>
              <w:widowControl w:val="0"/>
              <w:rPr>
                <w:kern w:val="2"/>
              </w:rPr>
            </w:pPr>
            <w:r>
              <w:rPr>
                <w:kern w:val="2"/>
              </w:rPr>
              <w:t>标准限值(mg/m</w:t>
            </w:r>
            <w:r>
              <w:rPr>
                <w:kern w:val="2"/>
                <w:vertAlign w:val="superscript"/>
              </w:rPr>
              <w:t>3</w:t>
            </w:r>
            <w:r>
              <w:rPr>
                <w:kern w:val="2"/>
              </w:rPr>
              <w:t>)</w:t>
            </w:r>
          </w:p>
        </w:tc>
        <w:tc>
          <w:tcPr>
            <w:tcW w:w="2828" w:type="dxa"/>
            <w:vAlign w:val="center"/>
          </w:tcPr>
          <w:p w14:paraId="5BAB5785">
            <w:pPr>
              <w:pStyle w:val="1343"/>
              <w:widowControl w:val="0"/>
              <w:rPr>
                <w:kern w:val="2"/>
              </w:rPr>
            </w:pPr>
            <w:r>
              <w:rPr>
                <w:kern w:val="2"/>
              </w:rPr>
              <w:t>标准名称</w:t>
            </w:r>
          </w:p>
        </w:tc>
      </w:tr>
      <w:tr w14:paraId="79273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29" w:type="dxa"/>
            <w:vAlign w:val="center"/>
          </w:tcPr>
          <w:p w14:paraId="39B76844">
            <w:pPr>
              <w:pStyle w:val="1343"/>
              <w:widowControl w:val="0"/>
              <w:rPr>
                <w:kern w:val="2"/>
              </w:rPr>
            </w:pPr>
            <w:r>
              <w:rPr>
                <w:kern w:val="2"/>
              </w:rPr>
              <w:t>施工期</w:t>
            </w:r>
          </w:p>
        </w:tc>
        <w:tc>
          <w:tcPr>
            <w:tcW w:w="1276" w:type="dxa"/>
            <w:vAlign w:val="center"/>
          </w:tcPr>
          <w:p w14:paraId="2E015FB3">
            <w:pPr>
              <w:pStyle w:val="1343"/>
              <w:widowControl w:val="0"/>
              <w:rPr>
                <w:kern w:val="2"/>
              </w:rPr>
            </w:pPr>
            <w:r>
              <w:rPr>
                <w:kern w:val="2"/>
              </w:rPr>
              <w:t>颗粒物</w:t>
            </w:r>
          </w:p>
        </w:tc>
        <w:tc>
          <w:tcPr>
            <w:tcW w:w="1765" w:type="dxa"/>
            <w:vAlign w:val="center"/>
          </w:tcPr>
          <w:p w14:paraId="3512A33C">
            <w:pPr>
              <w:pStyle w:val="1343"/>
              <w:widowControl w:val="0"/>
              <w:rPr>
                <w:kern w:val="2"/>
              </w:rPr>
            </w:pPr>
            <w:r>
              <w:rPr>
                <w:kern w:val="2"/>
              </w:rPr>
              <w:t>无组织排放监控浓度限值</w:t>
            </w:r>
          </w:p>
        </w:tc>
        <w:tc>
          <w:tcPr>
            <w:tcW w:w="2062" w:type="dxa"/>
            <w:vAlign w:val="center"/>
          </w:tcPr>
          <w:p w14:paraId="7E51CC3B">
            <w:pPr>
              <w:pStyle w:val="1343"/>
              <w:widowControl w:val="0"/>
              <w:rPr>
                <w:kern w:val="2"/>
              </w:rPr>
            </w:pPr>
            <w:r>
              <w:rPr>
                <w:kern w:val="2"/>
              </w:rPr>
              <w:t>1.0</w:t>
            </w:r>
          </w:p>
        </w:tc>
        <w:tc>
          <w:tcPr>
            <w:tcW w:w="2828" w:type="dxa"/>
            <w:vAlign w:val="center"/>
          </w:tcPr>
          <w:p w14:paraId="51617A3E">
            <w:pPr>
              <w:pStyle w:val="1343"/>
              <w:widowControl w:val="0"/>
              <w:rPr>
                <w:kern w:val="2"/>
              </w:rPr>
            </w:pPr>
            <w:r>
              <w:rPr>
                <w:kern w:val="2"/>
              </w:rPr>
              <w:t>《大气污染物综合排放标准》(GB16297-1996)</w:t>
            </w:r>
          </w:p>
        </w:tc>
      </w:tr>
      <w:tr w14:paraId="36CB2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29" w:type="dxa"/>
            <w:vAlign w:val="center"/>
          </w:tcPr>
          <w:p w14:paraId="4147C4EF">
            <w:pPr>
              <w:pStyle w:val="1343"/>
              <w:widowControl w:val="0"/>
              <w:rPr>
                <w:kern w:val="2"/>
              </w:rPr>
            </w:pPr>
            <w:r>
              <w:rPr>
                <w:kern w:val="2"/>
              </w:rPr>
              <w:t>运营期</w:t>
            </w:r>
          </w:p>
        </w:tc>
        <w:tc>
          <w:tcPr>
            <w:tcW w:w="1276" w:type="dxa"/>
            <w:vAlign w:val="center"/>
          </w:tcPr>
          <w:p w14:paraId="7EE9C0B2">
            <w:pPr>
              <w:pStyle w:val="1343"/>
              <w:widowControl w:val="0"/>
              <w:rPr>
                <w:kern w:val="2"/>
              </w:rPr>
            </w:pPr>
            <w:r>
              <w:rPr>
                <w:kern w:val="2"/>
              </w:rPr>
              <w:t>非甲烷总烃</w:t>
            </w:r>
          </w:p>
        </w:tc>
        <w:tc>
          <w:tcPr>
            <w:tcW w:w="1765" w:type="dxa"/>
            <w:vAlign w:val="center"/>
          </w:tcPr>
          <w:p w14:paraId="16FE7C0E">
            <w:pPr>
              <w:pStyle w:val="1343"/>
              <w:widowControl w:val="0"/>
              <w:rPr>
                <w:kern w:val="2"/>
              </w:rPr>
            </w:pPr>
            <w:r>
              <w:rPr>
                <w:rFonts w:hint="eastAsia"/>
                <w:kern w:val="2"/>
              </w:rPr>
              <w:t>周界外最高浓度标准限值</w:t>
            </w:r>
          </w:p>
        </w:tc>
        <w:tc>
          <w:tcPr>
            <w:tcW w:w="2062" w:type="dxa"/>
            <w:vAlign w:val="center"/>
          </w:tcPr>
          <w:p w14:paraId="2B4AD221">
            <w:pPr>
              <w:pStyle w:val="1343"/>
              <w:widowControl w:val="0"/>
              <w:rPr>
                <w:kern w:val="2"/>
              </w:rPr>
            </w:pPr>
            <w:r>
              <w:rPr>
                <w:rFonts w:hint="eastAsia"/>
                <w:kern w:val="2"/>
              </w:rPr>
              <w:t>4.0</w:t>
            </w:r>
          </w:p>
        </w:tc>
        <w:tc>
          <w:tcPr>
            <w:tcW w:w="2828" w:type="dxa"/>
            <w:vAlign w:val="center"/>
          </w:tcPr>
          <w:p w14:paraId="348CCC4E">
            <w:pPr>
              <w:pStyle w:val="1343"/>
              <w:widowControl w:val="0"/>
              <w:rPr>
                <w:kern w:val="2"/>
              </w:rPr>
            </w:pPr>
            <w:r>
              <w:rPr>
                <w:kern w:val="2"/>
              </w:rPr>
              <w:t>《</w:t>
            </w:r>
            <w:r>
              <w:rPr>
                <w:rFonts w:hint="eastAsia"/>
                <w:kern w:val="2"/>
              </w:rPr>
              <w:t>大气污染物综合排放标准</w:t>
            </w:r>
            <w:r>
              <w:rPr>
                <w:spacing w:val="-1"/>
                <w:kern w:val="2"/>
              </w:rPr>
              <w:t>》(</w:t>
            </w:r>
            <w:r>
              <w:rPr>
                <w:rFonts w:hint="eastAsia"/>
                <w:spacing w:val="-1"/>
                <w:kern w:val="2"/>
              </w:rPr>
              <w:t>GB16297-1996</w:t>
            </w:r>
            <w:r>
              <w:rPr>
                <w:spacing w:val="-1"/>
                <w:kern w:val="2"/>
              </w:rPr>
              <w:t>)</w:t>
            </w:r>
          </w:p>
        </w:tc>
      </w:tr>
    </w:tbl>
    <w:p w14:paraId="545F1722">
      <w:pPr>
        <w:pStyle w:val="904"/>
        <w:spacing w:before="120" w:beforeLines="50"/>
      </w:pPr>
      <w:r>
        <w:t xml:space="preserve">表 </w:t>
      </w:r>
      <w:r>
        <w:fldChar w:fldCharType="begin"/>
      </w:r>
      <w:r>
        <w:instrText xml:space="preserve"> STYLEREF 2 \s </w:instrText>
      </w:r>
      <w:r>
        <w:fldChar w:fldCharType="separate"/>
      </w:r>
      <w:r>
        <w:t>2.7</w:t>
      </w:r>
      <w:r>
        <w:fldChar w:fldCharType="end"/>
      </w:r>
      <w:r>
        <w:noBreakHyphen/>
      </w:r>
      <w:r>
        <w:rPr>
          <w:rFonts w:hint="eastAsia"/>
        </w:rPr>
        <w:t>6  挥发性有机物无组织排放控制标准</w:t>
      </w:r>
    </w:p>
    <w:tbl>
      <w:tblPr>
        <w:tblStyle w:val="13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7"/>
        <w:gridCol w:w="1512"/>
        <w:gridCol w:w="3025"/>
        <w:gridCol w:w="3016"/>
      </w:tblGrid>
      <w:tr w14:paraId="112F8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07" w:type="dxa"/>
            <w:vAlign w:val="center"/>
          </w:tcPr>
          <w:p w14:paraId="2329E2F2">
            <w:pPr>
              <w:pStyle w:val="1343"/>
              <w:widowControl w:val="0"/>
              <w:rPr>
                <w:kern w:val="2"/>
              </w:rPr>
            </w:pPr>
            <w:r>
              <w:rPr>
                <w:rFonts w:hint="eastAsia"/>
                <w:kern w:val="2"/>
              </w:rPr>
              <w:t>污染物项目</w:t>
            </w:r>
          </w:p>
        </w:tc>
        <w:tc>
          <w:tcPr>
            <w:tcW w:w="1512" w:type="dxa"/>
            <w:vAlign w:val="center"/>
          </w:tcPr>
          <w:p w14:paraId="4A9C09EE">
            <w:pPr>
              <w:pStyle w:val="1343"/>
              <w:widowControl w:val="0"/>
              <w:rPr>
                <w:kern w:val="2"/>
              </w:rPr>
            </w:pPr>
            <w:r>
              <w:rPr>
                <w:rFonts w:hint="eastAsia"/>
                <w:kern w:val="2"/>
              </w:rPr>
              <w:t>排放限值</w:t>
            </w:r>
          </w:p>
        </w:tc>
        <w:tc>
          <w:tcPr>
            <w:tcW w:w="3025" w:type="dxa"/>
            <w:vAlign w:val="center"/>
          </w:tcPr>
          <w:p w14:paraId="5EF95081">
            <w:pPr>
              <w:pStyle w:val="1343"/>
              <w:widowControl w:val="0"/>
              <w:rPr>
                <w:kern w:val="2"/>
              </w:rPr>
            </w:pPr>
            <w:r>
              <w:rPr>
                <w:rFonts w:hint="eastAsia"/>
                <w:kern w:val="2"/>
              </w:rPr>
              <w:t>限值含义</w:t>
            </w:r>
          </w:p>
        </w:tc>
        <w:tc>
          <w:tcPr>
            <w:tcW w:w="3016" w:type="dxa"/>
            <w:vAlign w:val="center"/>
          </w:tcPr>
          <w:p w14:paraId="47EADBDE">
            <w:pPr>
              <w:pStyle w:val="1343"/>
              <w:widowControl w:val="0"/>
              <w:rPr>
                <w:kern w:val="2"/>
              </w:rPr>
            </w:pPr>
            <w:r>
              <w:rPr>
                <w:rFonts w:hint="eastAsia"/>
                <w:kern w:val="2"/>
              </w:rPr>
              <w:t>无组织排放监控位置</w:t>
            </w:r>
          </w:p>
        </w:tc>
      </w:tr>
      <w:tr w14:paraId="0A355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07" w:type="dxa"/>
            <w:vMerge w:val="restart"/>
            <w:vAlign w:val="center"/>
          </w:tcPr>
          <w:p w14:paraId="342D205F">
            <w:pPr>
              <w:pStyle w:val="1343"/>
              <w:widowControl w:val="0"/>
              <w:rPr>
                <w:kern w:val="2"/>
              </w:rPr>
            </w:pPr>
            <w:r>
              <w:rPr>
                <w:rFonts w:hint="eastAsia"/>
                <w:kern w:val="2"/>
              </w:rPr>
              <w:t>NMHC</w:t>
            </w:r>
          </w:p>
        </w:tc>
        <w:tc>
          <w:tcPr>
            <w:tcW w:w="1512" w:type="dxa"/>
            <w:vAlign w:val="center"/>
          </w:tcPr>
          <w:p w14:paraId="53D1C1D2">
            <w:pPr>
              <w:pStyle w:val="1343"/>
              <w:widowControl w:val="0"/>
              <w:rPr>
                <w:kern w:val="2"/>
              </w:rPr>
            </w:pPr>
            <w:r>
              <w:rPr>
                <w:rFonts w:hint="eastAsia"/>
                <w:kern w:val="2"/>
              </w:rPr>
              <w:t>10mg/m</w:t>
            </w:r>
            <w:r>
              <w:rPr>
                <w:rFonts w:hint="eastAsia"/>
                <w:kern w:val="2"/>
                <w:vertAlign w:val="superscript"/>
              </w:rPr>
              <w:t>3</w:t>
            </w:r>
          </w:p>
        </w:tc>
        <w:tc>
          <w:tcPr>
            <w:tcW w:w="3025" w:type="dxa"/>
            <w:vAlign w:val="center"/>
          </w:tcPr>
          <w:p w14:paraId="7585812C">
            <w:pPr>
              <w:pStyle w:val="1343"/>
              <w:widowControl w:val="0"/>
              <w:rPr>
                <w:kern w:val="2"/>
              </w:rPr>
            </w:pPr>
            <w:r>
              <w:rPr>
                <w:rFonts w:hint="eastAsia"/>
                <w:kern w:val="2"/>
              </w:rPr>
              <w:t>监控点处1h平均浓度值</w:t>
            </w:r>
          </w:p>
        </w:tc>
        <w:tc>
          <w:tcPr>
            <w:tcW w:w="3016" w:type="dxa"/>
            <w:vMerge w:val="restart"/>
            <w:vAlign w:val="center"/>
          </w:tcPr>
          <w:p w14:paraId="23BB1F94">
            <w:pPr>
              <w:pStyle w:val="1343"/>
              <w:widowControl w:val="0"/>
              <w:rPr>
                <w:kern w:val="2"/>
              </w:rPr>
            </w:pPr>
            <w:r>
              <w:rPr>
                <w:rFonts w:hint="eastAsia"/>
                <w:kern w:val="2"/>
              </w:rPr>
              <w:t>在厂房外设置监控点</w:t>
            </w:r>
          </w:p>
        </w:tc>
      </w:tr>
      <w:tr w14:paraId="5977E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07" w:type="dxa"/>
            <w:vMerge w:val="continue"/>
            <w:vAlign w:val="center"/>
          </w:tcPr>
          <w:p w14:paraId="3EBF0B5E">
            <w:pPr>
              <w:pStyle w:val="1343"/>
              <w:widowControl w:val="0"/>
              <w:rPr>
                <w:kern w:val="2"/>
              </w:rPr>
            </w:pPr>
          </w:p>
        </w:tc>
        <w:tc>
          <w:tcPr>
            <w:tcW w:w="1512" w:type="dxa"/>
            <w:vAlign w:val="center"/>
          </w:tcPr>
          <w:p w14:paraId="3AC91B4B">
            <w:pPr>
              <w:pStyle w:val="1343"/>
              <w:widowControl w:val="0"/>
              <w:rPr>
                <w:kern w:val="2"/>
              </w:rPr>
            </w:pPr>
            <w:r>
              <w:rPr>
                <w:rFonts w:hint="eastAsia"/>
                <w:kern w:val="2"/>
              </w:rPr>
              <w:t>30mg/m</w:t>
            </w:r>
            <w:r>
              <w:rPr>
                <w:rFonts w:hint="eastAsia"/>
                <w:kern w:val="2"/>
                <w:vertAlign w:val="superscript"/>
              </w:rPr>
              <w:t>3</w:t>
            </w:r>
          </w:p>
        </w:tc>
        <w:tc>
          <w:tcPr>
            <w:tcW w:w="3025" w:type="dxa"/>
            <w:vAlign w:val="center"/>
          </w:tcPr>
          <w:p w14:paraId="7DC447D5">
            <w:pPr>
              <w:pStyle w:val="1343"/>
              <w:widowControl w:val="0"/>
              <w:rPr>
                <w:kern w:val="2"/>
              </w:rPr>
            </w:pPr>
            <w:r>
              <w:rPr>
                <w:rFonts w:hint="eastAsia"/>
                <w:kern w:val="2"/>
              </w:rPr>
              <w:t>监控点处任意一次浓度值</w:t>
            </w:r>
          </w:p>
        </w:tc>
        <w:tc>
          <w:tcPr>
            <w:tcW w:w="3016" w:type="dxa"/>
            <w:vMerge w:val="continue"/>
            <w:vAlign w:val="center"/>
          </w:tcPr>
          <w:p w14:paraId="06F6E4A4">
            <w:pPr>
              <w:pStyle w:val="1343"/>
              <w:widowControl w:val="0"/>
              <w:rPr>
                <w:kern w:val="2"/>
              </w:rPr>
            </w:pPr>
          </w:p>
        </w:tc>
      </w:tr>
    </w:tbl>
    <w:p w14:paraId="731666F5">
      <w:pPr>
        <w:pStyle w:val="7"/>
        <w:snapToGrid w:val="0"/>
        <w:spacing w:before="120" w:beforeLines="50"/>
      </w:pPr>
      <w:r>
        <w:t>污水排放标准</w:t>
      </w:r>
    </w:p>
    <w:p w14:paraId="1BB60F7D">
      <w:pPr>
        <w:pStyle w:val="234"/>
      </w:pPr>
      <w:r>
        <w:t>本工程施工生活污水</w:t>
      </w:r>
      <w:r>
        <w:rPr>
          <w:rFonts w:hint="eastAsia"/>
        </w:rPr>
        <w:t>排入当地农村现有设施处理</w:t>
      </w:r>
      <w:r>
        <w:rPr>
          <w:spacing w:val="-20"/>
        </w:rPr>
        <w:t>；</w:t>
      </w:r>
      <w:r>
        <w:rPr>
          <w:rFonts w:hint="eastAsia"/>
        </w:rPr>
        <w:t>试压排水经过滤</w:t>
      </w:r>
      <w:r>
        <w:t>处理后回用于农田灌溉、道路洒水等</w:t>
      </w:r>
      <w:r>
        <w:rPr>
          <w:rFonts w:hint="eastAsia"/>
        </w:rPr>
        <w:t>。试压废水执行《农田灌溉水质标准》（GB5084-2021）标准要求。</w:t>
      </w:r>
    </w:p>
    <w:p w14:paraId="11A5F8F5">
      <w:pPr>
        <w:pStyle w:val="904"/>
      </w:pPr>
      <w:r>
        <w:t>表2.</w:t>
      </w:r>
      <w:r>
        <w:rPr>
          <w:rFonts w:hint="eastAsia"/>
        </w:rPr>
        <w:t>7-7</w:t>
      </w:r>
      <w:r>
        <w:t xml:space="preserve">  </w:t>
      </w:r>
      <w:r>
        <w:rPr>
          <w:rFonts w:hint="eastAsia"/>
        </w:rPr>
        <w:t>农田灌溉水质标准</w:t>
      </w:r>
    </w:p>
    <w:tbl>
      <w:tblPr>
        <w:tblStyle w:val="88"/>
        <w:tblW w:w="5003" w:type="pct"/>
        <w:jc w:val="center"/>
        <w:tblLayout w:type="fixed"/>
        <w:tblCellMar>
          <w:top w:w="0" w:type="dxa"/>
          <w:left w:w="0" w:type="dxa"/>
          <w:bottom w:w="0" w:type="dxa"/>
          <w:right w:w="0" w:type="dxa"/>
        </w:tblCellMar>
      </w:tblPr>
      <w:tblGrid>
        <w:gridCol w:w="874"/>
        <w:gridCol w:w="3384"/>
        <w:gridCol w:w="1410"/>
        <w:gridCol w:w="1834"/>
        <w:gridCol w:w="1578"/>
      </w:tblGrid>
      <w:tr w14:paraId="33133877">
        <w:tblPrEx>
          <w:tblCellMar>
            <w:top w:w="0" w:type="dxa"/>
            <w:left w:w="0" w:type="dxa"/>
            <w:bottom w:w="0" w:type="dxa"/>
            <w:right w:w="0" w:type="dxa"/>
          </w:tblCellMar>
        </w:tblPrEx>
        <w:trPr>
          <w:trHeight w:val="340" w:hRule="atLeast"/>
          <w:jc w:val="center"/>
        </w:trPr>
        <w:tc>
          <w:tcPr>
            <w:tcW w:w="874" w:type="dxa"/>
            <w:vMerge w:val="restart"/>
            <w:tcBorders>
              <w:top w:val="single" w:color="000000" w:sz="2" w:space="0"/>
              <w:left w:val="single" w:color="000000" w:sz="2" w:space="0"/>
              <w:right w:val="single" w:color="000000" w:sz="2" w:space="0"/>
            </w:tcBorders>
            <w:vAlign w:val="center"/>
          </w:tcPr>
          <w:p w14:paraId="41D65CC3">
            <w:pPr>
              <w:pStyle w:val="1018"/>
              <w:spacing w:before="169"/>
              <w:ind w:left="227"/>
              <w:rPr>
                <w:rFonts w:hint="eastAsia" w:ascii="宋体" w:hAnsi="宋体" w:cs="宋体"/>
                <w:sz w:val="21"/>
                <w:szCs w:val="21"/>
              </w:rPr>
            </w:pPr>
            <w:r>
              <w:rPr>
                <w:rFonts w:ascii="宋体" w:hAnsi="宋体" w:cs="宋体"/>
                <w:sz w:val="21"/>
                <w:szCs w:val="21"/>
              </w:rPr>
              <w:t>序号</w:t>
            </w:r>
          </w:p>
        </w:tc>
        <w:tc>
          <w:tcPr>
            <w:tcW w:w="3383" w:type="dxa"/>
            <w:vMerge w:val="restart"/>
            <w:tcBorders>
              <w:top w:val="single" w:color="000000" w:sz="2" w:space="0"/>
              <w:left w:val="single" w:color="000000" w:sz="2" w:space="0"/>
              <w:right w:val="single" w:color="000000" w:sz="2" w:space="0"/>
            </w:tcBorders>
            <w:vAlign w:val="center"/>
          </w:tcPr>
          <w:p w14:paraId="4B2ED179">
            <w:pPr>
              <w:pStyle w:val="1018"/>
              <w:spacing w:before="169"/>
              <w:ind w:right="1"/>
              <w:jc w:val="center"/>
              <w:rPr>
                <w:rFonts w:hint="eastAsia" w:ascii="宋体" w:hAnsi="宋体" w:cs="宋体"/>
                <w:sz w:val="21"/>
                <w:szCs w:val="21"/>
              </w:rPr>
            </w:pPr>
            <w:r>
              <w:rPr>
                <w:rFonts w:ascii="宋体" w:hAnsi="宋体" w:cs="宋体"/>
                <w:sz w:val="21"/>
                <w:szCs w:val="21"/>
              </w:rPr>
              <w:t>项目类别</w:t>
            </w:r>
          </w:p>
        </w:tc>
        <w:tc>
          <w:tcPr>
            <w:tcW w:w="4819" w:type="dxa"/>
            <w:gridSpan w:val="3"/>
            <w:tcBorders>
              <w:top w:val="single" w:color="000000" w:sz="2" w:space="0"/>
              <w:left w:val="single" w:color="000000" w:sz="2" w:space="0"/>
              <w:bottom w:val="single" w:color="000000" w:sz="2" w:space="0"/>
              <w:right w:val="single" w:color="000000" w:sz="2" w:space="0"/>
            </w:tcBorders>
            <w:vAlign w:val="center"/>
          </w:tcPr>
          <w:p w14:paraId="4373BF35">
            <w:pPr>
              <w:pStyle w:val="1018"/>
              <w:ind w:right="2"/>
              <w:jc w:val="center"/>
              <w:rPr>
                <w:rFonts w:hint="eastAsia" w:ascii="宋体" w:hAnsi="宋体" w:cs="宋体"/>
                <w:sz w:val="21"/>
                <w:szCs w:val="21"/>
              </w:rPr>
            </w:pPr>
            <w:r>
              <w:rPr>
                <w:rFonts w:ascii="宋体" w:hAnsi="宋体" w:cs="宋体"/>
                <w:sz w:val="21"/>
                <w:szCs w:val="21"/>
              </w:rPr>
              <w:t>作物种类</w:t>
            </w:r>
          </w:p>
        </w:tc>
      </w:tr>
      <w:tr w14:paraId="7EC91F8B">
        <w:tblPrEx>
          <w:tblCellMar>
            <w:top w:w="0" w:type="dxa"/>
            <w:left w:w="0" w:type="dxa"/>
            <w:bottom w:w="0" w:type="dxa"/>
            <w:right w:w="0" w:type="dxa"/>
          </w:tblCellMar>
        </w:tblPrEx>
        <w:trPr>
          <w:trHeight w:val="340" w:hRule="atLeast"/>
          <w:jc w:val="center"/>
        </w:trPr>
        <w:tc>
          <w:tcPr>
            <w:tcW w:w="874" w:type="dxa"/>
            <w:vMerge w:val="continue"/>
            <w:tcBorders>
              <w:left w:val="single" w:color="000000" w:sz="2" w:space="0"/>
              <w:bottom w:val="single" w:color="000000" w:sz="2" w:space="0"/>
              <w:right w:val="single" w:color="000000" w:sz="2" w:space="0"/>
            </w:tcBorders>
            <w:vAlign w:val="center"/>
          </w:tcPr>
          <w:p w14:paraId="7B9BEA73">
            <w:pPr>
              <w:rPr>
                <w:szCs w:val="21"/>
              </w:rPr>
            </w:pPr>
          </w:p>
        </w:tc>
        <w:tc>
          <w:tcPr>
            <w:tcW w:w="3383" w:type="dxa"/>
            <w:vMerge w:val="continue"/>
            <w:tcBorders>
              <w:left w:val="single" w:color="000000" w:sz="2" w:space="0"/>
              <w:bottom w:val="single" w:color="000000" w:sz="2" w:space="0"/>
              <w:right w:val="single" w:color="000000" w:sz="2" w:space="0"/>
            </w:tcBorders>
            <w:vAlign w:val="center"/>
          </w:tcPr>
          <w:p w14:paraId="01927EED">
            <w:pPr>
              <w:rPr>
                <w:szCs w:val="21"/>
              </w:rPr>
            </w:pPr>
          </w:p>
        </w:tc>
        <w:tc>
          <w:tcPr>
            <w:tcW w:w="1409" w:type="dxa"/>
            <w:tcBorders>
              <w:top w:val="single" w:color="000000" w:sz="2" w:space="0"/>
              <w:left w:val="single" w:color="000000" w:sz="2" w:space="0"/>
              <w:bottom w:val="single" w:color="000000" w:sz="2" w:space="0"/>
              <w:right w:val="single" w:color="000000" w:sz="2" w:space="0"/>
            </w:tcBorders>
            <w:vAlign w:val="center"/>
          </w:tcPr>
          <w:p w14:paraId="2AA982C1">
            <w:pPr>
              <w:pStyle w:val="1018"/>
              <w:ind w:right="3"/>
              <w:jc w:val="center"/>
              <w:rPr>
                <w:rFonts w:hint="eastAsia" w:ascii="宋体" w:hAnsi="宋体" w:cs="宋体"/>
                <w:sz w:val="21"/>
                <w:szCs w:val="21"/>
              </w:rPr>
            </w:pPr>
            <w:r>
              <w:rPr>
                <w:rFonts w:ascii="宋体" w:hAnsi="宋体" w:cs="宋体"/>
                <w:sz w:val="21"/>
                <w:szCs w:val="21"/>
              </w:rPr>
              <w:t>水作</w:t>
            </w:r>
          </w:p>
        </w:tc>
        <w:tc>
          <w:tcPr>
            <w:tcW w:w="1833" w:type="dxa"/>
            <w:tcBorders>
              <w:top w:val="single" w:color="000000" w:sz="2" w:space="0"/>
              <w:left w:val="single" w:color="000000" w:sz="2" w:space="0"/>
              <w:bottom w:val="single" w:color="000000" w:sz="2" w:space="0"/>
              <w:right w:val="single" w:color="000000" w:sz="2" w:space="0"/>
            </w:tcBorders>
            <w:vAlign w:val="center"/>
          </w:tcPr>
          <w:p w14:paraId="7153ED5F">
            <w:pPr>
              <w:pStyle w:val="1018"/>
              <w:ind w:right="1"/>
              <w:jc w:val="center"/>
              <w:rPr>
                <w:rFonts w:hint="eastAsia" w:ascii="宋体" w:hAnsi="宋体" w:cs="宋体"/>
                <w:sz w:val="21"/>
                <w:szCs w:val="21"/>
              </w:rPr>
            </w:pPr>
            <w:r>
              <w:rPr>
                <w:rFonts w:ascii="宋体" w:hAnsi="宋体" w:cs="宋体"/>
                <w:sz w:val="21"/>
                <w:szCs w:val="21"/>
              </w:rPr>
              <w:t>旱作</w:t>
            </w:r>
          </w:p>
        </w:tc>
        <w:tc>
          <w:tcPr>
            <w:tcW w:w="1577" w:type="dxa"/>
            <w:tcBorders>
              <w:top w:val="single" w:color="000000" w:sz="2" w:space="0"/>
              <w:left w:val="single" w:color="000000" w:sz="2" w:space="0"/>
              <w:bottom w:val="single" w:color="000000" w:sz="2" w:space="0"/>
              <w:right w:val="single" w:color="000000" w:sz="2" w:space="0"/>
            </w:tcBorders>
            <w:vAlign w:val="center"/>
          </w:tcPr>
          <w:p w14:paraId="3C316922">
            <w:pPr>
              <w:pStyle w:val="1018"/>
              <w:ind w:right="1"/>
              <w:jc w:val="center"/>
              <w:rPr>
                <w:rFonts w:hint="eastAsia" w:ascii="宋体" w:hAnsi="宋体" w:cs="宋体"/>
                <w:sz w:val="21"/>
                <w:szCs w:val="21"/>
              </w:rPr>
            </w:pPr>
            <w:r>
              <w:rPr>
                <w:rFonts w:ascii="宋体" w:hAnsi="宋体" w:cs="宋体"/>
                <w:sz w:val="21"/>
                <w:szCs w:val="21"/>
              </w:rPr>
              <w:t>蔬菜</w:t>
            </w:r>
          </w:p>
        </w:tc>
      </w:tr>
      <w:tr w14:paraId="15333F39">
        <w:tblPrEx>
          <w:tblCellMar>
            <w:top w:w="0" w:type="dxa"/>
            <w:left w:w="0" w:type="dxa"/>
            <w:bottom w:w="0" w:type="dxa"/>
            <w:right w:w="0" w:type="dxa"/>
          </w:tblCellMar>
        </w:tblPrEx>
        <w:trPr>
          <w:trHeight w:val="340" w:hRule="atLeast"/>
          <w:jc w:val="center"/>
        </w:trPr>
        <w:tc>
          <w:tcPr>
            <w:tcW w:w="874" w:type="dxa"/>
            <w:tcBorders>
              <w:top w:val="single" w:color="000000" w:sz="2" w:space="0"/>
              <w:left w:val="single" w:color="000000" w:sz="2" w:space="0"/>
              <w:bottom w:val="single" w:color="000000" w:sz="2" w:space="0"/>
              <w:right w:val="single" w:color="000000" w:sz="2" w:space="0"/>
            </w:tcBorders>
            <w:vAlign w:val="center"/>
          </w:tcPr>
          <w:p w14:paraId="5DB25AAC">
            <w:pPr>
              <w:pStyle w:val="1018"/>
              <w:spacing w:before="46"/>
              <w:jc w:val="center"/>
              <w:rPr>
                <w:rFonts w:eastAsia="Times New Roman"/>
                <w:sz w:val="21"/>
                <w:szCs w:val="21"/>
              </w:rPr>
            </w:pPr>
            <w:r>
              <w:rPr>
                <w:w w:val="99"/>
                <w:sz w:val="21"/>
                <w:szCs w:val="21"/>
              </w:rPr>
              <w:t>1</w:t>
            </w:r>
          </w:p>
        </w:tc>
        <w:tc>
          <w:tcPr>
            <w:tcW w:w="3383" w:type="dxa"/>
            <w:tcBorders>
              <w:top w:val="single" w:color="000000" w:sz="2" w:space="0"/>
              <w:left w:val="single" w:color="000000" w:sz="2" w:space="0"/>
              <w:bottom w:val="single" w:color="000000" w:sz="2" w:space="0"/>
              <w:right w:val="single" w:color="000000" w:sz="2" w:space="0"/>
            </w:tcBorders>
            <w:vAlign w:val="center"/>
          </w:tcPr>
          <w:p w14:paraId="5958B9E6">
            <w:pPr>
              <w:pStyle w:val="1018"/>
              <w:jc w:val="center"/>
              <w:rPr>
                <w:rFonts w:hint="eastAsia" w:ascii="宋体" w:hAnsi="宋体" w:cs="宋体"/>
                <w:sz w:val="21"/>
                <w:szCs w:val="21"/>
              </w:rPr>
            </w:pPr>
            <w:r>
              <w:rPr>
                <w:rFonts w:ascii="宋体" w:hAnsi="宋体" w:cs="宋体"/>
                <w:sz w:val="21"/>
                <w:szCs w:val="21"/>
              </w:rPr>
              <w:t>五日生化需氧量</w:t>
            </w:r>
            <w:r>
              <w:rPr>
                <w:rFonts w:eastAsia="Times New Roman"/>
                <w:sz w:val="21"/>
                <w:szCs w:val="21"/>
              </w:rPr>
              <w:t>/(mg/L)</w:t>
            </w:r>
            <w:r>
              <w:rPr>
                <w:rFonts w:ascii="宋体" w:hAnsi="宋体" w:cs="宋体"/>
                <w:sz w:val="21"/>
                <w:szCs w:val="21"/>
              </w:rPr>
              <w:t>≤</w:t>
            </w:r>
          </w:p>
        </w:tc>
        <w:tc>
          <w:tcPr>
            <w:tcW w:w="1409" w:type="dxa"/>
            <w:tcBorders>
              <w:top w:val="single" w:color="000000" w:sz="2" w:space="0"/>
              <w:left w:val="single" w:color="000000" w:sz="2" w:space="0"/>
              <w:bottom w:val="single" w:color="000000" w:sz="2" w:space="0"/>
              <w:right w:val="single" w:color="000000" w:sz="2" w:space="0"/>
            </w:tcBorders>
            <w:vAlign w:val="center"/>
          </w:tcPr>
          <w:p w14:paraId="1982BCF5">
            <w:pPr>
              <w:pStyle w:val="1018"/>
              <w:spacing w:before="46"/>
              <w:ind w:right="1"/>
              <w:jc w:val="center"/>
              <w:rPr>
                <w:rFonts w:eastAsia="Times New Roman"/>
                <w:sz w:val="21"/>
                <w:szCs w:val="21"/>
              </w:rPr>
            </w:pPr>
            <w:r>
              <w:rPr>
                <w:sz w:val="21"/>
                <w:szCs w:val="21"/>
              </w:rPr>
              <w:t>60</w:t>
            </w:r>
          </w:p>
        </w:tc>
        <w:tc>
          <w:tcPr>
            <w:tcW w:w="1833" w:type="dxa"/>
            <w:tcBorders>
              <w:top w:val="single" w:color="000000" w:sz="2" w:space="0"/>
              <w:left w:val="single" w:color="000000" w:sz="2" w:space="0"/>
              <w:bottom w:val="single" w:color="000000" w:sz="2" w:space="0"/>
              <w:right w:val="single" w:color="000000" w:sz="2" w:space="0"/>
            </w:tcBorders>
            <w:vAlign w:val="center"/>
          </w:tcPr>
          <w:p w14:paraId="4373BAB2">
            <w:pPr>
              <w:pStyle w:val="1018"/>
              <w:spacing w:before="46"/>
              <w:ind w:left="2"/>
              <w:jc w:val="center"/>
              <w:rPr>
                <w:rFonts w:eastAsia="Times New Roman"/>
                <w:sz w:val="21"/>
                <w:szCs w:val="21"/>
              </w:rPr>
            </w:pPr>
            <w:r>
              <w:rPr>
                <w:sz w:val="21"/>
                <w:szCs w:val="21"/>
              </w:rPr>
              <w:t>100</w:t>
            </w:r>
          </w:p>
        </w:tc>
        <w:tc>
          <w:tcPr>
            <w:tcW w:w="1577" w:type="dxa"/>
            <w:tcBorders>
              <w:top w:val="single" w:color="000000" w:sz="2" w:space="0"/>
              <w:left w:val="single" w:color="000000" w:sz="2" w:space="0"/>
              <w:bottom w:val="single" w:color="000000" w:sz="2" w:space="0"/>
              <w:right w:val="single" w:color="000000" w:sz="2" w:space="0"/>
            </w:tcBorders>
            <w:vAlign w:val="center"/>
          </w:tcPr>
          <w:p w14:paraId="79348331">
            <w:pPr>
              <w:pStyle w:val="1018"/>
              <w:ind w:left="412"/>
              <w:rPr>
                <w:rFonts w:eastAsia="Times New Roman"/>
                <w:sz w:val="21"/>
                <w:szCs w:val="21"/>
              </w:rPr>
            </w:pPr>
            <w:r>
              <w:rPr>
                <w:rFonts w:eastAsia="Times New Roman"/>
                <w:sz w:val="21"/>
                <w:szCs w:val="21"/>
              </w:rPr>
              <w:t>40</w:t>
            </w:r>
            <w:r>
              <w:rPr>
                <w:rFonts w:eastAsia="Times New Roman"/>
                <w:position w:val="7"/>
                <w:sz w:val="21"/>
                <w:szCs w:val="21"/>
              </w:rPr>
              <w:t>a</w:t>
            </w:r>
            <w:r>
              <w:rPr>
                <w:rFonts w:ascii="宋体" w:hAnsi="宋体" w:cs="宋体"/>
                <w:sz w:val="21"/>
                <w:szCs w:val="21"/>
              </w:rPr>
              <w:t>，</w:t>
            </w:r>
            <w:r>
              <w:rPr>
                <w:rFonts w:eastAsia="Times New Roman"/>
                <w:sz w:val="21"/>
                <w:szCs w:val="21"/>
              </w:rPr>
              <w:t>15</w:t>
            </w:r>
            <w:r>
              <w:rPr>
                <w:rFonts w:eastAsia="Times New Roman"/>
                <w:position w:val="7"/>
                <w:sz w:val="21"/>
                <w:szCs w:val="21"/>
              </w:rPr>
              <w:t>b</w:t>
            </w:r>
          </w:p>
        </w:tc>
      </w:tr>
      <w:tr w14:paraId="13FE6892">
        <w:tblPrEx>
          <w:tblCellMar>
            <w:top w:w="0" w:type="dxa"/>
            <w:left w:w="0" w:type="dxa"/>
            <w:bottom w:w="0" w:type="dxa"/>
            <w:right w:w="0" w:type="dxa"/>
          </w:tblCellMar>
        </w:tblPrEx>
        <w:trPr>
          <w:trHeight w:val="340" w:hRule="atLeast"/>
          <w:jc w:val="center"/>
        </w:trPr>
        <w:tc>
          <w:tcPr>
            <w:tcW w:w="874" w:type="dxa"/>
            <w:tcBorders>
              <w:top w:val="single" w:color="000000" w:sz="2" w:space="0"/>
              <w:left w:val="single" w:color="000000" w:sz="2" w:space="0"/>
              <w:bottom w:val="single" w:color="000000" w:sz="2" w:space="0"/>
              <w:right w:val="single" w:color="000000" w:sz="2" w:space="0"/>
            </w:tcBorders>
            <w:vAlign w:val="center"/>
          </w:tcPr>
          <w:p w14:paraId="72C4C68E">
            <w:pPr>
              <w:pStyle w:val="1018"/>
              <w:spacing w:before="47"/>
              <w:jc w:val="center"/>
              <w:rPr>
                <w:rFonts w:eastAsia="Times New Roman"/>
                <w:sz w:val="21"/>
                <w:szCs w:val="21"/>
              </w:rPr>
            </w:pPr>
            <w:r>
              <w:rPr>
                <w:w w:val="99"/>
                <w:sz w:val="21"/>
                <w:szCs w:val="21"/>
              </w:rPr>
              <w:t>2</w:t>
            </w:r>
          </w:p>
        </w:tc>
        <w:tc>
          <w:tcPr>
            <w:tcW w:w="3383" w:type="dxa"/>
            <w:tcBorders>
              <w:top w:val="single" w:color="000000" w:sz="2" w:space="0"/>
              <w:left w:val="single" w:color="000000" w:sz="2" w:space="0"/>
              <w:bottom w:val="single" w:color="000000" w:sz="2" w:space="0"/>
              <w:right w:val="single" w:color="000000" w:sz="2" w:space="0"/>
            </w:tcBorders>
            <w:vAlign w:val="center"/>
          </w:tcPr>
          <w:p w14:paraId="2E770563">
            <w:pPr>
              <w:pStyle w:val="1018"/>
              <w:jc w:val="center"/>
              <w:rPr>
                <w:rFonts w:hint="eastAsia" w:ascii="宋体" w:hAnsi="宋体" w:cs="宋体"/>
                <w:sz w:val="21"/>
                <w:szCs w:val="21"/>
              </w:rPr>
            </w:pPr>
            <w:r>
              <w:rPr>
                <w:rFonts w:ascii="宋体" w:hAnsi="宋体" w:cs="宋体"/>
                <w:sz w:val="21"/>
                <w:szCs w:val="21"/>
              </w:rPr>
              <w:t>化学需氧量</w:t>
            </w:r>
            <w:r>
              <w:rPr>
                <w:rFonts w:eastAsia="Times New Roman"/>
                <w:sz w:val="21"/>
                <w:szCs w:val="21"/>
              </w:rPr>
              <w:t>/(mg/L)</w:t>
            </w:r>
            <w:r>
              <w:rPr>
                <w:rFonts w:ascii="宋体" w:hAnsi="宋体" w:cs="宋体"/>
                <w:sz w:val="21"/>
                <w:szCs w:val="21"/>
              </w:rPr>
              <w:t>≤</w:t>
            </w:r>
          </w:p>
        </w:tc>
        <w:tc>
          <w:tcPr>
            <w:tcW w:w="1409" w:type="dxa"/>
            <w:tcBorders>
              <w:top w:val="single" w:color="000000" w:sz="2" w:space="0"/>
              <w:left w:val="single" w:color="000000" w:sz="2" w:space="0"/>
              <w:bottom w:val="single" w:color="000000" w:sz="2" w:space="0"/>
              <w:right w:val="single" w:color="000000" w:sz="2" w:space="0"/>
            </w:tcBorders>
            <w:vAlign w:val="center"/>
          </w:tcPr>
          <w:p w14:paraId="0EF418A6">
            <w:pPr>
              <w:pStyle w:val="1018"/>
              <w:spacing w:before="47"/>
              <w:ind w:right="1"/>
              <w:jc w:val="center"/>
              <w:rPr>
                <w:rFonts w:eastAsia="Times New Roman"/>
                <w:sz w:val="21"/>
                <w:szCs w:val="21"/>
              </w:rPr>
            </w:pPr>
            <w:r>
              <w:rPr>
                <w:sz w:val="21"/>
                <w:szCs w:val="21"/>
              </w:rPr>
              <w:t>150</w:t>
            </w:r>
          </w:p>
        </w:tc>
        <w:tc>
          <w:tcPr>
            <w:tcW w:w="1833" w:type="dxa"/>
            <w:tcBorders>
              <w:top w:val="single" w:color="000000" w:sz="2" w:space="0"/>
              <w:left w:val="single" w:color="000000" w:sz="2" w:space="0"/>
              <w:bottom w:val="single" w:color="000000" w:sz="2" w:space="0"/>
              <w:right w:val="single" w:color="000000" w:sz="2" w:space="0"/>
            </w:tcBorders>
            <w:vAlign w:val="center"/>
          </w:tcPr>
          <w:p w14:paraId="2E4A694C">
            <w:pPr>
              <w:pStyle w:val="1018"/>
              <w:spacing w:before="47"/>
              <w:ind w:left="2"/>
              <w:jc w:val="center"/>
              <w:rPr>
                <w:rFonts w:eastAsia="Times New Roman"/>
                <w:sz w:val="21"/>
                <w:szCs w:val="21"/>
              </w:rPr>
            </w:pPr>
            <w:r>
              <w:rPr>
                <w:sz w:val="21"/>
                <w:szCs w:val="21"/>
              </w:rPr>
              <w:t>200</w:t>
            </w:r>
          </w:p>
        </w:tc>
        <w:tc>
          <w:tcPr>
            <w:tcW w:w="1577" w:type="dxa"/>
            <w:tcBorders>
              <w:top w:val="single" w:color="000000" w:sz="2" w:space="0"/>
              <w:left w:val="single" w:color="000000" w:sz="2" w:space="0"/>
              <w:bottom w:val="single" w:color="000000" w:sz="2" w:space="0"/>
              <w:right w:val="single" w:color="000000" w:sz="2" w:space="0"/>
            </w:tcBorders>
            <w:vAlign w:val="center"/>
          </w:tcPr>
          <w:p w14:paraId="07056EF0">
            <w:pPr>
              <w:pStyle w:val="1018"/>
              <w:ind w:left="359"/>
              <w:rPr>
                <w:rFonts w:eastAsia="Times New Roman"/>
                <w:sz w:val="21"/>
                <w:szCs w:val="21"/>
              </w:rPr>
            </w:pPr>
            <w:r>
              <w:rPr>
                <w:rFonts w:eastAsia="Times New Roman"/>
                <w:sz w:val="21"/>
                <w:szCs w:val="21"/>
              </w:rPr>
              <w:t>100</w:t>
            </w:r>
            <w:r>
              <w:rPr>
                <w:rFonts w:eastAsia="Times New Roman"/>
                <w:position w:val="7"/>
                <w:sz w:val="21"/>
                <w:szCs w:val="21"/>
              </w:rPr>
              <w:t>a</w:t>
            </w:r>
            <w:r>
              <w:rPr>
                <w:rFonts w:ascii="宋体" w:hAnsi="宋体" w:cs="宋体"/>
                <w:sz w:val="21"/>
                <w:szCs w:val="21"/>
              </w:rPr>
              <w:t>，</w:t>
            </w:r>
            <w:r>
              <w:rPr>
                <w:rFonts w:eastAsia="Times New Roman"/>
                <w:sz w:val="21"/>
                <w:szCs w:val="21"/>
              </w:rPr>
              <w:t>60</w:t>
            </w:r>
            <w:r>
              <w:rPr>
                <w:rFonts w:eastAsia="Times New Roman"/>
                <w:position w:val="7"/>
                <w:sz w:val="21"/>
                <w:szCs w:val="21"/>
              </w:rPr>
              <w:t>b</w:t>
            </w:r>
          </w:p>
        </w:tc>
      </w:tr>
      <w:tr w14:paraId="429AD55B">
        <w:tblPrEx>
          <w:tblCellMar>
            <w:top w:w="0" w:type="dxa"/>
            <w:left w:w="0" w:type="dxa"/>
            <w:bottom w:w="0" w:type="dxa"/>
            <w:right w:w="0" w:type="dxa"/>
          </w:tblCellMar>
        </w:tblPrEx>
        <w:trPr>
          <w:trHeight w:val="340" w:hRule="atLeast"/>
          <w:jc w:val="center"/>
        </w:trPr>
        <w:tc>
          <w:tcPr>
            <w:tcW w:w="874" w:type="dxa"/>
            <w:tcBorders>
              <w:top w:val="single" w:color="000000" w:sz="2" w:space="0"/>
              <w:left w:val="single" w:color="000000" w:sz="2" w:space="0"/>
              <w:bottom w:val="single" w:color="000000" w:sz="2" w:space="0"/>
              <w:right w:val="single" w:color="000000" w:sz="2" w:space="0"/>
            </w:tcBorders>
            <w:vAlign w:val="center"/>
          </w:tcPr>
          <w:p w14:paraId="649F85B7">
            <w:pPr>
              <w:pStyle w:val="1018"/>
              <w:spacing w:before="45"/>
              <w:jc w:val="center"/>
              <w:rPr>
                <w:rFonts w:eastAsia="Times New Roman"/>
                <w:sz w:val="21"/>
                <w:szCs w:val="21"/>
              </w:rPr>
            </w:pPr>
            <w:r>
              <w:rPr>
                <w:w w:val="99"/>
                <w:sz w:val="21"/>
                <w:szCs w:val="21"/>
              </w:rPr>
              <w:t>3</w:t>
            </w:r>
          </w:p>
        </w:tc>
        <w:tc>
          <w:tcPr>
            <w:tcW w:w="3383" w:type="dxa"/>
            <w:tcBorders>
              <w:top w:val="single" w:color="000000" w:sz="2" w:space="0"/>
              <w:left w:val="single" w:color="000000" w:sz="2" w:space="0"/>
              <w:bottom w:val="single" w:color="000000" w:sz="2" w:space="0"/>
              <w:right w:val="single" w:color="000000" w:sz="2" w:space="0"/>
            </w:tcBorders>
            <w:vAlign w:val="center"/>
          </w:tcPr>
          <w:p w14:paraId="70DC4065">
            <w:pPr>
              <w:pStyle w:val="1018"/>
              <w:jc w:val="center"/>
              <w:rPr>
                <w:rFonts w:hint="eastAsia" w:ascii="宋体" w:hAnsi="宋体" w:cs="宋体"/>
                <w:sz w:val="21"/>
                <w:szCs w:val="21"/>
              </w:rPr>
            </w:pPr>
            <w:r>
              <w:rPr>
                <w:rFonts w:ascii="宋体" w:hAnsi="宋体" w:cs="宋体"/>
                <w:sz w:val="21"/>
                <w:szCs w:val="21"/>
              </w:rPr>
              <w:t>悬浮物</w:t>
            </w:r>
            <w:r>
              <w:rPr>
                <w:rFonts w:eastAsia="Times New Roman"/>
                <w:sz w:val="21"/>
                <w:szCs w:val="21"/>
              </w:rPr>
              <w:t>/(mg/L)</w:t>
            </w:r>
            <w:r>
              <w:rPr>
                <w:rFonts w:ascii="宋体" w:hAnsi="宋体" w:cs="宋体"/>
                <w:sz w:val="21"/>
                <w:szCs w:val="21"/>
              </w:rPr>
              <w:t>≤</w:t>
            </w:r>
          </w:p>
        </w:tc>
        <w:tc>
          <w:tcPr>
            <w:tcW w:w="1409" w:type="dxa"/>
            <w:tcBorders>
              <w:top w:val="single" w:color="000000" w:sz="2" w:space="0"/>
              <w:left w:val="single" w:color="000000" w:sz="2" w:space="0"/>
              <w:bottom w:val="single" w:color="000000" w:sz="2" w:space="0"/>
              <w:right w:val="single" w:color="000000" w:sz="2" w:space="0"/>
            </w:tcBorders>
            <w:vAlign w:val="center"/>
          </w:tcPr>
          <w:p w14:paraId="03D02B44">
            <w:pPr>
              <w:pStyle w:val="1018"/>
              <w:spacing w:before="45"/>
              <w:ind w:right="1"/>
              <w:jc w:val="center"/>
              <w:rPr>
                <w:rFonts w:eastAsia="Times New Roman"/>
                <w:sz w:val="21"/>
                <w:szCs w:val="21"/>
              </w:rPr>
            </w:pPr>
            <w:r>
              <w:rPr>
                <w:sz w:val="21"/>
                <w:szCs w:val="21"/>
              </w:rPr>
              <w:t>80</w:t>
            </w:r>
          </w:p>
        </w:tc>
        <w:tc>
          <w:tcPr>
            <w:tcW w:w="1833" w:type="dxa"/>
            <w:tcBorders>
              <w:top w:val="single" w:color="000000" w:sz="2" w:space="0"/>
              <w:left w:val="single" w:color="000000" w:sz="2" w:space="0"/>
              <w:bottom w:val="single" w:color="000000" w:sz="2" w:space="0"/>
              <w:right w:val="single" w:color="000000" w:sz="2" w:space="0"/>
            </w:tcBorders>
            <w:vAlign w:val="center"/>
          </w:tcPr>
          <w:p w14:paraId="3E61987E">
            <w:pPr>
              <w:pStyle w:val="1018"/>
              <w:spacing w:before="45"/>
              <w:ind w:left="2"/>
              <w:jc w:val="center"/>
              <w:rPr>
                <w:rFonts w:eastAsia="Times New Roman"/>
                <w:sz w:val="21"/>
                <w:szCs w:val="21"/>
              </w:rPr>
            </w:pPr>
            <w:r>
              <w:rPr>
                <w:sz w:val="21"/>
                <w:szCs w:val="21"/>
              </w:rPr>
              <w:t>100</w:t>
            </w:r>
          </w:p>
        </w:tc>
        <w:tc>
          <w:tcPr>
            <w:tcW w:w="1577" w:type="dxa"/>
            <w:tcBorders>
              <w:top w:val="single" w:color="000000" w:sz="2" w:space="0"/>
              <w:left w:val="single" w:color="000000" w:sz="2" w:space="0"/>
              <w:bottom w:val="single" w:color="000000" w:sz="2" w:space="0"/>
              <w:right w:val="single" w:color="000000" w:sz="2" w:space="0"/>
            </w:tcBorders>
            <w:vAlign w:val="center"/>
          </w:tcPr>
          <w:p w14:paraId="66A3D94C">
            <w:pPr>
              <w:pStyle w:val="1018"/>
              <w:ind w:left="412"/>
              <w:rPr>
                <w:rFonts w:eastAsia="Times New Roman"/>
                <w:sz w:val="21"/>
                <w:szCs w:val="21"/>
              </w:rPr>
            </w:pPr>
            <w:r>
              <w:rPr>
                <w:rFonts w:eastAsia="Times New Roman"/>
                <w:sz w:val="21"/>
                <w:szCs w:val="21"/>
              </w:rPr>
              <w:t>60</w:t>
            </w:r>
            <w:r>
              <w:rPr>
                <w:rFonts w:eastAsia="Times New Roman"/>
                <w:position w:val="7"/>
                <w:sz w:val="21"/>
                <w:szCs w:val="21"/>
              </w:rPr>
              <w:t>a</w:t>
            </w:r>
            <w:r>
              <w:rPr>
                <w:rFonts w:ascii="宋体" w:hAnsi="宋体" w:cs="宋体"/>
                <w:sz w:val="21"/>
                <w:szCs w:val="21"/>
              </w:rPr>
              <w:t>，</w:t>
            </w:r>
            <w:r>
              <w:rPr>
                <w:rFonts w:eastAsia="Times New Roman"/>
                <w:sz w:val="21"/>
                <w:szCs w:val="21"/>
              </w:rPr>
              <w:t>15</w:t>
            </w:r>
            <w:r>
              <w:rPr>
                <w:rFonts w:eastAsia="Times New Roman"/>
                <w:position w:val="7"/>
                <w:sz w:val="21"/>
                <w:szCs w:val="21"/>
              </w:rPr>
              <w:t>b</w:t>
            </w:r>
          </w:p>
        </w:tc>
      </w:tr>
      <w:tr w14:paraId="5526C79C">
        <w:tblPrEx>
          <w:tblCellMar>
            <w:top w:w="0" w:type="dxa"/>
            <w:left w:w="0" w:type="dxa"/>
            <w:bottom w:w="0" w:type="dxa"/>
            <w:right w:w="0" w:type="dxa"/>
          </w:tblCellMar>
        </w:tblPrEx>
        <w:trPr>
          <w:trHeight w:val="340" w:hRule="atLeast"/>
          <w:jc w:val="center"/>
        </w:trPr>
        <w:tc>
          <w:tcPr>
            <w:tcW w:w="874" w:type="dxa"/>
            <w:tcBorders>
              <w:top w:val="single" w:color="000000" w:sz="2" w:space="0"/>
              <w:left w:val="single" w:color="000000" w:sz="2" w:space="0"/>
              <w:bottom w:val="single" w:color="000000" w:sz="2" w:space="0"/>
              <w:right w:val="single" w:color="000000" w:sz="2" w:space="0"/>
            </w:tcBorders>
            <w:vAlign w:val="center"/>
          </w:tcPr>
          <w:p w14:paraId="318DE465">
            <w:pPr>
              <w:pStyle w:val="1018"/>
              <w:spacing w:before="46"/>
              <w:jc w:val="center"/>
              <w:rPr>
                <w:rFonts w:eastAsia="Times New Roman"/>
                <w:sz w:val="21"/>
                <w:szCs w:val="21"/>
              </w:rPr>
            </w:pPr>
            <w:r>
              <w:rPr>
                <w:w w:val="99"/>
                <w:sz w:val="21"/>
                <w:szCs w:val="21"/>
              </w:rPr>
              <w:t>4</w:t>
            </w:r>
          </w:p>
        </w:tc>
        <w:tc>
          <w:tcPr>
            <w:tcW w:w="3383" w:type="dxa"/>
            <w:tcBorders>
              <w:top w:val="single" w:color="000000" w:sz="2" w:space="0"/>
              <w:left w:val="single" w:color="000000" w:sz="2" w:space="0"/>
              <w:bottom w:val="single" w:color="000000" w:sz="2" w:space="0"/>
              <w:right w:val="single" w:color="000000" w:sz="2" w:space="0"/>
            </w:tcBorders>
            <w:vAlign w:val="center"/>
          </w:tcPr>
          <w:p w14:paraId="00B7FFFA">
            <w:pPr>
              <w:pStyle w:val="1018"/>
              <w:jc w:val="center"/>
              <w:rPr>
                <w:rFonts w:hint="eastAsia" w:ascii="宋体" w:hAnsi="宋体" w:cs="宋体"/>
                <w:sz w:val="21"/>
                <w:szCs w:val="21"/>
              </w:rPr>
            </w:pPr>
            <w:r>
              <w:rPr>
                <w:rFonts w:ascii="宋体" w:hAnsi="宋体" w:cs="宋体"/>
                <w:sz w:val="21"/>
                <w:szCs w:val="21"/>
              </w:rPr>
              <w:t>阴离子表面活性剂</w:t>
            </w:r>
            <w:r>
              <w:rPr>
                <w:rFonts w:eastAsia="Times New Roman"/>
                <w:sz w:val="21"/>
                <w:szCs w:val="21"/>
              </w:rPr>
              <w:t>/(mg/L)</w:t>
            </w:r>
            <w:r>
              <w:rPr>
                <w:rFonts w:ascii="宋体" w:hAnsi="宋体" w:cs="宋体"/>
                <w:sz w:val="21"/>
                <w:szCs w:val="21"/>
              </w:rPr>
              <w:t>≤</w:t>
            </w:r>
          </w:p>
        </w:tc>
        <w:tc>
          <w:tcPr>
            <w:tcW w:w="1409" w:type="dxa"/>
            <w:tcBorders>
              <w:top w:val="single" w:color="000000" w:sz="2" w:space="0"/>
              <w:left w:val="single" w:color="000000" w:sz="2" w:space="0"/>
              <w:bottom w:val="single" w:color="000000" w:sz="2" w:space="0"/>
              <w:right w:val="single" w:color="000000" w:sz="2" w:space="0"/>
            </w:tcBorders>
            <w:vAlign w:val="center"/>
          </w:tcPr>
          <w:p w14:paraId="1D2BA932">
            <w:pPr>
              <w:pStyle w:val="1018"/>
              <w:spacing w:before="46"/>
              <w:ind w:right="1"/>
              <w:jc w:val="center"/>
              <w:rPr>
                <w:rFonts w:eastAsia="Times New Roman"/>
                <w:sz w:val="21"/>
                <w:szCs w:val="21"/>
              </w:rPr>
            </w:pPr>
            <w:r>
              <w:rPr>
                <w:w w:val="99"/>
                <w:sz w:val="21"/>
                <w:szCs w:val="21"/>
              </w:rPr>
              <w:t>5</w:t>
            </w:r>
          </w:p>
        </w:tc>
        <w:tc>
          <w:tcPr>
            <w:tcW w:w="1833" w:type="dxa"/>
            <w:tcBorders>
              <w:top w:val="single" w:color="000000" w:sz="2" w:space="0"/>
              <w:left w:val="single" w:color="000000" w:sz="2" w:space="0"/>
              <w:bottom w:val="single" w:color="000000" w:sz="2" w:space="0"/>
              <w:right w:val="single" w:color="000000" w:sz="2" w:space="0"/>
            </w:tcBorders>
            <w:vAlign w:val="center"/>
          </w:tcPr>
          <w:p w14:paraId="390E9511">
            <w:pPr>
              <w:pStyle w:val="1018"/>
              <w:spacing w:before="46"/>
              <w:jc w:val="center"/>
              <w:rPr>
                <w:rFonts w:eastAsia="Times New Roman"/>
                <w:sz w:val="21"/>
                <w:szCs w:val="21"/>
              </w:rPr>
            </w:pPr>
            <w:r>
              <w:rPr>
                <w:w w:val="99"/>
                <w:sz w:val="21"/>
                <w:szCs w:val="21"/>
              </w:rPr>
              <w:t>8</w:t>
            </w:r>
          </w:p>
        </w:tc>
        <w:tc>
          <w:tcPr>
            <w:tcW w:w="1577" w:type="dxa"/>
            <w:tcBorders>
              <w:top w:val="single" w:color="000000" w:sz="2" w:space="0"/>
              <w:left w:val="single" w:color="000000" w:sz="2" w:space="0"/>
              <w:bottom w:val="single" w:color="000000" w:sz="2" w:space="0"/>
              <w:right w:val="single" w:color="000000" w:sz="2" w:space="0"/>
            </w:tcBorders>
            <w:vAlign w:val="center"/>
          </w:tcPr>
          <w:p w14:paraId="1192534F">
            <w:pPr>
              <w:pStyle w:val="1018"/>
              <w:spacing w:before="46"/>
              <w:jc w:val="center"/>
              <w:rPr>
                <w:rFonts w:eastAsia="Times New Roman"/>
                <w:sz w:val="21"/>
                <w:szCs w:val="21"/>
              </w:rPr>
            </w:pPr>
            <w:r>
              <w:rPr>
                <w:w w:val="99"/>
                <w:sz w:val="21"/>
                <w:szCs w:val="21"/>
              </w:rPr>
              <w:t>5</w:t>
            </w:r>
          </w:p>
        </w:tc>
      </w:tr>
      <w:tr w14:paraId="32524D1F">
        <w:tblPrEx>
          <w:tblCellMar>
            <w:top w:w="0" w:type="dxa"/>
            <w:left w:w="0" w:type="dxa"/>
            <w:bottom w:w="0" w:type="dxa"/>
            <w:right w:w="0" w:type="dxa"/>
          </w:tblCellMar>
        </w:tblPrEx>
        <w:trPr>
          <w:trHeight w:val="340" w:hRule="atLeast"/>
          <w:jc w:val="center"/>
        </w:trPr>
        <w:tc>
          <w:tcPr>
            <w:tcW w:w="874" w:type="dxa"/>
            <w:tcBorders>
              <w:top w:val="single" w:color="000000" w:sz="2" w:space="0"/>
              <w:left w:val="single" w:color="000000" w:sz="2" w:space="0"/>
              <w:bottom w:val="single" w:color="000000" w:sz="2" w:space="0"/>
              <w:right w:val="single" w:color="000000" w:sz="2" w:space="0"/>
            </w:tcBorders>
            <w:vAlign w:val="center"/>
          </w:tcPr>
          <w:p w14:paraId="6111072F">
            <w:pPr>
              <w:pStyle w:val="1018"/>
              <w:spacing w:before="46"/>
              <w:jc w:val="center"/>
              <w:rPr>
                <w:rFonts w:eastAsia="Times New Roman"/>
                <w:sz w:val="21"/>
                <w:szCs w:val="21"/>
              </w:rPr>
            </w:pPr>
            <w:r>
              <w:rPr>
                <w:w w:val="99"/>
                <w:sz w:val="21"/>
                <w:szCs w:val="21"/>
              </w:rPr>
              <w:t>5</w:t>
            </w:r>
          </w:p>
        </w:tc>
        <w:tc>
          <w:tcPr>
            <w:tcW w:w="3383" w:type="dxa"/>
            <w:tcBorders>
              <w:top w:val="single" w:color="000000" w:sz="2" w:space="0"/>
              <w:left w:val="single" w:color="000000" w:sz="2" w:space="0"/>
              <w:bottom w:val="single" w:color="000000" w:sz="2" w:space="0"/>
              <w:right w:val="single" w:color="000000" w:sz="2" w:space="0"/>
            </w:tcBorders>
            <w:vAlign w:val="center"/>
          </w:tcPr>
          <w:p w14:paraId="24ADFA76">
            <w:pPr>
              <w:pStyle w:val="1018"/>
              <w:jc w:val="center"/>
              <w:rPr>
                <w:rFonts w:hint="eastAsia" w:ascii="宋体" w:hAnsi="宋体" w:cs="宋体"/>
                <w:sz w:val="21"/>
                <w:szCs w:val="21"/>
              </w:rPr>
            </w:pPr>
            <w:r>
              <w:rPr>
                <w:rFonts w:ascii="宋体" w:hAnsi="宋体" w:cs="宋体"/>
                <w:sz w:val="21"/>
                <w:szCs w:val="21"/>
              </w:rPr>
              <w:t>水温</w:t>
            </w:r>
            <w:r>
              <w:rPr>
                <w:rFonts w:eastAsia="Times New Roman"/>
                <w:sz w:val="21"/>
                <w:szCs w:val="21"/>
              </w:rPr>
              <w:t>/</w:t>
            </w:r>
            <w:r>
              <w:rPr>
                <w:rFonts w:ascii="宋体" w:hAnsi="宋体" w:cs="宋体"/>
                <w:sz w:val="21"/>
                <w:szCs w:val="21"/>
              </w:rPr>
              <w:t>℃≤</w:t>
            </w:r>
          </w:p>
        </w:tc>
        <w:tc>
          <w:tcPr>
            <w:tcW w:w="4819" w:type="dxa"/>
            <w:gridSpan w:val="3"/>
            <w:tcBorders>
              <w:top w:val="single" w:color="000000" w:sz="2" w:space="0"/>
              <w:left w:val="single" w:color="000000" w:sz="2" w:space="0"/>
              <w:bottom w:val="single" w:color="000000" w:sz="2" w:space="0"/>
              <w:right w:val="single" w:color="000000" w:sz="2" w:space="0"/>
            </w:tcBorders>
            <w:vAlign w:val="center"/>
          </w:tcPr>
          <w:p w14:paraId="331BAD64">
            <w:pPr>
              <w:pStyle w:val="1018"/>
              <w:spacing w:before="46"/>
              <w:ind w:left="1"/>
              <w:jc w:val="center"/>
              <w:rPr>
                <w:rFonts w:eastAsia="Times New Roman"/>
                <w:sz w:val="21"/>
                <w:szCs w:val="21"/>
              </w:rPr>
            </w:pPr>
            <w:r>
              <w:rPr>
                <w:sz w:val="21"/>
                <w:szCs w:val="21"/>
              </w:rPr>
              <w:t>35</w:t>
            </w:r>
          </w:p>
        </w:tc>
      </w:tr>
      <w:tr w14:paraId="18C879AE">
        <w:tblPrEx>
          <w:tblCellMar>
            <w:top w:w="0" w:type="dxa"/>
            <w:left w:w="0" w:type="dxa"/>
            <w:bottom w:w="0" w:type="dxa"/>
            <w:right w:w="0" w:type="dxa"/>
          </w:tblCellMar>
        </w:tblPrEx>
        <w:trPr>
          <w:trHeight w:val="340" w:hRule="atLeast"/>
          <w:jc w:val="center"/>
        </w:trPr>
        <w:tc>
          <w:tcPr>
            <w:tcW w:w="874" w:type="dxa"/>
            <w:tcBorders>
              <w:top w:val="single" w:color="000000" w:sz="2" w:space="0"/>
              <w:left w:val="single" w:color="000000" w:sz="2" w:space="0"/>
              <w:bottom w:val="single" w:color="000000" w:sz="2" w:space="0"/>
              <w:right w:val="single" w:color="000000" w:sz="2" w:space="0"/>
            </w:tcBorders>
            <w:vAlign w:val="center"/>
          </w:tcPr>
          <w:p w14:paraId="2A41CD24">
            <w:pPr>
              <w:pStyle w:val="1018"/>
              <w:spacing w:before="47"/>
              <w:jc w:val="center"/>
              <w:rPr>
                <w:rFonts w:eastAsia="Times New Roman"/>
                <w:sz w:val="21"/>
                <w:szCs w:val="21"/>
              </w:rPr>
            </w:pPr>
            <w:r>
              <w:rPr>
                <w:w w:val="99"/>
                <w:sz w:val="21"/>
                <w:szCs w:val="21"/>
              </w:rPr>
              <w:t>6</w:t>
            </w:r>
          </w:p>
        </w:tc>
        <w:tc>
          <w:tcPr>
            <w:tcW w:w="3383" w:type="dxa"/>
            <w:tcBorders>
              <w:top w:val="single" w:color="000000" w:sz="2" w:space="0"/>
              <w:left w:val="single" w:color="000000" w:sz="2" w:space="0"/>
              <w:bottom w:val="single" w:color="000000" w:sz="2" w:space="0"/>
              <w:right w:val="single" w:color="000000" w:sz="2" w:space="0"/>
            </w:tcBorders>
            <w:vAlign w:val="center"/>
          </w:tcPr>
          <w:p w14:paraId="067BF37E">
            <w:pPr>
              <w:pStyle w:val="1018"/>
              <w:jc w:val="center"/>
              <w:rPr>
                <w:rFonts w:eastAsia="Times New Roman"/>
                <w:sz w:val="21"/>
                <w:szCs w:val="21"/>
              </w:rPr>
            </w:pPr>
            <w:r>
              <w:rPr>
                <w:sz w:val="21"/>
                <w:szCs w:val="21"/>
              </w:rPr>
              <w:t>pH</w:t>
            </w:r>
          </w:p>
        </w:tc>
        <w:tc>
          <w:tcPr>
            <w:tcW w:w="4819" w:type="dxa"/>
            <w:gridSpan w:val="3"/>
            <w:tcBorders>
              <w:top w:val="single" w:color="000000" w:sz="2" w:space="0"/>
              <w:left w:val="single" w:color="000000" w:sz="2" w:space="0"/>
              <w:bottom w:val="single" w:color="000000" w:sz="2" w:space="0"/>
              <w:right w:val="single" w:color="000000" w:sz="2" w:space="0"/>
            </w:tcBorders>
            <w:vAlign w:val="center"/>
          </w:tcPr>
          <w:p w14:paraId="01F87902">
            <w:pPr>
              <w:pStyle w:val="1018"/>
              <w:ind w:left="1"/>
              <w:jc w:val="center"/>
              <w:rPr>
                <w:rFonts w:eastAsia="Times New Roman"/>
                <w:sz w:val="21"/>
                <w:szCs w:val="21"/>
              </w:rPr>
            </w:pPr>
            <w:r>
              <w:rPr>
                <w:rFonts w:eastAsia="Times New Roman"/>
                <w:sz w:val="21"/>
                <w:szCs w:val="21"/>
              </w:rPr>
              <w:t>5.5</w:t>
            </w:r>
            <w:r>
              <w:rPr>
                <w:rFonts w:ascii="宋体" w:hAnsi="宋体" w:cs="宋体"/>
                <w:sz w:val="21"/>
                <w:szCs w:val="21"/>
              </w:rPr>
              <w:t>～</w:t>
            </w:r>
            <w:r>
              <w:rPr>
                <w:rFonts w:eastAsia="Times New Roman"/>
                <w:sz w:val="21"/>
                <w:szCs w:val="21"/>
              </w:rPr>
              <w:t>8.5</w:t>
            </w:r>
          </w:p>
        </w:tc>
      </w:tr>
      <w:tr w14:paraId="012ED823">
        <w:tblPrEx>
          <w:tblCellMar>
            <w:top w:w="0" w:type="dxa"/>
            <w:left w:w="0" w:type="dxa"/>
            <w:bottom w:w="0" w:type="dxa"/>
            <w:right w:w="0" w:type="dxa"/>
          </w:tblCellMar>
        </w:tblPrEx>
        <w:trPr>
          <w:trHeight w:val="340" w:hRule="atLeast"/>
          <w:jc w:val="center"/>
        </w:trPr>
        <w:tc>
          <w:tcPr>
            <w:tcW w:w="874" w:type="dxa"/>
            <w:tcBorders>
              <w:top w:val="single" w:color="000000" w:sz="2" w:space="0"/>
              <w:left w:val="single" w:color="000000" w:sz="2" w:space="0"/>
              <w:bottom w:val="single" w:color="000000" w:sz="2" w:space="0"/>
              <w:right w:val="single" w:color="000000" w:sz="2" w:space="0"/>
            </w:tcBorders>
            <w:vAlign w:val="center"/>
          </w:tcPr>
          <w:p w14:paraId="42D28B10">
            <w:pPr>
              <w:pStyle w:val="1018"/>
              <w:spacing w:before="45"/>
              <w:jc w:val="center"/>
              <w:rPr>
                <w:rFonts w:eastAsia="Times New Roman"/>
                <w:sz w:val="21"/>
                <w:szCs w:val="21"/>
              </w:rPr>
            </w:pPr>
            <w:r>
              <w:rPr>
                <w:w w:val="99"/>
                <w:sz w:val="21"/>
                <w:szCs w:val="21"/>
              </w:rPr>
              <w:t>7</w:t>
            </w:r>
          </w:p>
        </w:tc>
        <w:tc>
          <w:tcPr>
            <w:tcW w:w="3383" w:type="dxa"/>
            <w:tcBorders>
              <w:top w:val="single" w:color="000000" w:sz="2" w:space="0"/>
              <w:left w:val="single" w:color="000000" w:sz="2" w:space="0"/>
              <w:bottom w:val="single" w:color="000000" w:sz="2" w:space="0"/>
              <w:right w:val="single" w:color="000000" w:sz="2" w:space="0"/>
            </w:tcBorders>
            <w:vAlign w:val="center"/>
          </w:tcPr>
          <w:p w14:paraId="2F99224F">
            <w:pPr>
              <w:pStyle w:val="1018"/>
              <w:jc w:val="center"/>
              <w:rPr>
                <w:rFonts w:hint="eastAsia" w:ascii="宋体" w:hAnsi="宋体" w:cs="宋体"/>
                <w:sz w:val="21"/>
                <w:szCs w:val="21"/>
              </w:rPr>
            </w:pPr>
            <w:r>
              <w:rPr>
                <w:rFonts w:ascii="宋体" w:hAnsi="宋体" w:cs="宋体"/>
                <w:sz w:val="21"/>
                <w:szCs w:val="21"/>
              </w:rPr>
              <w:t>全盐量</w:t>
            </w:r>
            <w:r>
              <w:rPr>
                <w:rFonts w:eastAsia="Times New Roman"/>
                <w:sz w:val="21"/>
                <w:szCs w:val="21"/>
              </w:rPr>
              <w:t>/(mg/L)</w:t>
            </w:r>
            <w:r>
              <w:rPr>
                <w:rFonts w:ascii="宋体" w:hAnsi="宋体" w:cs="宋体"/>
                <w:sz w:val="21"/>
                <w:szCs w:val="21"/>
              </w:rPr>
              <w:t>≤</w:t>
            </w:r>
          </w:p>
        </w:tc>
        <w:tc>
          <w:tcPr>
            <w:tcW w:w="4819" w:type="dxa"/>
            <w:gridSpan w:val="3"/>
            <w:tcBorders>
              <w:top w:val="single" w:color="000000" w:sz="2" w:space="0"/>
              <w:left w:val="single" w:color="000000" w:sz="2" w:space="0"/>
              <w:bottom w:val="single" w:color="000000" w:sz="2" w:space="0"/>
              <w:right w:val="single" w:color="000000" w:sz="2" w:space="0"/>
            </w:tcBorders>
            <w:vAlign w:val="center"/>
          </w:tcPr>
          <w:p w14:paraId="142F9356">
            <w:pPr>
              <w:pStyle w:val="1018"/>
              <w:ind w:left="542"/>
              <w:rPr>
                <w:rFonts w:eastAsia="Times New Roman"/>
                <w:sz w:val="21"/>
                <w:szCs w:val="21"/>
              </w:rPr>
            </w:pPr>
            <w:r>
              <w:rPr>
                <w:rFonts w:eastAsia="Times New Roman"/>
                <w:sz w:val="21"/>
                <w:szCs w:val="21"/>
              </w:rPr>
              <w:t>1000</w:t>
            </w:r>
            <w:r>
              <w:rPr>
                <w:rFonts w:eastAsia="Times New Roman"/>
                <w:position w:val="7"/>
                <w:sz w:val="21"/>
                <w:szCs w:val="21"/>
              </w:rPr>
              <w:t>c</w:t>
            </w:r>
            <w:r>
              <w:rPr>
                <w:rFonts w:eastAsia="Times New Roman"/>
                <w:sz w:val="21"/>
                <w:szCs w:val="21"/>
              </w:rPr>
              <w:t>(</w:t>
            </w:r>
            <w:r>
              <w:rPr>
                <w:rFonts w:ascii="宋体" w:hAnsi="宋体" w:cs="宋体"/>
                <w:sz w:val="21"/>
                <w:szCs w:val="21"/>
              </w:rPr>
              <w:t>非盐碱土地区</w:t>
            </w:r>
            <w:r>
              <w:rPr>
                <w:rFonts w:eastAsia="Times New Roman"/>
                <w:sz w:val="21"/>
                <w:szCs w:val="21"/>
              </w:rPr>
              <w:t>)</w:t>
            </w:r>
            <w:r>
              <w:rPr>
                <w:rFonts w:ascii="宋体" w:hAnsi="宋体" w:cs="宋体"/>
                <w:sz w:val="21"/>
                <w:szCs w:val="21"/>
              </w:rPr>
              <w:t>，</w:t>
            </w:r>
            <w:r>
              <w:rPr>
                <w:rFonts w:eastAsia="Times New Roman"/>
                <w:sz w:val="21"/>
                <w:szCs w:val="21"/>
              </w:rPr>
              <w:t>2000</w:t>
            </w:r>
            <w:r>
              <w:rPr>
                <w:rFonts w:eastAsia="Times New Roman"/>
                <w:position w:val="7"/>
                <w:sz w:val="21"/>
                <w:szCs w:val="21"/>
              </w:rPr>
              <w:t>c</w:t>
            </w:r>
            <w:r>
              <w:rPr>
                <w:rFonts w:eastAsia="Times New Roman"/>
                <w:sz w:val="21"/>
                <w:szCs w:val="21"/>
              </w:rPr>
              <w:t>(</w:t>
            </w:r>
            <w:r>
              <w:rPr>
                <w:rFonts w:ascii="宋体" w:hAnsi="宋体" w:cs="宋体"/>
                <w:sz w:val="21"/>
                <w:szCs w:val="21"/>
              </w:rPr>
              <w:t>盐碱土地区</w:t>
            </w:r>
            <w:r>
              <w:rPr>
                <w:rFonts w:eastAsia="Times New Roman"/>
                <w:sz w:val="21"/>
                <w:szCs w:val="21"/>
              </w:rPr>
              <w:t>)</w:t>
            </w:r>
          </w:p>
        </w:tc>
      </w:tr>
      <w:tr w14:paraId="0238C9D2">
        <w:tblPrEx>
          <w:tblCellMar>
            <w:top w:w="0" w:type="dxa"/>
            <w:left w:w="0" w:type="dxa"/>
            <w:bottom w:w="0" w:type="dxa"/>
            <w:right w:w="0" w:type="dxa"/>
          </w:tblCellMar>
        </w:tblPrEx>
        <w:trPr>
          <w:trHeight w:val="340" w:hRule="atLeast"/>
          <w:jc w:val="center"/>
        </w:trPr>
        <w:tc>
          <w:tcPr>
            <w:tcW w:w="874" w:type="dxa"/>
            <w:tcBorders>
              <w:top w:val="single" w:color="000000" w:sz="2" w:space="0"/>
              <w:left w:val="single" w:color="000000" w:sz="2" w:space="0"/>
              <w:bottom w:val="single" w:color="000000" w:sz="2" w:space="0"/>
              <w:right w:val="single" w:color="000000" w:sz="2" w:space="0"/>
            </w:tcBorders>
            <w:vAlign w:val="center"/>
          </w:tcPr>
          <w:p w14:paraId="01B0A10D">
            <w:pPr>
              <w:pStyle w:val="1018"/>
              <w:spacing w:before="46"/>
              <w:jc w:val="center"/>
              <w:rPr>
                <w:rFonts w:eastAsia="Times New Roman"/>
                <w:sz w:val="21"/>
                <w:szCs w:val="21"/>
              </w:rPr>
            </w:pPr>
            <w:r>
              <w:rPr>
                <w:w w:val="99"/>
                <w:sz w:val="21"/>
                <w:szCs w:val="21"/>
              </w:rPr>
              <w:t>8</w:t>
            </w:r>
          </w:p>
        </w:tc>
        <w:tc>
          <w:tcPr>
            <w:tcW w:w="3383" w:type="dxa"/>
            <w:tcBorders>
              <w:top w:val="single" w:color="000000" w:sz="2" w:space="0"/>
              <w:left w:val="single" w:color="000000" w:sz="2" w:space="0"/>
              <w:bottom w:val="single" w:color="000000" w:sz="2" w:space="0"/>
              <w:right w:val="single" w:color="000000" w:sz="2" w:space="0"/>
            </w:tcBorders>
            <w:vAlign w:val="center"/>
          </w:tcPr>
          <w:p w14:paraId="448FF94A">
            <w:pPr>
              <w:pStyle w:val="1018"/>
              <w:jc w:val="center"/>
              <w:rPr>
                <w:rFonts w:hint="eastAsia" w:ascii="宋体" w:hAnsi="宋体" w:cs="宋体"/>
                <w:sz w:val="21"/>
                <w:szCs w:val="21"/>
              </w:rPr>
            </w:pPr>
            <w:r>
              <w:rPr>
                <w:rFonts w:ascii="宋体" w:hAnsi="宋体" w:cs="宋体"/>
                <w:sz w:val="21"/>
                <w:szCs w:val="21"/>
              </w:rPr>
              <w:t>氯化物</w:t>
            </w:r>
            <w:r>
              <w:rPr>
                <w:rFonts w:eastAsia="Times New Roman"/>
                <w:sz w:val="21"/>
                <w:szCs w:val="21"/>
              </w:rPr>
              <w:t>/(mg/L)</w:t>
            </w:r>
            <w:r>
              <w:rPr>
                <w:rFonts w:ascii="宋体" w:hAnsi="宋体" w:cs="宋体"/>
                <w:sz w:val="21"/>
                <w:szCs w:val="21"/>
              </w:rPr>
              <w:t>≤</w:t>
            </w:r>
          </w:p>
        </w:tc>
        <w:tc>
          <w:tcPr>
            <w:tcW w:w="4819" w:type="dxa"/>
            <w:gridSpan w:val="3"/>
            <w:tcBorders>
              <w:top w:val="single" w:color="000000" w:sz="2" w:space="0"/>
              <w:left w:val="single" w:color="000000" w:sz="2" w:space="0"/>
              <w:bottom w:val="single" w:color="000000" w:sz="2" w:space="0"/>
              <w:right w:val="single" w:color="000000" w:sz="2" w:space="0"/>
            </w:tcBorders>
            <w:vAlign w:val="center"/>
          </w:tcPr>
          <w:p w14:paraId="05470EF7">
            <w:pPr>
              <w:pStyle w:val="1018"/>
              <w:spacing w:before="46"/>
              <w:ind w:left="1"/>
              <w:jc w:val="center"/>
              <w:rPr>
                <w:rFonts w:eastAsia="Times New Roman"/>
                <w:sz w:val="21"/>
                <w:szCs w:val="21"/>
              </w:rPr>
            </w:pPr>
            <w:r>
              <w:rPr>
                <w:sz w:val="21"/>
                <w:szCs w:val="21"/>
              </w:rPr>
              <w:t>350</w:t>
            </w:r>
          </w:p>
        </w:tc>
      </w:tr>
      <w:tr w14:paraId="658F512D">
        <w:tblPrEx>
          <w:tblCellMar>
            <w:top w:w="0" w:type="dxa"/>
            <w:left w:w="0" w:type="dxa"/>
            <w:bottom w:w="0" w:type="dxa"/>
            <w:right w:w="0" w:type="dxa"/>
          </w:tblCellMar>
        </w:tblPrEx>
        <w:trPr>
          <w:trHeight w:val="340" w:hRule="atLeast"/>
          <w:jc w:val="center"/>
        </w:trPr>
        <w:tc>
          <w:tcPr>
            <w:tcW w:w="874" w:type="dxa"/>
            <w:tcBorders>
              <w:top w:val="single" w:color="000000" w:sz="2" w:space="0"/>
              <w:left w:val="single" w:color="000000" w:sz="2" w:space="0"/>
              <w:bottom w:val="single" w:color="000000" w:sz="2" w:space="0"/>
              <w:right w:val="single" w:color="000000" w:sz="2" w:space="0"/>
            </w:tcBorders>
            <w:vAlign w:val="center"/>
          </w:tcPr>
          <w:p w14:paraId="41C89EAB">
            <w:pPr>
              <w:pStyle w:val="1018"/>
              <w:spacing w:before="46"/>
              <w:jc w:val="center"/>
              <w:rPr>
                <w:rFonts w:eastAsia="Times New Roman"/>
                <w:sz w:val="21"/>
                <w:szCs w:val="21"/>
              </w:rPr>
            </w:pPr>
            <w:r>
              <w:rPr>
                <w:w w:val="99"/>
                <w:sz w:val="21"/>
                <w:szCs w:val="21"/>
              </w:rPr>
              <w:t>9</w:t>
            </w:r>
          </w:p>
        </w:tc>
        <w:tc>
          <w:tcPr>
            <w:tcW w:w="3383" w:type="dxa"/>
            <w:tcBorders>
              <w:top w:val="single" w:color="000000" w:sz="2" w:space="0"/>
              <w:left w:val="single" w:color="000000" w:sz="2" w:space="0"/>
              <w:bottom w:val="single" w:color="000000" w:sz="2" w:space="0"/>
              <w:right w:val="single" w:color="000000" w:sz="2" w:space="0"/>
            </w:tcBorders>
            <w:vAlign w:val="center"/>
          </w:tcPr>
          <w:p w14:paraId="321A9AFA">
            <w:pPr>
              <w:pStyle w:val="1018"/>
              <w:jc w:val="center"/>
              <w:rPr>
                <w:rFonts w:hint="eastAsia" w:ascii="宋体" w:hAnsi="宋体" w:cs="宋体"/>
                <w:sz w:val="21"/>
                <w:szCs w:val="21"/>
              </w:rPr>
            </w:pPr>
            <w:r>
              <w:rPr>
                <w:rFonts w:ascii="宋体" w:hAnsi="宋体" w:cs="宋体"/>
                <w:sz w:val="21"/>
                <w:szCs w:val="21"/>
              </w:rPr>
              <w:t>硫化物</w:t>
            </w:r>
            <w:r>
              <w:rPr>
                <w:rFonts w:eastAsia="Times New Roman"/>
                <w:sz w:val="21"/>
                <w:szCs w:val="21"/>
              </w:rPr>
              <w:t>/(mg/L)</w:t>
            </w:r>
            <w:r>
              <w:rPr>
                <w:rFonts w:ascii="宋体" w:hAnsi="宋体" w:cs="宋体"/>
                <w:sz w:val="21"/>
                <w:szCs w:val="21"/>
              </w:rPr>
              <w:t>≤</w:t>
            </w:r>
          </w:p>
        </w:tc>
        <w:tc>
          <w:tcPr>
            <w:tcW w:w="4819" w:type="dxa"/>
            <w:gridSpan w:val="3"/>
            <w:tcBorders>
              <w:top w:val="single" w:color="000000" w:sz="2" w:space="0"/>
              <w:left w:val="single" w:color="000000" w:sz="2" w:space="0"/>
              <w:bottom w:val="single" w:color="000000" w:sz="2" w:space="0"/>
              <w:right w:val="single" w:color="000000" w:sz="2" w:space="0"/>
            </w:tcBorders>
            <w:vAlign w:val="center"/>
          </w:tcPr>
          <w:p w14:paraId="0082AD15">
            <w:pPr>
              <w:pStyle w:val="1018"/>
              <w:spacing w:before="46"/>
              <w:ind w:right="1"/>
              <w:jc w:val="center"/>
              <w:rPr>
                <w:rFonts w:eastAsia="Times New Roman"/>
                <w:sz w:val="21"/>
                <w:szCs w:val="21"/>
              </w:rPr>
            </w:pPr>
            <w:r>
              <w:rPr>
                <w:w w:val="99"/>
                <w:sz w:val="21"/>
                <w:szCs w:val="21"/>
              </w:rPr>
              <w:t>1</w:t>
            </w:r>
          </w:p>
        </w:tc>
      </w:tr>
      <w:tr w14:paraId="249FE34C">
        <w:tblPrEx>
          <w:tblCellMar>
            <w:top w:w="0" w:type="dxa"/>
            <w:left w:w="0" w:type="dxa"/>
            <w:bottom w:w="0" w:type="dxa"/>
            <w:right w:w="0" w:type="dxa"/>
          </w:tblCellMar>
        </w:tblPrEx>
        <w:trPr>
          <w:trHeight w:val="340" w:hRule="atLeast"/>
          <w:jc w:val="center"/>
        </w:trPr>
        <w:tc>
          <w:tcPr>
            <w:tcW w:w="874" w:type="dxa"/>
            <w:tcBorders>
              <w:top w:val="single" w:color="000000" w:sz="2" w:space="0"/>
              <w:left w:val="single" w:color="000000" w:sz="2" w:space="0"/>
              <w:bottom w:val="single" w:color="000000" w:sz="2" w:space="0"/>
              <w:right w:val="single" w:color="000000" w:sz="2" w:space="0"/>
            </w:tcBorders>
            <w:vAlign w:val="center"/>
          </w:tcPr>
          <w:p w14:paraId="17453DE0">
            <w:pPr>
              <w:pStyle w:val="1018"/>
              <w:spacing w:before="47"/>
              <w:jc w:val="center"/>
              <w:rPr>
                <w:rFonts w:eastAsia="Times New Roman"/>
                <w:sz w:val="21"/>
                <w:szCs w:val="21"/>
              </w:rPr>
            </w:pPr>
            <w:r>
              <w:rPr>
                <w:sz w:val="21"/>
                <w:szCs w:val="21"/>
              </w:rPr>
              <w:t>10</w:t>
            </w:r>
          </w:p>
        </w:tc>
        <w:tc>
          <w:tcPr>
            <w:tcW w:w="3383" w:type="dxa"/>
            <w:tcBorders>
              <w:top w:val="single" w:color="000000" w:sz="2" w:space="0"/>
              <w:left w:val="single" w:color="000000" w:sz="2" w:space="0"/>
              <w:bottom w:val="single" w:color="000000" w:sz="2" w:space="0"/>
              <w:right w:val="single" w:color="000000" w:sz="2" w:space="0"/>
            </w:tcBorders>
            <w:vAlign w:val="center"/>
          </w:tcPr>
          <w:p w14:paraId="4A378B1D">
            <w:pPr>
              <w:pStyle w:val="1018"/>
              <w:jc w:val="center"/>
              <w:rPr>
                <w:rFonts w:hint="eastAsia" w:ascii="宋体" w:hAnsi="宋体" w:cs="宋体"/>
                <w:sz w:val="21"/>
                <w:szCs w:val="21"/>
              </w:rPr>
            </w:pPr>
            <w:r>
              <w:rPr>
                <w:rFonts w:ascii="宋体" w:hAnsi="宋体" w:cs="宋体"/>
                <w:sz w:val="21"/>
                <w:szCs w:val="21"/>
              </w:rPr>
              <w:t>总汞</w:t>
            </w:r>
            <w:r>
              <w:rPr>
                <w:rFonts w:eastAsia="Times New Roman"/>
                <w:sz w:val="21"/>
                <w:szCs w:val="21"/>
              </w:rPr>
              <w:t>/(mg/L)</w:t>
            </w:r>
            <w:r>
              <w:rPr>
                <w:rFonts w:ascii="宋体" w:hAnsi="宋体" w:cs="宋体"/>
                <w:sz w:val="21"/>
                <w:szCs w:val="21"/>
              </w:rPr>
              <w:t>≤</w:t>
            </w:r>
          </w:p>
        </w:tc>
        <w:tc>
          <w:tcPr>
            <w:tcW w:w="4819" w:type="dxa"/>
            <w:gridSpan w:val="3"/>
            <w:tcBorders>
              <w:top w:val="single" w:color="000000" w:sz="2" w:space="0"/>
              <w:left w:val="single" w:color="000000" w:sz="2" w:space="0"/>
              <w:bottom w:val="single" w:color="000000" w:sz="2" w:space="0"/>
              <w:right w:val="single" w:color="000000" w:sz="2" w:space="0"/>
            </w:tcBorders>
            <w:vAlign w:val="center"/>
          </w:tcPr>
          <w:p w14:paraId="16A1E858">
            <w:pPr>
              <w:pStyle w:val="1018"/>
              <w:spacing w:before="47"/>
              <w:ind w:left="1"/>
              <w:jc w:val="center"/>
              <w:rPr>
                <w:rFonts w:eastAsia="Times New Roman"/>
                <w:sz w:val="21"/>
                <w:szCs w:val="21"/>
              </w:rPr>
            </w:pPr>
            <w:r>
              <w:rPr>
                <w:sz w:val="21"/>
                <w:szCs w:val="21"/>
              </w:rPr>
              <w:t>0.001</w:t>
            </w:r>
          </w:p>
        </w:tc>
      </w:tr>
      <w:tr w14:paraId="15704379">
        <w:tblPrEx>
          <w:tblCellMar>
            <w:top w:w="0" w:type="dxa"/>
            <w:left w:w="0" w:type="dxa"/>
            <w:bottom w:w="0" w:type="dxa"/>
            <w:right w:w="0" w:type="dxa"/>
          </w:tblCellMar>
        </w:tblPrEx>
        <w:trPr>
          <w:trHeight w:val="340" w:hRule="atLeast"/>
          <w:jc w:val="center"/>
        </w:trPr>
        <w:tc>
          <w:tcPr>
            <w:tcW w:w="874" w:type="dxa"/>
            <w:tcBorders>
              <w:top w:val="single" w:color="000000" w:sz="2" w:space="0"/>
              <w:left w:val="single" w:color="000000" w:sz="2" w:space="0"/>
              <w:bottom w:val="single" w:color="000000" w:sz="2" w:space="0"/>
              <w:right w:val="single" w:color="000000" w:sz="2" w:space="0"/>
            </w:tcBorders>
            <w:vAlign w:val="center"/>
          </w:tcPr>
          <w:p w14:paraId="2EC8DDB8">
            <w:pPr>
              <w:pStyle w:val="1018"/>
              <w:spacing w:before="45"/>
              <w:jc w:val="center"/>
              <w:rPr>
                <w:rFonts w:eastAsia="Times New Roman"/>
                <w:sz w:val="21"/>
                <w:szCs w:val="21"/>
              </w:rPr>
            </w:pPr>
            <w:r>
              <w:rPr>
                <w:sz w:val="21"/>
                <w:szCs w:val="21"/>
              </w:rPr>
              <w:t>11</w:t>
            </w:r>
          </w:p>
        </w:tc>
        <w:tc>
          <w:tcPr>
            <w:tcW w:w="3383" w:type="dxa"/>
            <w:tcBorders>
              <w:top w:val="single" w:color="000000" w:sz="2" w:space="0"/>
              <w:left w:val="single" w:color="000000" w:sz="2" w:space="0"/>
              <w:bottom w:val="single" w:color="000000" w:sz="2" w:space="0"/>
              <w:right w:val="single" w:color="000000" w:sz="2" w:space="0"/>
            </w:tcBorders>
            <w:vAlign w:val="center"/>
          </w:tcPr>
          <w:p w14:paraId="36F23051">
            <w:pPr>
              <w:pStyle w:val="1018"/>
              <w:jc w:val="center"/>
              <w:rPr>
                <w:rFonts w:hint="eastAsia" w:ascii="宋体" w:hAnsi="宋体" w:cs="宋体"/>
                <w:sz w:val="21"/>
                <w:szCs w:val="21"/>
              </w:rPr>
            </w:pPr>
            <w:r>
              <w:rPr>
                <w:rFonts w:ascii="宋体" w:hAnsi="宋体" w:cs="宋体"/>
                <w:sz w:val="21"/>
                <w:szCs w:val="21"/>
              </w:rPr>
              <w:t>镉</w:t>
            </w:r>
            <w:r>
              <w:rPr>
                <w:rFonts w:eastAsia="Times New Roman"/>
                <w:sz w:val="21"/>
                <w:szCs w:val="21"/>
              </w:rPr>
              <w:t>/(mg/L)</w:t>
            </w:r>
            <w:r>
              <w:rPr>
                <w:rFonts w:ascii="宋体" w:hAnsi="宋体" w:cs="宋体"/>
                <w:sz w:val="21"/>
                <w:szCs w:val="21"/>
              </w:rPr>
              <w:t>≤</w:t>
            </w:r>
          </w:p>
        </w:tc>
        <w:tc>
          <w:tcPr>
            <w:tcW w:w="4819" w:type="dxa"/>
            <w:gridSpan w:val="3"/>
            <w:tcBorders>
              <w:top w:val="single" w:color="000000" w:sz="2" w:space="0"/>
              <w:left w:val="single" w:color="000000" w:sz="2" w:space="0"/>
              <w:bottom w:val="single" w:color="000000" w:sz="2" w:space="0"/>
              <w:right w:val="single" w:color="000000" w:sz="2" w:space="0"/>
            </w:tcBorders>
            <w:vAlign w:val="center"/>
          </w:tcPr>
          <w:p w14:paraId="758C6DE4">
            <w:pPr>
              <w:pStyle w:val="1018"/>
              <w:spacing w:before="45"/>
              <w:ind w:left="1"/>
              <w:jc w:val="center"/>
              <w:rPr>
                <w:rFonts w:eastAsia="Times New Roman"/>
                <w:sz w:val="21"/>
                <w:szCs w:val="21"/>
              </w:rPr>
            </w:pPr>
            <w:r>
              <w:rPr>
                <w:sz w:val="21"/>
                <w:szCs w:val="21"/>
              </w:rPr>
              <w:t>0.01</w:t>
            </w:r>
          </w:p>
        </w:tc>
      </w:tr>
      <w:tr w14:paraId="27F5C477">
        <w:tblPrEx>
          <w:tblCellMar>
            <w:top w:w="0" w:type="dxa"/>
            <w:left w:w="0" w:type="dxa"/>
            <w:bottom w:w="0" w:type="dxa"/>
            <w:right w:w="0" w:type="dxa"/>
          </w:tblCellMar>
        </w:tblPrEx>
        <w:trPr>
          <w:trHeight w:val="340" w:hRule="atLeast"/>
          <w:jc w:val="center"/>
        </w:trPr>
        <w:tc>
          <w:tcPr>
            <w:tcW w:w="874" w:type="dxa"/>
            <w:tcBorders>
              <w:top w:val="single" w:color="000000" w:sz="2" w:space="0"/>
              <w:left w:val="single" w:color="000000" w:sz="2" w:space="0"/>
              <w:bottom w:val="single" w:color="000000" w:sz="2" w:space="0"/>
              <w:right w:val="single" w:color="000000" w:sz="2" w:space="0"/>
            </w:tcBorders>
            <w:vAlign w:val="center"/>
          </w:tcPr>
          <w:p w14:paraId="2FC854B4">
            <w:pPr>
              <w:pStyle w:val="1018"/>
              <w:spacing w:before="46"/>
              <w:jc w:val="center"/>
              <w:rPr>
                <w:rFonts w:eastAsia="Times New Roman"/>
                <w:sz w:val="21"/>
                <w:szCs w:val="21"/>
              </w:rPr>
            </w:pPr>
            <w:r>
              <w:rPr>
                <w:sz w:val="21"/>
                <w:szCs w:val="21"/>
              </w:rPr>
              <w:t>12</w:t>
            </w:r>
          </w:p>
        </w:tc>
        <w:tc>
          <w:tcPr>
            <w:tcW w:w="3383" w:type="dxa"/>
            <w:tcBorders>
              <w:top w:val="single" w:color="000000" w:sz="2" w:space="0"/>
              <w:left w:val="single" w:color="000000" w:sz="2" w:space="0"/>
              <w:bottom w:val="single" w:color="000000" w:sz="2" w:space="0"/>
              <w:right w:val="single" w:color="000000" w:sz="2" w:space="0"/>
            </w:tcBorders>
            <w:vAlign w:val="center"/>
          </w:tcPr>
          <w:p w14:paraId="2326356E">
            <w:pPr>
              <w:pStyle w:val="1018"/>
              <w:jc w:val="center"/>
              <w:rPr>
                <w:rFonts w:hint="eastAsia" w:ascii="宋体" w:hAnsi="宋体" w:cs="宋体"/>
                <w:sz w:val="21"/>
                <w:szCs w:val="21"/>
              </w:rPr>
            </w:pPr>
            <w:r>
              <w:rPr>
                <w:rFonts w:ascii="宋体" w:hAnsi="宋体" w:cs="宋体"/>
                <w:sz w:val="21"/>
                <w:szCs w:val="21"/>
              </w:rPr>
              <w:t>总砷</w:t>
            </w:r>
            <w:r>
              <w:rPr>
                <w:rFonts w:eastAsia="Times New Roman"/>
                <w:sz w:val="21"/>
                <w:szCs w:val="21"/>
              </w:rPr>
              <w:t>/(mg/L)</w:t>
            </w:r>
            <w:r>
              <w:rPr>
                <w:rFonts w:ascii="宋体" w:hAnsi="宋体" w:cs="宋体"/>
                <w:sz w:val="21"/>
                <w:szCs w:val="21"/>
              </w:rPr>
              <w:t>≤</w:t>
            </w:r>
          </w:p>
        </w:tc>
        <w:tc>
          <w:tcPr>
            <w:tcW w:w="1409" w:type="dxa"/>
            <w:tcBorders>
              <w:top w:val="single" w:color="000000" w:sz="2" w:space="0"/>
              <w:left w:val="single" w:color="000000" w:sz="2" w:space="0"/>
              <w:bottom w:val="single" w:color="000000" w:sz="2" w:space="0"/>
              <w:right w:val="single" w:color="000000" w:sz="2" w:space="0"/>
            </w:tcBorders>
            <w:vAlign w:val="center"/>
          </w:tcPr>
          <w:p w14:paraId="27B0554F">
            <w:pPr>
              <w:pStyle w:val="1018"/>
              <w:spacing w:before="46"/>
              <w:ind w:left="3"/>
              <w:jc w:val="center"/>
              <w:rPr>
                <w:rFonts w:eastAsia="Times New Roman"/>
                <w:sz w:val="21"/>
                <w:szCs w:val="21"/>
              </w:rPr>
            </w:pPr>
            <w:r>
              <w:rPr>
                <w:sz w:val="21"/>
                <w:szCs w:val="21"/>
              </w:rPr>
              <w:t>0.05</w:t>
            </w:r>
          </w:p>
        </w:tc>
        <w:tc>
          <w:tcPr>
            <w:tcW w:w="1833" w:type="dxa"/>
            <w:tcBorders>
              <w:top w:val="single" w:color="000000" w:sz="2" w:space="0"/>
              <w:left w:val="single" w:color="000000" w:sz="2" w:space="0"/>
              <w:bottom w:val="single" w:color="000000" w:sz="2" w:space="0"/>
              <w:right w:val="single" w:color="000000" w:sz="2" w:space="0"/>
            </w:tcBorders>
            <w:vAlign w:val="center"/>
          </w:tcPr>
          <w:p w14:paraId="4881FD22">
            <w:pPr>
              <w:pStyle w:val="1018"/>
              <w:spacing w:before="46"/>
              <w:jc w:val="center"/>
              <w:rPr>
                <w:rFonts w:eastAsia="Times New Roman"/>
                <w:sz w:val="21"/>
                <w:szCs w:val="21"/>
              </w:rPr>
            </w:pPr>
            <w:r>
              <w:rPr>
                <w:sz w:val="21"/>
                <w:szCs w:val="21"/>
              </w:rPr>
              <w:t>0.1</w:t>
            </w:r>
          </w:p>
        </w:tc>
        <w:tc>
          <w:tcPr>
            <w:tcW w:w="1577" w:type="dxa"/>
            <w:tcBorders>
              <w:top w:val="single" w:color="000000" w:sz="2" w:space="0"/>
              <w:left w:val="single" w:color="000000" w:sz="2" w:space="0"/>
              <w:bottom w:val="single" w:color="000000" w:sz="2" w:space="0"/>
              <w:right w:val="single" w:color="000000" w:sz="2" w:space="0"/>
            </w:tcBorders>
            <w:vAlign w:val="center"/>
          </w:tcPr>
          <w:p w14:paraId="53F3CC13">
            <w:pPr>
              <w:pStyle w:val="1018"/>
              <w:spacing w:before="46"/>
              <w:jc w:val="center"/>
              <w:rPr>
                <w:rFonts w:eastAsia="Times New Roman"/>
                <w:sz w:val="21"/>
                <w:szCs w:val="21"/>
              </w:rPr>
            </w:pPr>
            <w:r>
              <w:rPr>
                <w:sz w:val="21"/>
                <w:szCs w:val="21"/>
              </w:rPr>
              <w:t>0.05</w:t>
            </w:r>
          </w:p>
        </w:tc>
      </w:tr>
      <w:tr w14:paraId="2973F7A7">
        <w:tblPrEx>
          <w:tblCellMar>
            <w:top w:w="0" w:type="dxa"/>
            <w:left w:w="0" w:type="dxa"/>
            <w:bottom w:w="0" w:type="dxa"/>
            <w:right w:w="0" w:type="dxa"/>
          </w:tblCellMar>
        </w:tblPrEx>
        <w:trPr>
          <w:trHeight w:val="340" w:hRule="atLeast"/>
          <w:jc w:val="center"/>
        </w:trPr>
        <w:tc>
          <w:tcPr>
            <w:tcW w:w="874" w:type="dxa"/>
            <w:tcBorders>
              <w:top w:val="single" w:color="000000" w:sz="2" w:space="0"/>
              <w:left w:val="single" w:color="000000" w:sz="2" w:space="0"/>
              <w:bottom w:val="single" w:color="000000" w:sz="2" w:space="0"/>
              <w:right w:val="single" w:color="000000" w:sz="2" w:space="0"/>
            </w:tcBorders>
            <w:vAlign w:val="center"/>
          </w:tcPr>
          <w:p w14:paraId="5C6D4DDB">
            <w:pPr>
              <w:pStyle w:val="1018"/>
              <w:spacing w:before="45"/>
              <w:jc w:val="center"/>
              <w:rPr>
                <w:rFonts w:eastAsia="Times New Roman"/>
                <w:sz w:val="21"/>
                <w:szCs w:val="21"/>
              </w:rPr>
            </w:pPr>
            <w:r>
              <w:rPr>
                <w:sz w:val="21"/>
                <w:szCs w:val="21"/>
              </w:rPr>
              <w:t>13</w:t>
            </w:r>
          </w:p>
        </w:tc>
        <w:tc>
          <w:tcPr>
            <w:tcW w:w="3383" w:type="dxa"/>
            <w:tcBorders>
              <w:top w:val="single" w:color="000000" w:sz="2" w:space="0"/>
              <w:left w:val="single" w:color="000000" w:sz="2" w:space="0"/>
              <w:bottom w:val="single" w:color="000000" w:sz="2" w:space="0"/>
              <w:right w:val="single" w:color="000000" w:sz="2" w:space="0"/>
            </w:tcBorders>
            <w:vAlign w:val="center"/>
          </w:tcPr>
          <w:p w14:paraId="7CF86307">
            <w:pPr>
              <w:pStyle w:val="1018"/>
              <w:jc w:val="center"/>
              <w:rPr>
                <w:rFonts w:hint="eastAsia" w:ascii="宋体" w:hAnsi="宋体" w:cs="宋体"/>
                <w:sz w:val="21"/>
                <w:szCs w:val="21"/>
              </w:rPr>
            </w:pPr>
            <w:r>
              <w:rPr>
                <w:rFonts w:ascii="宋体" w:hAnsi="宋体" w:cs="宋体"/>
                <w:sz w:val="21"/>
                <w:szCs w:val="21"/>
              </w:rPr>
              <w:t>铬</w:t>
            </w:r>
            <w:r>
              <w:rPr>
                <w:rFonts w:eastAsia="Times New Roman"/>
                <w:sz w:val="21"/>
                <w:szCs w:val="21"/>
              </w:rPr>
              <w:t>(</w:t>
            </w:r>
            <w:r>
              <w:rPr>
                <w:rFonts w:ascii="宋体" w:hAnsi="宋体" w:cs="宋体"/>
                <w:sz w:val="21"/>
                <w:szCs w:val="21"/>
              </w:rPr>
              <w:t>六价</w:t>
            </w:r>
            <w:r>
              <w:rPr>
                <w:rFonts w:eastAsia="Times New Roman"/>
                <w:sz w:val="21"/>
                <w:szCs w:val="21"/>
              </w:rPr>
              <w:t>)/(mg/L)</w:t>
            </w:r>
            <w:r>
              <w:rPr>
                <w:rFonts w:ascii="宋体" w:hAnsi="宋体" w:cs="宋体"/>
                <w:sz w:val="21"/>
                <w:szCs w:val="21"/>
              </w:rPr>
              <w:t>≤</w:t>
            </w:r>
          </w:p>
        </w:tc>
        <w:tc>
          <w:tcPr>
            <w:tcW w:w="4819" w:type="dxa"/>
            <w:gridSpan w:val="3"/>
            <w:tcBorders>
              <w:top w:val="single" w:color="000000" w:sz="2" w:space="0"/>
              <w:left w:val="single" w:color="000000" w:sz="2" w:space="0"/>
              <w:bottom w:val="single" w:color="000000" w:sz="2" w:space="0"/>
              <w:right w:val="single" w:color="000000" w:sz="2" w:space="0"/>
            </w:tcBorders>
            <w:vAlign w:val="center"/>
          </w:tcPr>
          <w:p w14:paraId="3F0C4244">
            <w:pPr>
              <w:pStyle w:val="1018"/>
              <w:spacing w:before="45"/>
              <w:ind w:left="1"/>
              <w:jc w:val="center"/>
              <w:rPr>
                <w:rFonts w:eastAsia="Times New Roman"/>
                <w:sz w:val="21"/>
                <w:szCs w:val="21"/>
              </w:rPr>
            </w:pPr>
            <w:r>
              <w:rPr>
                <w:sz w:val="21"/>
                <w:szCs w:val="21"/>
              </w:rPr>
              <w:t>0.1</w:t>
            </w:r>
          </w:p>
        </w:tc>
      </w:tr>
      <w:tr w14:paraId="41080628">
        <w:tblPrEx>
          <w:tblCellMar>
            <w:top w:w="0" w:type="dxa"/>
            <w:left w:w="0" w:type="dxa"/>
            <w:bottom w:w="0" w:type="dxa"/>
            <w:right w:w="0" w:type="dxa"/>
          </w:tblCellMar>
        </w:tblPrEx>
        <w:trPr>
          <w:trHeight w:val="340" w:hRule="atLeast"/>
          <w:jc w:val="center"/>
        </w:trPr>
        <w:tc>
          <w:tcPr>
            <w:tcW w:w="874" w:type="dxa"/>
            <w:tcBorders>
              <w:top w:val="single" w:color="000000" w:sz="2" w:space="0"/>
              <w:left w:val="single" w:color="000000" w:sz="2" w:space="0"/>
              <w:bottom w:val="single" w:color="000000" w:sz="2" w:space="0"/>
              <w:right w:val="single" w:color="000000" w:sz="2" w:space="0"/>
            </w:tcBorders>
            <w:vAlign w:val="center"/>
          </w:tcPr>
          <w:p w14:paraId="6BD686CD">
            <w:pPr>
              <w:pStyle w:val="1018"/>
              <w:spacing w:before="45"/>
              <w:jc w:val="center"/>
              <w:rPr>
                <w:rFonts w:eastAsia="Times New Roman"/>
                <w:sz w:val="21"/>
                <w:szCs w:val="21"/>
              </w:rPr>
            </w:pPr>
            <w:r>
              <w:rPr>
                <w:sz w:val="21"/>
                <w:szCs w:val="21"/>
              </w:rPr>
              <w:t>14</w:t>
            </w:r>
          </w:p>
        </w:tc>
        <w:tc>
          <w:tcPr>
            <w:tcW w:w="3383" w:type="dxa"/>
            <w:tcBorders>
              <w:top w:val="single" w:color="000000" w:sz="2" w:space="0"/>
              <w:left w:val="single" w:color="000000" w:sz="2" w:space="0"/>
              <w:bottom w:val="single" w:color="000000" w:sz="2" w:space="0"/>
              <w:right w:val="single" w:color="000000" w:sz="2" w:space="0"/>
            </w:tcBorders>
            <w:vAlign w:val="center"/>
          </w:tcPr>
          <w:p w14:paraId="20FC7F34">
            <w:pPr>
              <w:pStyle w:val="1018"/>
              <w:jc w:val="center"/>
              <w:rPr>
                <w:rFonts w:hint="eastAsia" w:ascii="宋体" w:hAnsi="宋体" w:cs="宋体"/>
                <w:sz w:val="21"/>
                <w:szCs w:val="21"/>
              </w:rPr>
            </w:pPr>
            <w:r>
              <w:rPr>
                <w:rFonts w:ascii="宋体" w:hAnsi="宋体" w:cs="宋体"/>
                <w:sz w:val="21"/>
                <w:szCs w:val="21"/>
              </w:rPr>
              <w:t>铅</w:t>
            </w:r>
            <w:r>
              <w:rPr>
                <w:rFonts w:eastAsia="Times New Roman"/>
                <w:sz w:val="21"/>
                <w:szCs w:val="21"/>
              </w:rPr>
              <w:t>/(mg/L)</w:t>
            </w:r>
            <w:r>
              <w:rPr>
                <w:rFonts w:ascii="宋体" w:hAnsi="宋体" w:cs="宋体"/>
                <w:sz w:val="21"/>
                <w:szCs w:val="21"/>
              </w:rPr>
              <w:t>≤</w:t>
            </w:r>
          </w:p>
        </w:tc>
        <w:tc>
          <w:tcPr>
            <w:tcW w:w="4819" w:type="dxa"/>
            <w:gridSpan w:val="3"/>
            <w:tcBorders>
              <w:top w:val="single" w:color="000000" w:sz="2" w:space="0"/>
              <w:left w:val="single" w:color="000000" w:sz="2" w:space="0"/>
              <w:bottom w:val="single" w:color="000000" w:sz="2" w:space="0"/>
              <w:right w:val="single" w:color="000000" w:sz="2" w:space="0"/>
            </w:tcBorders>
            <w:vAlign w:val="center"/>
          </w:tcPr>
          <w:p w14:paraId="641DF41C">
            <w:pPr>
              <w:pStyle w:val="1018"/>
              <w:spacing w:before="45"/>
              <w:ind w:left="1"/>
              <w:jc w:val="center"/>
              <w:rPr>
                <w:rFonts w:eastAsia="Times New Roman"/>
                <w:sz w:val="21"/>
                <w:szCs w:val="21"/>
              </w:rPr>
            </w:pPr>
            <w:r>
              <w:rPr>
                <w:sz w:val="21"/>
                <w:szCs w:val="21"/>
              </w:rPr>
              <w:t>0.2</w:t>
            </w:r>
          </w:p>
        </w:tc>
      </w:tr>
      <w:tr w14:paraId="24666ED8">
        <w:tblPrEx>
          <w:tblCellMar>
            <w:top w:w="0" w:type="dxa"/>
            <w:left w:w="0" w:type="dxa"/>
            <w:bottom w:w="0" w:type="dxa"/>
            <w:right w:w="0" w:type="dxa"/>
          </w:tblCellMar>
        </w:tblPrEx>
        <w:trPr>
          <w:trHeight w:val="340" w:hRule="atLeast"/>
          <w:jc w:val="center"/>
        </w:trPr>
        <w:tc>
          <w:tcPr>
            <w:tcW w:w="874" w:type="dxa"/>
            <w:tcBorders>
              <w:top w:val="single" w:color="000000" w:sz="2" w:space="0"/>
              <w:left w:val="single" w:color="000000" w:sz="2" w:space="0"/>
              <w:bottom w:val="single" w:color="000000" w:sz="2" w:space="0"/>
              <w:right w:val="single" w:color="000000" w:sz="2" w:space="0"/>
            </w:tcBorders>
            <w:vAlign w:val="center"/>
          </w:tcPr>
          <w:p w14:paraId="6F303FA2">
            <w:pPr>
              <w:pStyle w:val="1018"/>
              <w:spacing w:before="46"/>
              <w:jc w:val="center"/>
              <w:rPr>
                <w:rFonts w:eastAsia="Times New Roman"/>
                <w:sz w:val="21"/>
                <w:szCs w:val="21"/>
              </w:rPr>
            </w:pPr>
            <w:r>
              <w:rPr>
                <w:sz w:val="21"/>
                <w:szCs w:val="21"/>
              </w:rPr>
              <w:t>15</w:t>
            </w:r>
          </w:p>
        </w:tc>
        <w:tc>
          <w:tcPr>
            <w:tcW w:w="3383" w:type="dxa"/>
            <w:tcBorders>
              <w:top w:val="single" w:color="000000" w:sz="2" w:space="0"/>
              <w:left w:val="single" w:color="000000" w:sz="2" w:space="0"/>
              <w:bottom w:val="single" w:color="000000" w:sz="2" w:space="0"/>
              <w:right w:val="single" w:color="000000" w:sz="2" w:space="0"/>
            </w:tcBorders>
            <w:vAlign w:val="center"/>
          </w:tcPr>
          <w:p w14:paraId="7273550C">
            <w:pPr>
              <w:pStyle w:val="1018"/>
              <w:jc w:val="center"/>
              <w:rPr>
                <w:rFonts w:hint="eastAsia" w:ascii="宋体" w:hAnsi="宋体" w:cs="宋体"/>
                <w:sz w:val="21"/>
                <w:szCs w:val="21"/>
              </w:rPr>
            </w:pPr>
            <w:r>
              <w:rPr>
                <w:rFonts w:ascii="宋体" w:hAnsi="宋体" w:cs="宋体"/>
                <w:sz w:val="21"/>
                <w:szCs w:val="21"/>
              </w:rPr>
              <w:t>粪大肠菌群数</w:t>
            </w:r>
            <w:r>
              <w:rPr>
                <w:rFonts w:eastAsia="Times New Roman"/>
                <w:sz w:val="21"/>
                <w:szCs w:val="21"/>
              </w:rPr>
              <w:t>/(MPN/L)</w:t>
            </w:r>
            <w:r>
              <w:rPr>
                <w:rFonts w:ascii="宋体" w:hAnsi="宋体" w:cs="宋体"/>
                <w:sz w:val="21"/>
                <w:szCs w:val="21"/>
              </w:rPr>
              <w:t>≤</w:t>
            </w:r>
          </w:p>
        </w:tc>
        <w:tc>
          <w:tcPr>
            <w:tcW w:w="1409" w:type="dxa"/>
            <w:tcBorders>
              <w:top w:val="single" w:color="000000" w:sz="2" w:space="0"/>
              <w:left w:val="single" w:color="000000" w:sz="2" w:space="0"/>
              <w:bottom w:val="single" w:color="000000" w:sz="2" w:space="0"/>
              <w:right w:val="single" w:color="000000" w:sz="2" w:space="0"/>
            </w:tcBorders>
            <w:vAlign w:val="center"/>
          </w:tcPr>
          <w:p w14:paraId="1464B329">
            <w:pPr>
              <w:pStyle w:val="1018"/>
              <w:spacing w:before="46"/>
              <w:ind w:left="444"/>
              <w:rPr>
                <w:rFonts w:eastAsia="Times New Roman"/>
                <w:sz w:val="21"/>
                <w:szCs w:val="21"/>
              </w:rPr>
            </w:pPr>
            <w:r>
              <w:rPr>
                <w:sz w:val="21"/>
                <w:szCs w:val="21"/>
              </w:rPr>
              <w:t>40000</w:t>
            </w:r>
          </w:p>
        </w:tc>
        <w:tc>
          <w:tcPr>
            <w:tcW w:w="1833" w:type="dxa"/>
            <w:tcBorders>
              <w:top w:val="single" w:color="000000" w:sz="2" w:space="0"/>
              <w:left w:val="single" w:color="000000" w:sz="2" w:space="0"/>
              <w:bottom w:val="single" w:color="000000" w:sz="2" w:space="0"/>
              <w:right w:val="single" w:color="000000" w:sz="2" w:space="0"/>
            </w:tcBorders>
            <w:vAlign w:val="center"/>
          </w:tcPr>
          <w:p w14:paraId="245D4556">
            <w:pPr>
              <w:pStyle w:val="1018"/>
              <w:spacing w:before="46"/>
              <w:jc w:val="center"/>
              <w:rPr>
                <w:rFonts w:eastAsia="Times New Roman"/>
                <w:sz w:val="21"/>
                <w:szCs w:val="21"/>
              </w:rPr>
            </w:pPr>
            <w:r>
              <w:rPr>
                <w:sz w:val="21"/>
                <w:szCs w:val="21"/>
              </w:rPr>
              <w:t>40000</w:t>
            </w:r>
          </w:p>
        </w:tc>
        <w:tc>
          <w:tcPr>
            <w:tcW w:w="1577" w:type="dxa"/>
            <w:tcBorders>
              <w:top w:val="single" w:color="000000" w:sz="2" w:space="0"/>
              <w:left w:val="single" w:color="000000" w:sz="2" w:space="0"/>
              <w:bottom w:val="single" w:color="000000" w:sz="2" w:space="0"/>
              <w:right w:val="single" w:color="000000" w:sz="2" w:space="0"/>
            </w:tcBorders>
            <w:vAlign w:val="center"/>
          </w:tcPr>
          <w:p w14:paraId="35DCE5E0">
            <w:pPr>
              <w:pStyle w:val="1018"/>
              <w:ind w:left="95"/>
              <w:rPr>
                <w:rFonts w:eastAsia="Times New Roman"/>
                <w:sz w:val="21"/>
                <w:szCs w:val="21"/>
              </w:rPr>
            </w:pPr>
            <w:r>
              <w:rPr>
                <w:rFonts w:eastAsia="Times New Roman"/>
                <w:sz w:val="21"/>
                <w:szCs w:val="21"/>
              </w:rPr>
              <w:t>20000</w:t>
            </w:r>
            <w:r>
              <w:rPr>
                <w:rFonts w:eastAsia="Times New Roman"/>
                <w:position w:val="7"/>
                <w:sz w:val="21"/>
                <w:szCs w:val="21"/>
              </w:rPr>
              <w:t>a</w:t>
            </w:r>
            <w:r>
              <w:rPr>
                <w:rFonts w:ascii="宋体" w:hAnsi="宋体" w:cs="宋体"/>
                <w:sz w:val="21"/>
                <w:szCs w:val="21"/>
              </w:rPr>
              <w:t>，</w:t>
            </w:r>
            <w:r>
              <w:rPr>
                <w:rFonts w:eastAsia="Times New Roman"/>
                <w:sz w:val="21"/>
                <w:szCs w:val="21"/>
              </w:rPr>
              <w:t>10000</w:t>
            </w:r>
            <w:r>
              <w:rPr>
                <w:rFonts w:eastAsia="Times New Roman"/>
                <w:position w:val="7"/>
                <w:sz w:val="21"/>
                <w:szCs w:val="21"/>
              </w:rPr>
              <w:t>b</w:t>
            </w:r>
          </w:p>
        </w:tc>
      </w:tr>
      <w:tr w14:paraId="5BD59F86">
        <w:tblPrEx>
          <w:tblCellMar>
            <w:top w:w="0" w:type="dxa"/>
            <w:left w:w="0" w:type="dxa"/>
            <w:bottom w:w="0" w:type="dxa"/>
            <w:right w:w="0" w:type="dxa"/>
          </w:tblCellMar>
        </w:tblPrEx>
        <w:trPr>
          <w:trHeight w:val="340" w:hRule="atLeast"/>
          <w:jc w:val="center"/>
        </w:trPr>
        <w:tc>
          <w:tcPr>
            <w:tcW w:w="874" w:type="dxa"/>
            <w:tcBorders>
              <w:top w:val="single" w:color="000000" w:sz="2" w:space="0"/>
              <w:left w:val="single" w:color="000000" w:sz="2" w:space="0"/>
              <w:bottom w:val="single" w:color="000000" w:sz="2" w:space="0"/>
              <w:right w:val="single" w:color="000000" w:sz="2" w:space="0"/>
            </w:tcBorders>
            <w:vAlign w:val="center"/>
          </w:tcPr>
          <w:p w14:paraId="565D74F7">
            <w:pPr>
              <w:pStyle w:val="1018"/>
              <w:spacing w:before="46"/>
              <w:jc w:val="center"/>
              <w:rPr>
                <w:rFonts w:eastAsia="Times New Roman"/>
                <w:sz w:val="21"/>
                <w:szCs w:val="21"/>
              </w:rPr>
            </w:pPr>
            <w:r>
              <w:rPr>
                <w:sz w:val="21"/>
                <w:szCs w:val="21"/>
              </w:rPr>
              <w:t>16</w:t>
            </w:r>
          </w:p>
        </w:tc>
        <w:tc>
          <w:tcPr>
            <w:tcW w:w="3383" w:type="dxa"/>
            <w:tcBorders>
              <w:top w:val="single" w:color="000000" w:sz="2" w:space="0"/>
              <w:left w:val="single" w:color="000000" w:sz="2" w:space="0"/>
              <w:bottom w:val="single" w:color="000000" w:sz="2" w:space="0"/>
              <w:right w:val="single" w:color="000000" w:sz="2" w:space="0"/>
            </w:tcBorders>
            <w:vAlign w:val="center"/>
          </w:tcPr>
          <w:p w14:paraId="20B44449">
            <w:pPr>
              <w:pStyle w:val="1018"/>
              <w:jc w:val="center"/>
              <w:rPr>
                <w:rFonts w:hint="eastAsia" w:ascii="宋体" w:hAnsi="宋体" w:cs="宋体"/>
                <w:sz w:val="21"/>
                <w:szCs w:val="21"/>
              </w:rPr>
            </w:pPr>
            <w:r>
              <w:rPr>
                <w:rFonts w:ascii="宋体" w:hAnsi="宋体" w:cs="宋体"/>
                <w:sz w:val="21"/>
                <w:szCs w:val="21"/>
              </w:rPr>
              <w:t>蛔虫卵数</w:t>
            </w:r>
            <w:r>
              <w:rPr>
                <w:rFonts w:eastAsia="Times New Roman"/>
                <w:sz w:val="21"/>
                <w:szCs w:val="21"/>
              </w:rPr>
              <w:t>/(</w:t>
            </w:r>
            <w:r>
              <w:rPr>
                <w:rFonts w:ascii="宋体" w:hAnsi="宋体" w:cs="宋体"/>
                <w:sz w:val="21"/>
                <w:szCs w:val="21"/>
              </w:rPr>
              <w:t>个</w:t>
            </w:r>
            <w:r>
              <w:rPr>
                <w:rFonts w:eastAsia="Times New Roman"/>
                <w:sz w:val="21"/>
                <w:szCs w:val="21"/>
              </w:rPr>
              <w:t>/10L)</w:t>
            </w:r>
            <w:r>
              <w:rPr>
                <w:rFonts w:ascii="宋体" w:hAnsi="宋体" w:cs="宋体"/>
                <w:sz w:val="21"/>
                <w:szCs w:val="21"/>
              </w:rPr>
              <w:t>≤</w:t>
            </w:r>
          </w:p>
        </w:tc>
        <w:tc>
          <w:tcPr>
            <w:tcW w:w="3242" w:type="dxa"/>
            <w:gridSpan w:val="2"/>
            <w:tcBorders>
              <w:top w:val="single" w:color="000000" w:sz="2" w:space="0"/>
              <w:left w:val="single" w:color="000000" w:sz="2" w:space="0"/>
              <w:bottom w:val="single" w:color="000000" w:sz="2" w:space="0"/>
              <w:right w:val="single" w:color="000000" w:sz="2" w:space="0"/>
            </w:tcBorders>
            <w:vAlign w:val="center"/>
          </w:tcPr>
          <w:p w14:paraId="6E938120">
            <w:pPr>
              <w:pStyle w:val="1018"/>
              <w:spacing w:before="46"/>
              <w:ind w:right="1"/>
              <w:jc w:val="center"/>
              <w:rPr>
                <w:rFonts w:eastAsia="Times New Roman"/>
                <w:sz w:val="21"/>
                <w:szCs w:val="21"/>
              </w:rPr>
            </w:pPr>
            <w:r>
              <w:rPr>
                <w:sz w:val="21"/>
                <w:szCs w:val="21"/>
              </w:rPr>
              <w:t>20</w:t>
            </w:r>
          </w:p>
        </w:tc>
        <w:tc>
          <w:tcPr>
            <w:tcW w:w="1577" w:type="dxa"/>
            <w:tcBorders>
              <w:top w:val="single" w:color="000000" w:sz="2" w:space="0"/>
              <w:left w:val="single" w:color="000000" w:sz="2" w:space="0"/>
              <w:bottom w:val="single" w:color="000000" w:sz="2" w:space="0"/>
              <w:right w:val="single" w:color="000000" w:sz="2" w:space="0"/>
            </w:tcBorders>
            <w:vAlign w:val="center"/>
          </w:tcPr>
          <w:p w14:paraId="027A2A84">
            <w:pPr>
              <w:pStyle w:val="1018"/>
              <w:ind w:left="412"/>
              <w:rPr>
                <w:rFonts w:eastAsia="Times New Roman"/>
                <w:sz w:val="21"/>
                <w:szCs w:val="21"/>
              </w:rPr>
            </w:pPr>
            <w:r>
              <w:rPr>
                <w:rFonts w:eastAsia="Times New Roman"/>
                <w:sz w:val="21"/>
                <w:szCs w:val="21"/>
              </w:rPr>
              <w:t>20</w:t>
            </w:r>
            <w:r>
              <w:rPr>
                <w:rFonts w:eastAsia="Times New Roman"/>
                <w:position w:val="7"/>
                <w:sz w:val="21"/>
                <w:szCs w:val="21"/>
              </w:rPr>
              <w:t>a</w:t>
            </w:r>
            <w:r>
              <w:rPr>
                <w:rFonts w:ascii="宋体" w:hAnsi="宋体" w:cs="宋体"/>
                <w:sz w:val="21"/>
                <w:szCs w:val="21"/>
              </w:rPr>
              <w:t>，</w:t>
            </w:r>
            <w:r>
              <w:rPr>
                <w:rFonts w:eastAsia="Times New Roman"/>
                <w:sz w:val="21"/>
                <w:szCs w:val="21"/>
              </w:rPr>
              <w:t>10</w:t>
            </w:r>
            <w:r>
              <w:rPr>
                <w:rFonts w:eastAsia="Times New Roman"/>
                <w:position w:val="7"/>
                <w:sz w:val="21"/>
                <w:szCs w:val="21"/>
              </w:rPr>
              <w:t>b</w:t>
            </w:r>
          </w:p>
        </w:tc>
      </w:tr>
      <w:tr w14:paraId="645355C5">
        <w:tblPrEx>
          <w:tblCellMar>
            <w:top w:w="0" w:type="dxa"/>
            <w:left w:w="0" w:type="dxa"/>
            <w:bottom w:w="0" w:type="dxa"/>
            <w:right w:w="0" w:type="dxa"/>
          </w:tblCellMar>
        </w:tblPrEx>
        <w:trPr>
          <w:trHeight w:val="340" w:hRule="atLeast"/>
          <w:jc w:val="center"/>
        </w:trPr>
        <w:tc>
          <w:tcPr>
            <w:tcW w:w="9076" w:type="dxa"/>
            <w:gridSpan w:val="5"/>
            <w:tcBorders>
              <w:top w:val="single" w:color="000000" w:sz="2" w:space="0"/>
              <w:left w:val="single" w:color="000000" w:sz="2" w:space="0"/>
              <w:bottom w:val="single" w:color="000000" w:sz="2" w:space="0"/>
              <w:right w:val="single" w:color="000000" w:sz="2" w:space="0"/>
            </w:tcBorders>
            <w:vAlign w:val="center"/>
          </w:tcPr>
          <w:p w14:paraId="6765A122">
            <w:pPr>
              <w:pStyle w:val="1018"/>
              <w:adjustRightInd/>
              <w:rPr>
                <w:rFonts w:hint="eastAsia" w:ascii="宋体" w:hAnsi="宋体" w:cs="宋体"/>
                <w:sz w:val="21"/>
                <w:szCs w:val="21"/>
              </w:rPr>
            </w:pPr>
            <w:r>
              <w:rPr>
                <w:rFonts w:eastAsia="Times New Roman"/>
                <w:sz w:val="21"/>
                <w:szCs w:val="21"/>
              </w:rPr>
              <w:t>a</w:t>
            </w:r>
            <w:r>
              <w:rPr>
                <w:rFonts w:eastAsia="Times New Roman"/>
                <w:spacing w:val="-9"/>
                <w:sz w:val="21"/>
                <w:szCs w:val="21"/>
              </w:rPr>
              <w:t xml:space="preserve"> </w:t>
            </w:r>
            <w:r>
              <w:rPr>
                <w:rFonts w:ascii="宋体" w:hAnsi="宋体" w:cs="宋体"/>
                <w:sz w:val="21"/>
                <w:szCs w:val="21"/>
              </w:rPr>
              <w:t>加工、烹调及去皮蔬菜。</w:t>
            </w:r>
          </w:p>
          <w:p w14:paraId="738F66ED">
            <w:pPr>
              <w:pStyle w:val="1018"/>
              <w:adjustRightInd/>
              <w:rPr>
                <w:rFonts w:hint="eastAsia" w:ascii="宋体" w:hAnsi="宋体" w:cs="宋体"/>
                <w:sz w:val="21"/>
                <w:szCs w:val="21"/>
              </w:rPr>
            </w:pPr>
            <w:r>
              <w:rPr>
                <w:rFonts w:eastAsia="Times New Roman"/>
                <w:sz w:val="21"/>
                <w:szCs w:val="21"/>
              </w:rPr>
              <w:t>b</w:t>
            </w:r>
            <w:r>
              <w:rPr>
                <w:rFonts w:eastAsia="Times New Roman"/>
                <w:spacing w:val="-11"/>
                <w:sz w:val="21"/>
                <w:szCs w:val="21"/>
              </w:rPr>
              <w:t xml:space="preserve"> </w:t>
            </w:r>
            <w:r>
              <w:rPr>
                <w:rFonts w:ascii="宋体" w:hAnsi="宋体" w:cs="宋体"/>
                <w:sz w:val="21"/>
                <w:szCs w:val="21"/>
              </w:rPr>
              <w:t>生食类蔬菜、瓜类和草本水果。</w:t>
            </w:r>
          </w:p>
          <w:p w14:paraId="189EECDA">
            <w:pPr>
              <w:pStyle w:val="1018"/>
              <w:adjustRightInd/>
              <w:rPr>
                <w:rFonts w:hint="eastAsia" w:ascii="宋体" w:hAnsi="宋体" w:cs="宋体"/>
                <w:sz w:val="21"/>
                <w:szCs w:val="21"/>
              </w:rPr>
            </w:pPr>
            <w:r>
              <w:rPr>
                <w:rFonts w:eastAsia="Times New Roman"/>
                <w:sz w:val="21"/>
                <w:szCs w:val="21"/>
              </w:rPr>
              <w:t>c</w:t>
            </w:r>
            <w:r>
              <w:rPr>
                <w:rFonts w:eastAsia="Times New Roman"/>
                <w:spacing w:val="-27"/>
                <w:sz w:val="21"/>
                <w:szCs w:val="21"/>
              </w:rPr>
              <w:t xml:space="preserve"> </w:t>
            </w:r>
            <w:r>
              <w:rPr>
                <w:rFonts w:ascii="宋体" w:hAnsi="宋体" w:cs="宋体"/>
                <w:spacing w:val="-2"/>
                <w:sz w:val="21"/>
                <w:szCs w:val="21"/>
              </w:rPr>
              <w:t>具有一定的水利灌排设施，能保证一定的排水和地下水径流条件的地区，或有一定淡水资源能满足</w:t>
            </w:r>
            <w:r>
              <w:rPr>
                <w:rFonts w:ascii="宋体" w:hAnsi="宋体" w:cs="宋体"/>
                <w:w w:val="99"/>
                <w:sz w:val="21"/>
                <w:szCs w:val="21"/>
              </w:rPr>
              <w:t xml:space="preserve"> </w:t>
            </w:r>
            <w:r>
              <w:rPr>
                <w:rFonts w:ascii="宋体" w:hAnsi="宋体" w:cs="宋体"/>
                <w:sz w:val="21"/>
                <w:szCs w:val="21"/>
              </w:rPr>
              <w:t>冲洗土体中盐分的地区，农田灌溉水质全盐量指标可以适当放宽。</w:t>
            </w:r>
          </w:p>
        </w:tc>
      </w:tr>
    </w:tbl>
    <w:p w14:paraId="504AA343">
      <w:pPr>
        <w:pStyle w:val="234"/>
        <w:spacing w:before="120" w:beforeLines="50"/>
      </w:pPr>
      <w:r>
        <w:t>运营期无新增定员，</w:t>
      </w:r>
      <w:r>
        <w:rPr>
          <w:rFonts w:hint="eastAsia"/>
        </w:rPr>
        <w:t>耒阳分输站巡检人员产生的少量生活污水定期委托拉运处理</w:t>
      </w:r>
      <w:r>
        <w:t>。</w:t>
      </w:r>
    </w:p>
    <w:p w14:paraId="5189908D">
      <w:pPr>
        <w:pStyle w:val="7"/>
      </w:pPr>
      <w:r>
        <w:t>噪声排放标准</w:t>
      </w:r>
    </w:p>
    <w:p w14:paraId="431D6313">
      <w:pPr>
        <w:pStyle w:val="234"/>
        <w:rPr>
          <w:snapToGrid w:val="0"/>
        </w:rPr>
      </w:pPr>
      <w:r>
        <w:rPr>
          <w:snapToGrid w:val="0"/>
        </w:rPr>
        <w:t>本工程施工期噪声执行《建筑施工场界环境噪声排放标准》</w:t>
      </w:r>
      <w:r>
        <w:rPr>
          <w:rFonts w:hint="eastAsia"/>
          <w:snapToGrid w:val="0"/>
        </w:rPr>
        <w:t>（</w:t>
      </w:r>
      <w:r>
        <w:rPr>
          <w:snapToGrid w:val="0"/>
        </w:rPr>
        <w:t>GB 12523-2011</w:t>
      </w:r>
      <w:r>
        <w:rPr>
          <w:rFonts w:hint="eastAsia"/>
          <w:snapToGrid w:val="0"/>
        </w:rPr>
        <w:t>）</w:t>
      </w:r>
      <w:r>
        <w:rPr>
          <w:snapToGrid w:val="0"/>
        </w:rPr>
        <w:t>中的噪声限值标准，</w:t>
      </w:r>
      <w:r>
        <w:rPr>
          <w:spacing w:val="-2"/>
        </w:rPr>
        <w:t>运营期</w:t>
      </w:r>
      <w:r>
        <w:rPr>
          <w:rFonts w:hint="eastAsia"/>
          <w:spacing w:val="-2"/>
        </w:rPr>
        <w:t>28号阀室及耒阳分输站</w:t>
      </w:r>
      <w:r>
        <w:t>厂界噪声执行</w:t>
      </w:r>
      <w:r>
        <w:rPr>
          <w:spacing w:val="-2"/>
        </w:rPr>
        <w:t>《工业企业厂界环境噪</w:t>
      </w:r>
      <w:r>
        <w:rPr>
          <w:spacing w:val="-1"/>
        </w:rPr>
        <w:t>声排放标准》</w:t>
      </w:r>
      <w:r>
        <w:rPr>
          <w:rFonts w:hint="eastAsia"/>
          <w:spacing w:val="-1"/>
        </w:rPr>
        <w:t>（</w:t>
      </w:r>
      <w:r>
        <w:rPr>
          <w:rFonts w:eastAsia="Times New Roman"/>
          <w:spacing w:val="-1"/>
        </w:rPr>
        <w:t>GB 12348-2008</w:t>
      </w:r>
      <w:r>
        <w:rPr>
          <w:rFonts w:hint="eastAsia"/>
          <w:spacing w:val="-1"/>
        </w:rPr>
        <w:t>）</w:t>
      </w:r>
      <w:r>
        <w:rPr>
          <w:spacing w:val="-1"/>
        </w:rPr>
        <w:t>中</w:t>
      </w:r>
      <w:r>
        <w:rPr>
          <w:rFonts w:eastAsia="Times New Roman"/>
        </w:rPr>
        <w:t>2</w:t>
      </w:r>
      <w:r>
        <w:t>类标准限值要求。详见</w:t>
      </w:r>
      <w:r>
        <w:rPr>
          <w:rFonts w:hint="eastAsia"/>
          <w:snapToGrid w:val="0"/>
        </w:rPr>
        <w:t>表2</w:t>
      </w:r>
      <w:r>
        <w:rPr>
          <w:snapToGrid w:val="0"/>
        </w:rPr>
        <w:t>.7</w:t>
      </w:r>
      <w:r>
        <w:rPr>
          <w:rFonts w:hint="eastAsia"/>
          <w:snapToGrid w:val="0"/>
        </w:rPr>
        <w:t>-7。</w:t>
      </w:r>
    </w:p>
    <w:p w14:paraId="5E399F7D">
      <w:pPr>
        <w:pStyle w:val="904"/>
      </w:pPr>
      <w:bookmarkStart w:id="130" w:name="_Ref74768651"/>
      <w:bookmarkStart w:id="131" w:name="_Toc66445891"/>
      <w:bookmarkStart w:id="132" w:name="_Toc60471162"/>
      <w:bookmarkStart w:id="133" w:name="_Toc510582370"/>
      <w:bookmarkStart w:id="134" w:name="_Toc60456071"/>
      <w:bookmarkStart w:id="135" w:name="_Toc415805660"/>
      <w:r>
        <w:t xml:space="preserve">表 </w:t>
      </w:r>
      <w:r>
        <w:fldChar w:fldCharType="begin"/>
      </w:r>
      <w:r>
        <w:instrText xml:space="preserve"> STYLEREF 2 \s </w:instrText>
      </w:r>
      <w:r>
        <w:fldChar w:fldCharType="separate"/>
      </w:r>
      <w:r>
        <w:t>2.7</w:t>
      </w:r>
      <w:r>
        <w:fldChar w:fldCharType="end"/>
      </w:r>
      <w:r>
        <w:noBreakHyphen/>
      </w:r>
      <w:bookmarkEnd w:id="130"/>
      <w:r>
        <w:rPr>
          <w:rFonts w:hint="eastAsia"/>
        </w:rPr>
        <w:t>7</w:t>
      </w:r>
      <w:r>
        <w:t>噪声排放标准</w:t>
      </w:r>
    </w:p>
    <w:bookmarkEnd w:id="131"/>
    <w:bookmarkEnd w:id="132"/>
    <w:bookmarkEnd w:id="133"/>
    <w:bookmarkEnd w:id="134"/>
    <w:bookmarkEnd w:id="135"/>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2"/>
        <w:gridCol w:w="1744"/>
        <w:gridCol w:w="1309"/>
        <w:gridCol w:w="1889"/>
        <w:gridCol w:w="3042"/>
      </w:tblGrid>
      <w:tr w14:paraId="52C7A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vAlign w:val="center"/>
          </w:tcPr>
          <w:p w14:paraId="2CC72043">
            <w:pPr>
              <w:pStyle w:val="1343"/>
            </w:pPr>
            <w:r>
              <w:t>执行时段</w:t>
            </w:r>
          </w:p>
        </w:tc>
        <w:tc>
          <w:tcPr>
            <w:tcW w:w="939" w:type="pct"/>
            <w:vAlign w:val="center"/>
          </w:tcPr>
          <w:p w14:paraId="6B220505">
            <w:pPr>
              <w:pStyle w:val="1343"/>
            </w:pPr>
            <w:r>
              <w:t>区域分类</w:t>
            </w:r>
          </w:p>
        </w:tc>
        <w:tc>
          <w:tcPr>
            <w:tcW w:w="705" w:type="pct"/>
            <w:vAlign w:val="center"/>
          </w:tcPr>
          <w:p w14:paraId="610B5EA8">
            <w:pPr>
              <w:pStyle w:val="1343"/>
            </w:pPr>
            <w:r>
              <w:t>昼间dB(A)</w:t>
            </w:r>
          </w:p>
        </w:tc>
        <w:tc>
          <w:tcPr>
            <w:tcW w:w="1017" w:type="pct"/>
            <w:vAlign w:val="center"/>
          </w:tcPr>
          <w:p w14:paraId="5F004ED6">
            <w:pPr>
              <w:pStyle w:val="1343"/>
            </w:pPr>
            <w:r>
              <w:t>夜间dB(A)</w:t>
            </w:r>
          </w:p>
        </w:tc>
        <w:tc>
          <w:tcPr>
            <w:tcW w:w="1639" w:type="pct"/>
            <w:vAlign w:val="center"/>
          </w:tcPr>
          <w:p w14:paraId="0EB06A03">
            <w:pPr>
              <w:pStyle w:val="1343"/>
            </w:pPr>
            <w:r>
              <w:t>标准名称</w:t>
            </w:r>
          </w:p>
        </w:tc>
      </w:tr>
      <w:tr w14:paraId="6D3A6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vAlign w:val="center"/>
          </w:tcPr>
          <w:p w14:paraId="463DD4DE">
            <w:pPr>
              <w:pStyle w:val="1343"/>
              <w:rPr>
                <w:szCs w:val="18"/>
              </w:rPr>
            </w:pPr>
            <w:r>
              <w:rPr>
                <w:szCs w:val="18"/>
              </w:rPr>
              <w:t>施工期</w:t>
            </w:r>
          </w:p>
        </w:tc>
        <w:tc>
          <w:tcPr>
            <w:tcW w:w="939" w:type="pct"/>
            <w:vAlign w:val="center"/>
          </w:tcPr>
          <w:p w14:paraId="5C5DF568">
            <w:pPr>
              <w:pStyle w:val="1343"/>
              <w:rPr>
                <w:szCs w:val="18"/>
              </w:rPr>
            </w:pPr>
            <w:r>
              <w:rPr>
                <w:szCs w:val="18"/>
              </w:rPr>
              <w:t>施工区域</w:t>
            </w:r>
          </w:p>
        </w:tc>
        <w:tc>
          <w:tcPr>
            <w:tcW w:w="705" w:type="pct"/>
            <w:vAlign w:val="center"/>
          </w:tcPr>
          <w:p w14:paraId="05B3F197">
            <w:pPr>
              <w:pStyle w:val="1343"/>
              <w:rPr>
                <w:szCs w:val="18"/>
              </w:rPr>
            </w:pPr>
            <w:r>
              <w:rPr>
                <w:szCs w:val="18"/>
              </w:rPr>
              <w:t>70</w:t>
            </w:r>
          </w:p>
        </w:tc>
        <w:tc>
          <w:tcPr>
            <w:tcW w:w="1017" w:type="pct"/>
            <w:vAlign w:val="center"/>
          </w:tcPr>
          <w:p w14:paraId="34EAE197">
            <w:pPr>
              <w:pStyle w:val="1343"/>
              <w:rPr>
                <w:szCs w:val="18"/>
              </w:rPr>
            </w:pPr>
            <w:r>
              <w:rPr>
                <w:szCs w:val="18"/>
              </w:rPr>
              <w:t>55</w:t>
            </w:r>
          </w:p>
        </w:tc>
        <w:tc>
          <w:tcPr>
            <w:tcW w:w="1639" w:type="pct"/>
            <w:vAlign w:val="center"/>
          </w:tcPr>
          <w:p w14:paraId="0C7F67C2">
            <w:pPr>
              <w:pStyle w:val="1343"/>
              <w:rPr>
                <w:szCs w:val="18"/>
              </w:rPr>
            </w:pPr>
            <w:r>
              <w:t>《建筑施工场界环境噪声排放标准》(GB12523-2011)</w:t>
            </w:r>
          </w:p>
        </w:tc>
      </w:tr>
      <w:tr w14:paraId="514D4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vAlign w:val="center"/>
          </w:tcPr>
          <w:p w14:paraId="2D4797D7">
            <w:pPr>
              <w:pStyle w:val="1343"/>
              <w:rPr>
                <w:szCs w:val="18"/>
              </w:rPr>
            </w:pPr>
            <w:r>
              <w:rPr>
                <w:szCs w:val="18"/>
              </w:rPr>
              <w:t>运营期</w:t>
            </w:r>
          </w:p>
        </w:tc>
        <w:tc>
          <w:tcPr>
            <w:tcW w:w="939" w:type="pct"/>
            <w:vAlign w:val="center"/>
          </w:tcPr>
          <w:p w14:paraId="472AD814">
            <w:pPr>
              <w:pStyle w:val="1343"/>
              <w:rPr>
                <w:szCs w:val="18"/>
              </w:rPr>
            </w:pPr>
            <w:r>
              <w:rPr>
                <w:rFonts w:hint="eastAsia"/>
                <w:szCs w:val="18"/>
              </w:rPr>
              <w:t>正常工况下</w:t>
            </w:r>
            <w:r>
              <w:rPr>
                <w:szCs w:val="18"/>
              </w:rPr>
              <w:t>场站及阀室</w:t>
            </w:r>
          </w:p>
        </w:tc>
        <w:tc>
          <w:tcPr>
            <w:tcW w:w="705" w:type="pct"/>
            <w:vAlign w:val="center"/>
          </w:tcPr>
          <w:p w14:paraId="5C4CA256">
            <w:pPr>
              <w:pStyle w:val="1343"/>
              <w:rPr>
                <w:szCs w:val="18"/>
              </w:rPr>
            </w:pPr>
            <w:r>
              <w:rPr>
                <w:szCs w:val="18"/>
              </w:rPr>
              <w:t>60</w:t>
            </w:r>
          </w:p>
        </w:tc>
        <w:tc>
          <w:tcPr>
            <w:tcW w:w="1017" w:type="pct"/>
            <w:vAlign w:val="center"/>
          </w:tcPr>
          <w:p w14:paraId="05BA9F19">
            <w:pPr>
              <w:pStyle w:val="1343"/>
              <w:rPr>
                <w:szCs w:val="18"/>
              </w:rPr>
            </w:pPr>
            <w:r>
              <w:rPr>
                <w:szCs w:val="18"/>
              </w:rPr>
              <w:t>50</w:t>
            </w:r>
          </w:p>
        </w:tc>
        <w:tc>
          <w:tcPr>
            <w:tcW w:w="1639" w:type="pct"/>
            <w:vAlign w:val="center"/>
          </w:tcPr>
          <w:p w14:paraId="61EABAF2">
            <w:pPr>
              <w:pStyle w:val="1343"/>
            </w:pPr>
            <w:r>
              <w:rPr>
                <w:spacing w:val="-2"/>
              </w:rPr>
              <w:t>《工业企业厂界环境噪</w:t>
            </w:r>
            <w:r>
              <w:rPr>
                <w:spacing w:val="-1"/>
              </w:rPr>
              <w:t>声排放标准》(</w:t>
            </w:r>
            <w:r>
              <w:rPr>
                <w:rFonts w:eastAsia="Times New Roman"/>
                <w:spacing w:val="-1"/>
              </w:rPr>
              <w:t>GB12348-2008</w:t>
            </w:r>
            <w:r>
              <w:rPr>
                <w:spacing w:val="-1"/>
              </w:rPr>
              <w:t>)</w:t>
            </w:r>
          </w:p>
        </w:tc>
      </w:tr>
    </w:tbl>
    <w:p w14:paraId="78FE6DF9">
      <w:pPr>
        <w:pStyle w:val="7"/>
        <w:snapToGrid w:val="0"/>
        <w:spacing w:before="120" w:beforeLines="50"/>
      </w:pPr>
      <w:r>
        <w:t>固体废物</w:t>
      </w:r>
    </w:p>
    <w:p w14:paraId="17A5C897">
      <w:pPr>
        <w:pStyle w:val="234"/>
        <w:rPr>
          <w:i/>
          <w:iCs/>
          <w:color w:val="auto"/>
          <w:u w:val="single"/>
        </w:rPr>
      </w:pPr>
      <w:r>
        <w:rPr>
          <w:i/>
          <w:iCs/>
          <w:color w:val="auto"/>
          <w:u w:val="single"/>
        </w:rPr>
        <w:t>本工程一般工业固体废物贮存、处置执行</w:t>
      </w:r>
      <w:r>
        <w:rPr>
          <w:rFonts w:hint="eastAsia"/>
          <w:i/>
          <w:iCs/>
          <w:color w:val="auto"/>
          <w:u w:val="single"/>
        </w:rPr>
        <w:t>《中华人民共和国固体废物污染环境防治法》和</w:t>
      </w:r>
      <w:r>
        <w:rPr>
          <w:i/>
          <w:iCs/>
          <w:color w:val="auto"/>
          <w:u w:val="single"/>
        </w:rPr>
        <w:t>《一般工业固体废物贮存</w:t>
      </w:r>
      <w:r>
        <w:rPr>
          <w:rFonts w:hint="eastAsia"/>
          <w:i/>
          <w:iCs/>
          <w:color w:val="auto"/>
          <w:u w:val="single"/>
        </w:rPr>
        <w:t>和填埋</w:t>
      </w:r>
      <w:r>
        <w:rPr>
          <w:i/>
          <w:iCs/>
          <w:color w:val="auto"/>
          <w:u w:val="single"/>
        </w:rPr>
        <w:t>污染控制标准》(GB18599-2020)</w:t>
      </w:r>
      <w:r>
        <w:rPr>
          <w:rFonts w:hint="eastAsia"/>
          <w:i/>
          <w:iCs/>
          <w:color w:val="auto"/>
          <w:u w:val="single"/>
        </w:rPr>
        <w:t>；危险废物</w:t>
      </w:r>
      <w:r>
        <w:rPr>
          <w:i/>
          <w:iCs/>
          <w:color w:val="auto"/>
          <w:u w:val="single"/>
        </w:rPr>
        <w:t>执行《</w:t>
      </w:r>
      <w:r>
        <w:rPr>
          <w:rFonts w:hint="eastAsia"/>
          <w:i/>
          <w:iCs/>
          <w:color w:val="auto"/>
          <w:u w:val="single"/>
        </w:rPr>
        <w:t>危险废物贮存污染控制标准</w:t>
      </w:r>
      <w:r>
        <w:rPr>
          <w:i/>
          <w:iCs/>
          <w:color w:val="auto"/>
          <w:u w:val="single"/>
        </w:rPr>
        <w:t>》(GB1859</w:t>
      </w:r>
      <w:r>
        <w:rPr>
          <w:rFonts w:hint="eastAsia"/>
          <w:i/>
          <w:iCs/>
          <w:color w:val="auto"/>
          <w:u w:val="single"/>
        </w:rPr>
        <w:t>7</w:t>
      </w:r>
      <w:r>
        <w:rPr>
          <w:i/>
          <w:iCs/>
          <w:color w:val="auto"/>
          <w:u w:val="single"/>
        </w:rPr>
        <w:t>-202</w:t>
      </w:r>
      <w:r>
        <w:rPr>
          <w:rFonts w:hint="eastAsia"/>
          <w:i/>
          <w:iCs/>
          <w:color w:val="auto"/>
          <w:u w:val="single"/>
        </w:rPr>
        <w:t>3</w:t>
      </w:r>
      <w:r>
        <w:rPr>
          <w:i/>
          <w:iCs/>
          <w:color w:val="auto"/>
          <w:u w:val="single"/>
        </w:rPr>
        <w:t>)</w:t>
      </w:r>
      <w:r>
        <w:rPr>
          <w:rFonts w:hint="eastAsia"/>
          <w:i/>
          <w:iCs/>
          <w:color w:val="auto"/>
          <w:u w:val="single"/>
        </w:rPr>
        <w:t>要求</w:t>
      </w:r>
      <w:r>
        <w:rPr>
          <w:i/>
          <w:iCs/>
          <w:color w:val="auto"/>
          <w:u w:val="single"/>
        </w:rPr>
        <w:t>。</w:t>
      </w:r>
    </w:p>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p w14:paraId="0241A4D4">
      <w:pPr>
        <w:pStyle w:val="4"/>
      </w:pPr>
      <w:r>
        <w:t xml:space="preserve"> </w:t>
      </w:r>
      <w:bookmarkStart w:id="136" w:name="_Toc26901"/>
      <w:r>
        <w:t>环境保护目标</w:t>
      </w:r>
      <w:bookmarkEnd w:id="136"/>
    </w:p>
    <w:p w14:paraId="23790707">
      <w:pPr>
        <w:pStyle w:val="5"/>
        <w:rPr>
          <w:color w:val="auto"/>
        </w:rPr>
      </w:pPr>
      <w:r>
        <w:rPr>
          <w:color w:val="auto"/>
        </w:rPr>
        <w:t>生态环境敏感目标</w:t>
      </w:r>
    </w:p>
    <w:p w14:paraId="2C26175B">
      <w:pPr>
        <w:pStyle w:val="234"/>
      </w:pPr>
      <w:r>
        <w:t>根据沿线生态环境现场调研结果，本工程</w:t>
      </w:r>
      <w:r>
        <w:rPr>
          <w:rFonts w:hint="eastAsia"/>
        </w:rPr>
        <w:t>生态评价范围不涉及已划定及确认的</w:t>
      </w:r>
      <w:r>
        <w:t>国家公园、自然保护区</w:t>
      </w:r>
      <w:r>
        <w:rPr>
          <w:rFonts w:hint="eastAsia"/>
        </w:rPr>
        <w:t>等自然保护地</w:t>
      </w:r>
      <w:r>
        <w:t>、世界自然遗产、</w:t>
      </w:r>
      <w:r>
        <w:rPr>
          <w:rFonts w:hint="eastAsia"/>
        </w:rPr>
        <w:t>生态保护红线等区域、不涉及重要物种的天然集中分布区、栖息地、重要水生生物的产卵场、索饵场、越冬场和洄游通道，迁徙鸟类的重要繁殖地、停歇地、越冬地及野生动物迁徙通道等，本工程无生态敏感区。本工程与耒阳市自然保护地位置关系见图2.8-1。</w:t>
      </w:r>
    </w:p>
    <w:p w14:paraId="7325EF6E">
      <w:pPr>
        <w:pStyle w:val="234"/>
      </w:pPr>
      <w:r>
        <w:t>根据《环境影响评价技术导则 生态影响》（HJ19-2022）中</w:t>
      </w:r>
      <w:r>
        <w:rPr>
          <w:rFonts w:hint="eastAsia"/>
        </w:rPr>
        <w:t>3</w:t>
      </w:r>
      <w:r>
        <w:t>.4</w:t>
      </w:r>
      <w:r>
        <w:rPr>
          <w:rFonts w:hint="eastAsia"/>
        </w:rPr>
        <w:t>“</w:t>
      </w:r>
      <w:r>
        <w:t>生态保护目标为受影响的重要物种、生态敏感区以及其他需要保护的物种、种群、生物群落及生态空间等</w:t>
      </w:r>
      <w:r>
        <w:rPr>
          <w:rFonts w:hint="eastAsia"/>
        </w:rPr>
        <w:t>”，因此本工程生态保护目标主要为评价范围内的植被、土壤、野生动植物、耕地、公益林、景观资源等</w:t>
      </w:r>
      <w:bookmarkStart w:id="137" w:name="_Ref82164479"/>
      <w:bookmarkStart w:id="138" w:name="_Hlk80794697"/>
      <w:r>
        <w:rPr>
          <w:rFonts w:hint="eastAsia"/>
        </w:rPr>
        <w:t>，见表2</w:t>
      </w:r>
      <w:r>
        <w:t>.8-1。</w:t>
      </w:r>
    </w:p>
    <w:p w14:paraId="5C9EEBE4">
      <w:pPr>
        <w:pStyle w:val="904"/>
      </w:pPr>
      <w:r>
        <w:t>表</w:t>
      </w:r>
      <w:bookmarkEnd w:id="137"/>
      <w:r>
        <w:rPr>
          <w:rFonts w:hint="eastAsia"/>
        </w:rPr>
        <w:t>2</w:t>
      </w:r>
      <w:r>
        <w:t>.8</w:t>
      </w:r>
      <w:r>
        <w:rPr>
          <w:rFonts w:hint="eastAsia"/>
        </w:rPr>
        <w:t>-</w:t>
      </w:r>
      <w:r>
        <w:t>1 生态</w:t>
      </w:r>
      <w:r>
        <w:rPr>
          <w:rFonts w:hint="eastAsia"/>
        </w:rPr>
        <w:t>保护目标表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2615"/>
        <w:gridCol w:w="5949"/>
      </w:tblGrid>
      <w:tr w14:paraId="2B693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9" w:type="pct"/>
            <w:vAlign w:val="center"/>
          </w:tcPr>
          <w:p w14:paraId="34DFA310">
            <w:pPr>
              <w:pStyle w:val="1343"/>
            </w:pPr>
            <w:r>
              <w:t>序号</w:t>
            </w:r>
          </w:p>
        </w:tc>
        <w:tc>
          <w:tcPr>
            <w:tcW w:w="1408" w:type="pct"/>
            <w:vAlign w:val="center"/>
          </w:tcPr>
          <w:p w14:paraId="6D2C0459">
            <w:pPr>
              <w:pStyle w:val="1343"/>
            </w:pPr>
            <w:r>
              <w:t>保护目标</w:t>
            </w:r>
            <w:r>
              <w:rPr>
                <w:rFonts w:hint="eastAsia"/>
              </w:rPr>
              <w:t>名称</w:t>
            </w:r>
          </w:p>
        </w:tc>
        <w:tc>
          <w:tcPr>
            <w:tcW w:w="3203" w:type="pct"/>
            <w:vAlign w:val="center"/>
          </w:tcPr>
          <w:p w14:paraId="630E3824">
            <w:pPr>
              <w:pStyle w:val="1343"/>
            </w:pPr>
            <w:r>
              <w:rPr>
                <w:rFonts w:hint="eastAsia"/>
              </w:rPr>
              <w:t>主要保护对象及级别</w:t>
            </w:r>
          </w:p>
        </w:tc>
      </w:tr>
      <w:tr w14:paraId="407DB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9" w:type="pct"/>
            <w:vAlign w:val="center"/>
          </w:tcPr>
          <w:p w14:paraId="2442CA12">
            <w:pPr>
              <w:pStyle w:val="1343"/>
            </w:pPr>
            <w:r>
              <w:rPr>
                <w:rFonts w:hint="eastAsia"/>
              </w:rPr>
              <w:t>1</w:t>
            </w:r>
          </w:p>
        </w:tc>
        <w:tc>
          <w:tcPr>
            <w:tcW w:w="1408" w:type="pct"/>
            <w:vAlign w:val="center"/>
          </w:tcPr>
          <w:p w14:paraId="2FFDEB83">
            <w:pPr>
              <w:pStyle w:val="1343"/>
            </w:pPr>
            <w:r>
              <w:rPr>
                <w:rFonts w:hint="eastAsia"/>
              </w:rPr>
              <w:t>土地、耕地资源</w:t>
            </w:r>
          </w:p>
        </w:tc>
        <w:tc>
          <w:tcPr>
            <w:tcW w:w="3203" w:type="pct"/>
            <w:vMerge w:val="restart"/>
            <w:vAlign w:val="center"/>
          </w:tcPr>
          <w:p w14:paraId="5B7E96BE">
            <w:pPr>
              <w:pStyle w:val="1343"/>
            </w:pPr>
            <w:r>
              <w:rPr>
                <w:rFonts w:hint="eastAsia"/>
              </w:rPr>
              <w:t>本工程临时占用基本农田7627m</w:t>
            </w:r>
            <w:r>
              <w:rPr>
                <w:vertAlign w:val="superscript"/>
              </w:rPr>
              <w:t>2</w:t>
            </w:r>
            <w:r>
              <w:rPr>
                <w:rFonts w:hint="eastAsia"/>
              </w:rPr>
              <w:t>，工程沿线主要分布栽培植被、公益林、灌木林地等；</w:t>
            </w:r>
          </w:p>
        </w:tc>
      </w:tr>
      <w:tr w14:paraId="6E7B5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9" w:type="pct"/>
            <w:vAlign w:val="center"/>
          </w:tcPr>
          <w:p w14:paraId="015E4EA5">
            <w:pPr>
              <w:pStyle w:val="1343"/>
            </w:pPr>
            <w:r>
              <w:rPr>
                <w:rFonts w:hint="eastAsia"/>
              </w:rPr>
              <w:t>2</w:t>
            </w:r>
          </w:p>
        </w:tc>
        <w:tc>
          <w:tcPr>
            <w:tcW w:w="1408" w:type="pct"/>
            <w:vAlign w:val="center"/>
          </w:tcPr>
          <w:p w14:paraId="7C812A8A">
            <w:pPr>
              <w:pStyle w:val="1343"/>
            </w:pPr>
            <w:r>
              <w:rPr>
                <w:rFonts w:hint="eastAsia"/>
              </w:rPr>
              <w:t>植被和土壤</w:t>
            </w:r>
          </w:p>
        </w:tc>
        <w:tc>
          <w:tcPr>
            <w:tcW w:w="3203" w:type="pct"/>
            <w:vMerge w:val="continue"/>
            <w:vAlign w:val="center"/>
          </w:tcPr>
          <w:p w14:paraId="09134578">
            <w:pPr>
              <w:pStyle w:val="1343"/>
            </w:pPr>
          </w:p>
        </w:tc>
      </w:tr>
      <w:tr w14:paraId="2AC25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9" w:type="pct"/>
            <w:vAlign w:val="center"/>
          </w:tcPr>
          <w:p w14:paraId="37A7A29C">
            <w:pPr>
              <w:pStyle w:val="1343"/>
            </w:pPr>
            <w:r>
              <w:rPr>
                <w:rFonts w:hint="eastAsia"/>
              </w:rPr>
              <w:t>3</w:t>
            </w:r>
          </w:p>
        </w:tc>
        <w:tc>
          <w:tcPr>
            <w:tcW w:w="1408" w:type="pct"/>
            <w:vAlign w:val="center"/>
          </w:tcPr>
          <w:p w14:paraId="64BC75E2">
            <w:pPr>
              <w:pStyle w:val="1343"/>
            </w:pPr>
            <w:r>
              <w:rPr>
                <w:rFonts w:hint="eastAsia"/>
              </w:rPr>
              <w:t>野生动物</w:t>
            </w:r>
          </w:p>
        </w:tc>
        <w:tc>
          <w:tcPr>
            <w:tcW w:w="3203" w:type="pct"/>
            <w:vAlign w:val="center"/>
          </w:tcPr>
          <w:p w14:paraId="6069E970">
            <w:pPr>
              <w:pStyle w:val="1343"/>
            </w:pPr>
            <w:r>
              <w:rPr>
                <w:rFonts w:hint="eastAsia"/>
              </w:rPr>
              <w:t>沿线分布的野生动物，无重点保护动物</w:t>
            </w:r>
          </w:p>
        </w:tc>
      </w:tr>
      <w:tr w14:paraId="18CC8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9" w:type="pct"/>
            <w:vAlign w:val="center"/>
          </w:tcPr>
          <w:p w14:paraId="147880DD">
            <w:pPr>
              <w:pStyle w:val="1343"/>
            </w:pPr>
            <w:r>
              <w:t>4</w:t>
            </w:r>
          </w:p>
        </w:tc>
        <w:tc>
          <w:tcPr>
            <w:tcW w:w="1408" w:type="pct"/>
            <w:vAlign w:val="center"/>
          </w:tcPr>
          <w:p w14:paraId="3C9B4A4E">
            <w:pPr>
              <w:pStyle w:val="1343"/>
            </w:pPr>
            <w:r>
              <w:rPr>
                <w:rFonts w:hint="eastAsia"/>
              </w:rPr>
              <w:t>景观资源</w:t>
            </w:r>
          </w:p>
        </w:tc>
        <w:tc>
          <w:tcPr>
            <w:tcW w:w="3203" w:type="pct"/>
            <w:vAlign w:val="center"/>
          </w:tcPr>
          <w:p w14:paraId="3B194D0B">
            <w:pPr>
              <w:pStyle w:val="1343"/>
            </w:pPr>
            <w:r>
              <w:rPr>
                <w:rFonts w:hint="eastAsia"/>
              </w:rPr>
              <w:t>沿线自然景观</w:t>
            </w:r>
          </w:p>
        </w:tc>
      </w:tr>
      <w:bookmarkEnd w:id="138"/>
    </w:tbl>
    <w:p w14:paraId="31FEA311">
      <w:pPr>
        <w:pStyle w:val="5"/>
        <w:snapToGrid w:val="0"/>
        <w:spacing w:before="120" w:beforeLines="50"/>
        <w:rPr>
          <w:color w:val="auto"/>
          <w:highlight w:val="none"/>
        </w:rPr>
      </w:pPr>
      <w:r>
        <w:rPr>
          <w:color w:val="auto"/>
          <w:highlight w:val="none"/>
        </w:rPr>
        <w:t>地表水环境敏感目标</w:t>
      </w:r>
    </w:p>
    <w:p w14:paraId="72418C5F">
      <w:pPr>
        <w:pStyle w:val="234"/>
        <w:rPr>
          <w:highlight w:val="none"/>
        </w:rPr>
      </w:pPr>
      <w:r>
        <w:rPr>
          <w:highlight w:val="none"/>
        </w:rPr>
        <w:t>本次评价地表水环境保护目标主要为本工程</w:t>
      </w:r>
      <w:r>
        <w:rPr>
          <w:rFonts w:hint="eastAsia"/>
          <w:highlight w:val="none"/>
        </w:rPr>
        <w:t>管线附近坑塘（本工程无地表水穿越），坑塘</w:t>
      </w:r>
      <w:r>
        <w:rPr>
          <w:highlight w:val="none"/>
        </w:rPr>
        <w:t>情况及其水体功能详见表2.8-</w:t>
      </w:r>
      <w:r>
        <w:rPr>
          <w:rFonts w:hint="eastAsia"/>
          <w:highlight w:val="none"/>
          <w:lang w:val="en-US" w:eastAsia="zh-CN"/>
        </w:rPr>
        <w:t>2</w:t>
      </w:r>
      <w:r>
        <w:rPr>
          <w:rFonts w:hint="eastAsia"/>
          <w:highlight w:val="none"/>
        </w:rPr>
        <w:t>。</w:t>
      </w:r>
    </w:p>
    <w:p w14:paraId="29AB467F">
      <w:pPr>
        <w:pStyle w:val="904"/>
        <w:rPr>
          <w:highlight w:val="none"/>
        </w:rPr>
      </w:pPr>
      <w:r>
        <w:rPr>
          <w:highlight w:val="none"/>
        </w:rPr>
        <w:t xml:space="preserve">表 </w:t>
      </w:r>
      <w:r>
        <w:rPr>
          <w:highlight w:val="none"/>
        </w:rPr>
        <w:fldChar w:fldCharType="begin"/>
      </w:r>
      <w:r>
        <w:rPr>
          <w:highlight w:val="none"/>
        </w:rPr>
        <w:instrText xml:space="preserve"> STYLEREF 2 \s </w:instrText>
      </w:r>
      <w:r>
        <w:rPr>
          <w:highlight w:val="none"/>
        </w:rPr>
        <w:fldChar w:fldCharType="separate"/>
      </w:r>
      <w:r>
        <w:rPr>
          <w:highlight w:val="none"/>
        </w:rPr>
        <w:t>2.8</w:t>
      </w:r>
      <w:r>
        <w:rPr>
          <w:highlight w:val="none"/>
        </w:rPr>
        <w:fldChar w:fldCharType="end"/>
      </w:r>
      <w:r>
        <w:rPr>
          <w:highlight w:val="none"/>
        </w:rPr>
        <w:noBreakHyphen/>
      </w:r>
      <w:r>
        <w:rPr>
          <w:rFonts w:hint="eastAsia"/>
          <w:highlight w:val="none"/>
          <w:lang w:val="en-US" w:eastAsia="zh-CN"/>
        </w:rPr>
        <w:t>2</w:t>
      </w:r>
      <w:r>
        <w:rPr>
          <w:highlight w:val="none"/>
        </w:rPr>
        <w:t>地表水敏感目标一览表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90"/>
        <w:gridCol w:w="1126"/>
        <w:gridCol w:w="2404"/>
        <w:gridCol w:w="2203"/>
        <w:gridCol w:w="2861"/>
      </w:tblGrid>
      <w:tr w14:paraId="2276A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37" w:hRule="atLeast"/>
          <w:jc w:val="center"/>
        </w:trPr>
        <w:tc>
          <w:tcPr>
            <w:tcW w:w="321" w:type="pct"/>
            <w:vAlign w:val="center"/>
          </w:tcPr>
          <w:p w14:paraId="0CF6AB26">
            <w:pPr>
              <w:pStyle w:val="1343"/>
            </w:pPr>
            <w:r>
              <w:t>序号</w:t>
            </w:r>
          </w:p>
        </w:tc>
        <w:tc>
          <w:tcPr>
            <w:tcW w:w="613" w:type="pct"/>
            <w:vAlign w:val="center"/>
          </w:tcPr>
          <w:p w14:paraId="1F320B7D">
            <w:pPr>
              <w:pStyle w:val="1343"/>
            </w:pPr>
            <w:r>
              <w:t>名称</w:t>
            </w:r>
          </w:p>
        </w:tc>
        <w:tc>
          <w:tcPr>
            <w:tcW w:w="1308" w:type="pct"/>
            <w:vAlign w:val="center"/>
          </w:tcPr>
          <w:p w14:paraId="4A42B1C0">
            <w:pPr>
              <w:pStyle w:val="1343"/>
            </w:pPr>
            <w:r>
              <w:t>地理位置</w:t>
            </w:r>
          </w:p>
        </w:tc>
        <w:tc>
          <w:tcPr>
            <w:tcW w:w="1199" w:type="pct"/>
            <w:vAlign w:val="center"/>
          </w:tcPr>
          <w:p w14:paraId="311DB28F">
            <w:pPr>
              <w:pStyle w:val="1343"/>
            </w:pPr>
            <w:r>
              <w:t>服务功能</w:t>
            </w:r>
          </w:p>
        </w:tc>
        <w:tc>
          <w:tcPr>
            <w:tcW w:w="1557" w:type="pct"/>
            <w:vAlign w:val="center"/>
          </w:tcPr>
          <w:p w14:paraId="647F6FEA">
            <w:pPr>
              <w:pStyle w:val="1343"/>
            </w:pPr>
            <w:r>
              <w:t>保护要求</w:t>
            </w:r>
          </w:p>
        </w:tc>
      </w:tr>
      <w:tr w14:paraId="0E141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37" w:hRule="atLeast"/>
          <w:jc w:val="center"/>
        </w:trPr>
        <w:tc>
          <w:tcPr>
            <w:tcW w:w="321" w:type="pct"/>
            <w:vAlign w:val="center"/>
          </w:tcPr>
          <w:p w14:paraId="033DDD19">
            <w:pPr>
              <w:pStyle w:val="1343"/>
            </w:pPr>
            <w:r>
              <w:rPr>
                <w:bCs/>
              </w:rPr>
              <w:t>1</w:t>
            </w:r>
          </w:p>
        </w:tc>
        <w:tc>
          <w:tcPr>
            <w:tcW w:w="613" w:type="pct"/>
            <w:vAlign w:val="center"/>
          </w:tcPr>
          <w:p w14:paraId="2769BCF1">
            <w:pPr>
              <w:pStyle w:val="1343"/>
            </w:pPr>
            <w:r>
              <w:rPr>
                <w:rFonts w:hint="eastAsia"/>
              </w:rPr>
              <w:t>坑塘1</w:t>
            </w:r>
          </w:p>
        </w:tc>
        <w:tc>
          <w:tcPr>
            <w:tcW w:w="1308" w:type="pct"/>
            <w:vAlign w:val="center"/>
          </w:tcPr>
          <w:p w14:paraId="66E6D56A">
            <w:pPr>
              <w:pStyle w:val="1343"/>
            </w:pPr>
            <w:r>
              <w:rPr>
                <w:rFonts w:hint="eastAsia"/>
              </w:rPr>
              <w:t>新建管线北侧10m</w:t>
            </w:r>
          </w:p>
        </w:tc>
        <w:tc>
          <w:tcPr>
            <w:tcW w:w="1199" w:type="pct"/>
            <w:vAlign w:val="center"/>
          </w:tcPr>
          <w:p w14:paraId="79874E80">
            <w:pPr>
              <w:pStyle w:val="1343"/>
            </w:pPr>
            <w:r>
              <w:rPr>
                <w:bCs/>
              </w:rPr>
              <w:t>农业用水区</w:t>
            </w:r>
          </w:p>
        </w:tc>
        <w:tc>
          <w:tcPr>
            <w:tcW w:w="1557" w:type="pct"/>
            <w:vMerge w:val="restart"/>
            <w:vAlign w:val="center"/>
          </w:tcPr>
          <w:p w14:paraId="2C9C47E4">
            <w:pPr>
              <w:pStyle w:val="1343"/>
            </w:pPr>
            <w:r>
              <w:rPr>
                <w:i/>
                <w:iCs/>
                <w:color w:val="auto"/>
                <w:u w:val="single"/>
              </w:rPr>
              <w:t>《地表水环境质量标准》（GB3838-2002）中</w:t>
            </w:r>
            <w:r>
              <w:rPr>
                <w:rFonts w:hint="eastAsia"/>
                <w:i/>
                <w:iCs/>
                <w:color w:val="auto"/>
                <w:u w:val="single"/>
                <w:lang w:val="en-US" w:eastAsia="zh-CN"/>
              </w:rPr>
              <w:t>Ⅲ</w:t>
            </w:r>
            <w:r>
              <w:rPr>
                <w:i/>
                <w:iCs/>
                <w:color w:val="auto"/>
                <w:u w:val="single"/>
              </w:rPr>
              <w:t>类标准</w:t>
            </w:r>
          </w:p>
        </w:tc>
      </w:tr>
      <w:tr w14:paraId="48BED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37" w:hRule="atLeast"/>
          <w:jc w:val="center"/>
        </w:trPr>
        <w:tc>
          <w:tcPr>
            <w:tcW w:w="321" w:type="pct"/>
            <w:vAlign w:val="center"/>
          </w:tcPr>
          <w:p w14:paraId="740E6E57">
            <w:pPr>
              <w:pStyle w:val="1343"/>
              <w:rPr>
                <w:bCs/>
              </w:rPr>
            </w:pPr>
            <w:r>
              <w:rPr>
                <w:rFonts w:hint="eastAsia"/>
                <w:bCs/>
              </w:rPr>
              <w:t>2</w:t>
            </w:r>
          </w:p>
        </w:tc>
        <w:tc>
          <w:tcPr>
            <w:tcW w:w="613" w:type="pct"/>
            <w:vAlign w:val="center"/>
          </w:tcPr>
          <w:p w14:paraId="6FB08CFF">
            <w:pPr>
              <w:pStyle w:val="1343"/>
            </w:pPr>
            <w:r>
              <w:rPr>
                <w:rFonts w:hint="eastAsia"/>
              </w:rPr>
              <w:t>坑塘2</w:t>
            </w:r>
          </w:p>
        </w:tc>
        <w:tc>
          <w:tcPr>
            <w:tcW w:w="1308" w:type="pct"/>
            <w:vAlign w:val="center"/>
          </w:tcPr>
          <w:p w14:paraId="52EC9B0E">
            <w:pPr>
              <w:pStyle w:val="1343"/>
            </w:pPr>
            <w:r>
              <w:rPr>
                <w:rFonts w:hint="eastAsia"/>
              </w:rPr>
              <w:t>新建管线西侧8m</w:t>
            </w:r>
          </w:p>
        </w:tc>
        <w:tc>
          <w:tcPr>
            <w:tcW w:w="1199" w:type="pct"/>
            <w:vAlign w:val="center"/>
          </w:tcPr>
          <w:p w14:paraId="336FF8A6">
            <w:pPr>
              <w:pStyle w:val="1343"/>
              <w:rPr>
                <w:bCs/>
              </w:rPr>
            </w:pPr>
            <w:r>
              <w:rPr>
                <w:rFonts w:hint="eastAsia"/>
                <w:bCs/>
              </w:rPr>
              <w:t>农业用水区</w:t>
            </w:r>
          </w:p>
        </w:tc>
        <w:tc>
          <w:tcPr>
            <w:tcW w:w="1557" w:type="pct"/>
            <w:vMerge w:val="continue"/>
            <w:vAlign w:val="center"/>
          </w:tcPr>
          <w:p w14:paraId="067638CF">
            <w:pPr>
              <w:pStyle w:val="1343"/>
            </w:pPr>
          </w:p>
        </w:tc>
      </w:tr>
      <w:tr w14:paraId="19877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37" w:hRule="atLeast"/>
          <w:jc w:val="center"/>
        </w:trPr>
        <w:tc>
          <w:tcPr>
            <w:tcW w:w="321" w:type="pct"/>
            <w:vAlign w:val="center"/>
          </w:tcPr>
          <w:p w14:paraId="09A71AE0">
            <w:pPr>
              <w:pStyle w:val="1343"/>
              <w:rPr>
                <w:bCs/>
              </w:rPr>
            </w:pPr>
            <w:r>
              <w:rPr>
                <w:rFonts w:hint="eastAsia"/>
                <w:bCs/>
              </w:rPr>
              <w:t>3</w:t>
            </w:r>
          </w:p>
        </w:tc>
        <w:tc>
          <w:tcPr>
            <w:tcW w:w="613" w:type="pct"/>
            <w:vAlign w:val="center"/>
          </w:tcPr>
          <w:p w14:paraId="702B3F7E">
            <w:pPr>
              <w:pStyle w:val="1343"/>
            </w:pPr>
            <w:r>
              <w:rPr>
                <w:rFonts w:hint="eastAsia"/>
              </w:rPr>
              <w:t>坑塘3</w:t>
            </w:r>
          </w:p>
        </w:tc>
        <w:tc>
          <w:tcPr>
            <w:tcW w:w="1308" w:type="pct"/>
            <w:vAlign w:val="center"/>
          </w:tcPr>
          <w:p w14:paraId="47E033F8">
            <w:pPr>
              <w:pStyle w:val="1343"/>
            </w:pPr>
            <w:r>
              <w:rPr>
                <w:rFonts w:hint="eastAsia"/>
              </w:rPr>
              <w:t>新建管线西侧11m</w:t>
            </w:r>
          </w:p>
        </w:tc>
        <w:tc>
          <w:tcPr>
            <w:tcW w:w="1199" w:type="pct"/>
            <w:vAlign w:val="center"/>
          </w:tcPr>
          <w:p w14:paraId="06418A79">
            <w:pPr>
              <w:pStyle w:val="1343"/>
              <w:rPr>
                <w:bCs/>
              </w:rPr>
            </w:pPr>
            <w:r>
              <w:rPr>
                <w:rFonts w:hint="eastAsia"/>
                <w:bCs/>
              </w:rPr>
              <w:t>农业用水区</w:t>
            </w:r>
          </w:p>
        </w:tc>
        <w:tc>
          <w:tcPr>
            <w:tcW w:w="1557" w:type="pct"/>
            <w:vMerge w:val="continue"/>
            <w:vAlign w:val="center"/>
          </w:tcPr>
          <w:p w14:paraId="1F01014E">
            <w:pPr>
              <w:pStyle w:val="1343"/>
            </w:pPr>
          </w:p>
        </w:tc>
      </w:tr>
    </w:tbl>
    <w:p w14:paraId="03340814">
      <w:pPr>
        <w:pStyle w:val="234"/>
        <w:snapToGrid w:val="0"/>
        <w:spacing w:before="120" w:beforeLines="50"/>
      </w:pPr>
      <w:r>
        <w:t>本工程沿线及各站场均不</w:t>
      </w:r>
      <w:r>
        <w:rPr>
          <w:rFonts w:hint="eastAsia"/>
        </w:rPr>
        <w:t>涉及饮用水</w:t>
      </w:r>
      <w:r>
        <w:t>水源地保护区范围</w:t>
      </w:r>
      <w:r>
        <w:rPr>
          <w:rFonts w:hint="eastAsia"/>
        </w:rPr>
        <w:t>。</w:t>
      </w:r>
    </w:p>
    <w:p w14:paraId="4758A7E5">
      <w:pPr>
        <w:pStyle w:val="5"/>
        <w:rPr>
          <w:color w:val="auto"/>
        </w:rPr>
      </w:pPr>
      <w:r>
        <w:rPr>
          <w:color w:val="auto"/>
        </w:rPr>
        <w:t>地下水环境敏感目标</w:t>
      </w:r>
    </w:p>
    <w:p w14:paraId="4B114AD2">
      <w:pPr>
        <w:pStyle w:val="234"/>
      </w:pPr>
      <w:r>
        <w:t>根据《环境影响评价技术导则 地下水环境》（HJ 610-2016），地下水环境保护目标为潜水含水层和可能受建设项目影响且具有饮用水开发利用价值的含水层、集中式饮用水源地、分散式饮用水源水源地和涉及地下水的环境敏感区。</w:t>
      </w:r>
    </w:p>
    <w:p w14:paraId="6F31CE9D">
      <w:pPr>
        <w:pStyle w:val="234"/>
      </w:pPr>
      <w:r>
        <w:t>根据现场调查，项目评价范围内无集中式饮用水水源、无划定准保护区的集中式饮用水水源及其保护区外的补给径流区，无特殊地下水资源（矿山水、温泉等）及其保护区</w:t>
      </w:r>
      <w:r>
        <w:rPr>
          <w:rFonts w:hint="eastAsia"/>
        </w:rPr>
        <w:t>以外的分布区，管线沿线村庄居民主要采用自来水作为饮用水源，村庄中水井主要功能为牲畜饮用，也作为村民备用的饮用水源，属于分散式饮用水水源地，区域地下水保护目标主要为评价范围内潜水含水层和具有饮用水开发利用价值的承压水含水层。</w:t>
      </w:r>
    </w:p>
    <w:p w14:paraId="5D2B413E">
      <w:pPr>
        <w:pStyle w:val="5"/>
        <w:rPr>
          <w:color w:val="auto"/>
        </w:rPr>
      </w:pPr>
      <w:r>
        <w:rPr>
          <w:color w:val="auto"/>
        </w:rPr>
        <w:t>声环境敏感目标</w:t>
      </w:r>
    </w:p>
    <w:p w14:paraId="1D4B296D">
      <w:pPr>
        <w:pStyle w:val="234"/>
        <w:rPr>
          <w:highlight w:val="none"/>
        </w:rPr>
      </w:pPr>
      <w:r>
        <w:t>本工程各站场</w:t>
      </w:r>
      <w:r>
        <w:rPr>
          <w:rFonts w:hint="eastAsia"/>
        </w:rPr>
        <w:t>及</w:t>
      </w:r>
      <w:r>
        <w:t>管道周围200m范围内声环</w:t>
      </w:r>
      <w:r>
        <w:rPr>
          <w:highlight w:val="none"/>
        </w:rPr>
        <w:t>境敏感目标见表2.8-</w:t>
      </w:r>
      <w:r>
        <w:rPr>
          <w:rFonts w:hint="eastAsia"/>
          <w:highlight w:val="none"/>
          <w:lang w:val="en-US" w:eastAsia="zh-CN"/>
        </w:rPr>
        <w:t>3</w:t>
      </w:r>
      <w:r>
        <w:rPr>
          <w:highlight w:val="none"/>
        </w:rPr>
        <w:t>和图2.5-</w:t>
      </w:r>
      <w:r>
        <w:rPr>
          <w:rFonts w:hint="eastAsia"/>
          <w:highlight w:val="none"/>
        </w:rPr>
        <w:t>1</w:t>
      </w:r>
      <w:r>
        <w:rPr>
          <w:highlight w:val="none"/>
        </w:rPr>
        <w:t>。</w:t>
      </w:r>
    </w:p>
    <w:p w14:paraId="38AE7641">
      <w:pPr>
        <w:pStyle w:val="904"/>
      </w:pPr>
      <w:r>
        <w:rPr>
          <w:highlight w:val="none"/>
        </w:rPr>
        <w:t xml:space="preserve">表 </w:t>
      </w:r>
      <w:r>
        <w:rPr>
          <w:highlight w:val="none"/>
        </w:rPr>
        <w:fldChar w:fldCharType="begin"/>
      </w:r>
      <w:r>
        <w:rPr>
          <w:highlight w:val="none"/>
        </w:rPr>
        <w:instrText xml:space="preserve"> STYLEREF 2 \s </w:instrText>
      </w:r>
      <w:r>
        <w:rPr>
          <w:highlight w:val="none"/>
        </w:rPr>
        <w:fldChar w:fldCharType="separate"/>
      </w:r>
      <w:r>
        <w:rPr>
          <w:highlight w:val="none"/>
        </w:rPr>
        <w:t>2.8</w:t>
      </w:r>
      <w:r>
        <w:rPr>
          <w:highlight w:val="none"/>
        </w:rPr>
        <w:fldChar w:fldCharType="end"/>
      </w:r>
      <w:r>
        <w:rPr>
          <w:highlight w:val="none"/>
        </w:rPr>
        <w:noBreakHyphen/>
      </w:r>
      <w:r>
        <w:rPr>
          <w:rFonts w:hint="eastAsia"/>
          <w:highlight w:val="none"/>
          <w:lang w:val="en-US" w:eastAsia="zh-CN"/>
        </w:rPr>
        <w:t>3</w:t>
      </w:r>
      <w:r>
        <w:rPr>
          <w:highlight w:val="none"/>
        </w:rPr>
        <w:t>声环境敏感</w:t>
      </w:r>
      <w:r>
        <w:t>目标一览表</w:t>
      </w:r>
    </w:p>
    <w:tbl>
      <w:tblPr>
        <w:tblStyle w:val="139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3"/>
        <w:gridCol w:w="928"/>
        <w:gridCol w:w="1144"/>
        <w:gridCol w:w="996"/>
        <w:gridCol w:w="1510"/>
        <w:gridCol w:w="1050"/>
        <w:gridCol w:w="994"/>
        <w:gridCol w:w="706"/>
        <w:gridCol w:w="1445"/>
      </w:tblGrid>
      <w:tr w14:paraId="48BC6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noWrap/>
            <w:vAlign w:val="center"/>
          </w:tcPr>
          <w:p w14:paraId="64CE73BF">
            <w:pPr>
              <w:pStyle w:val="1343"/>
            </w:pPr>
            <w:r>
              <w:t>序号</w:t>
            </w:r>
          </w:p>
        </w:tc>
        <w:tc>
          <w:tcPr>
            <w:tcW w:w="927" w:type="dxa"/>
            <w:noWrap/>
            <w:vAlign w:val="center"/>
          </w:tcPr>
          <w:p w14:paraId="1E2968BC">
            <w:pPr>
              <w:pStyle w:val="1343"/>
            </w:pPr>
            <w:r>
              <w:t>敏感目标名称</w:t>
            </w:r>
          </w:p>
        </w:tc>
        <w:tc>
          <w:tcPr>
            <w:tcW w:w="1145" w:type="dxa"/>
            <w:noWrap/>
            <w:vAlign w:val="center"/>
          </w:tcPr>
          <w:p w14:paraId="6EBE5981">
            <w:pPr>
              <w:pStyle w:val="1343"/>
            </w:pPr>
            <w:r>
              <w:t>经度(度)</w:t>
            </w:r>
          </w:p>
        </w:tc>
        <w:tc>
          <w:tcPr>
            <w:tcW w:w="996" w:type="dxa"/>
            <w:noWrap/>
            <w:vAlign w:val="center"/>
          </w:tcPr>
          <w:p w14:paraId="0BE9F243">
            <w:pPr>
              <w:pStyle w:val="1343"/>
            </w:pPr>
            <w:r>
              <w:t>纬度(度)</w:t>
            </w:r>
          </w:p>
        </w:tc>
        <w:tc>
          <w:tcPr>
            <w:tcW w:w="1513" w:type="dxa"/>
            <w:noWrap/>
            <w:vAlign w:val="center"/>
          </w:tcPr>
          <w:p w14:paraId="2344F0C7">
            <w:pPr>
              <w:pStyle w:val="1343"/>
            </w:pPr>
            <w:r>
              <w:rPr>
                <w:rFonts w:hint="eastAsia"/>
              </w:rPr>
              <w:t>方位及</w:t>
            </w:r>
            <w:r>
              <w:t>距离(m)</w:t>
            </w:r>
          </w:p>
        </w:tc>
        <w:tc>
          <w:tcPr>
            <w:tcW w:w="1050" w:type="dxa"/>
            <w:vAlign w:val="center"/>
          </w:tcPr>
          <w:p w14:paraId="6CE5BA4A">
            <w:pPr>
              <w:pStyle w:val="1343"/>
            </w:pPr>
            <w:r>
              <w:rPr>
                <w:rFonts w:hint="eastAsia"/>
              </w:rPr>
              <w:t>敏感目标规模</w:t>
            </w:r>
          </w:p>
        </w:tc>
        <w:tc>
          <w:tcPr>
            <w:tcW w:w="994" w:type="dxa"/>
            <w:vAlign w:val="center"/>
          </w:tcPr>
          <w:p w14:paraId="727D820C">
            <w:pPr>
              <w:pStyle w:val="1343"/>
            </w:pPr>
            <w:r>
              <w:rPr>
                <w:rFonts w:hint="eastAsia"/>
              </w:rPr>
              <w:t>2</w:t>
            </w:r>
            <w:r>
              <w:t>00</w:t>
            </w:r>
            <w:r>
              <w:rPr>
                <w:rFonts w:hint="eastAsia"/>
              </w:rPr>
              <w:t>m范围内人数</w:t>
            </w:r>
          </w:p>
        </w:tc>
        <w:tc>
          <w:tcPr>
            <w:tcW w:w="704" w:type="dxa"/>
            <w:vAlign w:val="center"/>
          </w:tcPr>
          <w:p w14:paraId="6F2B30C7">
            <w:pPr>
              <w:pStyle w:val="1343"/>
            </w:pPr>
            <w:r>
              <w:t>保护类别</w:t>
            </w:r>
          </w:p>
        </w:tc>
        <w:tc>
          <w:tcPr>
            <w:tcW w:w="1448" w:type="dxa"/>
            <w:noWrap/>
            <w:vAlign w:val="center"/>
          </w:tcPr>
          <w:p w14:paraId="6FAEFA46">
            <w:pPr>
              <w:pStyle w:val="1343"/>
            </w:pPr>
            <w:r>
              <w:t>保护等级</w:t>
            </w:r>
          </w:p>
        </w:tc>
      </w:tr>
      <w:tr w14:paraId="3B94B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Align w:val="center"/>
          </w:tcPr>
          <w:p w14:paraId="503ADE1F">
            <w:pPr>
              <w:pStyle w:val="1343"/>
            </w:pPr>
            <w:r>
              <w:t>1</w:t>
            </w:r>
          </w:p>
        </w:tc>
        <w:tc>
          <w:tcPr>
            <w:tcW w:w="927" w:type="dxa"/>
            <w:noWrap/>
            <w:vAlign w:val="center"/>
          </w:tcPr>
          <w:p w14:paraId="0458F4DC">
            <w:pPr>
              <w:pStyle w:val="1343"/>
            </w:pPr>
            <w:r>
              <w:rPr>
                <w:rFonts w:hint="eastAsia"/>
              </w:rPr>
              <w:t>蒋家冲</w:t>
            </w:r>
          </w:p>
        </w:tc>
        <w:tc>
          <w:tcPr>
            <w:tcW w:w="1145" w:type="dxa"/>
            <w:noWrap/>
            <w:vAlign w:val="center"/>
          </w:tcPr>
          <w:p w14:paraId="3260676F">
            <w:pPr>
              <w:pStyle w:val="1343"/>
            </w:pPr>
            <w:r>
              <w:rPr>
                <w:rFonts w:hint="eastAsia"/>
              </w:rPr>
              <w:t>112.9210</w:t>
            </w:r>
          </w:p>
        </w:tc>
        <w:tc>
          <w:tcPr>
            <w:tcW w:w="996" w:type="dxa"/>
            <w:noWrap/>
            <w:vAlign w:val="center"/>
          </w:tcPr>
          <w:p w14:paraId="4607E619">
            <w:pPr>
              <w:pStyle w:val="1343"/>
            </w:pPr>
            <w:r>
              <w:rPr>
                <w:rFonts w:hint="eastAsia"/>
              </w:rPr>
              <w:t>26.4142</w:t>
            </w:r>
          </w:p>
        </w:tc>
        <w:tc>
          <w:tcPr>
            <w:tcW w:w="1513" w:type="dxa"/>
            <w:noWrap/>
            <w:vAlign w:val="center"/>
          </w:tcPr>
          <w:p w14:paraId="0265EAC5">
            <w:pPr>
              <w:pStyle w:val="1343"/>
            </w:pPr>
            <w:r>
              <w:rPr>
                <w:rFonts w:hint="eastAsia"/>
              </w:rPr>
              <w:t>管道西侧40m</w:t>
            </w:r>
          </w:p>
        </w:tc>
        <w:tc>
          <w:tcPr>
            <w:tcW w:w="1050" w:type="dxa"/>
            <w:vAlign w:val="center"/>
          </w:tcPr>
          <w:p w14:paraId="7F05121A">
            <w:pPr>
              <w:pStyle w:val="1343"/>
            </w:pPr>
            <w:r>
              <w:rPr>
                <w:rFonts w:hint="eastAsia"/>
              </w:rPr>
              <w:t>8</w:t>
            </w:r>
            <w:r>
              <w:t>0人</w:t>
            </w:r>
          </w:p>
        </w:tc>
        <w:tc>
          <w:tcPr>
            <w:tcW w:w="994" w:type="dxa"/>
            <w:vAlign w:val="center"/>
          </w:tcPr>
          <w:p w14:paraId="29E3E6B9">
            <w:pPr>
              <w:pStyle w:val="1343"/>
            </w:pPr>
            <w:r>
              <w:rPr>
                <w:rFonts w:hint="eastAsia"/>
              </w:rPr>
              <w:t>18人</w:t>
            </w:r>
          </w:p>
        </w:tc>
        <w:tc>
          <w:tcPr>
            <w:tcW w:w="704" w:type="dxa"/>
            <w:vAlign w:val="center"/>
          </w:tcPr>
          <w:p w14:paraId="0B1E3053">
            <w:pPr>
              <w:pStyle w:val="1343"/>
            </w:pPr>
            <w:r>
              <w:t>村庄</w:t>
            </w:r>
          </w:p>
        </w:tc>
        <w:tc>
          <w:tcPr>
            <w:tcW w:w="1448" w:type="dxa"/>
            <w:vMerge w:val="restart"/>
            <w:vAlign w:val="center"/>
          </w:tcPr>
          <w:p w14:paraId="4B7F6CAB">
            <w:pPr>
              <w:pStyle w:val="1343"/>
            </w:pPr>
            <w:r>
              <w:rPr>
                <w:i/>
                <w:iCs/>
                <w:color w:val="auto"/>
                <w:u w:val="single"/>
              </w:rPr>
              <w:t>《声环境质量标准》（GB3096-2008）</w:t>
            </w:r>
            <w:r>
              <w:rPr>
                <w:rFonts w:hint="eastAsia"/>
                <w:i/>
                <w:iCs/>
                <w:color w:val="auto"/>
                <w:u w:val="single"/>
              </w:rPr>
              <w:t>2</w:t>
            </w:r>
            <w:r>
              <w:rPr>
                <w:i/>
                <w:iCs/>
                <w:color w:val="auto"/>
                <w:u w:val="single"/>
              </w:rPr>
              <w:t>类标准</w:t>
            </w:r>
          </w:p>
        </w:tc>
      </w:tr>
      <w:tr w14:paraId="20B0B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Align w:val="center"/>
          </w:tcPr>
          <w:p w14:paraId="04C0113B">
            <w:pPr>
              <w:pStyle w:val="1343"/>
            </w:pPr>
            <w:r>
              <w:rPr>
                <w:rFonts w:hint="eastAsia"/>
              </w:rPr>
              <w:t>2</w:t>
            </w:r>
          </w:p>
        </w:tc>
        <w:tc>
          <w:tcPr>
            <w:tcW w:w="927" w:type="dxa"/>
            <w:noWrap/>
            <w:vAlign w:val="center"/>
          </w:tcPr>
          <w:p w14:paraId="7167868F">
            <w:pPr>
              <w:pStyle w:val="1343"/>
            </w:pPr>
            <w:r>
              <w:rPr>
                <w:rFonts w:hint="eastAsia"/>
              </w:rPr>
              <w:t>资家湾</w:t>
            </w:r>
          </w:p>
        </w:tc>
        <w:tc>
          <w:tcPr>
            <w:tcW w:w="1145" w:type="dxa"/>
            <w:noWrap/>
            <w:vAlign w:val="center"/>
          </w:tcPr>
          <w:p w14:paraId="5AEC4E82">
            <w:pPr>
              <w:pStyle w:val="1343"/>
            </w:pPr>
            <w:r>
              <w:rPr>
                <w:rFonts w:hint="eastAsia"/>
              </w:rPr>
              <w:t>112.9286</w:t>
            </w:r>
          </w:p>
        </w:tc>
        <w:tc>
          <w:tcPr>
            <w:tcW w:w="996" w:type="dxa"/>
            <w:noWrap/>
            <w:vAlign w:val="center"/>
          </w:tcPr>
          <w:p w14:paraId="4880AA31">
            <w:pPr>
              <w:pStyle w:val="1343"/>
            </w:pPr>
            <w:r>
              <w:rPr>
                <w:rFonts w:hint="eastAsia"/>
              </w:rPr>
              <w:t>26.4153</w:t>
            </w:r>
          </w:p>
        </w:tc>
        <w:tc>
          <w:tcPr>
            <w:tcW w:w="1513" w:type="dxa"/>
            <w:noWrap/>
            <w:vAlign w:val="center"/>
          </w:tcPr>
          <w:p w14:paraId="2EDA7F63">
            <w:pPr>
              <w:pStyle w:val="1343"/>
            </w:pPr>
            <w:r>
              <w:rPr>
                <w:rFonts w:hint="eastAsia"/>
              </w:rPr>
              <w:t>管道东侧50m</w:t>
            </w:r>
          </w:p>
        </w:tc>
        <w:tc>
          <w:tcPr>
            <w:tcW w:w="1050" w:type="dxa"/>
            <w:vAlign w:val="center"/>
          </w:tcPr>
          <w:p w14:paraId="1D6FD48B">
            <w:pPr>
              <w:pStyle w:val="1343"/>
            </w:pPr>
            <w:r>
              <w:rPr>
                <w:rFonts w:hint="eastAsia"/>
              </w:rPr>
              <w:t>85人</w:t>
            </w:r>
          </w:p>
        </w:tc>
        <w:tc>
          <w:tcPr>
            <w:tcW w:w="994" w:type="dxa"/>
            <w:vAlign w:val="center"/>
          </w:tcPr>
          <w:p w14:paraId="1203186B">
            <w:pPr>
              <w:pStyle w:val="1343"/>
            </w:pPr>
            <w:r>
              <w:rPr>
                <w:rFonts w:hint="eastAsia"/>
              </w:rPr>
              <w:t>25人</w:t>
            </w:r>
          </w:p>
        </w:tc>
        <w:tc>
          <w:tcPr>
            <w:tcW w:w="704" w:type="dxa"/>
            <w:vAlign w:val="center"/>
          </w:tcPr>
          <w:p w14:paraId="53DE0E63">
            <w:pPr>
              <w:pStyle w:val="1343"/>
            </w:pPr>
            <w:r>
              <w:t>村庄</w:t>
            </w:r>
          </w:p>
        </w:tc>
        <w:tc>
          <w:tcPr>
            <w:tcW w:w="1448" w:type="dxa"/>
            <w:vMerge w:val="continue"/>
            <w:vAlign w:val="center"/>
          </w:tcPr>
          <w:p w14:paraId="07A71AA5">
            <w:pPr>
              <w:pStyle w:val="1343"/>
            </w:pPr>
          </w:p>
        </w:tc>
      </w:tr>
      <w:tr w14:paraId="455DC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dxa"/>
            <w:vAlign w:val="center"/>
          </w:tcPr>
          <w:p w14:paraId="5F767F73">
            <w:pPr>
              <w:pStyle w:val="1343"/>
            </w:pPr>
            <w:r>
              <w:rPr>
                <w:rFonts w:hint="eastAsia"/>
              </w:rPr>
              <w:t>3</w:t>
            </w:r>
          </w:p>
        </w:tc>
        <w:tc>
          <w:tcPr>
            <w:tcW w:w="927" w:type="dxa"/>
            <w:vAlign w:val="center"/>
          </w:tcPr>
          <w:p w14:paraId="31DE39B0">
            <w:pPr>
              <w:pStyle w:val="1343"/>
            </w:pPr>
            <w:r>
              <w:rPr>
                <w:rFonts w:hint="eastAsia"/>
              </w:rPr>
              <w:t>铜角湾</w:t>
            </w:r>
          </w:p>
        </w:tc>
        <w:tc>
          <w:tcPr>
            <w:tcW w:w="1145" w:type="dxa"/>
            <w:noWrap/>
            <w:vAlign w:val="center"/>
          </w:tcPr>
          <w:p w14:paraId="3BEE2E6B">
            <w:pPr>
              <w:pStyle w:val="1343"/>
            </w:pPr>
            <w:r>
              <w:rPr>
                <w:rFonts w:hint="eastAsia"/>
              </w:rPr>
              <w:t>112.9281</w:t>
            </w:r>
          </w:p>
        </w:tc>
        <w:tc>
          <w:tcPr>
            <w:tcW w:w="996" w:type="dxa"/>
            <w:noWrap/>
            <w:vAlign w:val="center"/>
          </w:tcPr>
          <w:p w14:paraId="47E96F69">
            <w:pPr>
              <w:pStyle w:val="1343"/>
            </w:pPr>
            <w:r>
              <w:rPr>
                <w:rFonts w:hint="eastAsia"/>
              </w:rPr>
              <w:t>26.4115</w:t>
            </w:r>
          </w:p>
        </w:tc>
        <w:tc>
          <w:tcPr>
            <w:tcW w:w="1513" w:type="dxa"/>
            <w:noWrap/>
            <w:vAlign w:val="center"/>
          </w:tcPr>
          <w:p w14:paraId="363F2A19">
            <w:pPr>
              <w:pStyle w:val="1343"/>
            </w:pPr>
            <w:r>
              <w:rPr>
                <w:rFonts w:hint="eastAsia"/>
              </w:rPr>
              <w:t>耒阳分输站东侧190m</w:t>
            </w:r>
          </w:p>
        </w:tc>
        <w:tc>
          <w:tcPr>
            <w:tcW w:w="1050" w:type="dxa"/>
            <w:vAlign w:val="center"/>
          </w:tcPr>
          <w:p w14:paraId="221E0280">
            <w:pPr>
              <w:pStyle w:val="1343"/>
            </w:pPr>
            <w:r>
              <w:rPr>
                <w:rFonts w:hint="eastAsia"/>
              </w:rPr>
              <w:t>130</w:t>
            </w:r>
            <w:r>
              <w:t>人</w:t>
            </w:r>
          </w:p>
        </w:tc>
        <w:tc>
          <w:tcPr>
            <w:tcW w:w="994" w:type="dxa"/>
            <w:vAlign w:val="center"/>
          </w:tcPr>
          <w:p w14:paraId="124C8400">
            <w:pPr>
              <w:pStyle w:val="1343"/>
            </w:pPr>
            <w:r>
              <w:rPr>
                <w:rFonts w:hint="eastAsia"/>
              </w:rPr>
              <w:t>36人</w:t>
            </w:r>
          </w:p>
        </w:tc>
        <w:tc>
          <w:tcPr>
            <w:tcW w:w="704" w:type="dxa"/>
            <w:vAlign w:val="center"/>
          </w:tcPr>
          <w:p w14:paraId="138A2D8D">
            <w:pPr>
              <w:pStyle w:val="1343"/>
            </w:pPr>
            <w:r>
              <w:t>村庄</w:t>
            </w:r>
          </w:p>
        </w:tc>
        <w:tc>
          <w:tcPr>
            <w:tcW w:w="1448" w:type="dxa"/>
            <w:vMerge w:val="continue"/>
            <w:vAlign w:val="center"/>
          </w:tcPr>
          <w:p w14:paraId="1173BEEF">
            <w:pPr>
              <w:pStyle w:val="1343"/>
            </w:pPr>
          </w:p>
        </w:tc>
      </w:tr>
      <w:tr w14:paraId="4B1E3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0" w:type="dxa"/>
            <w:gridSpan w:val="5"/>
            <w:vAlign w:val="center"/>
          </w:tcPr>
          <w:p w14:paraId="7D725B2B">
            <w:pPr>
              <w:pStyle w:val="1343"/>
            </w:pPr>
            <w:r>
              <w:t>合计</w:t>
            </w:r>
          </w:p>
        </w:tc>
        <w:tc>
          <w:tcPr>
            <w:tcW w:w="1050" w:type="dxa"/>
            <w:vAlign w:val="center"/>
          </w:tcPr>
          <w:p w14:paraId="3061042A">
            <w:pPr>
              <w:pStyle w:val="1343"/>
            </w:pPr>
            <w:r>
              <w:rPr>
                <w:rFonts w:hint="eastAsia"/>
              </w:rPr>
              <w:t>295</w:t>
            </w:r>
            <w:r>
              <w:t>人</w:t>
            </w:r>
          </w:p>
        </w:tc>
        <w:tc>
          <w:tcPr>
            <w:tcW w:w="994" w:type="dxa"/>
            <w:vAlign w:val="center"/>
          </w:tcPr>
          <w:p w14:paraId="1DC3C133">
            <w:pPr>
              <w:pStyle w:val="1343"/>
            </w:pPr>
            <w:r>
              <w:rPr>
                <w:rFonts w:hint="eastAsia"/>
              </w:rPr>
              <w:t>79人</w:t>
            </w:r>
          </w:p>
        </w:tc>
        <w:tc>
          <w:tcPr>
            <w:tcW w:w="704" w:type="dxa"/>
            <w:vAlign w:val="center"/>
          </w:tcPr>
          <w:p w14:paraId="3261FF9C">
            <w:pPr>
              <w:pStyle w:val="1343"/>
            </w:pPr>
            <w:r>
              <w:rPr>
                <w:rFonts w:hint="eastAsia"/>
              </w:rPr>
              <w:t>/</w:t>
            </w:r>
          </w:p>
        </w:tc>
        <w:tc>
          <w:tcPr>
            <w:tcW w:w="1448" w:type="dxa"/>
            <w:vAlign w:val="center"/>
          </w:tcPr>
          <w:p w14:paraId="34262B67">
            <w:pPr>
              <w:pStyle w:val="1343"/>
            </w:pPr>
            <w:r>
              <w:rPr>
                <w:rFonts w:hint="eastAsia"/>
              </w:rPr>
              <w:t>/</w:t>
            </w:r>
          </w:p>
        </w:tc>
      </w:tr>
    </w:tbl>
    <w:p w14:paraId="7CF2DA9A">
      <w:pPr>
        <w:pStyle w:val="5"/>
        <w:snapToGrid w:val="0"/>
        <w:spacing w:before="120" w:beforeLines="50"/>
        <w:rPr>
          <w:color w:val="auto"/>
        </w:rPr>
      </w:pPr>
      <w:r>
        <w:rPr>
          <w:color w:val="auto"/>
        </w:rPr>
        <w:t>环境风险敏感目标</w:t>
      </w:r>
    </w:p>
    <w:p w14:paraId="2CFA2973">
      <w:pPr>
        <w:pStyle w:val="234"/>
        <w:rPr>
          <w:highlight w:val="none"/>
        </w:rPr>
      </w:pPr>
      <w:r>
        <w:t>本工程</w:t>
      </w:r>
      <w:r>
        <w:rPr>
          <w:rFonts w:hint="eastAsia"/>
        </w:rPr>
        <w:t>管线周边100m</w:t>
      </w:r>
      <w:r>
        <w:rPr>
          <w:rFonts w:hint="eastAsia"/>
          <w:highlight w:val="none"/>
        </w:rPr>
        <w:t>范围及站场周边3km范围的环境风险敏感目标分别见表2.8-</w:t>
      </w:r>
      <w:r>
        <w:rPr>
          <w:rFonts w:hint="eastAsia"/>
          <w:highlight w:val="none"/>
          <w:lang w:val="en-US" w:eastAsia="zh-CN"/>
        </w:rPr>
        <w:t>4</w:t>
      </w:r>
      <w:r>
        <w:rPr>
          <w:rFonts w:hint="eastAsia"/>
          <w:highlight w:val="none"/>
        </w:rPr>
        <w:t>、表2.8-</w:t>
      </w:r>
      <w:r>
        <w:rPr>
          <w:rFonts w:hint="eastAsia"/>
          <w:highlight w:val="none"/>
          <w:lang w:val="en-US" w:eastAsia="zh-CN"/>
        </w:rPr>
        <w:t>5</w:t>
      </w:r>
      <w:r>
        <w:rPr>
          <w:rFonts w:hint="eastAsia"/>
          <w:highlight w:val="none"/>
        </w:rPr>
        <w:t>和图2.5-1</w:t>
      </w:r>
      <w:r>
        <w:rPr>
          <w:highlight w:val="none"/>
        </w:rPr>
        <w:t>。</w:t>
      </w:r>
    </w:p>
    <w:p w14:paraId="15DC06BD">
      <w:pPr>
        <w:pStyle w:val="904"/>
      </w:pPr>
      <w:r>
        <w:rPr>
          <w:highlight w:val="none"/>
        </w:rPr>
        <w:t xml:space="preserve">表 </w:t>
      </w:r>
      <w:r>
        <w:rPr>
          <w:highlight w:val="none"/>
        </w:rPr>
        <w:fldChar w:fldCharType="begin"/>
      </w:r>
      <w:r>
        <w:rPr>
          <w:highlight w:val="none"/>
        </w:rPr>
        <w:instrText xml:space="preserve"> STYLEREF 2 \s </w:instrText>
      </w:r>
      <w:r>
        <w:rPr>
          <w:highlight w:val="none"/>
        </w:rPr>
        <w:fldChar w:fldCharType="separate"/>
      </w:r>
      <w:r>
        <w:rPr>
          <w:highlight w:val="none"/>
        </w:rPr>
        <w:t>2.8</w:t>
      </w:r>
      <w:r>
        <w:rPr>
          <w:highlight w:val="none"/>
        </w:rPr>
        <w:fldChar w:fldCharType="end"/>
      </w:r>
      <w:r>
        <w:rPr>
          <w:highlight w:val="none"/>
        </w:rPr>
        <w:noBreakHyphen/>
      </w:r>
      <w:r>
        <w:rPr>
          <w:rFonts w:hint="eastAsia"/>
          <w:highlight w:val="none"/>
          <w:lang w:val="en-US" w:eastAsia="zh-CN"/>
        </w:rPr>
        <w:t>4</w:t>
      </w:r>
      <w:r>
        <w:rPr>
          <w:highlight w:val="none"/>
        </w:rPr>
        <w:t>本工</w:t>
      </w:r>
      <w:r>
        <w:t>程管线</w:t>
      </w:r>
      <w:r>
        <w:rPr>
          <w:rFonts w:hint="eastAsia"/>
        </w:rPr>
        <w:t>1</w:t>
      </w:r>
      <w:r>
        <w:t>00m范围内环境风险保护目标一览表</w:t>
      </w:r>
    </w:p>
    <w:tbl>
      <w:tblPr>
        <w:tblStyle w:val="139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0"/>
        <w:gridCol w:w="991"/>
        <w:gridCol w:w="1133"/>
        <w:gridCol w:w="992"/>
        <w:gridCol w:w="710"/>
        <w:gridCol w:w="711"/>
        <w:gridCol w:w="1157"/>
        <w:gridCol w:w="1032"/>
        <w:gridCol w:w="657"/>
        <w:gridCol w:w="1272"/>
      </w:tblGrid>
      <w:tr w14:paraId="3AA97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restart"/>
            <w:noWrap/>
            <w:vAlign w:val="center"/>
          </w:tcPr>
          <w:p w14:paraId="25638BDD">
            <w:pPr>
              <w:pStyle w:val="1343"/>
            </w:pPr>
            <w:r>
              <w:t>序号</w:t>
            </w:r>
          </w:p>
        </w:tc>
        <w:tc>
          <w:tcPr>
            <w:tcW w:w="992" w:type="dxa"/>
            <w:vMerge w:val="restart"/>
            <w:noWrap/>
            <w:vAlign w:val="center"/>
          </w:tcPr>
          <w:p w14:paraId="03B76DC1">
            <w:pPr>
              <w:pStyle w:val="1343"/>
            </w:pPr>
            <w:r>
              <w:t>敏感目标名称</w:t>
            </w:r>
          </w:p>
        </w:tc>
        <w:tc>
          <w:tcPr>
            <w:tcW w:w="1134" w:type="dxa"/>
            <w:vMerge w:val="restart"/>
            <w:noWrap/>
            <w:vAlign w:val="center"/>
          </w:tcPr>
          <w:p w14:paraId="3CC63B2F">
            <w:pPr>
              <w:pStyle w:val="1343"/>
            </w:pPr>
            <w:r>
              <w:t>经度(度)</w:t>
            </w:r>
          </w:p>
        </w:tc>
        <w:tc>
          <w:tcPr>
            <w:tcW w:w="993" w:type="dxa"/>
            <w:vMerge w:val="restart"/>
            <w:noWrap/>
            <w:vAlign w:val="center"/>
          </w:tcPr>
          <w:p w14:paraId="0701020B">
            <w:pPr>
              <w:pStyle w:val="1343"/>
            </w:pPr>
            <w:r>
              <w:t>纬度(度)</w:t>
            </w:r>
          </w:p>
        </w:tc>
        <w:tc>
          <w:tcPr>
            <w:tcW w:w="708" w:type="dxa"/>
            <w:vMerge w:val="restart"/>
            <w:noWrap/>
            <w:vAlign w:val="center"/>
          </w:tcPr>
          <w:p w14:paraId="6D7325D4">
            <w:pPr>
              <w:pStyle w:val="1343"/>
            </w:pPr>
            <w:r>
              <w:t>距离(m)</w:t>
            </w:r>
          </w:p>
        </w:tc>
        <w:tc>
          <w:tcPr>
            <w:tcW w:w="709" w:type="dxa"/>
            <w:vMerge w:val="restart"/>
            <w:noWrap/>
            <w:vAlign w:val="center"/>
          </w:tcPr>
          <w:p w14:paraId="17C9FB26">
            <w:pPr>
              <w:pStyle w:val="1343"/>
            </w:pPr>
            <w:r>
              <w:t>方位</w:t>
            </w:r>
          </w:p>
        </w:tc>
        <w:tc>
          <w:tcPr>
            <w:tcW w:w="1159" w:type="dxa"/>
            <w:vMerge w:val="restart"/>
            <w:vAlign w:val="center"/>
          </w:tcPr>
          <w:p w14:paraId="56B50646">
            <w:pPr>
              <w:pStyle w:val="1343"/>
            </w:pPr>
            <w:r>
              <w:rPr>
                <w:rFonts w:hint="eastAsia"/>
              </w:rPr>
              <w:t>敏感目标规模</w:t>
            </w:r>
          </w:p>
        </w:tc>
        <w:tc>
          <w:tcPr>
            <w:tcW w:w="1033" w:type="dxa"/>
            <w:vMerge w:val="restart"/>
            <w:vAlign w:val="center"/>
          </w:tcPr>
          <w:p w14:paraId="04CE7FE9">
            <w:pPr>
              <w:pStyle w:val="1343"/>
            </w:pPr>
            <w:r>
              <w:rPr>
                <w:rFonts w:hint="eastAsia"/>
              </w:rPr>
              <w:t>1</w:t>
            </w:r>
            <w:r>
              <w:t>00</w:t>
            </w:r>
            <w:r>
              <w:rPr>
                <w:rFonts w:hint="eastAsia"/>
              </w:rPr>
              <w:t>m范围内人数</w:t>
            </w:r>
          </w:p>
        </w:tc>
        <w:tc>
          <w:tcPr>
            <w:tcW w:w="655" w:type="dxa"/>
            <w:vMerge w:val="restart"/>
            <w:vAlign w:val="center"/>
          </w:tcPr>
          <w:p w14:paraId="3D88C21D">
            <w:pPr>
              <w:pStyle w:val="1343"/>
            </w:pPr>
            <w:r>
              <w:t>保护类别</w:t>
            </w:r>
          </w:p>
        </w:tc>
        <w:tc>
          <w:tcPr>
            <w:tcW w:w="1275" w:type="dxa"/>
            <w:vMerge w:val="restart"/>
            <w:noWrap/>
            <w:vAlign w:val="center"/>
          </w:tcPr>
          <w:p w14:paraId="7E7F95AA">
            <w:pPr>
              <w:pStyle w:val="1343"/>
            </w:pPr>
            <w:r>
              <w:t>保护等级</w:t>
            </w:r>
          </w:p>
        </w:tc>
      </w:tr>
      <w:tr w14:paraId="47587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Merge w:val="continue"/>
            <w:noWrap/>
            <w:vAlign w:val="center"/>
          </w:tcPr>
          <w:p w14:paraId="3D498747">
            <w:pPr>
              <w:pStyle w:val="1343"/>
            </w:pPr>
          </w:p>
        </w:tc>
        <w:tc>
          <w:tcPr>
            <w:tcW w:w="992" w:type="dxa"/>
            <w:vMerge w:val="continue"/>
            <w:noWrap/>
            <w:vAlign w:val="center"/>
          </w:tcPr>
          <w:p w14:paraId="79D073D2">
            <w:pPr>
              <w:pStyle w:val="1343"/>
            </w:pPr>
          </w:p>
        </w:tc>
        <w:tc>
          <w:tcPr>
            <w:tcW w:w="1134" w:type="dxa"/>
            <w:vMerge w:val="continue"/>
            <w:noWrap/>
            <w:vAlign w:val="center"/>
          </w:tcPr>
          <w:p w14:paraId="21B608E2">
            <w:pPr>
              <w:pStyle w:val="1343"/>
            </w:pPr>
          </w:p>
        </w:tc>
        <w:tc>
          <w:tcPr>
            <w:tcW w:w="993" w:type="dxa"/>
            <w:vMerge w:val="continue"/>
            <w:noWrap/>
            <w:vAlign w:val="center"/>
          </w:tcPr>
          <w:p w14:paraId="05A8A068">
            <w:pPr>
              <w:pStyle w:val="1343"/>
            </w:pPr>
          </w:p>
        </w:tc>
        <w:tc>
          <w:tcPr>
            <w:tcW w:w="708" w:type="dxa"/>
            <w:vMerge w:val="continue"/>
            <w:noWrap/>
            <w:vAlign w:val="center"/>
          </w:tcPr>
          <w:p w14:paraId="4C9F5F3B">
            <w:pPr>
              <w:pStyle w:val="1343"/>
            </w:pPr>
          </w:p>
        </w:tc>
        <w:tc>
          <w:tcPr>
            <w:tcW w:w="709" w:type="dxa"/>
            <w:vMerge w:val="continue"/>
            <w:noWrap/>
            <w:vAlign w:val="center"/>
          </w:tcPr>
          <w:p w14:paraId="18C220C7">
            <w:pPr>
              <w:pStyle w:val="1343"/>
            </w:pPr>
          </w:p>
        </w:tc>
        <w:tc>
          <w:tcPr>
            <w:tcW w:w="1159" w:type="dxa"/>
            <w:vMerge w:val="continue"/>
            <w:vAlign w:val="center"/>
          </w:tcPr>
          <w:p w14:paraId="56B622DE">
            <w:pPr>
              <w:pStyle w:val="1343"/>
            </w:pPr>
          </w:p>
        </w:tc>
        <w:tc>
          <w:tcPr>
            <w:tcW w:w="1033" w:type="dxa"/>
            <w:vMerge w:val="continue"/>
            <w:vAlign w:val="center"/>
          </w:tcPr>
          <w:p w14:paraId="5DCCAF98">
            <w:pPr>
              <w:pStyle w:val="1343"/>
            </w:pPr>
          </w:p>
        </w:tc>
        <w:tc>
          <w:tcPr>
            <w:tcW w:w="655" w:type="dxa"/>
            <w:vMerge w:val="continue"/>
            <w:vAlign w:val="center"/>
          </w:tcPr>
          <w:p w14:paraId="05F01249">
            <w:pPr>
              <w:pStyle w:val="1343"/>
            </w:pPr>
          </w:p>
        </w:tc>
        <w:tc>
          <w:tcPr>
            <w:tcW w:w="1275" w:type="dxa"/>
            <w:vMerge w:val="continue"/>
            <w:noWrap/>
            <w:vAlign w:val="center"/>
          </w:tcPr>
          <w:p w14:paraId="5CC44B58">
            <w:pPr>
              <w:pStyle w:val="1343"/>
            </w:pPr>
          </w:p>
        </w:tc>
      </w:tr>
      <w:tr w14:paraId="7570A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5" w:hRule="atLeast"/>
          <w:jc w:val="center"/>
        </w:trPr>
        <w:tc>
          <w:tcPr>
            <w:tcW w:w="628" w:type="dxa"/>
            <w:vAlign w:val="center"/>
          </w:tcPr>
          <w:p w14:paraId="5B9FD381">
            <w:pPr>
              <w:pStyle w:val="1343"/>
            </w:pPr>
            <w:r>
              <w:t>1</w:t>
            </w:r>
          </w:p>
        </w:tc>
        <w:tc>
          <w:tcPr>
            <w:tcW w:w="992" w:type="dxa"/>
            <w:noWrap/>
            <w:vAlign w:val="center"/>
          </w:tcPr>
          <w:p w14:paraId="0061779D">
            <w:pPr>
              <w:pStyle w:val="1343"/>
            </w:pPr>
            <w:r>
              <w:rPr>
                <w:rFonts w:hint="eastAsia"/>
              </w:rPr>
              <w:t>蒋家冲</w:t>
            </w:r>
          </w:p>
        </w:tc>
        <w:tc>
          <w:tcPr>
            <w:tcW w:w="1134" w:type="dxa"/>
            <w:noWrap/>
            <w:vAlign w:val="center"/>
          </w:tcPr>
          <w:p w14:paraId="3FB44DD4">
            <w:pPr>
              <w:pStyle w:val="1343"/>
            </w:pPr>
            <w:r>
              <w:rPr>
                <w:rFonts w:hint="eastAsia"/>
              </w:rPr>
              <w:t>112.9210</w:t>
            </w:r>
          </w:p>
        </w:tc>
        <w:tc>
          <w:tcPr>
            <w:tcW w:w="993" w:type="dxa"/>
            <w:noWrap/>
            <w:vAlign w:val="center"/>
          </w:tcPr>
          <w:p w14:paraId="27700D77">
            <w:pPr>
              <w:pStyle w:val="1343"/>
            </w:pPr>
            <w:r>
              <w:rPr>
                <w:rFonts w:hint="eastAsia"/>
              </w:rPr>
              <w:t>26.4142</w:t>
            </w:r>
          </w:p>
        </w:tc>
        <w:tc>
          <w:tcPr>
            <w:tcW w:w="708" w:type="dxa"/>
            <w:noWrap/>
            <w:vAlign w:val="center"/>
          </w:tcPr>
          <w:p w14:paraId="31ACEB51">
            <w:pPr>
              <w:pStyle w:val="1343"/>
            </w:pPr>
            <w:r>
              <w:rPr>
                <w:rFonts w:hint="eastAsia"/>
              </w:rPr>
              <w:t>40</w:t>
            </w:r>
          </w:p>
        </w:tc>
        <w:tc>
          <w:tcPr>
            <w:tcW w:w="709" w:type="dxa"/>
            <w:noWrap/>
            <w:vAlign w:val="center"/>
          </w:tcPr>
          <w:p w14:paraId="204E13FD">
            <w:pPr>
              <w:pStyle w:val="1343"/>
            </w:pPr>
            <w:r>
              <w:rPr>
                <w:rFonts w:hint="eastAsia"/>
              </w:rPr>
              <w:t>W</w:t>
            </w:r>
          </w:p>
        </w:tc>
        <w:tc>
          <w:tcPr>
            <w:tcW w:w="1159" w:type="dxa"/>
            <w:vAlign w:val="center"/>
          </w:tcPr>
          <w:p w14:paraId="42F8C216">
            <w:pPr>
              <w:pStyle w:val="1343"/>
            </w:pPr>
            <w:r>
              <w:rPr>
                <w:rFonts w:hint="eastAsia"/>
              </w:rPr>
              <w:t>8</w:t>
            </w:r>
            <w:r>
              <w:t>0人</w:t>
            </w:r>
          </w:p>
        </w:tc>
        <w:tc>
          <w:tcPr>
            <w:tcW w:w="1033" w:type="dxa"/>
            <w:vAlign w:val="center"/>
          </w:tcPr>
          <w:p w14:paraId="47ED13A3">
            <w:pPr>
              <w:pStyle w:val="1343"/>
            </w:pPr>
            <w:r>
              <w:rPr>
                <w:rFonts w:hint="eastAsia"/>
              </w:rPr>
              <w:t>5人</w:t>
            </w:r>
          </w:p>
        </w:tc>
        <w:tc>
          <w:tcPr>
            <w:tcW w:w="655" w:type="dxa"/>
            <w:vAlign w:val="center"/>
          </w:tcPr>
          <w:p w14:paraId="5C5A917D">
            <w:pPr>
              <w:pStyle w:val="1343"/>
            </w:pPr>
            <w:r>
              <w:t>村庄</w:t>
            </w:r>
          </w:p>
        </w:tc>
        <w:tc>
          <w:tcPr>
            <w:tcW w:w="1275" w:type="dxa"/>
            <w:vMerge w:val="restart"/>
            <w:vAlign w:val="center"/>
          </w:tcPr>
          <w:p w14:paraId="0E38D747">
            <w:pPr>
              <w:pStyle w:val="1343"/>
            </w:pPr>
            <w:r>
              <w:rPr>
                <w:rFonts w:hint="eastAsia"/>
              </w:rPr>
              <w:t>《环境空气质量标准》(GB3095-2012)二级标准及2018年修改单</w:t>
            </w:r>
          </w:p>
        </w:tc>
      </w:tr>
      <w:tr w14:paraId="374CB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dxa"/>
            <w:vAlign w:val="center"/>
          </w:tcPr>
          <w:p w14:paraId="264AC6EC">
            <w:pPr>
              <w:pStyle w:val="1343"/>
            </w:pPr>
            <w:r>
              <w:t>2</w:t>
            </w:r>
          </w:p>
        </w:tc>
        <w:tc>
          <w:tcPr>
            <w:tcW w:w="992" w:type="dxa"/>
            <w:noWrap/>
            <w:vAlign w:val="center"/>
          </w:tcPr>
          <w:p w14:paraId="5243FF5F">
            <w:pPr>
              <w:pStyle w:val="1343"/>
            </w:pPr>
            <w:r>
              <w:rPr>
                <w:rFonts w:hint="eastAsia"/>
              </w:rPr>
              <w:t>资家湾</w:t>
            </w:r>
          </w:p>
        </w:tc>
        <w:tc>
          <w:tcPr>
            <w:tcW w:w="1134" w:type="dxa"/>
            <w:noWrap/>
            <w:vAlign w:val="center"/>
          </w:tcPr>
          <w:p w14:paraId="01A28626">
            <w:pPr>
              <w:pStyle w:val="1343"/>
            </w:pPr>
            <w:r>
              <w:rPr>
                <w:rFonts w:hint="eastAsia"/>
              </w:rPr>
              <w:t>112.9286</w:t>
            </w:r>
          </w:p>
        </w:tc>
        <w:tc>
          <w:tcPr>
            <w:tcW w:w="993" w:type="dxa"/>
            <w:noWrap/>
            <w:vAlign w:val="center"/>
          </w:tcPr>
          <w:p w14:paraId="25B0D6B0">
            <w:pPr>
              <w:pStyle w:val="1343"/>
            </w:pPr>
            <w:r>
              <w:rPr>
                <w:rFonts w:hint="eastAsia"/>
              </w:rPr>
              <w:t>26.4153</w:t>
            </w:r>
          </w:p>
        </w:tc>
        <w:tc>
          <w:tcPr>
            <w:tcW w:w="708" w:type="dxa"/>
            <w:noWrap/>
            <w:vAlign w:val="center"/>
          </w:tcPr>
          <w:p w14:paraId="274DFE89">
            <w:pPr>
              <w:pStyle w:val="1343"/>
            </w:pPr>
            <w:r>
              <w:rPr>
                <w:rFonts w:hint="eastAsia"/>
              </w:rPr>
              <w:t>50</w:t>
            </w:r>
          </w:p>
        </w:tc>
        <w:tc>
          <w:tcPr>
            <w:tcW w:w="709" w:type="dxa"/>
            <w:noWrap/>
            <w:vAlign w:val="center"/>
          </w:tcPr>
          <w:p w14:paraId="2402BE07">
            <w:pPr>
              <w:pStyle w:val="1343"/>
            </w:pPr>
            <w:r>
              <w:t>E</w:t>
            </w:r>
          </w:p>
        </w:tc>
        <w:tc>
          <w:tcPr>
            <w:tcW w:w="1159" w:type="dxa"/>
            <w:vAlign w:val="center"/>
          </w:tcPr>
          <w:p w14:paraId="4EE40932">
            <w:pPr>
              <w:pStyle w:val="1343"/>
            </w:pPr>
            <w:r>
              <w:rPr>
                <w:rFonts w:hint="eastAsia"/>
              </w:rPr>
              <w:t>85</w:t>
            </w:r>
            <w:r>
              <w:t>人</w:t>
            </w:r>
          </w:p>
        </w:tc>
        <w:tc>
          <w:tcPr>
            <w:tcW w:w="1033" w:type="dxa"/>
            <w:vAlign w:val="center"/>
          </w:tcPr>
          <w:p w14:paraId="5B854D62">
            <w:pPr>
              <w:pStyle w:val="1343"/>
            </w:pPr>
            <w:r>
              <w:rPr>
                <w:rFonts w:hint="eastAsia"/>
              </w:rPr>
              <w:t>13人</w:t>
            </w:r>
          </w:p>
        </w:tc>
        <w:tc>
          <w:tcPr>
            <w:tcW w:w="655" w:type="dxa"/>
            <w:vAlign w:val="center"/>
          </w:tcPr>
          <w:p w14:paraId="66E4A5DD">
            <w:pPr>
              <w:pStyle w:val="1343"/>
            </w:pPr>
            <w:r>
              <w:t>村庄</w:t>
            </w:r>
          </w:p>
        </w:tc>
        <w:tc>
          <w:tcPr>
            <w:tcW w:w="1275" w:type="dxa"/>
            <w:vMerge w:val="continue"/>
            <w:vAlign w:val="center"/>
          </w:tcPr>
          <w:p w14:paraId="7BE47BC3">
            <w:pPr>
              <w:pStyle w:val="1343"/>
            </w:pPr>
          </w:p>
        </w:tc>
      </w:tr>
    </w:tbl>
    <w:p w14:paraId="502FA5E4">
      <w:pPr>
        <w:pStyle w:val="904"/>
        <w:spacing w:before="120" w:beforeLines="50"/>
        <w:rPr>
          <w:highlight w:val="yellow"/>
        </w:rPr>
      </w:pPr>
      <w:r>
        <w:rPr>
          <w:highlight w:val="none"/>
        </w:rPr>
        <w:t xml:space="preserve">表 </w:t>
      </w:r>
      <w:r>
        <w:rPr>
          <w:highlight w:val="none"/>
        </w:rPr>
        <w:fldChar w:fldCharType="begin"/>
      </w:r>
      <w:r>
        <w:rPr>
          <w:highlight w:val="none"/>
        </w:rPr>
        <w:instrText xml:space="preserve"> STYLEREF 2 \s </w:instrText>
      </w:r>
      <w:r>
        <w:rPr>
          <w:highlight w:val="none"/>
        </w:rPr>
        <w:fldChar w:fldCharType="separate"/>
      </w:r>
      <w:r>
        <w:rPr>
          <w:highlight w:val="none"/>
        </w:rPr>
        <w:t>2.8</w:t>
      </w:r>
      <w:r>
        <w:rPr>
          <w:highlight w:val="none"/>
        </w:rPr>
        <w:fldChar w:fldCharType="end"/>
      </w:r>
      <w:r>
        <w:rPr>
          <w:highlight w:val="none"/>
        </w:rPr>
        <w:t>-</w:t>
      </w:r>
      <w:r>
        <w:rPr>
          <w:rFonts w:hint="eastAsia"/>
          <w:highlight w:val="none"/>
          <w:lang w:val="en-US" w:eastAsia="zh-CN"/>
        </w:rPr>
        <w:t>5</w:t>
      </w:r>
      <w:r>
        <w:rPr>
          <w:highlight w:val="none"/>
        </w:rPr>
        <w:t>本工</w:t>
      </w:r>
      <w:r>
        <w:t>程</w:t>
      </w:r>
      <w:r>
        <w:rPr>
          <w:rFonts w:hint="eastAsia"/>
        </w:rPr>
        <w:t>站场3km范围内环境风险保护目标一览表</w:t>
      </w:r>
    </w:p>
    <w:tbl>
      <w:tblPr>
        <w:tblStyle w:val="139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7"/>
        <w:gridCol w:w="513"/>
        <w:gridCol w:w="1555"/>
        <w:gridCol w:w="1062"/>
        <w:gridCol w:w="1144"/>
        <w:gridCol w:w="1022"/>
        <w:gridCol w:w="803"/>
        <w:gridCol w:w="1172"/>
        <w:gridCol w:w="687"/>
        <w:gridCol w:w="862"/>
      </w:tblGrid>
      <w:tr w14:paraId="72C70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noWrap/>
            <w:vAlign w:val="center"/>
          </w:tcPr>
          <w:p w14:paraId="544D08DE">
            <w:pPr>
              <w:pStyle w:val="1343"/>
            </w:pPr>
            <w:r>
              <w:t>序号</w:t>
            </w:r>
          </w:p>
        </w:tc>
        <w:tc>
          <w:tcPr>
            <w:tcW w:w="276" w:type="pct"/>
            <w:noWrap/>
            <w:vAlign w:val="center"/>
          </w:tcPr>
          <w:p w14:paraId="2646B8CE">
            <w:pPr>
              <w:pStyle w:val="1343"/>
            </w:pPr>
            <w:r>
              <w:rPr>
                <w:rFonts w:hint="eastAsia"/>
              </w:rPr>
              <w:t>站场</w:t>
            </w:r>
          </w:p>
        </w:tc>
        <w:tc>
          <w:tcPr>
            <w:tcW w:w="837" w:type="pct"/>
            <w:noWrap/>
            <w:vAlign w:val="center"/>
          </w:tcPr>
          <w:p w14:paraId="656349CC">
            <w:pPr>
              <w:pStyle w:val="1343"/>
            </w:pPr>
            <w:r>
              <w:t>敏感目标名称</w:t>
            </w:r>
          </w:p>
        </w:tc>
        <w:tc>
          <w:tcPr>
            <w:tcW w:w="572" w:type="pct"/>
            <w:noWrap/>
            <w:vAlign w:val="center"/>
          </w:tcPr>
          <w:p w14:paraId="259E702C">
            <w:pPr>
              <w:pStyle w:val="1343"/>
            </w:pPr>
            <w:r>
              <w:t>经度(度)</w:t>
            </w:r>
          </w:p>
        </w:tc>
        <w:tc>
          <w:tcPr>
            <w:tcW w:w="616" w:type="pct"/>
            <w:noWrap/>
            <w:vAlign w:val="center"/>
          </w:tcPr>
          <w:p w14:paraId="4E1C4F8E">
            <w:pPr>
              <w:pStyle w:val="1343"/>
            </w:pPr>
            <w:r>
              <w:t>纬度(度)</w:t>
            </w:r>
          </w:p>
        </w:tc>
        <w:tc>
          <w:tcPr>
            <w:tcW w:w="550" w:type="pct"/>
            <w:noWrap/>
            <w:vAlign w:val="center"/>
          </w:tcPr>
          <w:p w14:paraId="68E82654">
            <w:pPr>
              <w:pStyle w:val="1343"/>
            </w:pPr>
            <w:r>
              <w:t>距离(m)</w:t>
            </w:r>
          </w:p>
        </w:tc>
        <w:tc>
          <w:tcPr>
            <w:tcW w:w="432" w:type="pct"/>
            <w:noWrap/>
            <w:vAlign w:val="center"/>
          </w:tcPr>
          <w:p w14:paraId="370E23BC">
            <w:pPr>
              <w:pStyle w:val="1343"/>
            </w:pPr>
            <w:r>
              <w:t>方位</w:t>
            </w:r>
          </w:p>
        </w:tc>
        <w:tc>
          <w:tcPr>
            <w:tcW w:w="631" w:type="pct"/>
            <w:noWrap/>
            <w:vAlign w:val="center"/>
          </w:tcPr>
          <w:p w14:paraId="6B2D612F">
            <w:pPr>
              <w:pStyle w:val="1343"/>
            </w:pPr>
            <w:r>
              <w:t>敏感目标规模</w:t>
            </w:r>
          </w:p>
        </w:tc>
        <w:tc>
          <w:tcPr>
            <w:tcW w:w="366" w:type="pct"/>
            <w:noWrap/>
            <w:vAlign w:val="center"/>
          </w:tcPr>
          <w:p w14:paraId="7A3F64B7">
            <w:pPr>
              <w:pStyle w:val="1343"/>
            </w:pPr>
            <w:r>
              <w:t>保护类别</w:t>
            </w:r>
          </w:p>
        </w:tc>
        <w:tc>
          <w:tcPr>
            <w:tcW w:w="464" w:type="pct"/>
            <w:noWrap/>
            <w:vAlign w:val="center"/>
          </w:tcPr>
          <w:p w14:paraId="006DB0D0">
            <w:pPr>
              <w:pStyle w:val="1343"/>
            </w:pPr>
            <w:r>
              <w:t>保护等级</w:t>
            </w:r>
          </w:p>
        </w:tc>
      </w:tr>
      <w:tr w14:paraId="69ED2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7C8906DF">
            <w:pPr>
              <w:pStyle w:val="1343"/>
              <w:numPr>
                <w:ilvl w:val="0"/>
                <w:numId w:val="24"/>
              </w:numPr>
            </w:pPr>
          </w:p>
        </w:tc>
        <w:tc>
          <w:tcPr>
            <w:tcW w:w="276" w:type="pct"/>
            <w:vMerge w:val="restart"/>
            <w:noWrap/>
            <w:vAlign w:val="center"/>
          </w:tcPr>
          <w:p w14:paraId="4E1E976D">
            <w:pPr>
              <w:pStyle w:val="1343"/>
            </w:pPr>
            <w:r>
              <w:rPr>
                <w:rFonts w:hint="eastAsia"/>
              </w:rPr>
              <w:t>28号阀室</w:t>
            </w:r>
          </w:p>
        </w:tc>
        <w:tc>
          <w:tcPr>
            <w:tcW w:w="837" w:type="pct"/>
            <w:noWrap/>
            <w:vAlign w:val="center"/>
          </w:tcPr>
          <w:p w14:paraId="1A4583A8">
            <w:pPr>
              <w:pStyle w:val="1343"/>
            </w:pPr>
            <w:r>
              <w:rPr>
                <w:rFonts w:hint="eastAsia"/>
              </w:rPr>
              <w:t>肖家村</w:t>
            </w:r>
          </w:p>
        </w:tc>
        <w:tc>
          <w:tcPr>
            <w:tcW w:w="572" w:type="pct"/>
            <w:noWrap/>
            <w:vAlign w:val="center"/>
          </w:tcPr>
          <w:p w14:paraId="6DCBB82F">
            <w:pPr>
              <w:pStyle w:val="1343"/>
            </w:pPr>
            <w:r>
              <w:rPr>
                <w:rFonts w:hint="eastAsia"/>
              </w:rPr>
              <w:t>112.9235</w:t>
            </w:r>
          </w:p>
        </w:tc>
        <w:tc>
          <w:tcPr>
            <w:tcW w:w="616" w:type="pct"/>
            <w:noWrap/>
            <w:vAlign w:val="center"/>
          </w:tcPr>
          <w:p w14:paraId="4A9C20C4">
            <w:pPr>
              <w:pStyle w:val="1343"/>
            </w:pPr>
            <w:r>
              <w:rPr>
                <w:rFonts w:hint="eastAsia"/>
              </w:rPr>
              <w:t>26.4388</w:t>
            </w:r>
          </w:p>
        </w:tc>
        <w:tc>
          <w:tcPr>
            <w:tcW w:w="550" w:type="pct"/>
            <w:noWrap/>
            <w:vAlign w:val="center"/>
          </w:tcPr>
          <w:p w14:paraId="4823B66A">
            <w:pPr>
              <w:pStyle w:val="1343"/>
            </w:pPr>
            <w:r>
              <w:rPr>
                <w:rFonts w:hint="eastAsia"/>
              </w:rPr>
              <w:t>2350</w:t>
            </w:r>
          </w:p>
        </w:tc>
        <w:tc>
          <w:tcPr>
            <w:tcW w:w="432" w:type="pct"/>
            <w:noWrap/>
            <w:vAlign w:val="center"/>
          </w:tcPr>
          <w:p w14:paraId="4563D4E3">
            <w:pPr>
              <w:pStyle w:val="1343"/>
            </w:pPr>
            <w:r>
              <w:t>N</w:t>
            </w:r>
          </w:p>
        </w:tc>
        <w:tc>
          <w:tcPr>
            <w:tcW w:w="631" w:type="pct"/>
            <w:vAlign w:val="center"/>
          </w:tcPr>
          <w:p w14:paraId="25CBF19D">
            <w:pPr>
              <w:pStyle w:val="1343"/>
            </w:pPr>
            <w:r>
              <w:rPr>
                <w:rFonts w:hint="eastAsia"/>
              </w:rPr>
              <w:t>50人</w:t>
            </w:r>
          </w:p>
        </w:tc>
        <w:tc>
          <w:tcPr>
            <w:tcW w:w="366" w:type="pct"/>
            <w:vMerge w:val="restart"/>
            <w:vAlign w:val="center"/>
          </w:tcPr>
          <w:p w14:paraId="17D869E2">
            <w:pPr>
              <w:pStyle w:val="1343"/>
            </w:pPr>
          </w:p>
          <w:p w14:paraId="41A7721D">
            <w:pPr>
              <w:pStyle w:val="1343"/>
            </w:pPr>
            <w:r>
              <w:t>村庄</w:t>
            </w:r>
          </w:p>
        </w:tc>
        <w:tc>
          <w:tcPr>
            <w:tcW w:w="464" w:type="pct"/>
            <w:vMerge w:val="restart"/>
            <w:vAlign w:val="center"/>
          </w:tcPr>
          <w:p w14:paraId="566B74B6">
            <w:pPr>
              <w:pStyle w:val="1343"/>
            </w:pPr>
            <w:r>
              <w:t>《环境空气质量标准》(GB3095-2012)二级标准及2018年修改单</w:t>
            </w:r>
          </w:p>
        </w:tc>
      </w:tr>
      <w:tr w14:paraId="3A0C4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287E581D">
            <w:pPr>
              <w:pStyle w:val="1343"/>
              <w:numPr>
                <w:ilvl w:val="0"/>
                <w:numId w:val="24"/>
              </w:numPr>
            </w:pPr>
          </w:p>
        </w:tc>
        <w:tc>
          <w:tcPr>
            <w:tcW w:w="276" w:type="pct"/>
            <w:vMerge w:val="continue"/>
            <w:noWrap/>
            <w:vAlign w:val="center"/>
          </w:tcPr>
          <w:p w14:paraId="152439EC">
            <w:pPr>
              <w:pStyle w:val="1343"/>
            </w:pPr>
          </w:p>
        </w:tc>
        <w:tc>
          <w:tcPr>
            <w:tcW w:w="837" w:type="pct"/>
            <w:noWrap/>
            <w:vAlign w:val="center"/>
          </w:tcPr>
          <w:p w14:paraId="477958A2">
            <w:pPr>
              <w:pStyle w:val="1343"/>
            </w:pPr>
            <w:r>
              <w:rPr>
                <w:rFonts w:hint="eastAsia"/>
              </w:rPr>
              <w:t>鹿角桥</w:t>
            </w:r>
          </w:p>
        </w:tc>
        <w:tc>
          <w:tcPr>
            <w:tcW w:w="572" w:type="pct"/>
            <w:noWrap/>
            <w:vAlign w:val="center"/>
          </w:tcPr>
          <w:p w14:paraId="06C45B37">
            <w:pPr>
              <w:pStyle w:val="1343"/>
            </w:pPr>
            <w:r>
              <w:rPr>
                <w:rFonts w:hint="eastAsia"/>
              </w:rPr>
              <w:t>112.9266</w:t>
            </w:r>
          </w:p>
        </w:tc>
        <w:tc>
          <w:tcPr>
            <w:tcW w:w="616" w:type="pct"/>
            <w:noWrap/>
            <w:vAlign w:val="center"/>
          </w:tcPr>
          <w:p w14:paraId="6C3189F1">
            <w:pPr>
              <w:pStyle w:val="1343"/>
            </w:pPr>
            <w:r>
              <w:rPr>
                <w:rFonts w:hint="eastAsia"/>
              </w:rPr>
              <w:t>26.4394</w:t>
            </w:r>
          </w:p>
        </w:tc>
        <w:tc>
          <w:tcPr>
            <w:tcW w:w="550" w:type="pct"/>
            <w:noWrap/>
            <w:vAlign w:val="center"/>
          </w:tcPr>
          <w:p w14:paraId="063C918F">
            <w:pPr>
              <w:pStyle w:val="1343"/>
            </w:pPr>
            <w:r>
              <w:rPr>
                <w:rFonts w:hint="eastAsia"/>
              </w:rPr>
              <w:t>2480</w:t>
            </w:r>
          </w:p>
        </w:tc>
        <w:tc>
          <w:tcPr>
            <w:tcW w:w="432" w:type="pct"/>
            <w:noWrap/>
            <w:vAlign w:val="center"/>
          </w:tcPr>
          <w:p w14:paraId="34F97D83">
            <w:pPr>
              <w:pStyle w:val="1343"/>
            </w:pPr>
            <w:r>
              <w:t>N</w:t>
            </w:r>
          </w:p>
        </w:tc>
        <w:tc>
          <w:tcPr>
            <w:tcW w:w="631" w:type="pct"/>
            <w:vAlign w:val="center"/>
          </w:tcPr>
          <w:p w14:paraId="7D86A97C">
            <w:pPr>
              <w:pStyle w:val="1343"/>
            </w:pPr>
            <w:r>
              <w:rPr>
                <w:rFonts w:hint="eastAsia"/>
              </w:rPr>
              <w:t>20人</w:t>
            </w:r>
          </w:p>
        </w:tc>
        <w:tc>
          <w:tcPr>
            <w:tcW w:w="366" w:type="pct"/>
            <w:vMerge w:val="continue"/>
            <w:vAlign w:val="center"/>
          </w:tcPr>
          <w:p w14:paraId="53DC33B9">
            <w:pPr>
              <w:pStyle w:val="1343"/>
            </w:pPr>
          </w:p>
        </w:tc>
        <w:tc>
          <w:tcPr>
            <w:tcW w:w="464" w:type="pct"/>
            <w:vMerge w:val="continue"/>
            <w:vAlign w:val="center"/>
          </w:tcPr>
          <w:p w14:paraId="4E54032B">
            <w:pPr>
              <w:pStyle w:val="1343"/>
            </w:pPr>
          </w:p>
        </w:tc>
      </w:tr>
      <w:tr w14:paraId="071AE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0DB22C54">
            <w:pPr>
              <w:pStyle w:val="1343"/>
              <w:numPr>
                <w:ilvl w:val="0"/>
                <w:numId w:val="24"/>
              </w:numPr>
            </w:pPr>
          </w:p>
        </w:tc>
        <w:tc>
          <w:tcPr>
            <w:tcW w:w="276" w:type="pct"/>
            <w:vMerge w:val="continue"/>
            <w:noWrap/>
            <w:vAlign w:val="center"/>
          </w:tcPr>
          <w:p w14:paraId="296AA6C0">
            <w:pPr>
              <w:pStyle w:val="1343"/>
            </w:pPr>
          </w:p>
        </w:tc>
        <w:tc>
          <w:tcPr>
            <w:tcW w:w="837" w:type="pct"/>
            <w:noWrap/>
            <w:vAlign w:val="center"/>
          </w:tcPr>
          <w:p w14:paraId="7AB1FA1C">
            <w:pPr>
              <w:pStyle w:val="1343"/>
            </w:pPr>
            <w:r>
              <w:rPr>
                <w:rFonts w:hint="eastAsia"/>
              </w:rPr>
              <w:t>李家村</w:t>
            </w:r>
          </w:p>
        </w:tc>
        <w:tc>
          <w:tcPr>
            <w:tcW w:w="572" w:type="pct"/>
            <w:noWrap/>
            <w:vAlign w:val="center"/>
          </w:tcPr>
          <w:p w14:paraId="79DA7EAB">
            <w:pPr>
              <w:pStyle w:val="1343"/>
            </w:pPr>
            <w:r>
              <w:rPr>
                <w:rFonts w:hint="eastAsia"/>
              </w:rPr>
              <w:t>112.9230</w:t>
            </w:r>
          </w:p>
        </w:tc>
        <w:tc>
          <w:tcPr>
            <w:tcW w:w="616" w:type="pct"/>
            <w:noWrap/>
            <w:vAlign w:val="center"/>
          </w:tcPr>
          <w:p w14:paraId="15C2DC16">
            <w:pPr>
              <w:pStyle w:val="1343"/>
            </w:pPr>
            <w:r>
              <w:rPr>
                <w:rFonts w:hint="eastAsia"/>
              </w:rPr>
              <w:t>26.4414</w:t>
            </w:r>
          </w:p>
        </w:tc>
        <w:tc>
          <w:tcPr>
            <w:tcW w:w="550" w:type="pct"/>
            <w:noWrap/>
            <w:vAlign w:val="center"/>
          </w:tcPr>
          <w:p w14:paraId="3CDE31C8">
            <w:pPr>
              <w:pStyle w:val="1343"/>
            </w:pPr>
            <w:r>
              <w:rPr>
                <w:rFonts w:hint="eastAsia"/>
              </w:rPr>
              <w:t>2630</w:t>
            </w:r>
          </w:p>
        </w:tc>
        <w:tc>
          <w:tcPr>
            <w:tcW w:w="432" w:type="pct"/>
            <w:noWrap/>
            <w:vAlign w:val="center"/>
          </w:tcPr>
          <w:p w14:paraId="3866EA42">
            <w:pPr>
              <w:pStyle w:val="1343"/>
            </w:pPr>
            <w:r>
              <w:t>N</w:t>
            </w:r>
          </w:p>
        </w:tc>
        <w:tc>
          <w:tcPr>
            <w:tcW w:w="631" w:type="pct"/>
            <w:vAlign w:val="center"/>
          </w:tcPr>
          <w:p w14:paraId="19FA2021">
            <w:pPr>
              <w:pStyle w:val="1343"/>
            </w:pPr>
            <w:r>
              <w:rPr>
                <w:rFonts w:hint="eastAsia"/>
              </w:rPr>
              <w:t>60人</w:t>
            </w:r>
          </w:p>
        </w:tc>
        <w:tc>
          <w:tcPr>
            <w:tcW w:w="366" w:type="pct"/>
            <w:vMerge w:val="continue"/>
            <w:vAlign w:val="center"/>
          </w:tcPr>
          <w:p w14:paraId="209574CC">
            <w:pPr>
              <w:pStyle w:val="1343"/>
            </w:pPr>
          </w:p>
        </w:tc>
        <w:tc>
          <w:tcPr>
            <w:tcW w:w="464" w:type="pct"/>
            <w:vMerge w:val="continue"/>
            <w:vAlign w:val="center"/>
          </w:tcPr>
          <w:p w14:paraId="0565D284">
            <w:pPr>
              <w:pStyle w:val="1343"/>
            </w:pPr>
          </w:p>
        </w:tc>
      </w:tr>
      <w:tr w14:paraId="0C921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6AA3AF2B">
            <w:pPr>
              <w:pStyle w:val="1343"/>
              <w:numPr>
                <w:ilvl w:val="0"/>
                <w:numId w:val="24"/>
              </w:numPr>
            </w:pPr>
          </w:p>
        </w:tc>
        <w:tc>
          <w:tcPr>
            <w:tcW w:w="276" w:type="pct"/>
            <w:vMerge w:val="continue"/>
            <w:noWrap/>
            <w:vAlign w:val="center"/>
          </w:tcPr>
          <w:p w14:paraId="0F7D3C4E">
            <w:pPr>
              <w:pStyle w:val="1343"/>
            </w:pPr>
          </w:p>
        </w:tc>
        <w:tc>
          <w:tcPr>
            <w:tcW w:w="837" w:type="pct"/>
            <w:noWrap/>
            <w:vAlign w:val="center"/>
          </w:tcPr>
          <w:p w14:paraId="43CA92F7">
            <w:pPr>
              <w:pStyle w:val="1343"/>
            </w:pPr>
            <w:r>
              <w:rPr>
                <w:rFonts w:hint="eastAsia"/>
              </w:rPr>
              <w:t>谢家</w:t>
            </w:r>
          </w:p>
        </w:tc>
        <w:tc>
          <w:tcPr>
            <w:tcW w:w="572" w:type="pct"/>
            <w:noWrap/>
            <w:vAlign w:val="center"/>
          </w:tcPr>
          <w:p w14:paraId="5DA7D0D2">
            <w:pPr>
              <w:pStyle w:val="1343"/>
            </w:pPr>
            <w:r>
              <w:rPr>
                <w:rFonts w:hint="eastAsia"/>
              </w:rPr>
              <w:t>112.9189</w:t>
            </w:r>
          </w:p>
        </w:tc>
        <w:tc>
          <w:tcPr>
            <w:tcW w:w="616" w:type="pct"/>
            <w:noWrap/>
            <w:vAlign w:val="center"/>
          </w:tcPr>
          <w:p w14:paraId="15AA23E2">
            <w:pPr>
              <w:pStyle w:val="1343"/>
            </w:pPr>
            <w:r>
              <w:rPr>
                <w:rFonts w:hint="eastAsia"/>
              </w:rPr>
              <w:t>26.4338</w:t>
            </w:r>
          </w:p>
        </w:tc>
        <w:tc>
          <w:tcPr>
            <w:tcW w:w="550" w:type="pct"/>
            <w:noWrap/>
            <w:vAlign w:val="center"/>
          </w:tcPr>
          <w:p w14:paraId="6029F843">
            <w:pPr>
              <w:pStyle w:val="1343"/>
            </w:pPr>
            <w:r>
              <w:rPr>
                <w:rFonts w:hint="eastAsia"/>
              </w:rPr>
              <w:t>1650</w:t>
            </w:r>
          </w:p>
        </w:tc>
        <w:tc>
          <w:tcPr>
            <w:tcW w:w="432" w:type="pct"/>
            <w:noWrap/>
            <w:vAlign w:val="center"/>
          </w:tcPr>
          <w:p w14:paraId="2F1A35A0">
            <w:pPr>
              <w:pStyle w:val="1343"/>
            </w:pPr>
            <w:r>
              <w:t>N</w:t>
            </w:r>
          </w:p>
        </w:tc>
        <w:tc>
          <w:tcPr>
            <w:tcW w:w="631" w:type="pct"/>
            <w:vAlign w:val="center"/>
          </w:tcPr>
          <w:p w14:paraId="6EC2E755">
            <w:pPr>
              <w:pStyle w:val="1343"/>
            </w:pPr>
            <w:r>
              <w:rPr>
                <w:rFonts w:hint="eastAsia"/>
              </w:rPr>
              <w:t>55人</w:t>
            </w:r>
          </w:p>
        </w:tc>
        <w:tc>
          <w:tcPr>
            <w:tcW w:w="366" w:type="pct"/>
            <w:vMerge w:val="continue"/>
            <w:vAlign w:val="center"/>
          </w:tcPr>
          <w:p w14:paraId="5FE04447">
            <w:pPr>
              <w:pStyle w:val="1343"/>
            </w:pPr>
          </w:p>
        </w:tc>
        <w:tc>
          <w:tcPr>
            <w:tcW w:w="464" w:type="pct"/>
            <w:vMerge w:val="continue"/>
            <w:vAlign w:val="center"/>
          </w:tcPr>
          <w:p w14:paraId="07E18786">
            <w:pPr>
              <w:pStyle w:val="1343"/>
            </w:pPr>
          </w:p>
        </w:tc>
      </w:tr>
      <w:tr w14:paraId="3BAC5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1525C3B8">
            <w:pPr>
              <w:pStyle w:val="1343"/>
              <w:numPr>
                <w:ilvl w:val="0"/>
                <w:numId w:val="24"/>
              </w:numPr>
            </w:pPr>
          </w:p>
        </w:tc>
        <w:tc>
          <w:tcPr>
            <w:tcW w:w="276" w:type="pct"/>
            <w:vMerge w:val="continue"/>
            <w:noWrap/>
            <w:vAlign w:val="center"/>
          </w:tcPr>
          <w:p w14:paraId="35C763F8">
            <w:pPr>
              <w:pStyle w:val="1343"/>
            </w:pPr>
          </w:p>
        </w:tc>
        <w:tc>
          <w:tcPr>
            <w:tcW w:w="837" w:type="pct"/>
            <w:noWrap/>
            <w:vAlign w:val="center"/>
          </w:tcPr>
          <w:p w14:paraId="026D6E0F">
            <w:pPr>
              <w:pStyle w:val="1343"/>
            </w:pPr>
            <w:r>
              <w:rPr>
                <w:rFonts w:hint="eastAsia"/>
              </w:rPr>
              <w:t>马阜冲</w:t>
            </w:r>
          </w:p>
        </w:tc>
        <w:tc>
          <w:tcPr>
            <w:tcW w:w="572" w:type="pct"/>
            <w:noWrap/>
            <w:vAlign w:val="center"/>
          </w:tcPr>
          <w:p w14:paraId="532ED9E9">
            <w:pPr>
              <w:pStyle w:val="1343"/>
            </w:pPr>
            <w:r>
              <w:rPr>
                <w:rFonts w:hint="eastAsia"/>
              </w:rPr>
              <w:t>112.9190</w:t>
            </w:r>
          </w:p>
        </w:tc>
        <w:tc>
          <w:tcPr>
            <w:tcW w:w="616" w:type="pct"/>
            <w:noWrap/>
            <w:vAlign w:val="center"/>
          </w:tcPr>
          <w:p w14:paraId="529DD102">
            <w:pPr>
              <w:pStyle w:val="1343"/>
            </w:pPr>
            <w:r>
              <w:rPr>
                <w:rFonts w:hint="eastAsia"/>
              </w:rPr>
              <w:t>26.4302</w:t>
            </w:r>
          </w:p>
        </w:tc>
        <w:tc>
          <w:tcPr>
            <w:tcW w:w="550" w:type="pct"/>
            <w:noWrap/>
            <w:vAlign w:val="center"/>
          </w:tcPr>
          <w:p w14:paraId="713C1C17">
            <w:pPr>
              <w:pStyle w:val="1343"/>
            </w:pPr>
            <w:r>
              <w:rPr>
                <w:rFonts w:hint="eastAsia"/>
              </w:rPr>
              <w:t>1420</w:t>
            </w:r>
          </w:p>
        </w:tc>
        <w:tc>
          <w:tcPr>
            <w:tcW w:w="432" w:type="pct"/>
            <w:noWrap/>
            <w:vAlign w:val="center"/>
          </w:tcPr>
          <w:p w14:paraId="481D0D0B">
            <w:pPr>
              <w:pStyle w:val="1343"/>
            </w:pPr>
            <w:r>
              <w:t>N</w:t>
            </w:r>
          </w:p>
        </w:tc>
        <w:tc>
          <w:tcPr>
            <w:tcW w:w="631" w:type="pct"/>
            <w:vAlign w:val="center"/>
          </w:tcPr>
          <w:p w14:paraId="469A1A2C">
            <w:pPr>
              <w:pStyle w:val="1343"/>
            </w:pPr>
            <w:r>
              <w:rPr>
                <w:rFonts w:hint="eastAsia"/>
              </w:rPr>
              <w:t>20人</w:t>
            </w:r>
          </w:p>
        </w:tc>
        <w:tc>
          <w:tcPr>
            <w:tcW w:w="366" w:type="pct"/>
            <w:vMerge w:val="continue"/>
            <w:vAlign w:val="center"/>
          </w:tcPr>
          <w:p w14:paraId="69649C8B">
            <w:pPr>
              <w:pStyle w:val="1343"/>
            </w:pPr>
          </w:p>
        </w:tc>
        <w:tc>
          <w:tcPr>
            <w:tcW w:w="464" w:type="pct"/>
            <w:vMerge w:val="continue"/>
            <w:vAlign w:val="center"/>
          </w:tcPr>
          <w:p w14:paraId="4BDE373B">
            <w:pPr>
              <w:pStyle w:val="1343"/>
            </w:pPr>
          </w:p>
        </w:tc>
      </w:tr>
      <w:tr w14:paraId="25B2C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01D9FD67">
            <w:pPr>
              <w:pStyle w:val="1343"/>
              <w:numPr>
                <w:ilvl w:val="0"/>
                <w:numId w:val="24"/>
              </w:numPr>
            </w:pPr>
          </w:p>
        </w:tc>
        <w:tc>
          <w:tcPr>
            <w:tcW w:w="276" w:type="pct"/>
            <w:vMerge w:val="continue"/>
            <w:noWrap/>
            <w:vAlign w:val="center"/>
          </w:tcPr>
          <w:p w14:paraId="19935C72">
            <w:pPr>
              <w:pStyle w:val="1343"/>
            </w:pPr>
          </w:p>
        </w:tc>
        <w:tc>
          <w:tcPr>
            <w:tcW w:w="837" w:type="pct"/>
            <w:noWrap/>
            <w:vAlign w:val="center"/>
          </w:tcPr>
          <w:p w14:paraId="2D73FADF">
            <w:pPr>
              <w:pStyle w:val="1343"/>
            </w:pPr>
            <w:r>
              <w:rPr>
                <w:rFonts w:hint="eastAsia"/>
              </w:rPr>
              <w:t>刘家</w:t>
            </w:r>
          </w:p>
        </w:tc>
        <w:tc>
          <w:tcPr>
            <w:tcW w:w="572" w:type="pct"/>
            <w:noWrap/>
            <w:vAlign w:val="center"/>
          </w:tcPr>
          <w:p w14:paraId="6B75A572">
            <w:pPr>
              <w:pStyle w:val="1343"/>
            </w:pPr>
            <w:r>
              <w:rPr>
                <w:rFonts w:hint="eastAsia"/>
              </w:rPr>
              <w:t>112.9202</w:t>
            </w:r>
          </w:p>
        </w:tc>
        <w:tc>
          <w:tcPr>
            <w:tcW w:w="616" w:type="pct"/>
            <w:noWrap/>
            <w:vAlign w:val="center"/>
          </w:tcPr>
          <w:p w14:paraId="65653B4D">
            <w:pPr>
              <w:pStyle w:val="1343"/>
            </w:pPr>
            <w:r>
              <w:rPr>
                <w:rFonts w:hint="eastAsia"/>
              </w:rPr>
              <w:t>26.4288</w:t>
            </w:r>
          </w:p>
        </w:tc>
        <w:tc>
          <w:tcPr>
            <w:tcW w:w="550" w:type="pct"/>
            <w:noWrap/>
            <w:vAlign w:val="center"/>
          </w:tcPr>
          <w:p w14:paraId="1FFF1A3A">
            <w:pPr>
              <w:pStyle w:val="1343"/>
            </w:pPr>
            <w:r>
              <w:rPr>
                <w:rFonts w:hint="eastAsia"/>
              </w:rPr>
              <w:t>1250</w:t>
            </w:r>
          </w:p>
        </w:tc>
        <w:tc>
          <w:tcPr>
            <w:tcW w:w="432" w:type="pct"/>
            <w:noWrap/>
            <w:vAlign w:val="center"/>
          </w:tcPr>
          <w:p w14:paraId="3784877B">
            <w:pPr>
              <w:pStyle w:val="1343"/>
            </w:pPr>
            <w:r>
              <w:t>N</w:t>
            </w:r>
          </w:p>
        </w:tc>
        <w:tc>
          <w:tcPr>
            <w:tcW w:w="631" w:type="pct"/>
            <w:vAlign w:val="center"/>
          </w:tcPr>
          <w:p w14:paraId="496357D0">
            <w:pPr>
              <w:pStyle w:val="1343"/>
            </w:pPr>
            <w:r>
              <w:rPr>
                <w:rFonts w:hint="eastAsia"/>
              </w:rPr>
              <w:t>30人</w:t>
            </w:r>
          </w:p>
        </w:tc>
        <w:tc>
          <w:tcPr>
            <w:tcW w:w="366" w:type="pct"/>
            <w:vMerge w:val="continue"/>
            <w:vAlign w:val="center"/>
          </w:tcPr>
          <w:p w14:paraId="1DD7863E">
            <w:pPr>
              <w:pStyle w:val="1343"/>
            </w:pPr>
          </w:p>
        </w:tc>
        <w:tc>
          <w:tcPr>
            <w:tcW w:w="464" w:type="pct"/>
            <w:vMerge w:val="continue"/>
            <w:vAlign w:val="center"/>
          </w:tcPr>
          <w:p w14:paraId="7B991EA2">
            <w:pPr>
              <w:pStyle w:val="1343"/>
            </w:pPr>
          </w:p>
        </w:tc>
      </w:tr>
      <w:tr w14:paraId="5FC5B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08A7A4B9">
            <w:pPr>
              <w:pStyle w:val="1343"/>
              <w:numPr>
                <w:ilvl w:val="0"/>
                <w:numId w:val="24"/>
              </w:numPr>
            </w:pPr>
          </w:p>
        </w:tc>
        <w:tc>
          <w:tcPr>
            <w:tcW w:w="276" w:type="pct"/>
            <w:vMerge w:val="continue"/>
            <w:noWrap/>
            <w:vAlign w:val="center"/>
          </w:tcPr>
          <w:p w14:paraId="315E9C35">
            <w:pPr>
              <w:pStyle w:val="1343"/>
            </w:pPr>
          </w:p>
        </w:tc>
        <w:tc>
          <w:tcPr>
            <w:tcW w:w="837" w:type="pct"/>
            <w:noWrap/>
            <w:vAlign w:val="center"/>
          </w:tcPr>
          <w:p w14:paraId="64EF53EE">
            <w:pPr>
              <w:pStyle w:val="1343"/>
            </w:pPr>
            <w:r>
              <w:rPr>
                <w:rFonts w:hint="eastAsia"/>
              </w:rPr>
              <w:t>里王村</w:t>
            </w:r>
          </w:p>
        </w:tc>
        <w:tc>
          <w:tcPr>
            <w:tcW w:w="572" w:type="pct"/>
            <w:noWrap/>
            <w:vAlign w:val="center"/>
          </w:tcPr>
          <w:p w14:paraId="65E93C2D">
            <w:pPr>
              <w:pStyle w:val="1343"/>
            </w:pPr>
            <w:r>
              <w:rPr>
                <w:rFonts w:hint="eastAsia"/>
              </w:rPr>
              <w:t>112.9222</w:t>
            </w:r>
          </w:p>
        </w:tc>
        <w:tc>
          <w:tcPr>
            <w:tcW w:w="616" w:type="pct"/>
            <w:noWrap/>
            <w:vAlign w:val="center"/>
          </w:tcPr>
          <w:p w14:paraId="3441F80C">
            <w:pPr>
              <w:pStyle w:val="1343"/>
            </w:pPr>
            <w:r>
              <w:rPr>
                <w:rFonts w:hint="eastAsia"/>
              </w:rPr>
              <w:t>26.4199</w:t>
            </w:r>
          </w:p>
        </w:tc>
        <w:tc>
          <w:tcPr>
            <w:tcW w:w="550" w:type="pct"/>
            <w:noWrap/>
            <w:vAlign w:val="center"/>
          </w:tcPr>
          <w:p w14:paraId="23224B32">
            <w:pPr>
              <w:pStyle w:val="1343"/>
            </w:pPr>
            <w:r>
              <w:rPr>
                <w:rFonts w:hint="eastAsia"/>
              </w:rPr>
              <w:t>230</w:t>
            </w:r>
          </w:p>
        </w:tc>
        <w:tc>
          <w:tcPr>
            <w:tcW w:w="432" w:type="pct"/>
            <w:noWrap/>
            <w:vAlign w:val="center"/>
          </w:tcPr>
          <w:p w14:paraId="0B7FF5DE">
            <w:pPr>
              <w:pStyle w:val="1343"/>
            </w:pPr>
            <w:r>
              <w:t>N</w:t>
            </w:r>
          </w:p>
        </w:tc>
        <w:tc>
          <w:tcPr>
            <w:tcW w:w="631" w:type="pct"/>
            <w:vAlign w:val="center"/>
          </w:tcPr>
          <w:p w14:paraId="7CF828C4">
            <w:pPr>
              <w:pStyle w:val="1343"/>
            </w:pPr>
            <w:r>
              <w:rPr>
                <w:rFonts w:hint="eastAsia"/>
              </w:rPr>
              <w:t>25人</w:t>
            </w:r>
          </w:p>
        </w:tc>
        <w:tc>
          <w:tcPr>
            <w:tcW w:w="366" w:type="pct"/>
            <w:vMerge w:val="continue"/>
            <w:vAlign w:val="center"/>
          </w:tcPr>
          <w:p w14:paraId="0F51254A">
            <w:pPr>
              <w:pStyle w:val="1343"/>
            </w:pPr>
          </w:p>
        </w:tc>
        <w:tc>
          <w:tcPr>
            <w:tcW w:w="464" w:type="pct"/>
            <w:vMerge w:val="continue"/>
            <w:vAlign w:val="center"/>
          </w:tcPr>
          <w:p w14:paraId="356ED7F1">
            <w:pPr>
              <w:pStyle w:val="1343"/>
            </w:pPr>
          </w:p>
        </w:tc>
      </w:tr>
      <w:tr w14:paraId="3D3C5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4B11D629">
            <w:pPr>
              <w:pStyle w:val="1343"/>
              <w:numPr>
                <w:ilvl w:val="0"/>
                <w:numId w:val="24"/>
              </w:numPr>
            </w:pPr>
          </w:p>
        </w:tc>
        <w:tc>
          <w:tcPr>
            <w:tcW w:w="276" w:type="pct"/>
            <w:vMerge w:val="continue"/>
            <w:noWrap/>
            <w:vAlign w:val="center"/>
          </w:tcPr>
          <w:p w14:paraId="03A65BD6">
            <w:pPr>
              <w:pStyle w:val="1343"/>
            </w:pPr>
          </w:p>
        </w:tc>
        <w:tc>
          <w:tcPr>
            <w:tcW w:w="837" w:type="pct"/>
            <w:noWrap/>
            <w:vAlign w:val="center"/>
          </w:tcPr>
          <w:p w14:paraId="18A4367E">
            <w:pPr>
              <w:pStyle w:val="1343"/>
            </w:pPr>
            <w:r>
              <w:rPr>
                <w:rFonts w:hint="eastAsia"/>
              </w:rPr>
              <w:t>黎家洲</w:t>
            </w:r>
          </w:p>
        </w:tc>
        <w:tc>
          <w:tcPr>
            <w:tcW w:w="572" w:type="pct"/>
            <w:noWrap/>
            <w:vAlign w:val="center"/>
          </w:tcPr>
          <w:p w14:paraId="04DF4A94">
            <w:pPr>
              <w:pStyle w:val="1343"/>
            </w:pPr>
            <w:r>
              <w:rPr>
                <w:rFonts w:hint="eastAsia"/>
              </w:rPr>
              <w:t>112.9240</w:t>
            </w:r>
          </w:p>
        </w:tc>
        <w:tc>
          <w:tcPr>
            <w:tcW w:w="616" w:type="pct"/>
            <w:noWrap/>
            <w:vAlign w:val="center"/>
          </w:tcPr>
          <w:p w14:paraId="58260EED">
            <w:pPr>
              <w:pStyle w:val="1343"/>
            </w:pPr>
            <w:r>
              <w:rPr>
                <w:rFonts w:hint="eastAsia"/>
              </w:rPr>
              <w:t>26.4217</w:t>
            </w:r>
          </w:p>
        </w:tc>
        <w:tc>
          <w:tcPr>
            <w:tcW w:w="550" w:type="pct"/>
            <w:noWrap/>
            <w:vAlign w:val="center"/>
          </w:tcPr>
          <w:p w14:paraId="238B73A6">
            <w:pPr>
              <w:pStyle w:val="1343"/>
            </w:pPr>
            <w:r>
              <w:rPr>
                <w:rFonts w:hint="eastAsia"/>
              </w:rPr>
              <w:t>480</w:t>
            </w:r>
          </w:p>
        </w:tc>
        <w:tc>
          <w:tcPr>
            <w:tcW w:w="432" w:type="pct"/>
            <w:noWrap/>
            <w:vAlign w:val="center"/>
          </w:tcPr>
          <w:p w14:paraId="7D45789B">
            <w:pPr>
              <w:pStyle w:val="1343"/>
            </w:pPr>
            <w:r>
              <w:t>NE</w:t>
            </w:r>
          </w:p>
        </w:tc>
        <w:tc>
          <w:tcPr>
            <w:tcW w:w="631" w:type="pct"/>
            <w:vAlign w:val="center"/>
          </w:tcPr>
          <w:p w14:paraId="3616467A">
            <w:pPr>
              <w:pStyle w:val="1343"/>
            </w:pPr>
            <w:r>
              <w:rPr>
                <w:rFonts w:hint="eastAsia"/>
              </w:rPr>
              <w:t>85人</w:t>
            </w:r>
          </w:p>
        </w:tc>
        <w:tc>
          <w:tcPr>
            <w:tcW w:w="366" w:type="pct"/>
            <w:vMerge w:val="continue"/>
            <w:vAlign w:val="center"/>
          </w:tcPr>
          <w:p w14:paraId="0BB4B586">
            <w:pPr>
              <w:pStyle w:val="1343"/>
            </w:pPr>
          </w:p>
        </w:tc>
        <w:tc>
          <w:tcPr>
            <w:tcW w:w="464" w:type="pct"/>
            <w:vMerge w:val="continue"/>
            <w:vAlign w:val="center"/>
          </w:tcPr>
          <w:p w14:paraId="2D1F8F84">
            <w:pPr>
              <w:pStyle w:val="1343"/>
            </w:pPr>
          </w:p>
        </w:tc>
      </w:tr>
      <w:tr w14:paraId="0E239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03969920">
            <w:pPr>
              <w:pStyle w:val="1343"/>
              <w:numPr>
                <w:ilvl w:val="0"/>
                <w:numId w:val="24"/>
              </w:numPr>
            </w:pPr>
          </w:p>
        </w:tc>
        <w:tc>
          <w:tcPr>
            <w:tcW w:w="276" w:type="pct"/>
            <w:vMerge w:val="continue"/>
            <w:noWrap/>
            <w:vAlign w:val="center"/>
          </w:tcPr>
          <w:p w14:paraId="2700C16B">
            <w:pPr>
              <w:pStyle w:val="1343"/>
            </w:pPr>
          </w:p>
        </w:tc>
        <w:tc>
          <w:tcPr>
            <w:tcW w:w="837" w:type="pct"/>
            <w:noWrap/>
            <w:vAlign w:val="center"/>
          </w:tcPr>
          <w:p w14:paraId="068D8ACE">
            <w:pPr>
              <w:pStyle w:val="1343"/>
            </w:pPr>
            <w:r>
              <w:rPr>
                <w:rFonts w:hint="eastAsia"/>
              </w:rPr>
              <w:t>刘家湾</w:t>
            </w:r>
          </w:p>
        </w:tc>
        <w:tc>
          <w:tcPr>
            <w:tcW w:w="572" w:type="pct"/>
            <w:noWrap/>
            <w:vAlign w:val="center"/>
          </w:tcPr>
          <w:p w14:paraId="73418B6A">
            <w:pPr>
              <w:pStyle w:val="1343"/>
            </w:pPr>
            <w:r>
              <w:rPr>
                <w:rFonts w:hint="eastAsia"/>
              </w:rPr>
              <w:t>112.9273</w:t>
            </w:r>
          </w:p>
        </w:tc>
        <w:tc>
          <w:tcPr>
            <w:tcW w:w="616" w:type="pct"/>
            <w:noWrap/>
            <w:vAlign w:val="center"/>
          </w:tcPr>
          <w:p w14:paraId="102FFF54">
            <w:pPr>
              <w:pStyle w:val="1343"/>
            </w:pPr>
            <w:r>
              <w:rPr>
                <w:rFonts w:hint="eastAsia"/>
              </w:rPr>
              <w:t>26.4291</w:t>
            </w:r>
          </w:p>
        </w:tc>
        <w:tc>
          <w:tcPr>
            <w:tcW w:w="550" w:type="pct"/>
            <w:noWrap/>
            <w:vAlign w:val="center"/>
          </w:tcPr>
          <w:p w14:paraId="7DD0E08C">
            <w:pPr>
              <w:pStyle w:val="1343"/>
            </w:pPr>
            <w:r>
              <w:rPr>
                <w:rFonts w:hint="eastAsia"/>
              </w:rPr>
              <w:t>1120</w:t>
            </w:r>
          </w:p>
        </w:tc>
        <w:tc>
          <w:tcPr>
            <w:tcW w:w="432" w:type="pct"/>
            <w:noWrap/>
            <w:vAlign w:val="center"/>
          </w:tcPr>
          <w:p w14:paraId="558B3378">
            <w:pPr>
              <w:pStyle w:val="1343"/>
            </w:pPr>
            <w:r>
              <w:t>NE</w:t>
            </w:r>
          </w:p>
        </w:tc>
        <w:tc>
          <w:tcPr>
            <w:tcW w:w="631" w:type="pct"/>
            <w:vAlign w:val="center"/>
          </w:tcPr>
          <w:p w14:paraId="33C10124">
            <w:pPr>
              <w:pStyle w:val="1343"/>
            </w:pPr>
            <w:r>
              <w:rPr>
                <w:rFonts w:hint="eastAsia"/>
              </w:rPr>
              <w:t>60人</w:t>
            </w:r>
          </w:p>
        </w:tc>
        <w:tc>
          <w:tcPr>
            <w:tcW w:w="366" w:type="pct"/>
            <w:vMerge w:val="continue"/>
            <w:vAlign w:val="center"/>
          </w:tcPr>
          <w:p w14:paraId="7F1E974E">
            <w:pPr>
              <w:pStyle w:val="1343"/>
            </w:pPr>
          </w:p>
        </w:tc>
        <w:tc>
          <w:tcPr>
            <w:tcW w:w="464" w:type="pct"/>
            <w:vMerge w:val="continue"/>
            <w:vAlign w:val="center"/>
          </w:tcPr>
          <w:p w14:paraId="6258D45E">
            <w:pPr>
              <w:pStyle w:val="1343"/>
            </w:pPr>
          </w:p>
        </w:tc>
      </w:tr>
      <w:tr w14:paraId="65478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5846C6BB">
            <w:pPr>
              <w:pStyle w:val="1343"/>
              <w:numPr>
                <w:ilvl w:val="0"/>
                <w:numId w:val="24"/>
              </w:numPr>
            </w:pPr>
          </w:p>
        </w:tc>
        <w:tc>
          <w:tcPr>
            <w:tcW w:w="276" w:type="pct"/>
            <w:vMerge w:val="continue"/>
            <w:noWrap/>
            <w:vAlign w:val="center"/>
          </w:tcPr>
          <w:p w14:paraId="60ECDED9">
            <w:pPr>
              <w:pStyle w:val="1343"/>
            </w:pPr>
          </w:p>
        </w:tc>
        <w:tc>
          <w:tcPr>
            <w:tcW w:w="837" w:type="pct"/>
            <w:noWrap/>
            <w:vAlign w:val="center"/>
          </w:tcPr>
          <w:p w14:paraId="5475B75A">
            <w:pPr>
              <w:pStyle w:val="1343"/>
            </w:pPr>
            <w:r>
              <w:rPr>
                <w:rFonts w:hint="eastAsia"/>
              </w:rPr>
              <w:t>梁家洲上</w:t>
            </w:r>
          </w:p>
        </w:tc>
        <w:tc>
          <w:tcPr>
            <w:tcW w:w="572" w:type="pct"/>
            <w:noWrap/>
            <w:vAlign w:val="center"/>
          </w:tcPr>
          <w:p w14:paraId="25EA57EF">
            <w:pPr>
              <w:pStyle w:val="1343"/>
            </w:pPr>
            <w:r>
              <w:rPr>
                <w:rFonts w:hint="eastAsia"/>
              </w:rPr>
              <w:t>112.9325</w:t>
            </w:r>
          </w:p>
        </w:tc>
        <w:tc>
          <w:tcPr>
            <w:tcW w:w="616" w:type="pct"/>
            <w:noWrap/>
            <w:vAlign w:val="center"/>
          </w:tcPr>
          <w:p w14:paraId="241B468E">
            <w:pPr>
              <w:pStyle w:val="1343"/>
            </w:pPr>
            <w:r>
              <w:rPr>
                <w:rFonts w:hint="eastAsia"/>
              </w:rPr>
              <w:t>26.4274</w:t>
            </w:r>
          </w:p>
        </w:tc>
        <w:tc>
          <w:tcPr>
            <w:tcW w:w="550" w:type="pct"/>
            <w:noWrap/>
            <w:vAlign w:val="center"/>
          </w:tcPr>
          <w:p w14:paraId="15570E8F">
            <w:pPr>
              <w:pStyle w:val="1343"/>
            </w:pPr>
            <w:r>
              <w:rPr>
                <w:rFonts w:hint="eastAsia"/>
              </w:rPr>
              <w:t>1480</w:t>
            </w:r>
          </w:p>
        </w:tc>
        <w:tc>
          <w:tcPr>
            <w:tcW w:w="432" w:type="pct"/>
            <w:noWrap/>
            <w:vAlign w:val="center"/>
          </w:tcPr>
          <w:p w14:paraId="029615C5">
            <w:pPr>
              <w:pStyle w:val="1343"/>
            </w:pPr>
            <w:r>
              <w:t>NE</w:t>
            </w:r>
          </w:p>
        </w:tc>
        <w:tc>
          <w:tcPr>
            <w:tcW w:w="631" w:type="pct"/>
            <w:vAlign w:val="center"/>
          </w:tcPr>
          <w:p w14:paraId="351A48C0">
            <w:pPr>
              <w:pStyle w:val="1343"/>
            </w:pPr>
            <w:r>
              <w:rPr>
                <w:rFonts w:hint="eastAsia"/>
              </w:rPr>
              <w:t>75人</w:t>
            </w:r>
          </w:p>
        </w:tc>
        <w:tc>
          <w:tcPr>
            <w:tcW w:w="366" w:type="pct"/>
            <w:vMerge w:val="continue"/>
            <w:vAlign w:val="center"/>
          </w:tcPr>
          <w:p w14:paraId="1DC286E5">
            <w:pPr>
              <w:pStyle w:val="1343"/>
            </w:pPr>
          </w:p>
        </w:tc>
        <w:tc>
          <w:tcPr>
            <w:tcW w:w="464" w:type="pct"/>
            <w:vMerge w:val="continue"/>
            <w:vAlign w:val="center"/>
          </w:tcPr>
          <w:p w14:paraId="1B638B2A">
            <w:pPr>
              <w:pStyle w:val="1343"/>
            </w:pPr>
          </w:p>
        </w:tc>
      </w:tr>
      <w:tr w14:paraId="0A987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497CF30D">
            <w:pPr>
              <w:pStyle w:val="1343"/>
              <w:numPr>
                <w:ilvl w:val="0"/>
                <w:numId w:val="24"/>
              </w:numPr>
            </w:pPr>
          </w:p>
        </w:tc>
        <w:tc>
          <w:tcPr>
            <w:tcW w:w="276" w:type="pct"/>
            <w:vMerge w:val="continue"/>
            <w:noWrap/>
            <w:vAlign w:val="center"/>
          </w:tcPr>
          <w:p w14:paraId="497205D7">
            <w:pPr>
              <w:pStyle w:val="1343"/>
            </w:pPr>
          </w:p>
        </w:tc>
        <w:tc>
          <w:tcPr>
            <w:tcW w:w="837" w:type="pct"/>
            <w:noWrap/>
            <w:vAlign w:val="center"/>
          </w:tcPr>
          <w:p w14:paraId="3FB17F35">
            <w:pPr>
              <w:pStyle w:val="1343"/>
            </w:pPr>
            <w:r>
              <w:rPr>
                <w:rFonts w:hint="eastAsia"/>
              </w:rPr>
              <w:t>黄宰湾</w:t>
            </w:r>
          </w:p>
        </w:tc>
        <w:tc>
          <w:tcPr>
            <w:tcW w:w="572" w:type="pct"/>
            <w:noWrap/>
            <w:vAlign w:val="center"/>
          </w:tcPr>
          <w:p w14:paraId="71AC3AE7">
            <w:pPr>
              <w:pStyle w:val="1343"/>
            </w:pPr>
            <w:r>
              <w:rPr>
                <w:rFonts w:hint="eastAsia"/>
              </w:rPr>
              <w:t>112.9334</w:t>
            </w:r>
          </w:p>
        </w:tc>
        <w:tc>
          <w:tcPr>
            <w:tcW w:w="616" w:type="pct"/>
            <w:noWrap/>
            <w:vAlign w:val="center"/>
          </w:tcPr>
          <w:p w14:paraId="122996F9">
            <w:pPr>
              <w:pStyle w:val="1343"/>
            </w:pPr>
            <w:r>
              <w:rPr>
                <w:rFonts w:hint="eastAsia"/>
              </w:rPr>
              <w:t>26.4331</w:t>
            </w:r>
          </w:p>
        </w:tc>
        <w:tc>
          <w:tcPr>
            <w:tcW w:w="550" w:type="pct"/>
            <w:noWrap/>
            <w:vAlign w:val="center"/>
          </w:tcPr>
          <w:p w14:paraId="110257D4">
            <w:pPr>
              <w:pStyle w:val="1343"/>
            </w:pPr>
            <w:r>
              <w:rPr>
                <w:rFonts w:hint="eastAsia"/>
              </w:rPr>
              <w:t>2030</w:t>
            </w:r>
          </w:p>
        </w:tc>
        <w:tc>
          <w:tcPr>
            <w:tcW w:w="432" w:type="pct"/>
            <w:noWrap/>
            <w:vAlign w:val="center"/>
          </w:tcPr>
          <w:p w14:paraId="4B7906A9">
            <w:pPr>
              <w:pStyle w:val="1343"/>
            </w:pPr>
            <w:r>
              <w:t>NE</w:t>
            </w:r>
          </w:p>
        </w:tc>
        <w:tc>
          <w:tcPr>
            <w:tcW w:w="631" w:type="pct"/>
            <w:vAlign w:val="center"/>
          </w:tcPr>
          <w:p w14:paraId="029D71CC">
            <w:pPr>
              <w:pStyle w:val="1343"/>
            </w:pPr>
            <w:r>
              <w:rPr>
                <w:rFonts w:hint="eastAsia"/>
              </w:rPr>
              <w:t>90人</w:t>
            </w:r>
          </w:p>
        </w:tc>
        <w:tc>
          <w:tcPr>
            <w:tcW w:w="366" w:type="pct"/>
            <w:vMerge w:val="continue"/>
            <w:vAlign w:val="center"/>
          </w:tcPr>
          <w:p w14:paraId="6BB6FEFD">
            <w:pPr>
              <w:pStyle w:val="1343"/>
            </w:pPr>
          </w:p>
        </w:tc>
        <w:tc>
          <w:tcPr>
            <w:tcW w:w="464" w:type="pct"/>
            <w:vMerge w:val="continue"/>
            <w:vAlign w:val="center"/>
          </w:tcPr>
          <w:p w14:paraId="425EC883">
            <w:pPr>
              <w:pStyle w:val="1343"/>
            </w:pPr>
          </w:p>
        </w:tc>
      </w:tr>
      <w:tr w14:paraId="4B329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3C4D29DC">
            <w:pPr>
              <w:pStyle w:val="1343"/>
              <w:numPr>
                <w:ilvl w:val="0"/>
                <w:numId w:val="24"/>
              </w:numPr>
            </w:pPr>
          </w:p>
        </w:tc>
        <w:tc>
          <w:tcPr>
            <w:tcW w:w="276" w:type="pct"/>
            <w:vMerge w:val="continue"/>
            <w:noWrap/>
            <w:vAlign w:val="center"/>
          </w:tcPr>
          <w:p w14:paraId="3666954E">
            <w:pPr>
              <w:pStyle w:val="1343"/>
            </w:pPr>
          </w:p>
        </w:tc>
        <w:tc>
          <w:tcPr>
            <w:tcW w:w="837" w:type="pct"/>
            <w:noWrap/>
            <w:vAlign w:val="center"/>
          </w:tcPr>
          <w:p w14:paraId="29755CD9">
            <w:pPr>
              <w:pStyle w:val="1343"/>
            </w:pPr>
            <w:r>
              <w:rPr>
                <w:rFonts w:hint="eastAsia"/>
              </w:rPr>
              <w:t>黄泥桥</w:t>
            </w:r>
          </w:p>
        </w:tc>
        <w:tc>
          <w:tcPr>
            <w:tcW w:w="572" w:type="pct"/>
            <w:noWrap/>
            <w:vAlign w:val="center"/>
          </w:tcPr>
          <w:p w14:paraId="1C368436">
            <w:pPr>
              <w:pStyle w:val="1343"/>
            </w:pPr>
            <w:r>
              <w:rPr>
                <w:rFonts w:hint="eastAsia"/>
              </w:rPr>
              <w:t>112.9306</w:t>
            </w:r>
          </w:p>
        </w:tc>
        <w:tc>
          <w:tcPr>
            <w:tcW w:w="616" w:type="pct"/>
            <w:noWrap/>
            <w:vAlign w:val="center"/>
          </w:tcPr>
          <w:p w14:paraId="1D2D11D9">
            <w:pPr>
              <w:pStyle w:val="1343"/>
            </w:pPr>
            <w:r>
              <w:rPr>
                <w:rFonts w:hint="eastAsia"/>
              </w:rPr>
              <w:t>26.4287</w:t>
            </w:r>
          </w:p>
        </w:tc>
        <w:tc>
          <w:tcPr>
            <w:tcW w:w="550" w:type="pct"/>
            <w:noWrap/>
            <w:vAlign w:val="center"/>
          </w:tcPr>
          <w:p w14:paraId="433C01A4">
            <w:pPr>
              <w:pStyle w:val="1343"/>
            </w:pPr>
            <w:r>
              <w:rPr>
                <w:rFonts w:hint="eastAsia"/>
              </w:rPr>
              <w:t>1480</w:t>
            </w:r>
          </w:p>
        </w:tc>
        <w:tc>
          <w:tcPr>
            <w:tcW w:w="432" w:type="pct"/>
            <w:noWrap/>
            <w:vAlign w:val="center"/>
          </w:tcPr>
          <w:p w14:paraId="793AEFEE">
            <w:pPr>
              <w:pStyle w:val="1343"/>
            </w:pPr>
            <w:r>
              <w:t>NE</w:t>
            </w:r>
          </w:p>
        </w:tc>
        <w:tc>
          <w:tcPr>
            <w:tcW w:w="631" w:type="pct"/>
            <w:noWrap/>
            <w:vAlign w:val="center"/>
          </w:tcPr>
          <w:p w14:paraId="4F869C6F">
            <w:pPr>
              <w:pStyle w:val="1343"/>
            </w:pPr>
            <w:r>
              <w:rPr>
                <w:rFonts w:hint="eastAsia"/>
              </w:rPr>
              <w:t>20人</w:t>
            </w:r>
          </w:p>
        </w:tc>
        <w:tc>
          <w:tcPr>
            <w:tcW w:w="366" w:type="pct"/>
            <w:vMerge w:val="continue"/>
            <w:noWrap/>
            <w:vAlign w:val="center"/>
          </w:tcPr>
          <w:p w14:paraId="1121604D">
            <w:pPr>
              <w:pStyle w:val="1343"/>
            </w:pPr>
          </w:p>
        </w:tc>
        <w:tc>
          <w:tcPr>
            <w:tcW w:w="464" w:type="pct"/>
            <w:vMerge w:val="continue"/>
            <w:vAlign w:val="center"/>
          </w:tcPr>
          <w:p w14:paraId="4D7A2B27">
            <w:pPr>
              <w:pStyle w:val="1343"/>
            </w:pPr>
          </w:p>
        </w:tc>
      </w:tr>
      <w:tr w14:paraId="68187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28DD95C9">
            <w:pPr>
              <w:pStyle w:val="1343"/>
              <w:numPr>
                <w:ilvl w:val="0"/>
                <w:numId w:val="24"/>
              </w:numPr>
            </w:pPr>
          </w:p>
        </w:tc>
        <w:tc>
          <w:tcPr>
            <w:tcW w:w="276" w:type="pct"/>
            <w:vMerge w:val="continue"/>
            <w:noWrap/>
            <w:vAlign w:val="center"/>
          </w:tcPr>
          <w:p w14:paraId="2FE898E9">
            <w:pPr>
              <w:pStyle w:val="1343"/>
            </w:pPr>
          </w:p>
        </w:tc>
        <w:tc>
          <w:tcPr>
            <w:tcW w:w="837" w:type="pct"/>
            <w:noWrap/>
            <w:vAlign w:val="center"/>
          </w:tcPr>
          <w:p w14:paraId="4CB01248">
            <w:pPr>
              <w:pStyle w:val="1343"/>
            </w:pPr>
            <w:r>
              <w:rPr>
                <w:rFonts w:hint="eastAsia"/>
              </w:rPr>
              <w:t>夏塘湾</w:t>
            </w:r>
          </w:p>
        </w:tc>
        <w:tc>
          <w:tcPr>
            <w:tcW w:w="572" w:type="pct"/>
            <w:noWrap/>
            <w:vAlign w:val="center"/>
          </w:tcPr>
          <w:p w14:paraId="5EBA19B9">
            <w:pPr>
              <w:pStyle w:val="1343"/>
            </w:pPr>
            <w:r>
              <w:rPr>
                <w:rFonts w:hint="eastAsia"/>
              </w:rPr>
              <w:t>112.9268</w:t>
            </w:r>
          </w:p>
        </w:tc>
        <w:tc>
          <w:tcPr>
            <w:tcW w:w="616" w:type="pct"/>
            <w:noWrap/>
            <w:vAlign w:val="center"/>
          </w:tcPr>
          <w:p w14:paraId="3994AD39">
            <w:pPr>
              <w:pStyle w:val="1343"/>
            </w:pPr>
            <w:r>
              <w:rPr>
                <w:rFonts w:hint="eastAsia"/>
              </w:rPr>
              <w:t>26.4331</w:t>
            </w:r>
          </w:p>
        </w:tc>
        <w:tc>
          <w:tcPr>
            <w:tcW w:w="550" w:type="pct"/>
            <w:noWrap/>
            <w:vAlign w:val="center"/>
          </w:tcPr>
          <w:p w14:paraId="02C13287">
            <w:pPr>
              <w:pStyle w:val="1343"/>
            </w:pPr>
            <w:r>
              <w:rPr>
                <w:rFonts w:hint="eastAsia"/>
              </w:rPr>
              <w:t>1760</w:t>
            </w:r>
          </w:p>
        </w:tc>
        <w:tc>
          <w:tcPr>
            <w:tcW w:w="432" w:type="pct"/>
            <w:noWrap/>
            <w:vAlign w:val="center"/>
          </w:tcPr>
          <w:p w14:paraId="5551DF2C">
            <w:pPr>
              <w:pStyle w:val="1343"/>
            </w:pPr>
            <w:r>
              <w:t>NE</w:t>
            </w:r>
          </w:p>
        </w:tc>
        <w:tc>
          <w:tcPr>
            <w:tcW w:w="631" w:type="pct"/>
            <w:noWrap/>
            <w:vAlign w:val="center"/>
          </w:tcPr>
          <w:p w14:paraId="6E5586A3">
            <w:pPr>
              <w:pStyle w:val="1343"/>
            </w:pPr>
            <w:r>
              <w:rPr>
                <w:rFonts w:hint="eastAsia"/>
              </w:rPr>
              <w:t>15人</w:t>
            </w:r>
          </w:p>
        </w:tc>
        <w:tc>
          <w:tcPr>
            <w:tcW w:w="366" w:type="pct"/>
            <w:vMerge w:val="continue"/>
            <w:noWrap/>
            <w:vAlign w:val="center"/>
          </w:tcPr>
          <w:p w14:paraId="23017A13">
            <w:pPr>
              <w:pStyle w:val="1343"/>
            </w:pPr>
          </w:p>
        </w:tc>
        <w:tc>
          <w:tcPr>
            <w:tcW w:w="464" w:type="pct"/>
            <w:vMerge w:val="continue"/>
            <w:vAlign w:val="center"/>
          </w:tcPr>
          <w:p w14:paraId="33C33FAC">
            <w:pPr>
              <w:pStyle w:val="1343"/>
            </w:pPr>
          </w:p>
        </w:tc>
      </w:tr>
      <w:tr w14:paraId="3AFA4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166C179F">
            <w:pPr>
              <w:pStyle w:val="1343"/>
              <w:numPr>
                <w:ilvl w:val="0"/>
                <w:numId w:val="24"/>
              </w:numPr>
            </w:pPr>
          </w:p>
        </w:tc>
        <w:tc>
          <w:tcPr>
            <w:tcW w:w="276" w:type="pct"/>
            <w:vMerge w:val="continue"/>
            <w:noWrap/>
            <w:vAlign w:val="center"/>
          </w:tcPr>
          <w:p w14:paraId="3E164866">
            <w:pPr>
              <w:pStyle w:val="1343"/>
            </w:pPr>
          </w:p>
        </w:tc>
        <w:tc>
          <w:tcPr>
            <w:tcW w:w="837" w:type="pct"/>
            <w:noWrap/>
            <w:vAlign w:val="center"/>
          </w:tcPr>
          <w:p w14:paraId="4E8DF545">
            <w:pPr>
              <w:pStyle w:val="1343"/>
            </w:pPr>
            <w:r>
              <w:rPr>
                <w:rFonts w:hint="eastAsia"/>
              </w:rPr>
              <w:t>曹家</w:t>
            </w:r>
          </w:p>
        </w:tc>
        <w:tc>
          <w:tcPr>
            <w:tcW w:w="572" w:type="pct"/>
            <w:noWrap/>
            <w:vAlign w:val="center"/>
          </w:tcPr>
          <w:p w14:paraId="2AD3A303">
            <w:pPr>
              <w:pStyle w:val="1343"/>
            </w:pPr>
            <w:r>
              <w:rPr>
                <w:rFonts w:hint="eastAsia"/>
              </w:rPr>
              <w:t>112.9277</w:t>
            </w:r>
          </w:p>
        </w:tc>
        <w:tc>
          <w:tcPr>
            <w:tcW w:w="616" w:type="pct"/>
            <w:noWrap/>
            <w:vAlign w:val="center"/>
          </w:tcPr>
          <w:p w14:paraId="7760BDDB">
            <w:pPr>
              <w:pStyle w:val="1343"/>
            </w:pPr>
            <w:r>
              <w:rPr>
                <w:rFonts w:hint="eastAsia"/>
              </w:rPr>
              <w:t>26.4359</w:t>
            </w:r>
          </w:p>
        </w:tc>
        <w:tc>
          <w:tcPr>
            <w:tcW w:w="550" w:type="pct"/>
            <w:noWrap/>
            <w:vAlign w:val="center"/>
          </w:tcPr>
          <w:p w14:paraId="1EA9542B">
            <w:pPr>
              <w:pStyle w:val="1343"/>
            </w:pPr>
            <w:r>
              <w:rPr>
                <w:rFonts w:hint="eastAsia"/>
              </w:rPr>
              <w:t>2050</w:t>
            </w:r>
          </w:p>
        </w:tc>
        <w:tc>
          <w:tcPr>
            <w:tcW w:w="432" w:type="pct"/>
            <w:noWrap/>
            <w:vAlign w:val="center"/>
          </w:tcPr>
          <w:p w14:paraId="7B92078D">
            <w:pPr>
              <w:pStyle w:val="1343"/>
            </w:pPr>
            <w:r>
              <w:t>NE</w:t>
            </w:r>
          </w:p>
        </w:tc>
        <w:tc>
          <w:tcPr>
            <w:tcW w:w="631" w:type="pct"/>
            <w:noWrap/>
            <w:vAlign w:val="center"/>
          </w:tcPr>
          <w:p w14:paraId="60900C73">
            <w:pPr>
              <w:pStyle w:val="1343"/>
            </w:pPr>
            <w:r>
              <w:rPr>
                <w:rFonts w:hint="eastAsia"/>
              </w:rPr>
              <w:t>35人</w:t>
            </w:r>
          </w:p>
        </w:tc>
        <w:tc>
          <w:tcPr>
            <w:tcW w:w="366" w:type="pct"/>
            <w:vMerge w:val="continue"/>
            <w:noWrap/>
            <w:vAlign w:val="center"/>
          </w:tcPr>
          <w:p w14:paraId="657C6413">
            <w:pPr>
              <w:pStyle w:val="1343"/>
            </w:pPr>
          </w:p>
        </w:tc>
        <w:tc>
          <w:tcPr>
            <w:tcW w:w="464" w:type="pct"/>
            <w:vMerge w:val="continue"/>
            <w:vAlign w:val="center"/>
          </w:tcPr>
          <w:p w14:paraId="330A222E">
            <w:pPr>
              <w:pStyle w:val="1343"/>
            </w:pPr>
          </w:p>
        </w:tc>
      </w:tr>
      <w:tr w14:paraId="76229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27CB5D4A">
            <w:pPr>
              <w:pStyle w:val="1343"/>
              <w:numPr>
                <w:ilvl w:val="0"/>
                <w:numId w:val="24"/>
              </w:numPr>
            </w:pPr>
          </w:p>
        </w:tc>
        <w:tc>
          <w:tcPr>
            <w:tcW w:w="276" w:type="pct"/>
            <w:vMerge w:val="continue"/>
            <w:noWrap/>
            <w:vAlign w:val="center"/>
          </w:tcPr>
          <w:p w14:paraId="24A37498">
            <w:pPr>
              <w:pStyle w:val="1343"/>
            </w:pPr>
          </w:p>
        </w:tc>
        <w:tc>
          <w:tcPr>
            <w:tcW w:w="837" w:type="pct"/>
            <w:noWrap/>
            <w:vAlign w:val="center"/>
          </w:tcPr>
          <w:p w14:paraId="4D3E88C3">
            <w:pPr>
              <w:pStyle w:val="1343"/>
            </w:pPr>
            <w:r>
              <w:rPr>
                <w:rFonts w:hint="eastAsia"/>
              </w:rPr>
              <w:t>柏树下</w:t>
            </w:r>
          </w:p>
        </w:tc>
        <w:tc>
          <w:tcPr>
            <w:tcW w:w="572" w:type="pct"/>
            <w:noWrap/>
            <w:vAlign w:val="center"/>
          </w:tcPr>
          <w:p w14:paraId="5082BCED">
            <w:pPr>
              <w:pStyle w:val="1343"/>
            </w:pPr>
            <w:r>
              <w:rPr>
                <w:rFonts w:hint="eastAsia"/>
              </w:rPr>
              <w:t>112.9307</w:t>
            </w:r>
          </w:p>
        </w:tc>
        <w:tc>
          <w:tcPr>
            <w:tcW w:w="616" w:type="pct"/>
            <w:noWrap/>
            <w:vAlign w:val="center"/>
          </w:tcPr>
          <w:p w14:paraId="71D586B1">
            <w:pPr>
              <w:pStyle w:val="1343"/>
            </w:pPr>
            <w:r>
              <w:rPr>
                <w:rFonts w:hint="eastAsia"/>
              </w:rPr>
              <w:t>26.4365</w:t>
            </w:r>
          </w:p>
        </w:tc>
        <w:tc>
          <w:tcPr>
            <w:tcW w:w="550" w:type="pct"/>
            <w:noWrap/>
            <w:vAlign w:val="center"/>
          </w:tcPr>
          <w:p w14:paraId="0AEF2054">
            <w:pPr>
              <w:pStyle w:val="1343"/>
            </w:pPr>
            <w:r>
              <w:rPr>
                <w:rFonts w:hint="eastAsia"/>
              </w:rPr>
              <w:t>2250</w:t>
            </w:r>
          </w:p>
        </w:tc>
        <w:tc>
          <w:tcPr>
            <w:tcW w:w="432" w:type="pct"/>
            <w:noWrap/>
            <w:vAlign w:val="center"/>
          </w:tcPr>
          <w:p w14:paraId="4A1CC710">
            <w:pPr>
              <w:pStyle w:val="1343"/>
            </w:pPr>
            <w:r>
              <w:t>NE</w:t>
            </w:r>
          </w:p>
        </w:tc>
        <w:tc>
          <w:tcPr>
            <w:tcW w:w="631" w:type="pct"/>
            <w:noWrap/>
            <w:vAlign w:val="center"/>
          </w:tcPr>
          <w:p w14:paraId="73159698">
            <w:pPr>
              <w:pStyle w:val="1343"/>
            </w:pPr>
            <w:r>
              <w:rPr>
                <w:rFonts w:hint="eastAsia"/>
              </w:rPr>
              <w:t>110人</w:t>
            </w:r>
          </w:p>
        </w:tc>
        <w:tc>
          <w:tcPr>
            <w:tcW w:w="366" w:type="pct"/>
            <w:vMerge w:val="continue"/>
            <w:noWrap/>
            <w:vAlign w:val="center"/>
          </w:tcPr>
          <w:p w14:paraId="709D11A2">
            <w:pPr>
              <w:pStyle w:val="1343"/>
            </w:pPr>
          </w:p>
        </w:tc>
        <w:tc>
          <w:tcPr>
            <w:tcW w:w="464" w:type="pct"/>
            <w:vMerge w:val="continue"/>
            <w:vAlign w:val="center"/>
          </w:tcPr>
          <w:p w14:paraId="37EAD001">
            <w:pPr>
              <w:pStyle w:val="1343"/>
            </w:pPr>
          </w:p>
        </w:tc>
      </w:tr>
      <w:tr w14:paraId="15178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1ACF1510">
            <w:pPr>
              <w:pStyle w:val="1343"/>
              <w:numPr>
                <w:ilvl w:val="0"/>
                <w:numId w:val="24"/>
              </w:numPr>
            </w:pPr>
          </w:p>
        </w:tc>
        <w:tc>
          <w:tcPr>
            <w:tcW w:w="276" w:type="pct"/>
            <w:vMerge w:val="continue"/>
            <w:noWrap/>
            <w:vAlign w:val="center"/>
          </w:tcPr>
          <w:p w14:paraId="0D6F0B52">
            <w:pPr>
              <w:pStyle w:val="1343"/>
            </w:pPr>
          </w:p>
        </w:tc>
        <w:tc>
          <w:tcPr>
            <w:tcW w:w="837" w:type="pct"/>
            <w:noWrap/>
            <w:vAlign w:val="center"/>
          </w:tcPr>
          <w:p w14:paraId="28E52C0E">
            <w:pPr>
              <w:pStyle w:val="1343"/>
            </w:pPr>
            <w:r>
              <w:rPr>
                <w:rFonts w:hint="eastAsia"/>
              </w:rPr>
              <w:t>洲上</w:t>
            </w:r>
          </w:p>
        </w:tc>
        <w:tc>
          <w:tcPr>
            <w:tcW w:w="572" w:type="pct"/>
            <w:noWrap/>
            <w:vAlign w:val="center"/>
          </w:tcPr>
          <w:p w14:paraId="61DEDF8D">
            <w:pPr>
              <w:pStyle w:val="1343"/>
            </w:pPr>
            <w:r>
              <w:rPr>
                <w:rFonts w:hint="eastAsia"/>
              </w:rPr>
              <w:t>112.9364</w:t>
            </w:r>
          </w:p>
        </w:tc>
        <w:tc>
          <w:tcPr>
            <w:tcW w:w="616" w:type="pct"/>
            <w:noWrap/>
            <w:vAlign w:val="center"/>
          </w:tcPr>
          <w:p w14:paraId="10560C3A">
            <w:pPr>
              <w:pStyle w:val="1343"/>
            </w:pPr>
            <w:r>
              <w:rPr>
                <w:rFonts w:hint="eastAsia"/>
              </w:rPr>
              <w:t>26.4367</w:t>
            </w:r>
          </w:p>
        </w:tc>
        <w:tc>
          <w:tcPr>
            <w:tcW w:w="550" w:type="pct"/>
            <w:noWrap/>
            <w:vAlign w:val="center"/>
          </w:tcPr>
          <w:p w14:paraId="1EA5C31F">
            <w:pPr>
              <w:pStyle w:val="1343"/>
            </w:pPr>
            <w:r>
              <w:rPr>
                <w:rFonts w:hint="eastAsia"/>
              </w:rPr>
              <w:t>2500</w:t>
            </w:r>
          </w:p>
        </w:tc>
        <w:tc>
          <w:tcPr>
            <w:tcW w:w="432" w:type="pct"/>
            <w:noWrap/>
            <w:vAlign w:val="center"/>
          </w:tcPr>
          <w:p w14:paraId="1E406BA0">
            <w:pPr>
              <w:pStyle w:val="1343"/>
            </w:pPr>
            <w:r>
              <w:t>NE</w:t>
            </w:r>
          </w:p>
        </w:tc>
        <w:tc>
          <w:tcPr>
            <w:tcW w:w="631" w:type="pct"/>
            <w:noWrap/>
            <w:vAlign w:val="center"/>
          </w:tcPr>
          <w:p w14:paraId="6A6A9A30">
            <w:pPr>
              <w:pStyle w:val="1343"/>
            </w:pPr>
            <w:r>
              <w:rPr>
                <w:rFonts w:hint="eastAsia"/>
              </w:rPr>
              <w:t>25人</w:t>
            </w:r>
          </w:p>
        </w:tc>
        <w:tc>
          <w:tcPr>
            <w:tcW w:w="366" w:type="pct"/>
            <w:vMerge w:val="continue"/>
            <w:noWrap/>
            <w:vAlign w:val="center"/>
          </w:tcPr>
          <w:p w14:paraId="6135BDB3">
            <w:pPr>
              <w:pStyle w:val="1343"/>
            </w:pPr>
          </w:p>
        </w:tc>
        <w:tc>
          <w:tcPr>
            <w:tcW w:w="464" w:type="pct"/>
            <w:vMerge w:val="continue"/>
            <w:vAlign w:val="center"/>
          </w:tcPr>
          <w:p w14:paraId="69BB5397">
            <w:pPr>
              <w:pStyle w:val="1343"/>
            </w:pPr>
          </w:p>
        </w:tc>
      </w:tr>
      <w:tr w14:paraId="35A17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6CE826F0">
            <w:pPr>
              <w:pStyle w:val="1343"/>
              <w:numPr>
                <w:ilvl w:val="0"/>
                <w:numId w:val="24"/>
              </w:numPr>
            </w:pPr>
          </w:p>
        </w:tc>
        <w:tc>
          <w:tcPr>
            <w:tcW w:w="276" w:type="pct"/>
            <w:vMerge w:val="continue"/>
            <w:noWrap/>
            <w:vAlign w:val="center"/>
          </w:tcPr>
          <w:p w14:paraId="281429B8">
            <w:pPr>
              <w:pStyle w:val="1343"/>
            </w:pPr>
          </w:p>
        </w:tc>
        <w:tc>
          <w:tcPr>
            <w:tcW w:w="837" w:type="pct"/>
            <w:noWrap/>
            <w:vAlign w:val="center"/>
          </w:tcPr>
          <w:p w14:paraId="63C8E854">
            <w:pPr>
              <w:pStyle w:val="1343"/>
            </w:pPr>
            <w:r>
              <w:rPr>
                <w:rFonts w:hint="eastAsia"/>
              </w:rPr>
              <w:t>缓塘</w:t>
            </w:r>
          </w:p>
        </w:tc>
        <w:tc>
          <w:tcPr>
            <w:tcW w:w="572" w:type="pct"/>
            <w:noWrap/>
            <w:vAlign w:val="center"/>
          </w:tcPr>
          <w:p w14:paraId="22FB715D">
            <w:pPr>
              <w:pStyle w:val="1343"/>
            </w:pPr>
            <w:r>
              <w:rPr>
                <w:rFonts w:hint="eastAsia"/>
              </w:rPr>
              <w:t>112.9322</w:t>
            </w:r>
          </w:p>
        </w:tc>
        <w:tc>
          <w:tcPr>
            <w:tcW w:w="616" w:type="pct"/>
            <w:noWrap/>
            <w:vAlign w:val="center"/>
          </w:tcPr>
          <w:p w14:paraId="48455E3A">
            <w:pPr>
              <w:pStyle w:val="1343"/>
            </w:pPr>
            <w:r>
              <w:rPr>
                <w:rFonts w:hint="eastAsia"/>
              </w:rPr>
              <w:t>26.4248</w:t>
            </w:r>
          </w:p>
        </w:tc>
        <w:tc>
          <w:tcPr>
            <w:tcW w:w="550" w:type="pct"/>
            <w:noWrap/>
            <w:vAlign w:val="center"/>
          </w:tcPr>
          <w:p w14:paraId="2C796956">
            <w:pPr>
              <w:pStyle w:val="1343"/>
            </w:pPr>
            <w:r>
              <w:rPr>
                <w:rFonts w:hint="eastAsia"/>
              </w:rPr>
              <w:t>1260</w:t>
            </w:r>
          </w:p>
        </w:tc>
        <w:tc>
          <w:tcPr>
            <w:tcW w:w="432" w:type="pct"/>
            <w:noWrap/>
            <w:vAlign w:val="center"/>
          </w:tcPr>
          <w:p w14:paraId="61298363">
            <w:pPr>
              <w:pStyle w:val="1343"/>
            </w:pPr>
            <w:r>
              <w:t>NE</w:t>
            </w:r>
          </w:p>
        </w:tc>
        <w:tc>
          <w:tcPr>
            <w:tcW w:w="631" w:type="pct"/>
            <w:noWrap/>
            <w:vAlign w:val="center"/>
          </w:tcPr>
          <w:p w14:paraId="4601632D">
            <w:pPr>
              <w:pStyle w:val="1343"/>
            </w:pPr>
            <w:r>
              <w:rPr>
                <w:rFonts w:hint="eastAsia"/>
              </w:rPr>
              <w:t>60人</w:t>
            </w:r>
          </w:p>
        </w:tc>
        <w:tc>
          <w:tcPr>
            <w:tcW w:w="366" w:type="pct"/>
            <w:vMerge w:val="continue"/>
            <w:noWrap/>
            <w:vAlign w:val="center"/>
          </w:tcPr>
          <w:p w14:paraId="0E9B7BE6">
            <w:pPr>
              <w:pStyle w:val="1343"/>
            </w:pPr>
          </w:p>
        </w:tc>
        <w:tc>
          <w:tcPr>
            <w:tcW w:w="464" w:type="pct"/>
            <w:vMerge w:val="continue"/>
            <w:vAlign w:val="center"/>
          </w:tcPr>
          <w:p w14:paraId="3A9A1B2F">
            <w:pPr>
              <w:pStyle w:val="1343"/>
            </w:pPr>
          </w:p>
        </w:tc>
      </w:tr>
      <w:tr w14:paraId="59C59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2540545A">
            <w:pPr>
              <w:pStyle w:val="1343"/>
              <w:numPr>
                <w:ilvl w:val="0"/>
                <w:numId w:val="24"/>
              </w:numPr>
            </w:pPr>
          </w:p>
        </w:tc>
        <w:tc>
          <w:tcPr>
            <w:tcW w:w="276" w:type="pct"/>
            <w:vMerge w:val="continue"/>
            <w:noWrap/>
            <w:vAlign w:val="center"/>
          </w:tcPr>
          <w:p w14:paraId="3DF15E60">
            <w:pPr>
              <w:pStyle w:val="1343"/>
            </w:pPr>
          </w:p>
        </w:tc>
        <w:tc>
          <w:tcPr>
            <w:tcW w:w="837" w:type="pct"/>
            <w:noWrap/>
            <w:vAlign w:val="center"/>
          </w:tcPr>
          <w:p w14:paraId="026B2D02">
            <w:pPr>
              <w:pStyle w:val="1343"/>
            </w:pPr>
            <w:r>
              <w:rPr>
                <w:rFonts w:hint="eastAsia"/>
              </w:rPr>
              <w:t>新塘村</w:t>
            </w:r>
          </w:p>
        </w:tc>
        <w:tc>
          <w:tcPr>
            <w:tcW w:w="572" w:type="pct"/>
            <w:noWrap/>
            <w:vAlign w:val="center"/>
          </w:tcPr>
          <w:p w14:paraId="35515BAD">
            <w:pPr>
              <w:pStyle w:val="1343"/>
            </w:pPr>
            <w:r>
              <w:rPr>
                <w:rFonts w:hint="eastAsia"/>
              </w:rPr>
              <w:t>112.9378</w:t>
            </w:r>
          </w:p>
        </w:tc>
        <w:tc>
          <w:tcPr>
            <w:tcW w:w="616" w:type="pct"/>
            <w:noWrap/>
            <w:vAlign w:val="center"/>
          </w:tcPr>
          <w:p w14:paraId="4E061052">
            <w:pPr>
              <w:pStyle w:val="1343"/>
            </w:pPr>
            <w:r>
              <w:rPr>
                <w:rFonts w:hint="eastAsia"/>
              </w:rPr>
              <w:t>26.4275</w:t>
            </w:r>
          </w:p>
        </w:tc>
        <w:tc>
          <w:tcPr>
            <w:tcW w:w="550" w:type="pct"/>
            <w:noWrap/>
            <w:vAlign w:val="center"/>
          </w:tcPr>
          <w:p w14:paraId="5E414BA8">
            <w:pPr>
              <w:pStyle w:val="1343"/>
            </w:pPr>
            <w:r>
              <w:rPr>
                <w:rFonts w:hint="eastAsia"/>
              </w:rPr>
              <w:t>1900</w:t>
            </w:r>
          </w:p>
        </w:tc>
        <w:tc>
          <w:tcPr>
            <w:tcW w:w="432" w:type="pct"/>
            <w:noWrap/>
            <w:vAlign w:val="center"/>
          </w:tcPr>
          <w:p w14:paraId="6F6ED19A">
            <w:pPr>
              <w:pStyle w:val="1343"/>
            </w:pPr>
            <w:r>
              <w:t>NE</w:t>
            </w:r>
          </w:p>
        </w:tc>
        <w:tc>
          <w:tcPr>
            <w:tcW w:w="631" w:type="pct"/>
            <w:noWrap/>
            <w:vAlign w:val="center"/>
          </w:tcPr>
          <w:p w14:paraId="6D0C37E7">
            <w:pPr>
              <w:pStyle w:val="1343"/>
            </w:pPr>
            <w:r>
              <w:rPr>
                <w:rFonts w:hint="eastAsia"/>
              </w:rPr>
              <w:t>170人</w:t>
            </w:r>
          </w:p>
        </w:tc>
        <w:tc>
          <w:tcPr>
            <w:tcW w:w="366" w:type="pct"/>
            <w:vMerge w:val="continue"/>
            <w:noWrap/>
            <w:vAlign w:val="center"/>
          </w:tcPr>
          <w:p w14:paraId="4AFECECD">
            <w:pPr>
              <w:pStyle w:val="1343"/>
            </w:pPr>
          </w:p>
        </w:tc>
        <w:tc>
          <w:tcPr>
            <w:tcW w:w="464" w:type="pct"/>
            <w:vMerge w:val="continue"/>
            <w:vAlign w:val="center"/>
          </w:tcPr>
          <w:p w14:paraId="57680299">
            <w:pPr>
              <w:pStyle w:val="1343"/>
            </w:pPr>
          </w:p>
        </w:tc>
      </w:tr>
      <w:tr w14:paraId="548DA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75DF4EE3">
            <w:pPr>
              <w:pStyle w:val="1343"/>
              <w:numPr>
                <w:ilvl w:val="0"/>
                <w:numId w:val="24"/>
              </w:numPr>
            </w:pPr>
          </w:p>
        </w:tc>
        <w:tc>
          <w:tcPr>
            <w:tcW w:w="276" w:type="pct"/>
            <w:vMerge w:val="continue"/>
            <w:noWrap/>
            <w:vAlign w:val="center"/>
          </w:tcPr>
          <w:p w14:paraId="10C95AFE">
            <w:pPr>
              <w:pStyle w:val="1343"/>
            </w:pPr>
          </w:p>
        </w:tc>
        <w:tc>
          <w:tcPr>
            <w:tcW w:w="837" w:type="pct"/>
            <w:noWrap/>
            <w:vAlign w:val="center"/>
          </w:tcPr>
          <w:p w14:paraId="107A57AB">
            <w:pPr>
              <w:pStyle w:val="1343"/>
            </w:pPr>
            <w:r>
              <w:rPr>
                <w:rFonts w:hint="eastAsia"/>
              </w:rPr>
              <w:t>新塘墈上</w:t>
            </w:r>
          </w:p>
        </w:tc>
        <w:tc>
          <w:tcPr>
            <w:tcW w:w="572" w:type="pct"/>
            <w:noWrap/>
            <w:vAlign w:val="center"/>
          </w:tcPr>
          <w:p w14:paraId="70325344">
            <w:pPr>
              <w:pStyle w:val="1343"/>
            </w:pPr>
            <w:r>
              <w:rPr>
                <w:rFonts w:hint="eastAsia"/>
              </w:rPr>
              <w:t>112.9424</w:t>
            </w:r>
          </w:p>
        </w:tc>
        <w:tc>
          <w:tcPr>
            <w:tcW w:w="616" w:type="pct"/>
            <w:noWrap/>
            <w:vAlign w:val="center"/>
          </w:tcPr>
          <w:p w14:paraId="208EDF2D">
            <w:pPr>
              <w:pStyle w:val="1343"/>
            </w:pPr>
            <w:r>
              <w:rPr>
                <w:rFonts w:hint="eastAsia"/>
              </w:rPr>
              <w:t>26.4348</w:t>
            </w:r>
          </w:p>
        </w:tc>
        <w:tc>
          <w:tcPr>
            <w:tcW w:w="550" w:type="pct"/>
            <w:noWrap/>
            <w:vAlign w:val="center"/>
          </w:tcPr>
          <w:p w14:paraId="3529B93C">
            <w:pPr>
              <w:pStyle w:val="1343"/>
            </w:pPr>
            <w:r>
              <w:rPr>
                <w:rFonts w:hint="eastAsia"/>
              </w:rPr>
              <w:t>2770</w:t>
            </w:r>
          </w:p>
        </w:tc>
        <w:tc>
          <w:tcPr>
            <w:tcW w:w="432" w:type="pct"/>
            <w:noWrap/>
            <w:vAlign w:val="center"/>
          </w:tcPr>
          <w:p w14:paraId="71DB1D87">
            <w:pPr>
              <w:pStyle w:val="1343"/>
            </w:pPr>
            <w:r>
              <w:t>NE</w:t>
            </w:r>
          </w:p>
        </w:tc>
        <w:tc>
          <w:tcPr>
            <w:tcW w:w="631" w:type="pct"/>
            <w:noWrap/>
            <w:vAlign w:val="center"/>
          </w:tcPr>
          <w:p w14:paraId="44A86D83">
            <w:pPr>
              <w:pStyle w:val="1343"/>
            </w:pPr>
            <w:r>
              <w:rPr>
                <w:rFonts w:hint="eastAsia"/>
              </w:rPr>
              <w:t>120人</w:t>
            </w:r>
          </w:p>
        </w:tc>
        <w:tc>
          <w:tcPr>
            <w:tcW w:w="366" w:type="pct"/>
            <w:vMerge w:val="continue"/>
            <w:noWrap/>
            <w:vAlign w:val="center"/>
          </w:tcPr>
          <w:p w14:paraId="42748AD6">
            <w:pPr>
              <w:pStyle w:val="1343"/>
            </w:pPr>
          </w:p>
        </w:tc>
        <w:tc>
          <w:tcPr>
            <w:tcW w:w="464" w:type="pct"/>
            <w:vMerge w:val="continue"/>
            <w:vAlign w:val="center"/>
          </w:tcPr>
          <w:p w14:paraId="729F18D7">
            <w:pPr>
              <w:pStyle w:val="1343"/>
            </w:pPr>
          </w:p>
        </w:tc>
      </w:tr>
      <w:tr w14:paraId="101F3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57F698A9">
            <w:pPr>
              <w:pStyle w:val="1343"/>
              <w:numPr>
                <w:ilvl w:val="0"/>
                <w:numId w:val="24"/>
              </w:numPr>
            </w:pPr>
          </w:p>
        </w:tc>
        <w:tc>
          <w:tcPr>
            <w:tcW w:w="276" w:type="pct"/>
            <w:vMerge w:val="continue"/>
            <w:noWrap/>
            <w:vAlign w:val="center"/>
          </w:tcPr>
          <w:p w14:paraId="08124379">
            <w:pPr>
              <w:pStyle w:val="1343"/>
            </w:pPr>
          </w:p>
        </w:tc>
        <w:tc>
          <w:tcPr>
            <w:tcW w:w="837" w:type="pct"/>
            <w:noWrap/>
            <w:vAlign w:val="center"/>
          </w:tcPr>
          <w:p w14:paraId="0B721B66">
            <w:pPr>
              <w:pStyle w:val="1343"/>
            </w:pPr>
            <w:r>
              <w:rPr>
                <w:rFonts w:hint="eastAsia"/>
              </w:rPr>
              <w:t>资家村</w:t>
            </w:r>
          </w:p>
        </w:tc>
        <w:tc>
          <w:tcPr>
            <w:tcW w:w="572" w:type="pct"/>
            <w:noWrap/>
            <w:vAlign w:val="center"/>
          </w:tcPr>
          <w:p w14:paraId="2236D988">
            <w:pPr>
              <w:pStyle w:val="1343"/>
            </w:pPr>
            <w:r>
              <w:rPr>
                <w:rFonts w:hint="eastAsia"/>
              </w:rPr>
              <w:t>112.9293</w:t>
            </w:r>
          </w:p>
        </w:tc>
        <w:tc>
          <w:tcPr>
            <w:tcW w:w="616" w:type="pct"/>
            <w:noWrap/>
            <w:vAlign w:val="center"/>
          </w:tcPr>
          <w:p w14:paraId="04B5486D">
            <w:pPr>
              <w:pStyle w:val="1343"/>
            </w:pPr>
            <w:r>
              <w:rPr>
                <w:rFonts w:hint="eastAsia"/>
              </w:rPr>
              <w:t>26.4402</w:t>
            </w:r>
          </w:p>
        </w:tc>
        <w:tc>
          <w:tcPr>
            <w:tcW w:w="550" w:type="pct"/>
            <w:noWrap/>
            <w:vAlign w:val="center"/>
          </w:tcPr>
          <w:p w14:paraId="31C550F2">
            <w:pPr>
              <w:pStyle w:val="1343"/>
            </w:pPr>
            <w:r>
              <w:rPr>
                <w:rFonts w:hint="eastAsia"/>
              </w:rPr>
              <w:t>2600</w:t>
            </w:r>
          </w:p>
        </w:tc>
        <w:tc>
          <w:tcPr>
            <w:tcW w:w="432" w:type="pct"/>
            <w:noWrap/>
            <w:vAlign w:val="center"/>
          </w:tcPr>
          <w:p w14:paraId="2513E8D8">
            <w:pPr>
              <w:pStyle w:val="1343"/>
            </w:pPr>
            <w:r>
              <w:t>NE</w:t>
            </w:r>
          </w:p>
        </w:tc>
        <w:tc>
          <w:tcPr>
            <w:tcW w:w="631" w:type="pct"/>
            <w:noWrap/>
            <w:vAlign w:val="center"/>
          </w:tcPr>
          <w:p w14:paraId="622D7B1A">
            <w:pPr>
              <w:pStyle w:val="1343"/>
            </w:pPr>
            <w:r>
              <w:rPr>
                <w:rFonts w:hint="eastAsia"/>
              </w:rPr>
              <w:t>130人</w:t>
            </w:r>
          </w:p>
        </w:tc>
        <w:tc>
          <w:tcPr>
            <w:tcW w:w="366" w:type="pct"/>
            <w:vMerge w:val="continue"/>
            <w:noWrap/>
            <w:vAlign w:val="center"/>
          </w:tcPr>
          <w:p w14:paraId="4A4C89EF">
            <w:pPr>
              <w:pStyle w:val="1343"/>
            </w:pPr>
          </w:p>
        </w:tc>
        <w:tc>
          <w:tcPr>
            <w:tcW w:w="464" w:type="pct"/>
            <w:vMerge w:val="continue"/>
            <w:vAlign w:val="center"/>
          </w:tcPr>
          <w:p w14:paraId="27330B94">
            <w:pPr>
              <w:pStyle w:val="1343"/>
            </w:pPr>
          </w:p>
        </w:tc>
      </w:tr>
      <w:tr w14:paraId="43AF1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094E21BD">
            <w:pPr>
              <w:pStyle w:val="1343"/>
              <w:numPr>
                <w:ilvl w:val="0"/>
                <w:numId w:val="24"/>
              </w:numPr>
            </w:pPr>
          </w:p>
        </w:tc>
        <w:tc>
          <w:tcPr>
            <w:tcW w:w="276" w:type="pct"/>
            <w:vMerge w:val="continue"/>
            <w:noWrap/>
            <w:vAlign w:val="center"/>
          </w:tcPr>
          <w:p w14:paraId="6C6C0678">
            <w:pPr>
              <w:pStyle w:val="1343"/>
            </w:pPr>
          </w:p>
        </w:tc>
        <w:tc>
          <w:tcPr>
            <w:tcW w:w="837" w:type="pct"/>
            <w:noWrap/>
            <w:vAlign w:val="center"/>
          </w:tcPr>
          <w:p w14:paraId="2448B916">
            <w:pPr>
              <w:pStyle w:val="1343"/>
            </w:pPr>
            <w:r>
              <w:rPr>
                <w:rFonts w:hint="eastAsia"/>
              </w:rPr>
              <w:t>山田涧</w:t>
            </w:r>
          </w:p>
        </w:tc>
        <w:tc>
          <w:tcPr>
            <w:tcW w:w="572" w:type="pct"/>
            <w:noWrap/>
            <w:vAlign w:val="center"/>
          </w:tcPr>
          <w:p w14:paraId="300205A7">
            <w:pPr>
              <w:pStyle w:val="1343"/>
            </w:pPr>
            <w:r>
              <w:rPr>
                <w:rFonts w:hint="eastAsia"/>
              </w:rPr>
              <w:t>112.9352</w:t>
            </w:r>
          </w:p>
        </w:tc>
        <w:tc>
          <w:tcPr>
            <w:tcW w:w="616" w:type="pct"/>
            <w:noWrap/>
            <w:vAlign w:val="center"/>
          </w:tcPr>
          <w:p w14:paraId="59530F38">
            <w:pPr>
              <w:pStyle w:val="1343"/>
            </w:pPr>
            <w:r>
              <w:rPr>
                <w:rFonts w:hint="eastAsia"/>
              </w:rPr>
              <w:t>26.4401</w:t>
            </w:r>
          </w:p>
        </w:tc>
        <w:tc>
          <w:tcPr>
            <w:tcW w:w="550" w:type="pct"/>
            <w:noWrap/>
            <w:vAlign w:val="center"/>
          </w:tcPr>
          <w:p w14:paraId="122A11CB">
            <w:pPr>
              <w:pStyle w:val="1343"/>
            </w:pPr>
            <w:r>
              <w:rPr>
                <w:rFonts w:hint="eastAsia"/>
              </w:rPr>
              <w:t>2800</w:t>
            </w:r>
          </w:p>
        </w:tc>
        <w:tc>
          <w:tcPr>
            <w:tcW w:w="432" w:type="pct"/>
            <w:noWrap/>
            <w:vAlign w:val="center"/>
          </w:tcPr>
          <w:p w14:paraId="2825CB9D">
            <w:pPr>
              <w:pStyle w:val="1343"/>
            </w:pPr>
            <w:r>
              <w:t>NE</w:t>
            </w:r>
          </w:p>
        </w:tc>
        <w:tc>
          <w:tcPr>
            <w:tcW w:w="631" w:type="pct"/>
            <w:noWrap/>
            <w:vAlign w:val="center"/>
          </w:tcPr>
          <w:p w14:paraId="22223A2A">
            <w:pPr>
              <w:pStyle w:val="1343"/>
            </w:pPr>
            <w:r>
              <w:rPr>
                <w:rFonts w:hint="eastAsia"/>
              </w:rPr>
              <w:t>70人</w:t>
            </w:r>
          </w:p>
        </w:tc>
        <w:tc>
          <w:tcPr>
            <w:tcW w:w="366" w:type="pct"/>
            <w:vMerge w:val="continue"/>
            <w:noWrap/>
            <w:vAlign w:val="center"/>
          </w:tcPr>
          <w:p w14:paraId="2547B01C">
            <w:pPr>
              <w:pStyle w:val="1343"/>
            </w:pPr>
          </w:p>
        </w:tc>
        <w:tc>
          <w:tcPr>
            <w:tcW w:w="464" w:type="pct"/>
            <w:vMerge w:val="continue"/>
            <w:vAlign w:val="center"/>
          </w:tcPr>
          <w:p w14:paraId="5382B4BB">
            <w:pPr>
              <w:pStyle w:val="1343"/>
            </w:pPr>
          </w:p>
        </w:tc>
      </w:tr>
      <w:tr w14:paraId="55C00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0F984F4A">
            <w:pPr>
              <w:pStyle w:val="1343"/>
              <w:numPr>
                <w:ilvl w:val="0"/>
                <w:numId w:val="24"/>
              </w:numPr>
            </w:pPr>
          </w:p>
        </w:tc>
        <w:tc>
          <w:tcPr>
            <w:tcW w:w="276" w:type="pct"/>
            <w:vMerge w:val="continue"/>
            <w:noWrap/>
            <w:vAlign w:val="center"/>
          </w:tcPr>
          <w:p w14:paraId="6235F968">
            <w:pPr>
              <w:pStyle w:val="1343"/>
            </w:pPr>
          </w:p>
        </w:tc>
        <w:tc>
          <w:tcPr>
            <w:tcW w:w="837" w:type="pct"/>
            <w:noWrap/>
            <w:vAlign w:val="center"/>
          </w:tcPr>
          <w:p w14:paraId="38760C67">
            <w:pPr>
              <w:pStyle w:val="1343"/>
            </w:pPr>
            <w:r>
              <w:rPr>
                <w:rFonts w:hint="eastAsia"/>
              </w:rPr>
              <w:t>带家冲</w:t>
            </w:r>
          </w:p>
        </w:tc>
        <w:tc>
          <w:tcPr>
            <w:tcW w:w="572" w:type="pct"/>
            <w:noWrap/>
            <w:vAlign w:val="center"/>
          </w:tcPr>
          <w:p w14:paraId="7C963EE2">
            <w:pPr>
              <w:pStyle w:val="1343"/>
            </w:pPr>
            <w:r>
              <w:rPr>
                <w:rFonts w:hint="eastAsia"/>
              </w:rPr>
              <w:t>112.9423</w:t>
            </w:r>
          </w:p>
        </w:tc>
        <w:tc>
          <w:tcPr>
            <w:tcW w:w="616" w:type="pct"/>
            <w:noWrap/>
            <w:vAlign w:val="center"/>
          </w:tcPr>
          <w:p w14:paraId="0F16C5FC">
            <w:pPr>
              <w:pStyle w:val="1343"/>
            </w:pPr>
            <w:r>
              <w:rPr>
                <w:rFonts w:hint="eastAsia"/>
              </w:rPr>
              <w:t>26.4299</w:t>
            </w:r>
          </w:p>
        </w:tc>
        <w:tc>
          <w:tcPr>
            <w:tcW w:w="550" w:type="pct"/>
            <w:noWrap/>
            <w:vAlign w:val="center"/>
          </w:tcPr>
          <w:p w14:paraId="65972E30">
            <w:pPr>
              <w:pStyle w:val="1343"/>
            </w:pPr>
            <w:r>
              <w:rPr>
                <w:rFonts w:hint="eastAsia"/>
              </w:rPr>
              <w:t>2370</w:t>
            </w:r>
          </w:p>
        </w:tc>
        <w:tc>
          <w:tcPr>
            <w:tcW w:w="432" w:type="pct"/>
            <w:noWrap/>
            <w:vAlign w:val="center"/>
          </w:tcPr>
          <w:p w14:paraId="05D28ECF">
            <w:pPr>
              <w:pStyle w:val="1343"/>
            </w:pPr>
            <w:r>
              <w:t>NE</w:t>
            </w:r>
          </w:p>
        </w:tc>
        <w:tc>
          <w:tcPr>
            <w:tcW w:w="631" w:type="pct"/>
            <w:noWrap/>
            <w:vAlign w:val="center"/>
          </w:tcPr>
          <w:p w14:paraId="4B904027">
            <w:pPr>
              <w:pStyle w:val="1343"/>
            </w:pPr>
            <w:r>
              <w:rPr>
                <w:rFonts w:hint="eastAsia"/>
              </w:rPr>
              <w:t>50人</w:t>
            </w:r>
          </w:p>
        </w:tc>
        <w:tc>
          <w:tcPr>
            <w:tcW w:w="366" w:type="pct"/>
            <w:vMerge w:val="continue"/>
            <w:noWrap/>
            <w:vAlign w:val="center"/>
          </w:tcPr>
          <w:p w14:paraId="6C9148A8">
            <w:pPr>
              <w:pStyle w:val="1343"/>
            </w:pPr>
          </w:p>
        </w:tc>
        <w:tc>
          <w:tcPr>
            <w:tcW w:w="464" w:type="pct"/>
            <w:vMerge w:val="continue"/>
            <w:vAlign w:val="center"/>
          </w:tcPr>
          <w:p w14:paraId="04252401">
            <w:pPr>
              <w:pStyle w:val="1343"/>
            </w:pPr>
          </w:p>
        </w:tc>
      </w:tr>
      <w:tr w14:paraId="1BEDC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57328985">
            <w:pPr>
              <w:pStyle w:val="1343"/>
              <w:numPr>
                <w:ilvl w:val="0"/>
                <w:numId w:val="24"/>
              </w:numPr>
            </w:pPr>
          </w:p>
        </w:tc>
        <w:tc>
          <w:tcPr>
            <w:tcW w:w="276" w:type="pct"/>
            <w:vMerge w:val="continue"/>
            <w:noWrap/>
            <w:vAlign w:val="center"/>
          </w:tcPr>
          <w:p w14:paraId="2DCFA6B9">
            <w:pPr>
              <w:pStyle w:val="1343"/>
            </w:pPr>
          </w:p>
        </w:tc>
        <w:tc>
          <w:tcPr>
            <w:tcW w:w="837" w:type="pct"/>
            <w:noWrap/>
            <w:vAlign w:val="center"/>
          </w:tcPr>
          <w:p w14:paraId="4BBF9BFA">
            <w:pPr>
              <w:pStyle w:val="1343"/>
            </w:pPr>
            <w:r>
              <w:rPr>
                <w:rFonts w:hint="eastAsia"/>
              </w:rPr>
              <w:t>罐子厂</w:t>
            </w:r>
          </w:p>
        </w:tc>
        <w:tc>
          <w:tcPr>
            <w:tcW w:w="572" w:type="pct"/>
            <w:noWrap/>
            <w:vAlign w:val="center"/>
          </w:tcPr>
          <w:p w14:paraId="73ECB752">
            <w:pPr>
              <w:pStyle w:val="1343"/>
            </w:pPr>
            <w:r>
              <w:rPr>
                <w:rFonts w:hint="eastAsia"/>
              </w:rPr>
              <w:t>112.9415</w:t>
            </w:r>
          </w:p>
        </w:tc>
        <w:tc>
          <w:tcPr>
            <w:tcW w:w="616" w:type="pct"/>
            <w:noWrap/>
            <w:vAlign w:val="center"/>
          </w:tcPr>
          <w:p w14:paraId="619697D1">
            <w:pPr>
              <w:pStyle w:val="1343"/>
            </w:pPr>
            <w:r>
              <w:rPr>
                <w:rFonts w:hint="eastAsia"/>
              </w:rPr>
              <w:t>26.4250</w:t>
            </w:r>
          </w:p>
        </w:tc>
        <w:tc>
          <w:tcPr>
            <w:tcW w:w="550" w:type="pct"/>
            <w:noWrap/>
            <w:vAlign w:val="center"/>
          </w:tcPr>
          <w:p w14:paraId="571D897B">
            <w:pPr>
              <w:pStyle w:val="1343"/>
            </w:pPr>
            <w:r>
              <w:rPr>
                <w:rFonts w:hint="eastAsia"/>
              </w:rPr>
              <w:t>2110</w:t>
            </w:r>
          </w:p>
        </w:tc>
        <w:tc>
          <w:tcPr>
            <w:tcW w:w="432" w:type="pct"/>
            <w:noWrap/>
            <w:vAlign w:val="center"/>
          </w:tcPr>
          <w:p w14:paraId="6BE8309A">
            <w:pPr>
              <w:pStyle w:val="1343"/>
            </w:pPr>
            <w:r>
              <w:t>NE</w:t>
            </w:r>
          </w:p>
        </w:tc>
        <w:tc>
          <w:tcPr>
            <w:tcW w:w="631" w:type="pct"/>
            <w:noWrap/>
            <w:vAlign w:val="center"/>
          </w:tcPr>
          <w:p w14:paraId="7626567C">
            <w:pPr>
              <w:pStyle w:val="1343"/>
            </w:pPr>
            <w:r>
              <w:rPr>
                <w:rFonts w:hint="eastAsia"/>
              </w:rPr>
              <w:t>120人</w:t>
            </w:r>
          </w:p>
        </w:tc>
        <w:tc>
          <w:tcPr>
            <w:tcW w:w="366" w:type="pct"/>
            <w:vMerge w:val="continue"/>
            <w:noWrap/>
            <w:vAlign w:val="center"/>
          </w:tcPr>
          <w:p w14:paraId="19CC293A">
            <w:pPr>
              <w:pStyle w:val="1343"/>
            </w:pPr>
          </w:p>
        </w:tc>
        <w:tc>
          <w:tcPr>
            <w:tcW w:w="464" w:type="pct"/>
            <w:vMerge w:val="continue"/>
            <w:vAlign w:val="center"/>
          </w:tcPr>
          <w:p w14:paraId="7F55C294">
            <w:pPr>
              <w:pStyle w:val="1343"/>
            </w:pPr>
          </w:p>
        </w:tc>
      </w:tr>
      <w:tr w14:paraId="3AE8F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06240630">
            <w:pPr>
              <w:pStyle w:val="1343"/>
              <w:numPr>
                <w:ilvl w:val="0"/>
                <w:numId w:val="24"/>
              </w:numPr>
            </w:pPr>
          </w:p>
        </w:tc>
        <w:tc>
          <w:tcPr>
            <w:tcW w:w="276" w:type="pct"/>
            <w:vMerge w:val="continue"/>
            <w:noWrap/>
            <w:vAlign w:val="center"/>
          </w:tcPr>
          <w:p w14:paraId="3703A8CE">
            <w:pPr>
              <w:pStyle w:val="1343"/>
            </w:pPr>
          </w:p>
        </w:tc>
        <w:tc>
          <w:tcPr>
            <w:tcW w:w="837" w:type="pct"/>
            <w:noWrap/>
            <w:vAlign w:val="center"/>
          </w:tcPr>
          <w:p w14:paraId="29F27D2E">
            <w:pPr>
              <w:pStyle w:val="1343"/>
            </w:pPr>
            <w:r>
              <w:rPr>
                <w:rFonts w:hint="eastAsia"/>
              </w:rPr>
              <w:t>渣家塘</w:t>
            </w:r>
          </w:p>
        </w:tc>
        <w:tc>
          <w:tcPr>
            <w:tcW w:w="572" w:type="pct"/>
            <w:noWrap/>
            <w:vAlign w:val="center"/>
          </w:tcPr>
          <w:p w14:paraId="4A08EACA">
            <w:pPr>
              <w:pStyle w:val="1343"/>
            </w:pPr>
            <w:r>
              <w:rPr>
                <w:rFonts w:hint="eastAsia"/>
              </w:rPr>
              <w:t>112.9325</w:t>
            </w:r>
          </w:p>
        </w:tc>
        <w:tc>
          <w:tcPr>
            <w:tcW w:w="616" w:type="pct"/>
            <w:noWrap/>
            <w:vAlign w:val="center"/>
          </w:tcPr>
          <w:p w14:paraId="785B584E">
            <w:pPr>
              <w:pStyle w:val="1343"/>
            </w:pPr>
            <w:r>
              <w:rPr>
                <w:rFonts w:hint="eastAsia"/>
              </w:rPr>
              <w:t>26.4205</w:t>
            </w:r>
          </w:p>
        </w:tc>
        <w:tc>
          <w:tcPr>
            <w:tcW w:w="550" w:type="pct"/>
            <w:noWrap/>
            <w:vAlign w:val="center"/>
          </w:tcPr>
          <w:p w14:paraId="6E67076C">
            <w:pPr>
              <w:pStyle w:val="1343"/>
            </w:pPr>
            <w:r>
              <w:rPr>
                <w:rFonts w:hint="eastAsia"/>
              </w:rPr>
              <w:t>920</w:t>
            </w:r>
          </w:p>
        </w:tc>
        <w:tc>
          <w:tcPr>
            <w:tcW w:w="432" w:type="pct"/>
            <w:noWrap/>
            <w:vAlign w:val="center"/>
          </w:tcPr>
          <w:p w14:paraId="6428032F">
            <w:pPr>
              <w:pStyle w:val="1343"/>
            </w:pPr>
            <w:r>
              <w:t>NE</w:t>
            </w:r>
          </w:p>
        </w:tc>
        <w:tc>
          <w:tcPr>
            <w:tcW w:w="631" w:type="pct"/>
            <w:noWrap/>
            <w:vAlign w:val="center"/>
          </w:tcPr>
          <w:p w14:paraId="4B4BA00C">
            <w:pPr>
              <w:pStyle w:val="1343"/>
            </w:pPr>
            <w:r>
              <w:rPr>
                <w:rFonts w:hint="eastAsia"/>
              </w:rPr>
              <w:t>75人</w:t>
            </w:r>
          </w:p>
        </w:tc>
        <w:tc>
          <w:tcPr>
            <w:tcW w:w="366" w:type="pct"/>
            <w:vMerge w:val="continue"/>
            <w:noWrap/>
            <w:vAlign w:val="center"/>
          </w:tcPr>
          <w:p w14:paraId="498F20C9">
            <w:pPr>
              <w:pStyle w:val="1343"/>
            </w:pPr>
          </w:p>
        </w:tc>
        <w:tc>
          <w:tcPr>
            <w:tcW w:w="464" w:type="pct"/>
            <w:vMerge w:val="continue"/>
            <w:vAlign w:val="center"/>
          </w:tcPr>
          <w:p w14:paraId="4F90754F">
            <w:pPr>
              <w:pStyle w:val="1343"/>
            </w:pPr>
          </w:p>
        </w:tc>
      </w:tr>
      <w:tr w14:paraId="28D9D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2B664CAD">
            <w:pPr>
              <w:pStyle w:val="1343"/>
              <w:numPr>
                <w:ilvl w:val="0"/>
                <w:numId w:val="24"/>
              </w:numPr>
            </w:pPr>
          </w:p>
        </w:tc>
        <w:tc>
          <w:tcPr>
            <w:tcW w:w="276" w:type="pct"/>
            <w:vMerge w:val="continue"/>
            <w:noWrap/>
            <w:vAlign w:val="center"/>
          </w:tcPr>
          <w:p w14:paraId="4B4FAAAB">
            <w:pPr>
              <w:pStyle w:val="1343"/>
            </w:pPr>
          </w:p>
        </w:tc>
        <w:tc>
          <w:tcPr>
            <w:tcW w:w="837" w:type="pct"/>
            <w:noWrap/>
            <w:vAlign w:val="center"/>
          </w:tcPr>
          <w:p w14:paraId="013C3502">
            <w:pPr>
              <w:pStyle w:val="1343"/>
            </w:pPr>
            <w:r>
              <w:rPr>
                <w:rFonts w:hint="eastAsia"/>
              </w:rPr>
              <w:t>石头背</w:t>
            </w:r>
          </w:p>
        </w:tc>
        <w:tc>
          <w:tcPr>
            <w:tcW w:w="572" w:type="pct"/>
            <w:noWrap/>
            <w:vAlign w:val="center"/>
          </w:tcPr>
          <w:p w14:paraId="78D426E5">
            <w:pPr>
              <w:pStyle w:val="1343"/>
            </w:pPr>
            <w:r>
              <w:rPr>
                <w:rFonts w:hint="eastAsia"/>
              </w:rPr>
              <w:t>112.9404</w:t>
            </w:r>
          </w:p>
        </w:tc>
        <w:tc>
          <w:tcPr>
            <w:tcW w:w="616" w:type="pct"/>
            <w:noWrap/>
            <w:vAlign w:val="center"/>
          </w:tcPr>
          <w:p w14:paraId="4E416D0A">
            <w:pPr>
              <w:pStyle w:val="1343"/>
            </w:pPr>
            <w:r>
              <w:rPr>
                <w:rFonts w:hint="eastAsia"/>
              </w:rPr>
              <w:t>26.4207</w:t>
            </w:r>
          </w:p>
        </w:tc>
        <w:tc>
          <w:tcPr>
            <w:tcW w:w="550" w:type="pct"/>
            <w:noWrap/>
            <w:vAlign w:val="center"/>
          </w:tcPr>
          <w:p w14:paraId="467D6793">
            <w:pPr>
              <w:pStyle w:val="1343"/>
            </w:pPr>
            <w:r>
              <w:rPr>
                <w:rFonts w:hint="eastAsia"/>
              </w:rPr>
              <w:t>1830</w:t>
            </w:r>
          </w:p>
        </w:tc>
        <w:tc>
          <w:tcPr>
            <w:tcW w:w="432" w:type="pct"/>
            <w:noWrap/>
            <w:vAlign w:val="center"/>
          </w:tcPr>
          <w:p w14:paraId="0CAB12DE">
            <w:pPr>
              <w:pStyle w:val="1343"/>
            </w:pPr>
            <w:r>
              <w:t>E</w:t>
            </w:r>
          </w:p>
        </w:tc>
        <w:tc>
          <w:tcPr>
            <w:tcW w:w="631" w:type="pct"/>
            <w:noWrap/>
            <w:vAlign w:val="center"/>
          </w:tcPr>
          <w:p w14:paraId="616BB28C">
            <w:pPr>
              <w:pStyle w:val="1343"/>
            </w:pPr>
            <w:r>
              <w:rPr>
                <w:rFonts w:hint="eastAsia"/>
              </w:rPr>
              <w:t>90人</w:t>
            </w:r>
          </w:p>
        </w:tc>
        <w:tc>
          <w:tcPr>
            <w:tcW w:w="366" w:type="pct"/>
            <w:vMerge w:val="continue"/>
            <w:noWrap/>
            <w:vAlign w:val="center"/>
          </w:tcPr>
          <w:p w14:paraId="7E7D5CC5">
            <w:pPr>
              <w:pStyle w:val="1343"/>
            </w:pPr>
          </w:p>
        </w:tc>
        <w:tc>
          <w:tcPr>
            <w:tcW w:w="464" w:type="pct"/>
            <w:vMerge w:val="continue"/>
            <w:vAlign w:val="center"/>
          </w:tcPr>
          <w:p w14:paraId="28E2061A">
            <w:pPr>
              <w:pStyle w:val="1343"/>
            </w:pPr>
          </w:p>
        </w:tc>
      </w:tr>
      <w:tr w14:paraId="5D774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3A80530F">
            <w:pPr>
              <w:pStyle w:val="1343"/>
              <w:numPr>
                <w:ilvl w:val="0"/>
                <w:numId w:val="24"/>
              </w:numPr>
            </w:pPr>
          </w:p>
        </w:tc>
        <w:tc>
          <w:tcPr>
            <w:tcW w:w="276" w:type="pct"/>
            <w:vMerge w:val="continue"/>
            <w:noWrap/>
            <w:vAlign w:val="center"/>
          </w:tcPr>
          <w:p w14:paraId="2223C3F0">
            <w:pPr>
              <w:pStyle w:val="1343"/>
            </w:pPr>
          </w:p>
        </w:tc>
        <w:tc>
          <w:tcPr>
            <w:tcW w:w="837" w:type="pct"/>
            <w:noWrap/>
            <w:vAlign w:val="center"/>
          </w:tcPr>
          <w:p w14:paraId="10819A33">
            <w:pPr>
              <w:pStyle w:val="1343"/>
            </w:pPr>
            <w:r>
              <w:rPr>
                <w:rFonts w:hint="eastAsia"/>
              </w:rPr>
              <w:t>高塘湾</w:t>
            </w:r>
          </w:p>
        </w:tc>
        <w:tc>
          <w:tcPr>
            <w:tcW w:w="572" w:type="pct"/>
            <w:noWrap/>
            <w:vAlign w:val="center"/>
          </w:tcPr>
          <w:p w14:paraId="1C16CB37">
            <w:pPr>
              <w:pStyle w:val="1343"/>
            </w:pPr>
            <w:r>
              <w:rPr>
                <w:rFonts w:hint="eastAsia"/>
              </w:rPr>
              <w:t>112.9467</w:t>
            </w:r>
          </w:p>
        </w:tc>
        <w:tc>
          <w:tcPr>
            <w:tcW w:w="616" w:type="pct"/>
            <w:noWrap/>
            <w:vAlign w:val="center"/>
          </w:tcPr>
          <w:p w14:paraId="60679DA4">
            <w:pPr>
              <w:pStyle w:val="1343"/>
            </w:pPr>
            <w:r>
              <w:rPr>
                <w:rFonts w:hint="eastAsia"/>
              </w:rPr>
              <w:t>26.4193</w:t>
            </w:r>
          </w:p>
        </w:tc>
        <w:tc>
          <w:tcPr>
            <w:tcW w:w="550" w:type="pct"/>
            <w:noWrap/>
            <w:vAlign w:val="center"/>
          </w:tcPr>
          <w:p w14:paraId="125D0836">
            <w:pPr>
              <w:pStyle w:val="1343"/>
            </w:pPr>
            <w:r>
              <w:rPr>
                <w:rFonts w:hint="eastAsia"/>
              </w:rPr>
              <w:t>2440</w:t>
            </w:r>
          </w:p>
        </w:tc>
        <w:tc>
          <w:tcPr>
            <w:tcW w:w="432" w:type="pct"/>
            <w:noWrap/>
            <w:vAlign w:val="center"/>
          </w:tcPr>
          <w:p w14:paraId="005E923C">
            <w:pPr>
              <w:pStyle w:val="1343"/>
            </w:pPr>
            <w:r>
              <w:t>E</w:t>
            </w:r>
          </w:p>
        </w:tc>
        <w:tc>
          <w:tcPr>
            <w:tcW w:w="631" w:type="pct"/>
            <w:noWrap/>
            <w:vAlign w:val="center"/>
          </w:tcPr>
          <w:p w14:paraId="5AB954EB">
            <w:pPr>
              <w:pStyle w:val="1343"/>
            </w:pPr>
            <w:r>
              <w:rPr>
                <w:rFonts w:hint="eastAsia"/>
              </w:rPr>
              <w:t>45人</w:t>
            </w:r>
          </w:p>
        </w:tc>
        <w:tc>
          <w:tcPr>
            <w:tcW w:w="366" w:type="pct"/>
            <w:vMerge w:val="continue"/>
            <w:noWrap/>
            <w:vAlign w:val="center"/>
          </w:tcPr>
          <w:p w14:paraId="4B90A0BA">
            <w:pPr>
              <w:pStyle w:val="1343"/>
            </w:pPr>
          </w:p>
        </w:tc>
        <w:tc>
          <w:tcPr>
            <w:tcW w:w="464" w:type="pct"/>
            <w:vMerge w:val="continue"/>
            <w:vAlign w:val="center"/>
          </w:tcPr>
          <w:p w14:paraId="6597EB62">
            <w:pPr>
              <w:pStyle w:val="1343"/>
            </w:pPr>
          </w:p>
        </w:tc>
      </w:tr>
      <w:tr w14:paraId="73FDD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315A8F60">
            <w:pPr>
              <w:pStyle w:val="1343"/>
              <w:numPr>
                <w:ilvl w:val="0"/>
                <w:numId w:val="24"/>
              </w:numPr>
            </w:pPr>
          </w:p>
        </w:tc>
        <w:tc>
          <w:tcPr>
            <w:tcW w:w="276" w:type="pct"/>
            <w:vMerge w:val="continue"/>
            <w:noWrap/>
            <w:vAlign w:val="center"/>
          </w:tcPr>
          <w:p w14:paraId="66762E24">
            <w:pPr>
              <w:pStyle w:val="1343"/>
            </w:pPr>
          </w:p>
        </w:tc>
        <w:tc>
          <w:tcPr>
            <w:tcW w:w="837" w:type="pct"/>
            <w:noWrap/>
            <w:vAlign w:val="center"/>
          </w:tcPr>
          <w:p w14:paraId="6BB69289">
            <w:pPr>
              <w:pStyle w:val="1343"/>
            </w:pPr>
            <w:r>
              <w:rPr>
                <w:rFonts w:hint="eastAsia"/>
              </w:rPr>
              <w:t>竹市镇</w:t>
            </w:r>
          </w:p>
        </w:tc>
        <w:tc>
          <w:tcPr>
            <w:tcW w:w="572" w:type="pct"/>
            <w:noWrap/>
            <w:vAlign w:val="center"/>
          </w:tcPr>
          <w:p w14:paraId="223852B4">
            <w:pPr>
              <w:pStyle w:val="1343"/>
            </w:pPr>
            <w:r>
              <w:rPr>
                <w:rFonts w:hint="eastAsia"/>
              </w:rPr>
              <w:t>112.9327</w:t>
            </w:r>
          </w:p>
        </w:tc>
        <w:tc>
          <w:tcPr>
            <w:tcW w:w="616" w:type="pct"/>
            <w:noWrap/>
            <w:vAlign w:val="center"/>
          </w:tcPr>
          <w:p w14:paraId="609742BD">
            <w:pPr>
              <w:pStyle w:val="1343"/>
            </w:pPr>
            <w:r>
              <w:rPr>
                <w:rFonts w:hint="eastAsia"/>
              </w:rPr>
              <w:t>26.4177</w:t>
            </w:r>
          </w:p>
        </w:tc>
        <w:tc>
          <w:tcPr>
            <w:tcW w:w="550" w:type="pct"/>
            <w:noWrap/>
            <w:vAlign w:val="center"/>
          </w:tcPr>
          <w:p w14:paraId="024319A4">
            <w:pPr>
              <w:pStyle w:val="1343"/>
            </w:pPr>
            <w:r>
              <w:rPr>
                <w:rFonts w:hint="eastAsia"/>
              </w:rPr>
              <w:t>910</w:t>
            </w:r>
          </w:p>
        </w:tc>
        <w:tc>
          <w:tcPr>
            <w:tcW w:w="432" w:type="pct"/>
            <w:noWrap/>
            <w:vAlign w:val="center"/>
          </w:tcPr>
          <w:p w14:paraId="142231D1">
            <w:pPr>
              <w:pStyle w:val="1343"/>
            </w:pPr>
            <w:r>
              <w:t>E</w:t>
            </w:r>
          </w:p>
        </w:tc>
        <w:tc>
          <w:tcPr>
            <w:tcW w:w="631" w:type="pct"/>
            <w:noWrap/>
            <w:vAlign w:val="center"/>
          </w:tcPr>
          <w:p w14:paraId="19812BEE">
            <w:pPr>
              <w:pStyle w:val="1343"/>
            </w:pPr>
            <w:r>
              <w:rPr>
                <w:rFonts w:hint="eastAsia"/>
              </w:rPr>
              <w:t>350人</w:t>
            </w:r>
          </w:p>
        </w:tc>
        <w:tc>
          <w:tcPr>
            <w:tcW w:w="366" w:type="pct"/>
            <w:vMerge w:val="continue"/>
            <w:noWrap/>
            <w:vAlign w:val="center"/>
          </w:tcPr>
          <w:p w14:paraId="4A0A71CB">
            <w:pPr>
              <w:pStyle w:val="1343"/>
            </w:pPr>
          </w:p>
        </w:tc>
        <w:tc>
          <w:tcPr>
            <w:tcW w:w="464" w:type="pct"/>
            <w:vMerge w:val="continue"/>
            <w:vAlign w:val="center"/>
          </w:tcPr>
          <w:p w14:paraId="02439819">
            <w:pPr>
              <w:pStyle w:val="1343"/>
            </w:pPr>
          </w:p>
        </w:tc>
      </w:tr>
      <w:tr w14:paraId="41E3F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37BF0F8E">
            <w:pPr>
              <w:pStyle w:val="1343"/>
              <w:numPr>
                <w:ilvl w:val="0"/>
                <w:numId w:val="24"/>
              </w:numPr>
            </w:pPr>
          </w:p>
        </w:tc>
        <w:tc>
          <w:tcPr>
            <w:tcW w:w="276" w:type="pct"/>
            <w:vMerge w:val="continue"/>
            <w:noWrap/>
            <w:vAlign w:val="center"/>
          </w:tcPr>
          <w:p w14:paraId="552F6CE6">
            <w:pPr>
              <w:pStyle w:val="1343"/>
            </w:pPr>
          </w:p>
        </w:tc>
        <w:tc>
          <w:tcPr>
            <w:tcW w:w="837" w:type="pct"/>
            <w:noWrap/>
            <w:vAlign w:val="center"/>
          </w:tcPr>
          <w:p w14:paraId="76B4355D">
            <w:pPr>
              <w:pStyle w:val="1343"/>
            </w:pPr>
            <w:r>
              <w:rPr>
                <w:rFonts w:hint="eastAsia"/>
              </w:rPr>
              <w:t>金穗新村</w:t>
            </w:r>
          </w:p>
        </w:tc>
        <w:tc>
          <w:tcPr>
            <w:tcW w:w="572" w:type="pct"/>
            <w:noWrap/>
            <w:vAlign w:val="center"/>
          </w:tcPr>
          <w:p w14:paraId="6150B8C9">
            <w:pPr>
              <w:pStyle w:val="1343"/>
            </w:pPr>
            <w:r>
              <w:rPr>
                <w:rFonts w:hint="eastAsia"/>
              </w:rPr>
              <w:t>112.9257</w:t>
            </w:r>
          </w:p>
        </w:tc>
        <w:tc>
          <w:tcPr>
            <w:tcW w:w="616" w:type="pct"/>
            <w:noWrap/>
            <w:vAlign w:val="center"/>
          </w:tcPr>
          <w:p w14:paraId="6A644140">
            <w:pPr>
              <w:pStyle w:val="1343"/>
            </w:pPr>
            <w:r>
              <w:rPr>
                <w:rFonts w:hint="eastAsia"/>
              </w:rPr>
              <w:t>26.4163</w:t>
            </w:r>
          </w:p>
        </w:tc>
        <w:tc>
          <w:tcPr>
            <w:tcW w:w="550" w:type="pct"/>
            <w:noWrap/>
            <w:vAlign w:val="center"/>
          </w:tcPr>
          <w:p w14:paraId="3B75CB5F">
            <w:pPr>
              <w:pStyle w:val="1343"/>
            </w:pPr>
            <w:r>
              <w:rPr>
                <w:rFonts w:hint="eastAsia"/>
              </w:rPr>
              <w:t>240</w:t>
            </w:r>
          </w:p>
        </w:tc>
        <w:tc>
          <w:tcPr>
            <w:tcW w:w="432" w:type="pct"/>
            <w:noWrap/>
            <w:vAlign w:val="center"/>
          </w:tcPr>
          <w:p w14:paraId="579CFFEC">
            <w:pPr>
              <w:pStyle w:val="1343"/>
            </w:pPr>
            <w:r>
              <w:t>E</w:t>
            </w:r>
          </w:p>
        </w:tc>
        <w:tc>
          <w:tcPr>
            <w:tcW w:w="631" w:type="pct"/>
            <w:noWrap/>
            <w:vAlign w:val="center"/>
          </w:tcPr>
          <w:p w14:paraId="29C2154C">
            <w:pPr>
              <w:pStyle w:val="1343"/>
            </w:pPr>
            <w:r>
              <w:rPr>
                <w:rFonts w:hint="eastAsia"/>
              </w:rPr>
              <w:t>60人</w:t>
            </w:r>
          </w:p>
        </w:tc>
        <w:tc>
          <w:tcPr>
            <w:tcW w:w="366" w:type="pct"/>
            <w:vMerge w:val="continue"/>
            <w:noWrap/>
            <w:vAlign w:val="center"/>
          </w:tcPr>
          <w:p w14:paraId="7AA97539">
            <w:pPr>
              <w:pStyle w:val="1343"/>
            </w:pPr>
          </w:p>
        </w:tc>
        <w:tc>
          <w:tcPr>
            <w:tcW w:w="464" w:type="pct"/>
            <w:vMerge w:val="continue"/>
            <w:vAlign w:val="center"/>
          </w:tcPr>
          <w:p w14:paraId="004301F3">
            <w:pPr>
              <w:pStyle w:val="1343"/>
            </w:pPr>
          </w:p>
        </w:tc>
      </w:tr>
      <w:tr w14:paraId="31E26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5E040AE5">
            <w:pPr>
              <w:pStyle w:val="1343"/>
              <w:numPr>
                <w:ilvl w:val="0"/>
                <w:numId w:val="24"/>
              </w:numPr>
            </w:pPr>
          </w:p>
        </w:tc>
        <w:tc>
          <w:tcPr>
            <w:tcW w:w="276" w:type="pct"/>
            <w:vMerge w:val="continue"/>
            <w:noWrap/>
            <w:vAlign w:val="center"/>
          </w:tcPr>
          <w:p w14:paraId="11B0F6C0">
            <w:pPr>
              <w:pStyle w:val="1343"/>
            </w:pPr>
          </w:p>
        </w:tc>
        <w:tc>
          <w:tcPr>
            <w:tcW w:w="837" w:type="pct"/>
            <w:noWrap/>
            <w:vAlign w:val="center"/>
          </w:tcPr>
          <w:p w14:paraId="659C27EC">
            <w:pPr>
              <w:pStyle w:val="1343"/>
            </w:pPr>
            <w:r>
              <w:rPr>
                <w:rFonts w:hint="eastAsia"/>
              </w:rPr>
              <w:t>梁家新湾</w:t>
            </w:r>
          </w:p>
        </w:tc>
        <w:tc>
          <w:tcPr>
            <w:tcW w:w="572" w:type="pct"/>
            <w:noWrap/>
            <w:vAlign w:val="center"/>
          </w:tcPr>
          <w:p w14:paraId="5808BE1E">
            <w:pPr>
              <w:pStyle w:val="1343"/>
            </w:pPr>
            <w:r>
              <w:rPr>
                <w:rFonts w:hint="eastAsia"/>
              </w:rPr>
              <w:t>112.9279</w:t>
            </w:r>
          </w:p>
        </w:tc>
        <w:tc>
          <w:tcPr>
            <w:tcW w:w="616" w:type="pct"/>
            <w:noWrap/>
            <w:vAlign w:val="center"/>
          </w:tcPr>
          <w:p w14:paraId="2A819F51">
            <w:pPr>
              <w:pStyle w:val="1343"/>
            </w:pPr>
            <w:r>
              <w:rPr>
                <w:rFonts w:hint="eastAsia"/>
              </w:rPr>
              <w:t>26.4167</w:t>
            </w:r>
          </w:p>
        </w:tc>
        <w:tc>
          <w:tcPr>
            <w:tcW w:w="550" w:type="pct"/>
            <w:noWrap/>
            <w:vAlign w:val="center"/>
          </w:tcPr>
          <w:p w14:paraId="737B3257">
            <w:pPr>
              <w:pStyle w:val="1343"/>
            </w:pPr>
            <w:r>
              <w:rPr>
                <w:rFonts w:hint="eastAsia"/>
              </w:rPr>
              <w:t>550</w:t>
            </w:r>
          </w:p>
        </w:tc>
        <w:tc>
          <w:tcPr>
            <w:tcW w:w="432" w:type="pct"/>
            <w:noWrap/>
            <w:vAlign w:val="center"/>
          </w:tcPr>
          <w:p w14:paraId="3FAC60EE">
            <w:pPr>
              <w:pStyle w:val="1343"/>
            </w:pPr>
            <w:r>
              <w:rPr>
                <w:rFonts w:hint="eastAsia"/>
              </w:rPr>
              <w:t>S</w:t>
            </w:r>
            <w:r>
              <w:t>E</w:t>
            </w:r>
          </w:p>
        </w:tc>
        <w:tc>
          <w:tcPr>
            <w:tcW w:w="631" w:type="pct"/>
            <w:noWrap/>
            <w:vAlign w:val="center"/>
          </w:tcPr>
          <w:p w14:paraId="423BEAAE">
            <w:pPr>
              <w:pStyle w:val="1343"/>
            </w:pPr>
            <w:r>
              <w:rPr>
                <w:rFonts w:hint="eastAsia"/>
              </w:rPr>
              <w:t>150人</w:t>
            </w:r>
          </w:p>
        </w:tc>
        <w:tc>
          <w:tcPr>
            <w:tcW w:w="366" w:type="pct"/>
            <w:vMerge w:val="continue"/>
            <w:noWrap/>
            <w:vAlign w:val="center"/>
          </w:tcPr>
          <w:p w14:paraId="17BDBEE0">
            <w:pPr>
              <w:pStyle w:val="1343"/>
            </w:pPr>
          </w:p>
        </w:tc>
        <w:tc>
          <w:tcPr>
            <w:tcW w:w="464" w:type="pct"/>
            <w:vMerge w:val="continue"/>
            <w:vAlign w:val="center"/>
          </w:tcPr>
          <w:p w14:paraId="28311A59">
            <w:pPr>
              <w:pStyle w:val="1343"/>
            </w:pPr>
          </w:p>
        </w:tc>
      </w:tr>
      <w:tr w14:paraId="57663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01F5B87E">
            <w:pPr>
              <w:pStyle w:val="1343"/>
              <w:numPr>
                <w:ilvl w:val="0"/>
                <w:numId w:val="24"/>
              </w:numPr>
            </w:pPr>
          </w:p>
        </w:tc>
        <w:tc>
          <w:tcPr>
            <w:tcW w:w="276" w:type="pct"/>
            <w:vMerge w:val="continue"/>
            <w:noWrap/>
            <w:vAlign w:val="center"/>
          </w:tcPr>
          <w:p w14:paraId="18BE511D">
            <w:pPr>
              <w:pStyle w:val="1343"/>
            </w:pPr>
          </w:p>
        </w:tc>
        <w:tc>
          <w:tcPr>
            <w:tcW w:w="837" w:type="pct"/>
            <w:noWrap/>
            <w:vAlign w:val="center"/>
          </w:tcPr>
          <w:p w14:paraId="2966C14F">
            <w:pPr>
              <w:pStyle w:val="1343"/>
            </w:pPr>
            <w:r>
              <w:rPr>
                <w:rFonts w:hint="eastAsia"/>
              </w:rPr>
              <w:t>伍家湾</w:t>
            </w:r>
          </w:p>
        </w:tc>
        <w:tc>
          <w:tcPr>
            <w:tcW w:w="572" w:type="pct"/>
            <w:noWrap/>
            <w:vAlign w:val="center"/>
          </w:tcPr>
          <w:p w14:paraId="51D8AA8B">
            <w:pPr>
              <w:pStyle w:val="1343"/>
            </w:pPr>
            <w:r>
              <w:rPr>
                <w:rFonts w:hint="eastAsia"/>
              </w:rPr>
              <w:t>112.9351</w:t>
            </w:r>
          </w:p>
        </w:tc>
        <w:tc>
          <w:tcPr>
            <w:tcW w:w="616" w:type="pct"/>
            <w:noWrap/>
            <w:vAlign w:val="center"/>
          </w:tcPr>
          <w:p w14:paraId="5EE68022">
            <w:pPr>
              <w:pStyle w:val="1343"/>
            </w:pPr>
            <w:r>
              <w:rPr>
                <w:rFonts w:hint="eastAsia"/>
              </w:rPr>
              <w:t>26.4165</w:t>
            </w:r>
          </w:p>
        </w:tc>
        <w:tc>
          <w:tcPr>
            <w:tcW w:w="550" w:type="pct"/>
            <w:noWrap/>
            <w:vAlign w:val="center"/>
          </w:tcPr>
          <w:p w14:paraId="60EBC89D">
            <w:pPr>
              <w:pStyle w:val="1343"/>
            </w:pPr>
            <w:r>
              <w:rPr>
                <w:rFonts w:hint="eastAsia"/>
              </w:rPr>
              <w:t>1250</w:t>
            </w:r>
          </w:p>
        </w:tc>
        <w:tc>
          <w:tcPr>
            <w:tcW w:w="432" w:type="pct"/>
            <w:noWrap/>
            <w:vAlign w:val="center"/>
          </w:tcPr>
          <w:p w14:paraId="24B746E2">
            <w:pPr>
              <w:pStyle w:val="1343"/>
            </w:pPr>
            <w:r>
              <w:rPr>
                <w:rFonts w:hint="eastAsia"/>
              </w:rPr>
              <w:t>SE</w:t>
            </w:r>
          </w:p>
        </w:tc>
        <w:tc>
          <w:tcPr>
            <w:tcW w:w="631" w:type="pct"/>
            <w:noWrap/>
            <w:vAlign w:val="center"/>
          </w:tcPr>
          <w:p w14:paraId="59C74D30">
            <w:pPr>
              <w:pStyle w:val="1343"/>
            </w:pPr>
            <w:r>
              <w:rPr>
                <w:rFonts w:hint="eastAsia"/>
              </w:rPr>
              <w:t>40人</w:t>
            </w:r>
          </w:p>
        </w:tc>
        <w:tc>
          <w:tcPr>
            <w:tcW w:w="366" w:type="pct"/>
            <w:vMerge w:val="continue"/>
            <w:noWrap/>
            <w:vAlign w:val="center"/>
          </w:tcPr>
          <w:p w14:paraId="536FA454">
            <w:pPr>
              <w:pStyle w:val="1343"/>
            </w:pPr>
          </w:p>
        </w:tc>
        <w:tc>
          <w:tcPr>
            <w:tcW w:w="464" w:type="pct"/>
            <w:vMerge w:val="continue"/>
            <w:vAlign w:val="center"/>
          </w:tcPr>
          <w:p w14:paraId="617801D3">
            <w:pPr>
              <w:pStyle w:val="1343"/>
            </w:pPr>
          </w:p>
        </w:tc>
      </w:tr>
      <w:tr w14:paraId="6A810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57A7B843">
            <w:pPr>
              <w:pStyle w:val="1343"/>
              <w:numPr>
                <w:ilvl w:val="0"/>
                <w:numId w:val="24"/>
              </w:numPr>
            </w:pPr>
          </w:p>
        </w:tc>
        <w:tc>
          <w:tcPr>
            <w:tcW w:w="276" w:type="pct"/>
            <w:vMerge w:val="continue"/>
            <w:noWrap/>
            <w:vAlign w:val="center"/>
          </w:tcPr>
          <w:p w14:paraId="0C8B197A">
            <w:pPr>
              <w:pStyle w:val="1343"/>
            </w:pPr>
          </w:p>
        </w:tc>
        <w:tc>
          <w:tcPr>
            <w:tcW w:w="837" w:type="pct"/>
            <w:noWrap/>
            <w:vAlign w:val="center"/>
          </w:tcPr>
          <w:p w14:paraId="7F49C687">
            <w:pPr>
              <w:pStyle w:val="1343"/>
            </w:pPr>
            <w:r>
              <w:rPr>
                <w:rFonts w:hint="eastAsia"/>
              </w:rPr>
              <w:t>竹市村</w:t>
            </w:r>
          </w:p>
        </w:tc>
        <w:tc>
          <w:tcPr>
            <w:tcW w:w="572" w:type="pct"/>
            <w:noWrap/>
            <w:vAlign w:val="center"/>
          </w:tcPr>
          <w:p w14:paraId="3DCC46F0">
            <w:pPr>
              <w:pStyle w:val="1343"/>
            </w:pPr>
            <w:r>
              <w:rPr>
                <w:rFonts w:hint="eastAsia"/>
              </w:rPr>
              <w:t>112.9368</w:t>
            </w:r>
          </w:p>
        </w:tc>
        <w:tc>
          <w:tcPr>
            <w:tcW w:w="616" w:type="pct"/>
            <w:noWrap/>
            <w:vAlign w:val="center"/>
          </w:tcPr>
          <w:p w14:paraId="6CB194AB">
            <w:pPr>
              <w:pStyle w:val="1343"/>
            </w:pPr>
            <w:r>
              <w:rPr>
                <w:rFonts w:hint="eastAsia"/>
              </w:rPr>
              <w:t>26.4148</w:t>
            </w:r>
          </w:p>
        </w:tc>
        <w:tc>
          <w:tcPr>
            <w:tcW w:w="550" w:type="pct"/>
            <w:noWrap/>
            <w:vAlign w:val="center"/>
          </w:tcPr>
          <w:p w14:paraId="64724B74">
            <w:pPr>
              <w:pStyle w:val="1343"/>
            </w:pPr>
            <w:r>
              <w:rPr>
                <w:rFonts w:hint="eastAsia"/>
              </w:rPr>
              <w:t>1400</w:t>
            </w:r>
          </w:p>
        </w:tc>
        <w:tc>
          <w:tcPr>
            <w:tcW w:w="432" w:type="pct"/>
            <w:noWrap/>
            <w:vAlign w:val="center"/>
          </w:tcPr>
          <w:p w14:paraId="17976989">
            <w:pPr>
              <w:pStyle w:val="1343"/>
            </w:pPr>
            <w:r>
              <w:rPr>
                <w:rFonts w:hint="eastAsia"/>
              </w:rPr>
              <w:t>SE</w:t>
            </w:r>
          </w:p>
        </w:tc>
        <w:tc>
          <w:tcPr>
            <w:tcW w:w="631" w:type="pct"/>
            <w:noWrap/>
            <w:vAlign w:val="center"/>
          </w:tcPr>
          <w:p w14:paraId="01BC541B">
            <w:pPr>
              <w:pStyle w:val="1343"/>
            </w:pPr>
            <w:r>
              <w:rPr>
                <w:rFonts w:hint="eastAsia"/>
              </w:rPr>
              <w:t>50人</w:t>
            </w:r>
          </w:p>
        </w:tc>
        <w:tc>
          <w:tcPr>
            <w:tcW w:w="366" w:type="pct"/>
            <w:vMerge w:val="continue"/>
            <w:noWrap/>
            <w:vAlign w:val="center"/>
          </w:tcPr>
          <w:p w14:paraId="7F1DDC7E">
            <w:pPr>
              <w:pStyle w:val="1343"/>
            </w:pPr>
          </w:p>
        </w:tc>
        <w:tc>
          <w:tcPr>
            <w:tcW w:w="464" w:type="pct"/>
            <w:vMerge w:val="continue"/>
            <w:vAlign w:val="center"/>
          </w:tcPr>
          <w:p w14:paraId="4EF35D3B">
            <w:pPr>
              <w:pStyle w:val="1343"/>
            </w:pPr>
          </w:p>
        </w:tc>
      </w:tr>
      <w:tr w14:paraId="239D2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2AF39313">
            <w:pPr>
              <w:pStyle w:val="1343"/>
              <w:numPr>
                <w:ilvl w:val="0"/>
                <w:numId w:val="24"/>
              </w:numPr>
            </w:pPr>
          </w:p>
        </w:tc>
        <w:tc>
          <w:tcPr>
            <w:tcW w:w="276" w:type="pct"/>
            <w:vMerge w:val="continue"/>
            <w:noWrap/>
            <w:vAlign w:val="center"/>
          </w:tcPr>
          <w:p w14:paraId="03516CF5">
            <w:pPr>
              <w:pStyle w:val="1343"/>
            </w:pPr>
          </w:p>
        </w:tc>
        <w:tc>
          <w:tcPr>
            <w:tcW w:w="837" w:type="pct"/>
            <w:noWrap/>
            <w:vAlign w:val="center"/>
          </w:tcPr>
          <w:p w14:paraId="36AE2687">
            <w:pPr>
              <w:pStyle w:val="1343"/>
            </w:pPr>
            <w:r>
              <w:rPr>
                <w:rFonts w:hint="eastAsia"/>
              </w:rPr>
              <w:t>两路口</w:t>
            </w:r>
          </w:p>
        </w:tc>
        <w:tc>
          <w:tcPr>
            <w:tcW w:w="572" w:type="pct"/>
            <w:noWrap/>
            <w:vAlign w:val="center"/>
          </w:tcPr>
          <w:p w14:paraId="3E329DB5">
            <w:pPr>
              <w:pStyle w:val="1343"/>
            </w:pPr>
            <w:r>
              <w:rPr>
                <w:rFonts w:hint="eastAsia"/>
              </w:rPr>
              <w:t>112.9064</w:t>
            </w:r>
          </w:p>
        </w:tc>
        <w:tc>
          <w:tcPr>
            <w:tcW w:w="616" w:type="pct"/>
            <w:noWrap/>
            <w:vAlign w:val="center"/>
          </w:tcPr>
          <w:p w14:paraId="30391823">
            <w:pPr>
              <w:pStyle w:val="1343"/>
            </w:pPr>
            <w:r>
              <w:rPr>
                <w:rFonts w:hint="eastAsia"/>
              </w:rPr>
              <w:t>26.4150</w:t>
            </w:r>
          </w:p>
        </w:tc>
        <w:tc>
          <w:tcPr>
            <w:tcW w:w="550" w:type="pct"/>
            <w:noWrap/>
            <w:vAlign w:val="center"/>
          </w:tcPr>
          <w:p w14:paraId="6FBCB49E">
            <w:pPr>
              <w:pStyle w:val="1343"/>
            </w:pPr>
            <w:r>
              <w:rPr>
                <w:rFonts w:hint="eastAsia"/>
              </w:rPr>
              <w:t>1550</w:t>
            </w:r>
          </w:p>
        </w:tc>
        <w:tc>
          <w:tcPr>
            <w:tcW w:w="432" w:type="pct"/>
            <w:noWrap/>
            <w:vAlign w:val="center"/>
          </w:tcPr>
          <w:p w14:paraId="7BD7F42C">
            <w:pPr>
              <w:pStyle w:val="1343"/>
            </w:pPr>
            <w:r>
              <w:rPr>
                <w:rFonts w:hint="eastAsia"/>
              </w:rPr>
              <w:t>SW</w:t>
            </w:r>
          </w:p>
        </w:tc>
        <w:tc>
          <w:tcPr>
            <w:tcW w:w="631" w:type="pct"/>
            <w:noWrap/>
            <w:vAlign w:val="center"/>
          </w:tcPr>
          <w:p w14:paraId="7963AA98">
            <w:pPr>
              <w:pStyle w:val="1343"/>
            </w:pPr>
            <w:r>
              <w:rPr>
                <w:rFonts w:hint="eastAsia"/>
              </w:rPr>
              <w:t>45人</w:t>
            </w:r>
          </w:p>
        </w:tc>
        <w:tc>
          <w:tcPr>
            <w:tcW w:w="366" w:type="pct"/>
            <w:vMerge w:val="continue"/>
            <w:noWrap/>
            <w:vAlign w:val="center"/>
          </w:tcPr>
          <w:p w14:paraId="1092468D">
            <w:pPr>
              <w:pStyle w:val="1343"/>
            </w:pPr>
          </w:p>
        </w:tc>
        <w:tc>
          <w:tcPr>
            <w:tcW w:w="464" w:type="pct"/>
            <w:vMerge w:val="continue"/>
            <w:vAlign w:val="center"/>
          </w:tcPr>
          <w:p w14:paraId="3D525F84">
            <w:pPr>
              <w:pStyle w:val="1343"/>
            </w:pPr>
          </w:p>
        </w:tc>
      </w:tr>
      <w:tr w14:paraId="2DC2B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10BABE85">
            <w:pPr>
              <w:pStyle w:val="1343"/>
              <w:numPr>
                <w:ilvl w:val="0"/>
                <w:numId w:val="24"/>
              </w:numPr>
            </w:pPr>
          </w:p>
        </w:tc>
        <w:tc>
          <w:tcPr>
            <w:tcW w:w="276" w:type="pct"/>
            <w:vMerge w:val="continue"/>
            <w:noWrap/>
            <w:vAlign w:val="center"/>
          </w:tcPr>
          <w:p w14:paraId="3F667DAE">
            <w:pPr>
              <w:pStyle w:val="1343"/>
            </w:pPr>
          </w:p>
        </w:tc>
        <w:tc>
          <w:tcPr>
            <w:tcW w:w="837" w:type="pct"/>
            <w:noWrap/>
            <w:vAlign w:val="center"/>
          </w:tcPr>
          <w:p w14:paraId="08CF9B64">
            <w:pPr>
              <w:pStyle w:val="1343"/>
            </w:pPr>
            <w:r>
              <w:rPr>
                <w:rFonts w:hint="eastAsia"/>
              </w:rPr>
              <w:t>金堂里</w:t>
            </w:r>
          </w:p>
        </w:tc>
        <w:tc>
          <w:tcPr>
            <w:tcW w:w="572" w:type="pct"/>
            <w:noWrap/>
            <w:vAlign w:val="center"/>
          </w:tcPr>
          <w:p w14:paraId="1AA8BF20">
            <w:pPr>
              <w:pStyle w:val="1343"/>
            </w:pPr>
            <w:r>
              <w:rPr>
                <w:rFonts w:hint="eastAsia"/>
              </w:rPr>
              <w:t>112.9020</w:t>
            </w:r>
          </w:p>
        </w:tc>
        <w:tc>
          <w:tcPr>
            <w:tcW w:w="616" w:type="pct"/>
            <w:noWrap/>
            <w:vAlign w:val="center"/>
          </w:tcPr>
          <w:p w14:paraId="6FD9F136">
            <w:pPr>
              <w:pStyle w:val="1343"/>
            </w:pPr>
            <w:r>
              <w:rPr>
                <w:rFonts w:hint="eastAsia"/>
              </w:rPr>
              <w:t>26.4158</w:t>
            </w:r>
          </w:p>
        </w:tc>
        <w:tc>
          <w:tcPr>
            <w:tcW w:w="550" w:type="pct"/>
            <w:noWrap/>
            <w:vAlign w:val="center"/>
          </w:tcPr>
          <w:p w14:paraId="7F8D5937">
            <w:pPr>
              <w:pStyle w:val="1343"/>
            </w:pPr>
            <w:r>
              <w:rPr>
                <w:rFonts w:hint="eastAsia"/>
              </w:rPr>
              <w:t>1990</w:t>
            </w:r>
          </w:p>
        </w:tc>
        <w:tc>
          <w:tcPr>
            <w:tcW w:w="432" w:type="pct"/>
            <w:noWrap/>
            <w:vAlign w:val="center"/>
          </w:tcPr>
          <w:p w14:paraId="7B3546FE">
            <w:pPr>
              <w:pStyle w:val="1343"/>
            </w:pPr>
            <w:r>
              <w:rPr>
                <w:rFonts w:hint="eastAsia"/>
              </w:rPr>
              <w:t>SW</w:t>
            </w:r>
          </w:p>
        </w:tc>
        <w:tc>
          <w:tcPr>
            <w:tcW w:w="631" w:type="pct"/>
            <w:noWrap/>
            <w:vAlign w:val="center"/>
          </w:tcPr>
          <w:p w14:paraId="76339FCB">
            <w:pPr>
              <w:pStyle w:val="1343"/>
            </w:pPr>
            <w:r>
              <w:rPr>
                <w:rFonts w:hint="eastAsia"/>
              </w:rPr>
              <w:t>85人</w:t>
            </w:r>
          </w:p>
        </w:tc>
        <w:tc>
          <w:tcPr>
            <w:tcW w:w="366" w:type="pct"/>
            <w:vMerge w:val="continue"/>
            <w:noWrap/>
            <w:vAlign w:val="center"/>
          </w:tcPr>
          <w:p w14:paraId="5FD43300">
            <w:pPr>
              <w:pStyle w:val="1343"/>
            </w:pPr>
          </w:p>
        </w:tc>
        <w:tc>
          <w:tcPr>
            <w:tcW w:w="464" w:type="pct"/>
            <w:vMerge w:val="continue"/>
            <w:vAlign w:val="center"/>
          </w:tcPr>
          <w:p w14:paraId="6BAB88D6">
            <w:pPr>
              <w:pStyle w:val="1343"/>
            </w:pPr>
          </w:p>
        </w:tc>
      </w:tr>
      <w:tr w14:paraId="64A8E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05707587">
            <w:pPr>
              <w:pStyle w:val="1343"/>
              <w:numPr>
                <w:ilvl w:val="0"/>
                <w:numId w:val="24"/>
              </w:numPr>
            </w:pPr>
          </w:p>
        </w:tc>
        <w:tc>
          <w:tcPr>
            <w:tcW w:w="276" w:type="pct"/>
            <w:vMerge w:val="continue"/>
            <w:noWrap/>
            <w:vAlign w:val="center"/>
          </w:tcPr>
          <w:p w14:paraId="10D2A22C">
            <w:pPr>
              <w:pStyle w:val="1343"/>
            </w:pPr>
          </w:p>
        </w:tc>
        <w:tc>
          <w:tcPr>
            <w:tcW w:w="837" w:type="pct"/>
            <w:noWrap/>
            <w:vAlign w:val="center"/>
          </w:tcPr>
          <w:p w14:paraId="5E2C8381">
            <w:pPr>
              <w:pStyle w:val="1343"/>
            </w:pPr>
            <w:r>
              <w:rPr>
                <w:rFonts w:hint="eastAsia"/>
              </w:rPr>
              <w:t>燕窝形</w:t>
            </w:r>
          </w:p>
        </w:tc>
        <w:tc>
          <w:tcPr>
            <w:tcW w:w="572" w:type="pct"/>
            <w:noWrap/>
            <w:vAlign w:val="center"/>
          </w:tcPr>
          <w:p w14:paraId="5A93C820">
            <w:pPr>
              <w:pStyle w:val="1343"/>
            </w:pPr>
            <w:r>
              <w:rPr>
                <w:rFonts w:hint="eastAsia"/>
              </w:rPr>
              <w:t>112.9013</w:t>
            </w:r>
          </w:p>
        </w:tc>
        <w:tc>
          <w:tcPr>
            <w:tcW w:w="616" w:type="pct"/>
            <w:noWrap/>
            <w:vAlign w:val="center"/>
          </w:tcPr>
          <w:p w14:paraId="11FF17FA">
            <w:pPr>
              <w:pStyle w:val="1343"/>
            </w:pPr>
            <w:r>
              <w:rPr>
                <w:rFonts w:hint="eastAsia"/>
              </w:rPr>
              <w:t>26.4193</w:t>
            </w:r>
          </w:p>
        </w:tc>
        <w:tc>
          <w:tcPr>
            <w:tcW w:w="550" w:type="pct"/>
            <w:noWrap/>
            <w:vAlign w:val="center"/>
          </w:tcPr>
          <w:p w14:paraId="22BB6F05">
            <w:pPr>
              <w:pStyle w:val="1343"/>
            </w:pPr>
            <w:r>
              <w:rPr>
                <w:rFonts w:hint="eastAsia"/>
              </w:rPr>
              <w:t>2050</w:t>
            </w:r>
          </w:p>
        </w:tc>
        <w:tc>
          <w:tcPr>
            <w:tcW w:w="432" w:type="pct"/>
            <w:noWrap/>
            <w:vAlign w:val="center"/>
          </w:tcPr>
          <w:p w14:paraId="6231E654">
            <w:pPr>
              <w:pStyle w:val="1343"/>
            </w:pPr>
            <w:r>
              <w:t>W</w:t>
            </w:r>
          </w:p>
        </w:tc>
        <w:tc>
          <w:tcPr>
            <w:tcW w:w="631" w:type="pct"/>
            <w:noWrap/>
            <w:vAlign w:val="center"/>
          </w:tcPr>
          <w:p w14:paraId="52729F3F">
            <w:pPr>
              <w:pStyle w:val="1343"/>
            </w:pPr>
            <w:r>
              <w:rPr>
                <w:rFonts w:hint="eastAsia"/>
              </w:rPr>
              <w:t>120人</w:t>
            </w:r>
          </w:p>
        </w:tc>
        <w:tc>
          <w:tcPr>
            <w:tcW w:w="366" w:type="pct"/>
            <w:vMerge w:val="continue"/>
            <w:noWrap/>
            <w:vAlign w:val="center"/>
          </w:tcPr>
          <w:p w14:paraId="51CC51F2">
            <w:pPr>
              <w:pStyle w:val="1343"/>
            </w:pPr>
          </w:p>
        </w:tc>
        <w:tc>
          <w:tcPr>
            <w:tcW w:w="464" w:type="pct"/>
            <w:vMerge w:val="continue"/>
            <w:vAlign w:val="center"/>
          </w:tcPr>
          <w:p w14:paraId="4D2C8952">
            <w:pPr>
              <w:pStyle w:val="1343"/>
            </w:pPr>
          </w:p>
        </w:tc>
      </w:tr>
      <w:tr w14:paraId="55FE3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6E005107">
            <w:pPr>
              <w:pStyle w:val="1343"/>
              <w:numPr>
                <w:ilvl w:val="0"/>
                <w:numId w:val="24"/>
              </w:numPr>
            </w:pPr>
          </w:p>
        </w:tc>
        <w:tc>
          <w:tcPr>
            <w:tcW w:w="276" w:type="pct"/>
            <w:vMerge w:val="continue"/>
            <w:noWrap/>
            <w:vAlign w:val="center"/>
          </w:tcPr>
          <w:p w14:paraId="70CC33BD">
            <w:pPr>
              <w:pStyle w:val="1343"/>
            </w:pPr>
          </w:p>
        </w:tc>
        <w:tc>
          <w:tcPr>
            <w:tcW w:w="837" w:type="pct"/>
            <w:noWrap/>
            <w:vAlign w:val="center"/>
          </w:tcPr>
          <w:p w14:paraId="2151734E">
            <w:pPr>
              <w:pStyle w:val="1343"/>
            </w:pPr>
            <w:r>
              <w:rPr>
                <w:rFonts w:hint="eastAsia"/>
              </w:rPr>
              <w:t>谢家湾</w:t>
            </w:r>
          </w:p>
        </w:tc>
        <w:tc>
          <w:tcPr>
            <w:tcW w:w="572" w:type="pct"/>
            <w:noWrap/>
            <w:vAlign w:val="center"/>
          </w:tcPr>
          <w:p w14:paraId="3B15E350">
            <w:pPr>
              <w:pStyle w:val="1343"/>
            </w:pPr>
            <w:r>
              <w:rPr>
                <w:rFonts w:hint="eastAsia"/>
              </w:rPr>
              <w:t>112.8992</w:t>
            </w:r>
          </w:p>
        </w:tc>
        <w:tc>
          <w:tcPr>
            <w:tcW w:w="616" w:type="pct"/>
            <w:noWrap/>
            <w:vAlign w:val="center"/>
          </w:tcPr>
          <w:p w14:paraId="5D15565F">
            <w:pPr>
              <w:pStyle w:val="1343"/>
            </w:pPr>
            <w:r>
              <w:rPr>
                <w:rFonts w:hint="eastAsia"/>
              </w:rPr>
              <w:t>26.4181</w:t>
            </w:r>
          </w:p>
        </w:tc>
        <w:tc>
          <w:tcPr>
            <w:tcW w:w="550" w:type="pct"/>
            <w:noWrap/>
            <w:vAlign w:val="center"/>
          </w:tcPr>
          <w:p w14:paraId="1BEDE299">
            <w:pPr>
              <w:pStyle w:val="1343"/>
            </w:pPr>
            <w:r>
              <w:rPr>
                <w:rFonts w:hint="eastAsia"/>
              </w:rPr>
              <w:t>2280</w:t>
            </w:r>
          </w:p>
        </w:tc>
        <w:tc>
          <w:tcPr>
            <w:tcW w:w="432" w:type="pct"/>
            <w:noWrap/>
            <w:vAlign w:val="center"/>
          </w:tcPr>
          <w:p w14:paraId="4B1C0243">
            <w:pPr>
              <w:pStyle w:val="1343"/>
            </w:pPr>
            <w:r>
              <w:t>W</w:t>
            </w:r>
          </w:p>
        </w:tc>
        <w:tc>
          <w:tcPr>
            <w:tcW w:w="631" w:type="pct"/>
            <w:noWrap/>
            <w:vAlign w:val="center"/>
          </w:tcPr>
          <w:p w14:paraId="432D0113">
            <w:pPr>
              <w:pStyle w:val="1343"/>
            </w:pPr>
            <w:r>
              <w:rPr>
                <w:rFonts w:hint="eastAsia"/>
              </w:rPr>
              <w:t>60人</w:t>
            </w:r>
          </w:p>
        </w:tc>
        <w:tc>
          <w:tcPr>
            <w:tcW w:w="366" w:type="pct"/>
            <w:vMerge w:val="continue"/>
            <w:noWrap/>
            <w:vAlign w:val="center"/>
          </w:tcPr>
          <w:p w14:paraId="78C1DF20">
            <w:pPr>
              <w:pStyle w:val="1343"/>
            </w:pPr>
          </w:p>
        </w:tc>
        <w:tc>
          <w:tcPr>
            <w:tcW w:w="464" w:type="pct"/>
            <w:vMerge w:val="continue"/>
            <w:vAlign w:val="center"/>
          </w:tcPr>
          <w:p w14:paraId="01EF6178">
            <w:pPr>
              <w:pStyle w:val="1343"/>
            </w:pPr>
          </w:p>
        </w:tc>
      </w:tr>
      <w:tr w14:paraId="47DB9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5AFF4280">
            <w:pPr>
              <w:pStyle w:val="1343"/>
              <w:numPr>
                <w:ilvl w:val="0"/>
                <w:numId w:val="24"/>
              </w:numPr>
            </w:pPr>
          </w:p>
        </w:tc>
        <w:tc>
          <w:tcPr>
            <w:tcW w:w="276" w:type="pct"/>
            <w:vMerge w:val="continue"/>
            <w:noWrap/>
            <w:vAlign w:val="center"/>
          </w:tcPr>
          <w:p w14:paraId="561171E6">
            <w:pPr>
              <w:pStyle w:val="1343"/>
            </w:pPr>
          </w:p>
        </w:tc>
        <w:tc>
          <w:tcPr>
            <w:tcW w:w="837" w:type="pct"/>
            <w:noWrap/>
            <w:vAlign w:val="center"/>
          </w:tcPr>
          <w:p w14:paraId="7DF2DBA4">
            <w:pPr>
              <w:pStyle w:val="1343"/>
            </w:pPr>
            <w:r>
              <w:rPr>
                <w:rFonts w:hint="eastAsia"/>
              </w:rPr>
              <w:t>石波湾</w:t>
            </w:r>
          </w:p>
        </w:tc>
        <w:tc>
          <w:tcPr>
            <w:tcW w:w="572" w:type="pct"/>
            <w:noWrap/>
            <w:vAlign w:val="center"/>
          </w:tcPr>
          <w:p w14:paraId="4A56D19C">
            <w:pPr>
              <w:pStyle w:val="1343"/>
            </w:pPr>
            <w:r>
              <w:rPr>
                <w:rFonts w:hint="eastAsia"/>
              </w:rPr>
              <w:t>112.8932</w:t>
            </w:r>
          </w:p>
        </w:tc>
        <w:tc>
          <w:tcPr>
            <w:tcW w:w="616" w:type="pct"/>
            <w:noWrap/>
            <w:vAlign w:val="center"/>
          </w:tcPr>
          <w:p w14:paraId="621F5764">
            <w:pPr>
              <w:pStyle w:val="1343"/>
            </w:pPr>
            <w:r>
              <w:rPr>
                <w:rFonts w:hint="eastAsia"/>
              </w:rPr>
              <w:t>26.4175</w:t>
            </w:r>
          </w:p>
        </w:tc>
        <w:tc>
          <w:tcPr>
            <w:tcW w:w="550" w:type="pct"/>
            <w:noWrap/>
            <w:vAlign w:val="center"/>
          </w:tcPr>
          <w:p w14:paraId="667911AA">
            <w:pPr>
              <w:pStyle w:val="1343"/>
            </w:pPr>
            <w:r>
              <w:rPr>
                <w:rFonts w:hint="eastAsia"/>
              </w:rPr>
              <w:t>2830</w:t>
            </w:r>
          </w:p>
        </w:tc>
        <w:tc>
          <w:tcPr>
            <w:tcW w:w="432" w:type="pct"/>
            <w:noWrap/>
            <w:vAlign w:val="center"/>
          </w:tcPr>
          <w:p w14:paraId="22AB828F">
            <w:pPr>
              <w:pStyle w:val="1343"/>
            </w:pPr>
            <w:r>
              <w:t>W</w:t>
            </w:r>
          </w:p>
        </w:tc>
        <w:tc>
          <w:tcPr>
            <w:tcW w:w="631" w:type="pct"/>
            <w:noWrap/>
            <w:vAlign w:val="center"/>
          </w:tcPr>
          <w:p w14:paraId="49800A64">
            <w:pPr>
              <w:pStyle w:val="1343"/>
            </w:pPr>
            <w:r>
              <w:rPr>
                <w:rFonts w:hint="eastAsia"/>
              </w:rPr>
              <w:t>50人</w:t>
            </w:r>
          </w:p>
        </w:tc>
        <w:tc>
          <w:tcPr>
            <w:tcW w:w="366" w:type="pct"/>
            <w:vMerge w:val="continue"/>
            <w:noWrap/>
            <w:vAlign w:val="center"/>
          </w:tcPr>
          <w:p w14:paraId="7D8365BE">
            <w:pPr>
              <w:pStyle w:val="1343"/>
            </w:pPr>
          </w:p>
        </w:tc>
        <w:tc>
          <w:tcPr>
            <w:tcW w:w="464" w:type="pct"/>
            <w:vMerge w:val="continue"/>
            <w:vAlign w:val="center"/>
          </w:tcPr>
          <w:p w14:paraId="09EE0A38">
            <w:pPr>
              <w:pStyle w:val="1343"/>
            </w:pPr>
          </w:p>
        </w:tc>
      </w:tr>
      <w:tr w14:paraId="6C6F0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5EB8B908">
            <w:pPr>
              <w:pStyle w:val="1343"/>
              <w:numPr>
                <w:ilvl w:val="0"/>
                <w:numId w:val="24"/>
              </w:numPr>
            </w:pPr>
          </w:p>
        </w:tc>
        <w:tc>
          <w:tcPr>
            <w:tcW w:w="276" w:type="pct"/>
            <w:vMerge w:val="continue"/>
            <w:noWrap/>
            <w:vAlign w:val="center"/>
          </w:tcPr>
          <w:p w14:paraId="70CD3949">
            <w:pPr>
              <w:pStyle w:val="1343"/>
            </w:pPr>
          </w:p>
        </w:tc>
        <w:tc>
          <w:tcPr>
            <w:tcW w:w="837" w:type="pct"/>
            <w:noWrap/>
            <w:vAlign w:val="center"/>
          </w:tcPr>
          <w:p w14:paraId="0B69DF66">
            <w:pPr>
              <w:pStyle w:val="1343"/>
            </w:pPr>
            <w:r>
              <w:rPr>
                <w:rFonts w:hint="eastAsia"/>
              </w:rPr>
              <w:t>刘家坳</w:t>
            </w:r>
          </w:p>
        </w:tc>
        <w:tc>
          <w:tcPr>
            <w:tcW w:w="572" w:type="pct"/>
            <w:noWrap/>
            <w:vAlign w:val="center"/>
          </w:tcPr>
          <w:p w14:paraId="67EC7CE1">
            <w:pPr>
              <w:pStyle w:val="1343"/>
            </w:pPr>
            <w:r>
              <w:rPr>
                <w:rFonts w:hint="eastAsia"/>
              </w:rPr>
              <w:t>112.9147</w:t>
            </w:r>
          </w:p>
        </w:tc>
        <w:tc>
          <w:tcPr>
            <w:tcW w:w="616" w:type="pct"/>
            <w:noWrap/>
            <w:vAlign w:val="center"/>
          </w:tcPr>
          <w:p w14:paraId="67FF313C">
            <w:pPr>
              <w:pStyle w:val="1343"/>
            </w:pPr>
            <w:r>
              <w:rPr>
                <w:rFonts w:hint="eastAsia"/>
              </w:rPr>
              <w:t>26.4182</w:t>
            </w:r>
          </w:p>
        </w:tc>
        <w:tc>
          <w:tcPr>
            <w:tcW w:w="550" w:type="pct"/>
            <w:noWrap/>
            <w:vAlign w:val="center"/>
          </w:tcPr>
          <w:p w14:paraId="1455B653">
            <w:pPr>
              <w:pStyle w:val="1343"/>
            </w:pPr>
            <w:r>
              <w:rPr>
                <w:rFonts w:hint="eastAsia"/>
              </w:rPr>
              <w:t>720</w:t>
            </w:r>
          </w:p>
        </w:tc>
        <w:tc>
          <w:tcPr>
            <w:tcW w:w="432" w:type="pct"/>
            <w:noWrap/>
            <w:vAlign w:val="center"/>
          </w:tcPr>
          <w:p w14:paraId="2CA30D49">
            <w:pPr>
              <w:pStyle w:val="1343"/>
            </w:pPr>
            <w:r>
              <w:t>W</w:t>
            </w:r>
          </w:p>
        </w:tc>
        <w:tc>
          <w:tcPr>
            <w:tcW w:w="631" w:type="pct"/>
            <w:noWrap/>
            <w:vAlign w:val="center"/>
          </w:tcPr>
          <w:p w14:paraId="5AE01B04">
            <w:pPr>
              <w:pStyle w:val="1343"/>
            </w:pPr>
            <w:r>
              <w:rPr>
                <w:rFonts w:hint="eastAsia"/>
              </w:rPr>
              <w:t>70人</w:t>
            </w:r>
          </w:p>
        </w:tc>
        <w:tc>
          <w:tcPr>
            <w:tcW w:w="366" w:type="pct"/>
            <w:vMerge w:val="continue"/>
            <w:noWrap/>
            <w:vAlign w:val="center"/>
          </w:tcPr>
          <w:p w14:paraId="2B8DB186">
            <w:pPr>
              <w:pStyle w:val="1343"/>
            </w:pPr>
          </w:p>
        </w:tc>
        <w:tc>
          <w:tcPr>
            <w:tcW w:w="464" w:type="pct"/>
            <w:vMerge w:val="continue"/>
            <w:vAlign w:val="center"/>
          </w:tcPr>
          <w:p w14:paraId="5D6457F2">
            <w:pPr>
              <w:pStyle w:val="1343"/>
            </w:pPr>
          </w:p>
        </w:tc>
      </w:tr>
      <w:tr w14:paraId="4E85D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75F3B9A2">
            <w:pPr>
              <w:pStyle w:val="1343"/>
              <w:numPr>
                <w:ilvl w:val="0"/>
                <w:numId w:val="24"/>
              </w:numPr>
            </w:pPr>
          </w:p>
        </w:tc>
        <w:tc>
          <w:tcPr>
            <w:tcW w:w="276" w:type="pct"/>
            <w:vMerge w:val="continue"/>
            <w:noWrap/>
            <w:vAlign w:val="center"/>
          </w:tcPr>
          <w:p w14:paraId="52DA249E">
            <w:pPr>
              <w:pStyle w:val="1343"/>
            </w:pPr>
          </w:p>
        </w:tc>
        <w:tc>
          <w:tcPr>
            <w:tcW w:w="837" w:type="pct"/>
            <w:noWrap/>
            <w:vAlign w:val="center"/>
          </w:tcPr>
          <w:p w14:paraId="44D397EB">
            <w:pPr>
              <w:pStyle w:val="1343"/>
            </w:pPr>
            <w:r>
              <w:rPr>
                <w:rFonts w:hint="eastAsia"/>
              </w:rPr>
              <w:t>蒋家冲</w:t>
            </w:r>
          </w:p>
        </w:tc>
        <w:tc>
          <w:tcPr>
            <w:tcW w:w="572" w:type="pct"/>
            <w:noWrap/>
            <w:vAlign w:val="center"/>
          </w:tcPr>
          <w:p w14:paraId="0BB36208">
            <w:pPr>
              <w:pStyle w:val="1343"/>
            </w:pPr>
            <w:r>
              <w:rPr>
                <w:rFonts w:hint="eastAsia"/>
              </w:rPr>
              <w:t>112.9210</w:t>
            </w:r>
          </w:p>
        </w:tc>
        <w:tc>
          <w:tcPr>
            <w:tcW w:w="616" w:type="pct"/>
            <w:noWrap/>
            <w:vAlign w:val="center"/>
          </w:tcPr>
          <w:p w14:paraId="0B48BCCD">
            <w:pPr>
              <w:pStyle w:val="1343"/>
            </w:pPr>
            <w:r>
              <w:rPr>
                <w:rFonts w:hint="eastAsia"/>
              </w:rPr>
              <w:t>26.4142</w:t>
            </w:r>
          </w:p>
        </w:tc>
        <w:tc>
          <w:tcPr>
            <w:tcW w:w="550" w:type="pct"/>
            <w:noWrap/>
            <w:vAlign w:val="center"/>
          </w:tcPr>
          <w:p w14:paraId="09155BA7">
            <w:pPr>
              <w:pStyle w:val="1343"/>
            </w:pPr>
            <w:r>
              <w:rPr>
                <w:rFonts w:hint="eastAsia"/>
              </w:rPr>
              <w:t>210</w:t>
            </w:r>
          </w:p>
        </w:tc>
        <w:tc>
          <w:tcPr>
            <w:tcW w:w="432" w:type="pct"/>
            <w:noWrap/>
            <w:vAlign w:val="center"/>
          </w:tcPr>
          <w:p w14:paraId="042CEF38">
            <w:pPr>
              <w:pStyle w:val="1343"/>
            </w:pPr>
            <w:r>
              <w:rPr>
                <w:rFonts w:hint="eastAsia"/>
              </w:rPr>
              <w:t>S</w:t>
            </w:r>
          </w:p>
        </w:tc>
        <w:tc>
          <w:tcPr>
            <w:tcW w:w="631" w:type="pct"/>
            <w:noWrap/>
            <w:vAlign w:val="center"/>
          </w:tcPr>
          <w:p w14:paraId="3E6DFF33">
            <w:pPr>
              <w:pStyle w:val="1343"/>
            </w:pPr>
            <w:r>
              <w:rPr>
                <w:rFonts w:hint="eastAsia"/>
              </w:rPr>
              <w:t>80人</w:t>
            </w:r>
          </w:p>
        </w:tc>
        <w:tc>
          <w:tcPr>
            <w:tcW w:w="366" w:type="pct"/>
            <w:vMerge w:val="continue"/>
            <w:noWrap/>
            <w:vAlign w:val="center"/>
          </w:tcPr>
          <w:p w14:paraId="39E4770E">
            <w:pPr>
              <w:pStyle w:val="1343"/>
            </w:pPr>
          </w:p>
        </w:tc>
        <w:tc>
          <w:tcPr>
            <w:tcW w:w="464" w:type="pct"/>
            <w:vMerge w:val="continue"/>
            <w:vAlign w:val="center"/>
          </w:tcPr>
          <w:p w14:paraId="37432F3C">
            <w:pPr>
              <w:pStyle w:val="1343"/>
            </w:pPr>
          </w:p>
        </w:tc>
      </w:tr>
      <w:tr w14:paraId="3B39B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33137645">
            <w:pPr>
              <w:pStyle w:val="1343"/>
              <w:numPr>
                <w:ilvl w:val="0"/>
                <w:numId w:val="24"/>
              </w:numPr>
            </w:pPr>
          </w:p>
        </w:tc>
        <w:tc>
          <w:tcPr>
            <w:tcW w:w="276" w:type="pct"/>
            <w:vMerge w:val="continue"/>
            <w:noWrap/>
            <w:vAlign w:val="center"/>
          </w:tcPr>
          <w:p w14:paraId="0431030C">
            <w:pPr>
              <w:pStyle w:val="1343"/>
            </w:pPr>
          </w:p>
        </w:tc>
        <w:tc>
          <w:tcPr>
            <w:tcW w:w="837" w:type="pct"/>
            <w:noWrap/>
            <w:vAlign w:val="center"/>
          </w:tcPr>
          <w:p w14:paraId="043208DD">
            <w:pPr>
              <w:pStyle w:val="1343"/>
            </w:pPr>
            <w:r>
              <w:rPr>
                <w:rFonts w:hint="eastAsia"/>
              </w:rPr>
              <w:t>梁家</w:t>
            </w:r>
          </w:p>
        </w:tc>
        <w:tc>
          <w:tcPr>
            <w:tcW w:w="572" w:type="pct"/>
            <w:noWrap/>
            <w:vAlign w:val="center"/>
          </w:tcPr>
          <w:p w14:paraId="74BFDCA1">
            <w:pPr>
              <w:pStyle w:val="1343"/>
            </w:pPr>
            <w:r>
              <w:rPr>
                <w:rFonts w:hint="eastAsia"/>
              </w:rPr>
              <w:t>112.9158</w:t>
            </w:r>
          </w:p>
        </w:tc>
        <w:tc>
          <w:tcPr>
            <w:tcW w:w="616" w:type="pct"/>
            <w:noWrap/>
            <w:vAlign w:val="center"/>
          </w:tcPr>
          <w:p w14:paraId="51CC67F6">
            <w:pPr>
              <w:pStyle w:val="1343"/>
            </w:pPr>
            <w:r>
              <w:rPr>
                <w:rFonts w:hint="eastAsia"/>
              </w:rPr>
              <w:t>26.4209</w:t>
            </w:r>
          </w:p>
        </w:tc>
        <w:tc>
          <w:tcPr>
            <w:tcW w:w="550" w:type="pct"/>
            <w:noWrap/>
            <w:vAlign w:val="center"/>
          </w:tcPr>
          <w:p w14:paraId="6B3C1138">
            <w:pPr>
              <w:pStyle w:val="1343"/>
            </w:pPr>
            <w:r>
              <w:rPr>
                <w:rFonts w:hint="eastAsia"/>
              </w:rPr>
              <w:t>680</w:t>
            </w:r>
          </w:p>
        </w:tc>
        <w:tc>
          <w:tcPr>
            <w:tcW w:w="432" w:type="pct"/>
            <w:noWrap/>
            <w:vAlign w:val="center"/>
          </w:tcPr>
          <w:p w14:paraId="7F4F8F36">
            <w:pPr>
              <w:pStyle w:val="1343"/>
            </w:pPr>
            <w:r>
              <w:t>NW</w:t>
            </w:r>
          </w:p>
        </w:tc>
        <w:tc>
          <w:tcPr>
            <w:tcW w:w="631" w:type="pct"/>
            <w:noWrap/>
            <w:vAlign w:val="center"/>
          </w:tcPr>
          <w:p w14:paraId="60E8ED7C">
            <w:pPr>
              <w:pStyle w:val="1343"/>
            </w:pPr>
            <w:r>
              <w:rPr>
                <w:rFonts w:hint="eastAsia"/>
              </w:rPr>
              <w:t>35人</w:t>
            </w:r>
          </w:p>
        </w:tc>
        <w:tc>
          <w:tcPr>
            <w:tcW w:w="366" w:type="pct"/>
            <w:vMerge w:val="continue"/>
            <w:noWrap/>
            <w:vAlign w:val="center"/>
          </w:tcPr>
          <w:p w14:paraId="0A0D53D7">
            <w:pPr>
              <w:pStyle w:val="1343"/>
            </w:pPr>
          </w:p>
        </w:tc>
        <w:tc>
          <w:tcPr>
            <w:tcW w:w="464" w:type="pct"/>
            <w:vMerge w:val="continue"/>
            <w:vAlign w:val="center"/>
          </w:tcPr>
          <w:p w14:paraId="7FA7312A">
            <w:pPr>
              <w:pStyle w:val="1343"/>
            </w:pPr>
          </w:p>
        </w:tc>
      </w:tr>
      <w:tr w14:paraId="14BEF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1377E160">
            <w:pPr>
              <w:pStyle w:val="1343"/>
              <w:numPr>
                <w:ilvl w:val="0"/>
                <w:numId w:val="24"/>
              </w:numPr>
            </w:pPr>
          </w:p>
        </w:tc>
        <w:tc>
          <w:tcPr>
            <w:tcW w:w="276" w:type="pct"/>
            <w:vMerge w:val="continue"/>
            <w:noWrap/>
            <w:vAlign w:val="center"/>
          </w:tcPr>
          <w:p w14:paraId="2E74A351">
            <w:pPr>
              <w:pStyle w:val="1343"/>
            </w:pPr>
          </w:p>
        </w:tc>
        <w:tc>
          <w:tcPr>
            <w:tcW w:w="837" w:type="pct"/>
            <w:noWrap/>
            <w:vAlign w:val="center"/>
          </w:tcPr>
          <w:p w14:paraId="35594E7D">
            <w:pPr>
              <w:pStyle w:val="1343"/>
            </w:pPr>
            <w:r>
              <w:rPr>
                <w:rFonts w:hint="eastAsia"/>
              </w:rPr>
              <w:t>黎家</w:t>
            </w:r>
          </w:p>
        </w:tc>
        <w:tc>
          <w:tcPr>
            <w:tcW w:w="572" w:type="pct"/>
            <w:noWrap/>
            <w:vAlign w:val="center"/>
          </w:tcPr>
          <w:p w14:paraId="288A3271">
            <w:pPr>
              <w:pStyle w:val="1343"/>
            </w:pPr>
            <w:r>
              <w:rPr>
                <w:rFonts w:hint="eastAsia"/>
              </w:rPr>
              <w:t>112.9157</w:t>
            </w:r>
          </w:p>
        </w:tc>
        <w:tc>
          <w:tcPr>
            <w:tcW w:w="616" w:type="pct"/>
            <w:noWrap/>
            <w:vAlign w:val="center"/>
          </w:tcPr>
          <w:p w14:paraId="60639DFF">
            <w:pPr>
              <w:pStyle w:val="1343"/>
            </w:pPr>
            <w:r>
              <w:rPr>
                <w:rFonts w:hint="eastAsia"/>
              </w:rPr>
              <w:t>26.4211</w:t>
            </w:r>
          </w:p>
        </w:tc>
        <w:tc>
          <w:tcPr>
            <w:tcW w:w="550" w:type="pct"/>
            <w:noWrap/>
            <w:vAlign w:val="center"/>
          </w:tcPr>
          <w:p w14:paraId="592984DB">
            <w:pPr>
              <w:pStyle w:val="1343"/>
            </w:pPr>
            <w:r>
              <w:rPr>
                <w:rFonts w:hint="eastAsia"/>
              </w:rPr>
              <w:t>730</w:t>
            </w:r>
          </w:p>
        </w:tc>
        <w:tc>
          <w:tcPr>
            <w:tcW w:w="432" w:type="pct"/>
            <w:noWrap/>
            <w:vAlign w:val="center"/>
          </w:tcPr>
          <w:p w14:paraId="641E7EA8">
            <w:pPr>
              <w:pStyle w:val="1343"/>
            </w:pPr>
            <w:r>
              <w:t>NW</w:t>
            </w:r>
          </w:p>
        </w:tc>
        <w:tc>
          <w:tcPr>
            <w:tcW w:w="631" w:type="pct"/>
            <w:noWrap/>
            <w:vAlign w:val="center"/>
          </w:tcPr>
          <w:p w14:paraId="0E2B4774">
            <w:pPr>
              <w:pStyle w:val="1343"/>
            </w:pPr>
            <w:r>
              <w:rPr>
                <w:rFonts w:hint="eastAsia"/>
              </w:rPr>
              <w:t>90人</w:t>
            </w:r>
          </w:p>
        </w:tc>
        <w:tc>
          <w:tcPr>
            <w:tcW w:w="366" w:type="pct"/>
            <w:vMerge w:val="continue"/>
            <w:noWrap/>
            <w:vAlign w:val="center"/>
          </w:tcPr>
          <w:p w14:paraId="78EFD9BB">
            <w:pPr>
              <w:pStyle w:val="1343"/>
            </w:pPr>
          </w:p>
        </w:tc>
        <w:tc>
          <w:tcPr>
            <w:tcW w:w="464" w:type="pct"/>
            <w:vMerge w:val="continue"/>
            <w:vAlign w:val="center"/>
          </w:tcPr>
          <w:p w14:paraId="153E662B">
            <w:pPr>
              <w:pStyle w:val="1343"/>
            </w:pPr>
          </w:p>
        </w:tc>
      </w:tr>
      <w:tr w14:paraId="0520C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4E78450E">
            <w:pPr>
              <w:pStyle w:val="1343"/>
              <w:numPr>
                <w:ilvl w:val="0"/>
                <w:numId w:val="24"/>
              </w:numPr>
            </w:pPr>
          </w:p>
        </w:tc>
        <w:tc>
          <w:tcPr>
            <w:tcW w:w="276" w:type="pct"/>
            <w:vMerge w:val="continue"/>
            <w:noWrap/>
            <w:vAlign w:val="center"/>
          </w:tcPr>
          <w:p w14:paraId="73C02AE8">
            <w:pPr>
              <w:pStyle w:val="1343"/>
            </w:pPr>
          </w:p>
        </w:tc>
        <w:tc>
          <w:tcPr>
            <w:tcW w:w="837" w:type="pct"/>
            <w:noWrap/>
            <w:vAlign w:val="center"/>
          </w:tcPr>
          <w:p w14:paraId="78A70C57">
            <w:pPr>
              <w:pStyle w:val="1343"/>
            </w:pPr>
            <w:r>
              <w:rPr>
                <w:rFonts w:hint="eastAsia"/>
              </w:rPr>
              <w:t>管在冲</w:t>
            </w:r>
          </w:p>
        </w:tc>
        <w:tc>
          <w:tcPr>
            <w:tcW w:w="572" w:type="pct"/>
            <w:noWrap/>
            <w:vAlign w:val="center"/>
          </w:tcPr>
          <w:p w14:paraId="00182FF7">
            <w:pPr>
              <w:pStyle w:val="1343"/>
            </w:pPr>
            <w:r>
              <w:rPr>
                <w:rFonts w:hint="eastAsia"/>
              </w:rPr>
              <w:t>112.9135</w:t>
            </w:r>
          </w:p>
        </w:tc>
        <w:tc>
          <w:tcPr>
            <w:tcW w:w="616" w:type="pct"/>
            <w:noWrap/>
            <w:vAlign w:val="center"/>
          </w:tcPr>
          <w:p w14:paraId="695317DD">
            <w:pPr>
              <w:pStyle w:val="1343"/>
            </w:pPr>
            <w:r>
              <w:rPr>
                <w:rFonts w:hint="eastAsia"/>
              </w:rPr>
              <w:t>26.4237</w:t>
            </w:r>
          </w:p>
        </w:tc>
        <w:tc>
          <w:tcPr>
            <w:tcW w:w="550" w:type="pct"/>
            <w:noWrap/>
            <w:vAlign w:val="center"/>
          </w:tcPr>
          <w:p w14:paraId="297B9F23">
            <w:pPr>
              <w:pStyle w:val="1343"/>
            </w:pPr>
            <w:r>
              <w:rPr>
                <w:rFonts w:hint="eastAsia"/>
              </w:rPr>
              <w:t>1080</w:t>
            </w:r>
          </w:p>
        </w:tc>
        <w:tc>
          <w:tcPr>
            <w:tcW w:w="432" w:type="pct"/>
            <w:noWrap/>
            <w:vAlign w:val="center"/>
          </w:tcPr>
          <w:p w14:paraId="5E2CE6F2">
            <w:pPr>
              <w:pStyle w:val="1343"/>
            </w:pPr>
            <w:r>
              <w:t>NW</w:t>
            </w:r>
          </w:p>
        </w:tc>
        <w:tc>
          <w:tcPr>
            <w:tcW w:w="631" w:type="pct"/>
            <w:noWrap/>
            <w:vAlign w:val="center"/>
          </w:tcPr>
          <w:p w14:paraId="3D175AD3">
            <w:pPr>
              <w:pStyle w:val="1343"/>
            </w:pPr>
            <w:r>
              <w:rPr>
                <w:rFonts w:hint="eastAsia"/>
              </w:rPr>
              <w:t>20人</w:t>
            </w:r>
          </w:p>
        </w:tc>
        <w:tc>
          <w:tcPr>
            <w:tcW w:w="366" w:type="pct"/>
            <w:vMerge w:val="continue"/>
            <w:noWrap/>
            <w:vAlign w:val="center"/>
          </w:tcPr>
          <w:p w14:paraId="360E7AC2">
            <w:pPr>
              <w:pStyle w:val="1343"/>
            </w:pPr>
          </w:p>
        </w:tc>
        <w:tc>
          <w:tcPr>
            <w:tcW w:w="464" w:type="pct"/>
            <w:vMerge w:val="continue"/>
            <w:vAlign w:val="center"/>
          </w:tcPr>
          <w:p w14:paraId="54960F23">
            <w:pPr>
              <w:pStyle w:val="1343"/>
            </w:pPr>
          </w:p>
        </w:tc>
      </w:tr>
      <w:tr w14:paraId="5BD06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47B7A65E">
            <w:pPr>
              <w:pStyle w:val="1343"/>
              <w:numPr>
                <w:ilvl w:val="0"/>
                <w:numId w:val="24"/>
              </w:numPr>
            </w:pPr>
          </w:p>
        </w:tc>
        <w:tc>
          <w:tcPr>
            <w:tcW w:w="276" w:type="pct"/>
            <w:vMerge w:val="continue"/>
            <w:noWrap/>
            <w:vAlign w:val="center"/>
          </w:tcPr>
          <w:p w14:paraId="34B70CFD">
            <w:pPr>
              <w:pStyle w:val="1343"/>
            </w:pPr>
          </w:p>
        </w:tc>
        <w:tc>
          <w:tcPr>
            <w:tcW w:w="837" w:type="pct"/>
            <w:noWrap/>
            <w:vAlign w:val="center"/>
          </w:tcPr>
          <w:p w14:paraId="22D7D3B4">
            <w:pPr>
              <w:pStyle w:val="1343"/>
            </w:pPr>
            <w:r>
              <w:rPr>
                <w:rFonts w:hint="eastAsia"/>
              </w:rPr>
              <w:t>鸟咀坪</w:t>
            </w:r>
          </w:p>
        </w:tc>
        <w:tc>
          <w:tcPr>
            <w:tcW w:w="572" w:type="pct"/>
            <w:noWrap/>
            <w:vAlign w:val="center"/>
          </w:tcPr>
          <w:p w14:paraId="7CB3246B">
            <w:pPr>
              <w:pStyle w:val="1343"/>
            </w:pPr>
            <w:r>
              <w:rPr>
                <w:rFonts w:hint="eastAsia"/>
              </w:rPr>
              <w:t>112.9108</w:t>
            </w:r>
          </w:p>
        </w:tc>
        <w:tc>
          <w:tcPr>
            <w:tcW w:w="616" w:type="pct"/>
            <w:noWrap/>
            <w:vAlign w:val="center"/>
          </w:tcPr>
          <w:p w14:paraId="0EDB7289">
            <w:pPr>
              <w:pStyle w:val="1343"/>
            </w:pPr>
            <w:r>
              <w:rPr>
                <w:rFonts w:hint="eastAsia"/>
              </w:rPr>
              <w:t>26.4225</w:t>
            </w:r>
          </w:p>
        </w:tc>
        <w:tc>
          <w:tcPr>
            <w:tcW w:w="550" w:type="pct"/>
            <w:noWrap/>
            <w:vAlign w:val="center"/>
          </w:tcPr>
          <w:p w14:paraId="182A6B59">
            <w:pPr>
              <w:pStyle w:val="1343"/>
            </w:pPr>
            <w:r>
              <w:rPr>
                <w:rFonts w:hint="eastAsia"/>
              </w:rPr>
              <w:t>1220</w:t>
            </w:r>
          </w:p>
        </w:tc>
        <w:tc>
          <w:tcPr>
            <w:tcW w:w="432" w:type="pct"/>
            <w:noWrap/>
            <w:vAlign w:val="center"/>
          </w:tcPr>
          <w:p w14:paraId="38EE74D5">
            <w:pPr>
              <w:pStyle w:val="1343"/>
            </w:pPr>
            <w:r>
              <w:t>NW</w:t>
            </w:r>
          </w:p>
        </w:tc>
        <w:tc>
          <w:tcPr>
            <w:tcW w:w="631" w:type="pct"/>
            <w:noWrap/>
            <w:vAlign w:val="center"/>
          </w:tcPr>
          <w:p w14:paraId="5BF2D461">
            <w:pPr>
              <w:pStyle w:val="1343"/>
            </w:pPr>
            <w:r>
              <w:rPr>
                <w:rFonts w:hint="eastAsia"/>
              </w:rPr>
              <w:t>15人</w:t>
            </w:r>
          </w:p>
        </w:tc>
        <w:tc>
          <w:tcPr>
            <w:tcW w:w="366" w:type="pct"/>
            <w:vMerge w:val="continue"/>
            <w:noWrap/>
            <w:vAlign w:val="center"/>
          </w:tcPr>
          <w:p w14:paraId="697A3A93">
            <w:pPr>
              <w:pStyle w:val="1343"/>
            </w:pPr>
          </w:p>
        </w:tc>
        <w:tc>
          <w:tcPr>
            <w:tcW w:w="464" w:type="pct"/>
            <w:vMerge w:val="continue"/>
            <w:vAlign w:val="center"/>
          </w:tcPr>
          <w:p w14:paraId="5106DFB6">
            <w:pPr>
              <w:pStyle w:val="1343"/>
            </w:pPr>
          </w:p>
        </w:tc>
      </w:tr>
      <w:tr w14:paraId="468E9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65DA58AE">
            <w:pPr>
              <w:pStyle w:val="1343"/>
              <w:numPr>
                <w:ilvl w:val="0"/>
                <w:numId w:val="24"/>
              </w:numPr>
            </w:pPr>
          </w:p>
        </w:tc>
        <w:tc>
          <w:tcPr>
            <w:tcW w:w="276" w:type="pct"/>
            <w:vMerge w:val="continue"/>
            <w:noWrap/>
            <w:vAlign w:val="center"/>
          </w:tcPr>
          <w:p w14:paraId="2E76E367">
            <w:pPr>
              <w:pStyle w:val="1343"/>
            </w:pPr>
          </w:p>
        </w:tc>
        <w:tc>
          <w:tcPr>
            <w:tcW w:w="837" w:type="pct"/>
            <w:noWrap/>
            <w:vAlign w:val="center"/>
          </w:tcPr>
          <w:p w14:paraId="3DF57D37">
            <w:pPr>
              <w:pStyle w:val="1343"/>
            </w:pPr>
            <w:r>
              <w:rPr>
                <w:rFonts w:hint="eastAsia"/>
              </w:rPr>
              <w:t>刘家冲</w:t>
            </w:r>
          </w:p>
        </w:tc>
        <w:tc>
          <w:tcPr>
            <w:tcW w:w="572" w:type="pct"/>
            <w:noWrap/>
            <w:vAlign w:val="center"/>
          </w:tcPr>
          <w:p w14:paraId="16960E00">
            <w:pPr>
              <w:pStyle w:val="1343"/>
            </w:pPr>
            <w:r>
              <w:rPr>
                <w:rFonts w:hint="eastAsia"/>
              </w:rPr>
              <w:t>112.9072</w:t>
            </w:r>
          </w:p>
        </w:tc>
        <w:tc>
          <w:tcPr>
            <w:tcW w:w="616" w:type="pct"/>
            <w:noWrap/>
            <w:vAlign w:val="center"/>
          </w:tcPr>
          <w:p w14:paraId="43480C4F">
            <w:pPr>
              <w:pStyle w:val="1343"/>
            </w:pPr>
            <w:r>
              <w:rPr>
                <w:rFonts w:hint="eastAsia"/>
              </w:rPr>
              <w:t>26.4261</w:t>
            </w:r>
          </w:p>
        </w:tc>
        <w:tc>
          <w:tcPr>
            <w:tcW w:w="550" w:type="pct"/>
            <w:noWrap/>
            <w:vAlign w:val="center"/>
          </w:tcPr>
          <w:p w14:paraId="24CC5E1E">
            <w:pPr>
              <w:pStyle w:val="1343"/>
            </w:pPr>
            <w:r>
              <w:rPr>
                <w:rFonts w:hint="eastAsia"/>
              </w:rPr>
              <w:t>1760</w:t>
            </w:r>
          </w:p>
        </w:tc>
        <w:tc>
          <w:tcPr>
            <w:tcW w:w="432" w:type="pct"/>
            <w:noWrap/>
            <w:vAlign w:val="center"/>
          </w:tcPr>
          <w:p w14:paraId="6C178D12">
            <w:pPr>
              <w:pStyle w:val="1343"/>
            </w:pPr>
            <w:r>
              <w:t>NW</w:t>
            </w:r>
          </w:p>
        </w:tc>
        <w:tc>
          <w:tcPr>
            <w:tcW w:w="631" w:type="pct"/>
            <w:noWrap/>
            <w:vAlign w:val="center"/>
          </w:tcPr>
          <w:p w14:paraId="2B1B8791">
            <w:pPr>
              <w:pStyle w:val="1343"/>
            </w:pPr>
            <w:r>
              <w:rPr>
                <w:rFonts w:hint="eastAsia"/>
              </w:rPr>
              <w:t>85人</w:t>
            </w:r>
          </w:p>
        </w:tc>
        <w:tc>
          <w:tcPr>
            <w:tcW w:w="366" w:type="pct"/>
            <w:vMerge w:val="continue"/>
            <w:noWrap/>
            <w:vAlign w:val="center"/>
          </w:tcPr>
          <w:p w14:paraId="5DA57FDC">
            <w:pPr>
              <w:pStyle w:val="1343"/>
            </w:pPr>
          </w:p>
        </w:tc>
        <w:tc>
          <w:tcPr>
            <w:tcW w:w="464" w:type="pct"/>
            <w:vMerge w:val="continue"/>
            <w:vAlign w:val="center"/>
          </w:tcPr>
          <w:p w14:paraId="713E0E43">
            <w:pPr>
              <w:pStyle w:val="1343"/>
            </w:pPr>
          </w:p>
        </w:tc>
      </w:tr>
      <w:tr w14:paraId="2D820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54F3F86E">
            <w:pPr>
              <w:pStyle w:val="1343"/>
              <w:numPr>
                <w:ilvl w:val="0"/>
                <w:numId w:val="24"/>
              </w:numPr>
            </w:pPr>
          </w:p>
        </w:tc>
        <w:tc>
          <w:tcPr>
            <w:tcW w:w="276" w:type="pct"/>
            <w:vMerge w:val="continue"/>
            <w:noWrap/>
            <w:vAlign w:val="center"/>
          </w:tcPr>
          <w:p w14:paraId="72AB75A1">
            <w:pPr>
              <w:pStyle w:val="1343"/>
            </w:pPr>
          </w:p>
        </w:tc>
        <w:tc>
          <w:tcPr>
            <w:tcW w:w="837" w:type="pct"/>
            <w:noWrap/>
            <w:vAlign w:val="center"/>
          </w:tcPr>
          <w:p w14:paraId="526E80E7">
            <w:pPr>
              <w:pStyle w:val="1343"/>
            </w:pPr>
            <w:r>
              <w:rPr>
                <w:rFonts w:hint="eastAsia"/>
              </w:rPr>
              <w:t>张家村</w:t>
            </w:r>
          </w:p>
        </w:tc>
        <w:tc>
          <w:tcPr>
            <w:tcW w:w="572" w:type="pct"/>
            <w:noWrap/>
            <w:vAlign w:val="center"/>
          </w:tcPr>
          <w:p w14:paraId="279212B9">
            <w:pPr>
              <w:pStyle w:val="1343"/>
            </w:pPr>
            <w:r>
              <w:rPr>
                <w:rFonts w:hint="eastAsia"/>
              </w:rPr>
              <w:t>112.9027</w:t>
            </w:r>
          </w:p>
        </w:tc>
        <w:tc>
          <w:tcPr>
            <w:tcW w:w="616" w:type="pct"/>
            <w:noWrap/>
            <w:vAlign w:val="center"/>
          </w:tcPr>
          <w:p w14:paraId="278B4F2B">
            <w:pPr>
              <w:pStyle w:val="1343"/>
            </w:pPr>
            <w:r>
              <w:rPr>
                <w:rFonts w:hint="eastAsia"/>
              </w:rPr>
              <w:t>26.4348</w:t>
            </w:r>
          </w:p>
        </w:tc>
        <w:tc>
          <w:tcPr>
            <w:tcW w:w="550" w:type="pct"/>
            <w:noWrap/>
            <w:vAlign w:val="center"/>
          </w:tcPr>
          <w:p w14:paraId="2B83E2CB">
            <w:pPr>
              <w:pStyle w:val="1343"/>
            </w:pPr>
            <w:r>
              <w:rPr>
                <w:rFonts w:hint="eastAsia"/>
              </w:rPr>
              <w:t>2710</w:t>
            </w:r>
          </w:p>
        </w:tc>
        <w:tc>
          <w:tcPr>
            <w:tcW w:w="432" w:type="pct"/>
            <w:noWrap/>
            <w:vAlign w:val="center"/>
          </w:tcPr>
          <w:p w14:paraId="5658D1A2">
            <w:pPr>
              <w:pStyle w:val="1343"/>
            </w:pPr>
            <w:r>
              <w:t>NW</w:t>
            </w:r>
          </w:p>
        </w:tc>
        <w:tc>
          <w:tcPr>
            <w:tcW w:w="631" w:type="pct"/>
            <w:noWrap/>
            <w:vAlign w:val="center"/>
          </w:tcPr>
          <w:p w14:paraId="2415634C">
            <w:pPr>
              <w:pStyle w:val="1343"/>
            </w:pPr>
            <w:r>
              <w:rPr>
                <w:rFonts w:hint="eastAsia"/>
              </w:rPr>
              <w:t>30人</w:t>
            </w:r>
          </w:p>
        </w:tc>
        <w:tc>
          <w:tcPr>
            <w:tcW w:w="366" w:type="pct"/>
            <w:vMerge w:val="continue"/>
            <w:noWrap/>
            <w:vAlign w:val="center"/>
          </w:tcPr>
          <w:p w14:paraId="48331B2A">
            <w:pPr>
              <w:pStyle w:val="1343"/>
            </w:pPr>
          </w:p>
        </w:tc>
        <w:tc>
          <w:tcPr>
            <w:tcW w:w="464" w:type="pct"/>
            <w:vMerge w:val="continue"/>
            <w:vAlign w:val="center"/>
          </w:tcPr>
          <w:p w14:paraId="20AB8E8E">
            <w:pPr>
              <w:pStyle w:val="1343"/>
            </w:pPr>
          </w:p>
        </w:tc>
      </w:tr>
      <w:tr w14:paraId="29E24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71BBE5E2">
            <w:pPr>
              <w:pStyle w:val="1343"/>
              <w:numPr>
                <w:ilvl w:val="0"/>
                <w:numId w:val="24"/>
              </w:numPr>
            </w:pPr>
          </w:p>
        </w:tc>
        <w:tc>
          <w:tcPr>
            <w:tcW w:w="276" w:type="pct"/>
            <w:vMerge w:val="continue"/>
            <w:noWrap/>
            <w:vAlign w:val="center"/>
          </w:tcPr>
          <w:p w14:paraId="662DF0E5">
            <w:pPr>
              <w:pStyle w:val="1343"/>
            </w:pPr>
          </w:p>
        </w:tc>
        <w:tc>
          <w:tcPr>
            <w:tcW w:w="837" w:type="pct"/>
            <w:noWrap/>
            <w:vAlign w:val="center"/>
          </w:tcPr>
          <w:p w14:paraId="115DD76E">
            <w:pPr>
              <w:pStyle w:val="1343"/>
            </w:pPr>
            <w:r>
              <w:rPr>
                <w:rFonts w:hint="eastAsia"/>
              </w:rPr>
              <w:t>张家铺</w:t>
            </w:r>
          </w:p>
        </w:tc>
        <w:tc>
          <w:tcPr>
            <w:tcW w:w="572" w:type="pct"/>
            <w:noWrap/>
            <w:vAlign w:val="center"/>
          </w:tcPr>
          <w:p w14:paraId="720BB6B1">
            <w:pPr>
              <w:pStyle w:val="1343"/>
            </w:pPr>
            <w:r>
              <w:rPr>
                <w:rFonts w:hint="eastAsia"/>
              </w:rPr>
              <w:t>112.9042</w:t>
            </w:r>
          </w:p>
        </w:tc>
        <w:tc>
          <w:tcPr>
            <w:tcW w:w="616" w:type="pct"/>
            <w:noWrap/>
            <w:vAlign w:val="center"/>
          </w:tcPr>
          <w:p w14:paraId="21E2A788">
            <w:pPr>
              <w:pStyle w:val="1343"/>
            </w:pPr>
            <w:r>
              <w:rPr>
                <w:rFonts w:hint="eastAsia"/>
              </w:rPr>
              <w:t>26.4336</w:t>
            </w:r>
          </w:p>
        </w:tc>
        <w:tc>
          <w:tcPr>
            <w:tcW w:w="550" w:type="pct"/>
            <w:noWrap/>
            <w:vAlign w:val="center"/>
          </w:tcPr>
          <w:p w14:paraId="55639FB4">
            <w:pPr>
              <w:pStyle w:val="1343"/>
            </w:pPr>
            <w:r>
              <w:rPr>
                <w:rFonts w:hint="eastAsia"/>
              </w:rPr>
              <w:t>2510</w:t>
            </w:r>
          </w:p>
        </w:tc>
        <w:tc>
          <w:tcPr>
            <w:tcW w:w="432" w:type="pct"/>
            <w:noWrap/>
            <w:vAlign w:val="center"/>
          </w:tcPr>
          <w:p w14:paraId="5651E8CF">
            <w:pPr>
              <w:pStyle w:val="1343"/>
            </w:pPr>
            <w:r>
              <w:t>NW</w:t>
            </w:r>
          </w:p>
        </w:tc>
        <w:tc>
          <w:tcPr>
            <w:tcW w:w="631" w:type="pct"/>
            <w:noWrap/>
            <w:vAlign w:val="center"/>
          </w:tcPr>
          <w:p w14:paraId="3A4E709D">
            <w:pPr>
              <w:pStyle w:val="1343"/>
            </w:pPr>
            <w:r>
              <w:rPr>
                <w:rFonts w:hint="eastAsia"/>
              </w:rPr>
              <w:t>50人</w:t>
            </w:r>
          </w:p>
        </w:tc>
        <w:tc>
          <w:tcPr>
            <w:tcW w:w="366" w:type="pct"/>
            <w:vMerge w:val="continue"/>
            <w:noWrap/>
            <w:vAlign w:val="center"/>
          </w:tcPr>
          <w:p w14:paraId="1A3A2711">
            <w:pPr>
              <w:pStyle w:val="1343"/>
            </w:pPr>
          </w:p>
        </w:tc>
        <w:tc>
          <w:tcPr>
            <w:tcW w:w="464" w:type="pct"/>
            <w:vMerge w:val="continue"/>
            <w:vAlign w:val="center"/>
          </w:tcPr>
          <w:p w14:paraId="7A9E5B22">
            <w:pPr>
              <w:pStyle w:val="1343"/>
            </w:pPr>
          </w:p>
        </w:tc>
      </w:tr>
      <w:tr w14:paraId="5A6E6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48CA720D">
            <w:pPr>
              <w:pStyle w:val="1343"/>
              <w:numPr>
                <w:ilvl w:val="0"/>
                <w:numId w:val="24"/>
              </w:numPr>
            </w:pPr>
          </w:p>
        </w:tc>
        <w:tc>
          <w:tcPr>
            <w:tcW w:w="276" w:type="pct"/>
            <w:vMerge w:val="continue"/>
            <w:noWrap/>
            <w:vAlign w:val="center"/>
          </w:tcPr>
          <w:p w14:paraId="6EEF47B8">
            <w:pPr>
              <w:pStyle w:val="1343"/>
            </w:pPr>
          </w:p>
        </w:tc>
        <w:tc>
          <w:tcPr>
            <w:tcW w:w="837" w:type="pct"/>
            <w:noWrap/>
            <w:vAlign w:val="center"/>
          </w:tcPr>
          <w:p w14:paraId="6B529DA3">
            <w:pPr>
              <w:pStyle w:val="1343"/>
            </w:pPr>
            <w:r>
              <w:rPr>
                <w:rFonts w:hint="eastAsia"/>
              </w:rPr>
              <w:t>廖家</w:t>
            </w:r>
          </w:p>
        </w:tc>
        <w:tc>
          <w:tcPr>
            <w:tcW w:w="572" w:type="pct"/>
            <w:noWrap/>
            <w:vAlign w:val="center"/>
          </w:tcPr>
          <w:p w14:paraId="0338ACF7">
            <w:pPr>
              <w:pStyle w:val="1343"/>
            </w:pPr>
            <w:r>
              <w:rPr>
                <w:rFonts w:hint="eastAsia"/>
              </w:rPr>
              <w:t>112.9075</w:t>
            </w:r>
          </w:p>
        </w:tc>
        <w:tc>
          <w:tcPr>
            <w:tcW w:w="616" w:type="pct"/>
            <w:noWrap/>
            <w:vAlign w:val="center"/>
          </w:tcPr>
          <w:p w14:paraId="61B8FBD9">
            <w:pPr>
              <w:pStyle w:val="1343"/>
            </w:pPr>
            <w:r>
              <w:rPr>
                <w:rFonts w:hint="eastAsia"/>
              </w:rPr>
              <w:t>26.4297</w:t>
            </w:r>
          </w:p>
        </w:tc>
        <w:tc>
          <w:tcPr>
            <w:tcW w:w="550" w:type="pct"/>
            <w:noWrap/>
            <w:vAlign w:val="center"/>
          </w:tcPr>
          <w:p w14:paraId="6F50667E">
            <w:pPr>
              <w:pStyle w:val="1343"/>
            </w:pPr>
            <w:r>
              <w:rPr>
                <w:rFonts w:hint="eastAsia"/>
              </w:rPr>
              <w:t>1950</w:t>
            </w:r>
          </w:p>
        </w:tc>
        <w:tc>
          <w:tcPr>
            <w:tcW w:w="432" w:type="pct"/>
            <w:noWrap/>
            <w:vAlign w:val="center"/>
          </w:tcPr>
          <w:p w14:paraId="6744AEB6">
            <w:pPr>
              <w:pStyle w:val="1343"/>
            </w:pPr>
            <w:r>
              <w:t>NW</w:t>
            </w:r>
          </w:p>
        </w:tc>
        <w:tc>
          <w:tcPr>
            <w:tcW w:w="631" w:type="pct"/>
            <w:noWrap/>
            <w:vAlign w:val="center"/>
          </w:tcPr>
          <w:p w14:paraId="40C00384">
            <w:pPr>
              <w:pStyle w:val="1343"/>
            </w:pPr>
            <w:r>
              <w:rPr>
                <w:rFonts w:hint="eastAsia"/>
              </w:rPr>
              <w:t>15人</w:t>
            </w:r>
          </w:p>
        </w:tc>
        <w:tc>
          <w:tcPr>
            <w:tcW w:w="366" w:type="pct"/>
            <w:vMerge w:val="continue"/>
            <w:noWrap/>
            <w:vAlign w:val="center"/>
          </w:tcPr>
          <w:p w14:paraId="2AAB74D9">
            <w:pPr>
              <w:pStyle w:val="1343"/>
            </w:pPr>
          </w:p>
        </w:tc>
        <w:tc>
          <w:tcPr>
            <w:tcW w:w="464" w:type="pct"/>
            <w:vMerge w:val="continue"/>
            <w:vAlign w:val="center"/>
          </w:tcPr>
          <w:p w14:paraId="3705A44D">
            <w:pPr>
              <w:pStyle w:val="1343"/>
            </w:pPr>
          </w:p>
        </w:tc>
      </w:tr>
      <w:tr w14:paraId="0A5CA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75785C3B">
            <w:pPr>
              <w:pStyle w:val="1343"/>
              <w:numPr>
                <w:ilvl w:val="0"/>
                <w:numId w:val="24"/>
              </w:numPr>
            </w:pPr>
          </w:p>
        </w:tc>
        <w:tc>
          <w:tcPr>
            <w:tcW w:w="276" w:type="pct"/>
            <w:vMerge w:val="continue"/>
            <w:noWrap/>
            <w:vAlign w:val="center"/>
          </w:tcPr>
          <w:p w14:paraId="1B36E0AA">
            <w:pPr>
              <w:pStyle w:val="1343"/>
            </w:pPr>
          </w:p>
        </w:tc>
        <w:tc>
          <w:tcPr>
            <w:tcW w:w="837" w:type="pct"/>
            <w:noWrap/>
            <w:vAlign w:val="center"/>
          </w:tcPr>
          <w:p w14:paraId="48653C26">
            <w:pPr>
              <w:pStyle w:val="1343"/>
            </w:pPr>
            <w:r>
              <w:rPr>
                <w:rFonts w:hint="eastAsia"/>
              </w:rPr>
              <w:t>廖家上村</w:t>
            </w:r>
          </w:p>
        </w:tc>
        <w:tc>
          <w:tcPr>
            <w:tcW w:w="572" w:type="pct"/>
            <w:noWrap/>
            <w:vAlign w:val="center"/>
          </w:tcPr>
          <w:p w14:paraId="15CAD412">
            <w:pPr>
              <w:pStyle w:val="1343"/>
            </w:pPr>
            <w:r>
              <w:rPr>
                <w:rFonts w:hint="eastAsia"/>
              </w:rPr>
              <w:t>112.9094</w:t>
            </w:r>
          </w:p>
        </w:tc>
        <w:tc>
          <w:tcPr>
            <w:tcW w:w="616" w:type="pct"/>
            <w:noWrap/>
            <w:vAlign w:val="center"/>
          </w:tcPr>
          <w:p w14:paraId="78EF23E7">
            <w:pPr>
              <w:pStyle w:val="1343"/>
            </w:pPr>
            <w:r>
              <w:rPr>
                <w:rFonts w:hint="eastAsia"/>
              </w:rPr>
              <w:t>26.4306</w:t>
            </w:r>
          </w:p>
        </w:tc>
        <w:tc>
          <w:tcPr>
            <w:tcW w:w="550" w:type="pct"/>
            <w:noWrap/>
            <w:vAlign w:val="center"/>
          </w:tcPr>
          <w:p w14:paraId="7AA0D0DF">
            <w:pPr>
              <w:pStyle w:val="1343"/>
            </w:pPr>
            <w:r>
              <w:rPr>
                <w:rFonts w:hint="eastAsia"/>
              </w:rPr>
              <w:t>1930</w:t>
            </w:r>
          </w:p>
        </w:tc>
        <w:tc>
          <w:tcPr>
            <w:tcW w:w="432" w:type="pct"/>
            <w:noWrap/>
            <w:vAlign w:val="center"/>
          </w:tcPr>
          <w:p w14:paraId="0A24F12F">
            <w:pPr>
              <w:pStyle w:val="1343"/>
            </w:pPr>
            <w:r>
              <w:t>NW</w:t>
            </w:r>
          </w:p>
        </w:tc>
        <w:tc>
          <w:tcPr>
            <w:tcW w:w="631" w:type="pct"/>
            <w:noWrap/>
            <w:vAlign w:val="center"/>
          </w:tcPr>
          <w:p w14:paraId="74311854">
            <w:pPr>
              <w:pStyle w:val="1343"/>
            </w:pPr>
            <w:r>
              <w:rPr>
                <w:rFonts w:hint="eastAsia"/>
              </w:rPr>
              <w:t>70人</w:t>
            </w:r>
          </w:p>
        </w:tc>
        <w:tc>
          <w:tcPr>
            <w:tcW w:w="366" w:type="pct"/>
            <w:vMerge w:val="continue"/>
            <w:noWrap/>
            <w:vAlign w:val="center"/>
          </w:tcPr>
          <w:p w14:paraId="037239CD">
            <w:pPr>
              <w:pStyle w:val="1343"/>
            </w:pPr>
          </w:p>
        </w:tc>
        <w:tc>
          <w:tcPr>
            <w:tcW w:w="464" w:type="pct"/>
            <w:vMerge w:val="continue"/>
            <w:vAlign w:val="center"/>
          </w:tcPr>
          <w:p w14:paraId="3760D4BB">
            <w:pPr>
              <w:pStyle w:val="1343"/>
            </w:pPr>
          </w:p>
        </w:tc>
      </w:tr>
      <w:tr w14:paraId="75C80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59A03ECE">
            <w:pPr>
              <w:pStyle w:val="1343"/>
              <w:numPr>
                <w:ilvl w:val="0"/>
                <w:numId w:val="24"/>
              </w:numPr>
            </w:pPr>
          </w:p>
        </w:tc>
        <w:tc>
          <w:tcPr>
            <w:tcW w:w="276" w:type="pct"/>
            <w:vMerge w:val="continue"/>
            <w:noWrap/>
            <w:vAlign w:val="center"/>
          </w:tcPr>
          <w:p w14:paraId="3C82E582">
            <w:pPr>
              <w:pStyle w:val="1343"/>
            </w:pPr>
          </w:p>
        </w:tc>
        <w:tc>
          <w:tcPr>
            <w:tcW w:w="837" w:type="pct"/>
            <w:noWrap/>
            <w:vAlign w:val="center"/>
          </w:tcPr>
          <w:p w14:paraId="4A44A7A2">
            <w:pPr>
              <w:pStyle w:val="1343"/>
            </w:pPr>
            <w:r>
              <w:rPr>
                <w:rFonts w:hint="eastAsia"/>
              </w:rPr>
              <w:t>廖家下村</w:t>
            </w:r>
          </w:p>
        </w:tc>
        <w:tc>
          <w:tcPr>
            <w:tcW w:w="572" w:type="pct"/>
            <w:noWrap/>
            <w:vAlign w:val="center"/>
          </w:tcPr>
          <w:p w14:paraId="42E26FD8">
            <w:pPr>
              <w:pStyle w:val="1343"/>
            </w:pPr>
            <w:r>
              <w:rPr>
                <w:rFonts w:hint="eastAsia"/>
              </w:rPr>
              <w:t>112.9054</w:t>
            </w:r>
          </w:p>
        </w:tc>
        <w:tc>
          <w:tcPr>
            <w:tcW w:w="616" w:type="pct"/>
            <w:noWrap/>
            <w:vAlign w:val="center"/>
          </w:tcPr>
          <w:p w14:paraId="4DE98194">
            <w:pPr>
              <w:pStyle w:val="1343"/>
            </w:pPr>
            <w:r>
              <w:rPr>
                <w:rFonts w:hint="eastAsia"/>
              </w:rPr>
              <w:t>26.4313</w:t>
            </w:r>
          </w:p>
        </w:tc>
        <w:tc>
          <w:tcPr>
            <w:tcW w:w="550" w:type="pct"/>
            <w:noWrap/>
            <w:vAlign w:val="center"/>
          </w:tcPr>
          <w:p w14:paraId="3A5D2805">
            <w:pPr>
              <w:pStyle w:val="1343"/>
            </w:pPr>
            <w:r>
              <w:rPr>
                <w:rFonts w:hint="eastAsia"/>
              </w:rPr>
              <w:t>2230</w:t>
            </w:r>
          </w:p>
        </w:tc>
        <w:tc>
          <w:tcPr>
            <w:tcW w:w="432" w:type="pct"/>
            <w:noWrap/>
            <w:vAlign w:val="center"/>
          </w:tcPr>
          <w:p w14:paraId="7A15ABCA">
            <w:pPr>
              <w:pStyle w:val="1343"/>
            </w:pPr>
            <w:r>
              <w:t>NW</w:t>
            </w:r>
          </w:p>
        </w:tc>
        <w:tc>
          <w:tcPr>
            <w:tcW w:w="631" w:type="pct"/>
            <w:noWrap/>
            <w:vAlign w:val="center"/>
          </w:tcPr>
          <w:p w14:paraId="7ECB561F">
            <w:pPr>
              <w:pStyle w:val="1343"/>
            </w:pPr>
            <w:r>
              <w:rPr>
                <w:rFonts w:hint="eastAsia"/>
              </w:rPr>
              <w:t>55人</w:t>
            </w:r>
          </w:p>
        </w:tc>
        <w:tc>
          <w:tcPr>
            <w:tcW w:w="366" w:type="pct"/>
            <w:vMerge w:val="continue"/>
            <w:noWrap/>
            <w:vAlign w:val="center"/>
          </w:tcPr>
          <w:p w14:paraId="0776E7A1">
            <w:pPr>
              <w:pStyle w:val="1343"/>
            </w:pPr>
          </w:p>
        </w:tc>
        <w:tc>
          <w:tcPr>
            <w:tcW w:w="464" w:type="pct"/>
            <w:vMerge w:val="continue"/>
            <w:vAlign w:val="center"/>
          </w:tcPr>
          <w:p w14:paraId="5C7D5AF1">
            <w:pPr>
              <w:pStyle w:val="1343"/>
            </w:pPr>
          </w:p>
        </w:tc>
      </w:tr>
      <w:tr w14:paraId="1243C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6B80642D">
            <w:pPr>
              <w:pStyle w:val="1343"/>
              <w:numPr>
                <w:ilvl w:val="0"/>
                <w:numId w:val="24"/>
              </w:numPr>
            </w:pPr>
          </w:p>
        </w:tc>
        <w:tc>
          <w:tcPr>
            <w:tcW w:w="276" w:type="pct"/>
            <w:vMerge w:val="continue"/>
            <w:noWrap/>
            <w:vAlign w:val="center"/>
          </w:tcPr>
          <w:p w14:paraId="7A466EEF">
            <w:pPr>
              <w:pStyle w:val="1343"/>
            </w:pPr>
          </w:p>
        </w:tc>
        <w:tc>
          <w:tcPr>
            <w:tcW w:w="837" w:type="pct"/>
            <w:noWrap/>
            <w:vAlign w:val="center"/>
          </w:tcPr>
          <w:p w14:paraId="4E70A739">
            <w:pPr>
              <w:pStyle w:val="1343"/>
            </w:pPr>
            <w:r>
              <w:rPr>
                <w:rFonts w:hint="eastAsia"/>
              </w:rPr>
              <w:t>老湾</w:t>
            </w:r>
          </w:p>
        </w:tc>
        <w:tc>
          <w:tcPr>
            <w:tcW w:w="572" w:type="pct"/>
            <w:noWrap/>
            <w:vAlign w:val="center"/>
          </w:tcPr>
          <w:p w14:paraId="7657DF5C">
            <w:pPr>
              <w:pStyle w:val="1343"/>
            </w:pPr>
            <w:r>
              <w:rPr>
                <w:rFonts w:hint="eastAsia"/>
              </w:rPr>
              <w:t>112.8959</w:t>
            </w:r>
          </w:p>
        </w:tc>
        <w:tc>
          <w:tcPr>
            <w:tcW w:w="616" w:type="pct"/>
            <w:noWrap/>
            <w:vAlign w:val="center"/>
          </w:tcPr>
          <w:p w14:paraId="25A51EAF">
            <w:pPr>
              <w:pStyle w:val="1343"/>
            </w:pPr>
            <w:r>
              <w:rPr>
                <w:rFonts w:hint="eastAsia"/>
              </w:rPr>
              <w:t>26.4269</w:t>
            </w:r>
          </w:p>
        </w:tc>
        <w:tc>
          <w:tcPr>
            <w:tcW w:w="550" w:type="pct"/>
            <w:noWrap/>
            <w:vAlign w:val="center"/>
          </w:tcPr>
          <w:p w14:paraId="2DF8034A">
            <w:pPr>
              <w:pStyle w:val="1343"/>
            </w:pPr>
            <w:r>
              <w:rPr>
                <w:rFonts w:hint="eastAsia"/>
              </w:rPr>
              <w:t>2690</w:t>
            </w:r>
          </w:p>
        </w:tc>
        <w:tc>
          <w:tcPr>
            <w:tcW w:w="432" w:type="pct"/>
            <w:noWrap/>
            <w:vAlign w:val="center"/>
          </w:tcPr>
          <w:p w14:paraId="612D0C65">
            <w:pPr>
              <w:pStyle w:val="1343"/>
            </w:pPr>
            <w:r>
              <w:t>NW</w:t>
            </w:r>
          </w:p>
        </w:tc>
        <w:tc>
          <w:tcPr>
            <w:tcW w:w="631" w:type="pct"/>
            <w:noWrap/>
            <w:vAlign w:val="center"/>
          </w:tcPr>
          <w:p w14:paraId="1CE0681C">
            <w:pPr>
              <w:pStyle w:val="1343"/>
            </w:pPr>
            <w:r>
              <w:rPr>
                <w:rFonts w:hint="eastAsia"/>
              </w:rPr>
              <w:t>450人</w:t>
            </w:r>
          </w:p>
        </w:tc>
        <w:tc>
          <w:tcPr>
            <w:tcW w:w="366" w:type="pct"/>
            <w:vMerge w:val="continue"/>
            <w:noWrap/>
            <w:vAlign w:val="center"/>
          </w:tcPr>
          <w:p w14:paraId="031C3201">
            <w:pPr>
              <w:pStyle w:val="1343"/>
            </w:pPr>
          </w:p>
        </w:tc>
        <w:tc>
          <w:tcPr>
            <w:tcW w:w="464" w:type="pct"/>
            <w:vMerge w:val="continue"/>
            <w:vAlign w:val="center"/>
          </w:tcPr>
          <w:p w14:paraId="256B9ED8">
            <w:pPr>
              <w:pStyle w:val="1343"/>
            </w:pPr>
          </w:p>
        </w:tc>
      </w:tr>
      <w:tr w14:paraId="2C272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339BC901">
            <w:pPr>
              <w:pStyle w:val="1343"/>
              <w:numPr>
                <w:ilvl w:val="0"/>
                <w:numId w:val="24"/>
              </w:numPr>
            </w:pPr>
          </w:p>
        </w:tc>
        <w:tc>
          <w:tcPr>
            <w:tcW w:w="276" w:type="pct"/>
            <w:vMerge w:val="continue"/>
            <w:noWrap/>
            <w:vAlign w:val="center"/>
          </w:tcPr>
          <w:p w14:paraId="1AD3134F">
            <w:pPr>
              <w:pStyle w:val="1343"/>
            </w:pPr>
          </w:p>
        </w:tc>
        <w:tc>
          <w:tcPr>
            <w:tcW w:w="837" w:type="pct"/>
            <w:noWrap/>
            <w:vAlign w:val="center"/>
          </w:tcPr>
          <w:p w14:paraId="2895FD72">
            <w:pPr>
              <w:pStyle w:val="1343"/>
            </w:pPr>
            <w:r>
              <w:rPr>
                <w:rFonts w:hint="eastAsia"/>
              </w:rPr>
              <w:t>双洲铺</w:t>
            </w:r>
          </w:p>
        </w:tc>
        <w:tc>
          <w:tcPr>
            <w:tcW w:w="572" w:type="pct"/>
            <w:noWrap/>
            <w:vAlign w:val="center"/>
          </w:tcPr>
          <w:p w14:paraId="49E7EFAF">
            <w:pPr>
              <w:pStyle w:val="1343"/>
            </w:pPr>
            <w:r>
              <w:rPr>
                <w:rFonts w:hint="eastAsia"/>
              </w:rPr>
              <w:t>112.8968</w:t>
            </w:r>
          </w:p>
        </w:tc>
        <w:tc>
          <w:tcPr>
            <w:tcW w:w="616" w:type="pct"/>
            <w:noWrap/>
            <w:vAlign w:val="center"/>
          </w:tcPr>
          <w:p w14:paraId="59D2BE78">
            <w:pPr>
              <w:pStyle w:val="1343"/>
            </w:pPr>
            <w:r>
              <w:rPr>
                <w:rFonts w:hint="eastAsia"/>
              </w:rPr>
              <w:t>26.4284</w:t>
            </w:r>
          </w:p>
        </w:tc>
        <w:tc>
          <w:tcPr>
            <w:tcW w:w="550" w:type="pct"/>
            <w:noWrap/>
            <w:vAlign w:val="center"/>
          </w:tcPr>
          <w:p w14:paraId="6E10DDDD">
            <w:pPr>
              <w:pStyle w:val="1343"/>
            </w:pPr>
            <w:r>
              <w:rPr>
                <w:rFonts w:hint="eastAsia"/>
              </w:rPr>
              <w:t>2750</w:t>
            </w:r>
          </w:p>
        </w:tc>
        <w:tc>
          <w:tcPr>
            <w:tcW w:w="432" w:type="pct"/>
            <w:noWrap/>
            <w:vAlign w:val="center"/>
          </w:tcPr>
          <w:p w14:paraId="0716EE04">
            <w:pPr>
              <w:pStyle w:val="1343"/>
            </w:pPr>
            <w:r>
              <w:t>NW</w:t>
            </w:r>
          </w:p>
        </w:tc>
        <w:tc>
          <w:tcPr>
            <w:tcW w:w="631" w:type="pct"/>
            <w:noWrap/>
            <w:vAlign w:val="center"/>
          </w:tcPr>
          <w:p w14:paraId="7F6FB13B">
            <w:pPr>
              <w:pStyle w:val="1343"/>
            </w:pPr>
            <w:r>
              <w:rPr>
                <w:rFonts w:hint="eastAsia"/>
              </w:rPr>
              <w:t>370人</w:t>
            </w:r>
          </w:p>
        </w:tc>
        <w:tc>
          <w:tcPr>
            <w:tcW w:w="366" w:type="pct"/>
            <w:vMerge w:val="continue"/>
            <w:noWrap/>
            <w:vAlign w:val="center"/>
          </w:tcPr>
          <w:p w14:paraId="7BC67628">
            <w:pPr>
              <w:pStyle w:val="1343"/>
            </w:pPr>
          </w:p>
        </w:tc>
        <w:tc>
          <w:tcPr>
            <w:tcW w:w="464" w:type="pct"/>
            <w:vMerge w:val="continue"/>
            <w:vAlign w:val="center"/>
          </w:tcPr>
          <w:p w14:paraId="700A1D91">
            <w:pPr>
              <w:pStyle w:val="1343"/>
            </w:pPr>
          </w:p>
        </w:tc>
      </w:tr>
      <w:tr w14:paraId="2F262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2D69B397">
            <w:pPr>
              <w:pStyle w:val="1343"/>
              <w:numPr>
                <w:ilvl w:val="0"/>
                <w:numId w:val="24"/>
              </w:numPr>
            </w:pPr>
          </w:p>
        </w:tc>
        <w:tc>
          <w:tcPr>
            <w:tcW w:w="276" w:type="pct"/>
            <w:vMerge w:val="continue"/>
            <w:noWrap/>
            <w:vAlign w:val="center"/>
          </w:tcPr>
          <w:p w14:paraId="539FF88A">
            <w:pPr>
              <w:pStyle w:val="1343"/>
            </w:pPr>
          </w:p>
        </w:tc>
        <w:tc>
          <w:tcPr>
            <w:tcW w:w="837" w:type="pct"/>
            <w:noWrap/>
            <w:vAlign w:val="center"/>
          </w:tcPr>
          <w:p w14:paraId="727120E4">
            <w:pPr>
              <w:pStyle w:val="1343"/>
            </w:pPr>
            <w:r>
              <w:rPr>
                <w:rFonts w:hint="eastAsia"/>
              </w:rPr>
              <w:t>双洲村</w:t>
            </w:r>
          </w:p>
        </w:tc>
        <w:tc>
          <w:tcPr>
            <w:tcW w:w="572" w:type="pct"/>
            <w:noWrap/>
            <w:vAlign w:val="center"/>
          </w:tcPr>
          <w:p w14:paraId="7432DFC8">
            <w:pPr>
              <w:pStyle w:val="1343"/>
            </w:pPr>
            <w:r>
              <w:rPr>
                <w:rFonts w:hint="eastAsia"/>
              </w:rPr>
              <w:t>112.8955</w:t>
            </w:r>
          </w:p>
        </w:tc>
        <w:tc>
          <w:tcPr>
            <w:tcW w:w="616" w:type="pct"/>
            <w:noWrap/>
            <w:vAlign w:val="center"/>
          </w:tcPr>
          <w:p w14:paraId="2876F296">
            <w:pPr>
              <w:pStyle w:val="1343"/>
            </w:pPr>
            <w:r>
              <w:rPr>
                <w:rFonts w:hint="eastAsia"/>
              </w:rPr>
              <w:t>26.4240</w:t>
            </w:r>
          </w:p>
        </w:tc>
        <w:tc>
          <w:tcPr>
            <w:tcW w:w="550" w:type="pct"/>
            <w:noWrap/>
            <w:vAlign w:val="center"/>
          </w:tcPr>
          <w:p w14:paraId="0C54AFD4">
            <w:pPr>
              <w:pStyle w:val="1343"/>
            </w:pPr>
            <w:r>
              <w:rPr>
                <w:rFonts w:hint="eastAsia"/>
              </w:rPr>
              <w:t>2730</w:t>
            </w:r>
          </w:p>
        </w:tc>
        <w:tc>
          <w:tcPr>
            <w:tcW w:w="432" w:type="pct"/>
            <w:noWrap/>
            <w:vAlign w:val="center"/>
          </w:tcPr>
          <w:p w14:paraId="3EC28DD0">
            <w:pPr>
              <w:pStyle w:val="1343"/>
            </w:pPr>
            <w:r>
              <w:t>NW</w:t>
            </w:r>
          </w:p>
        </w:tc>
        <w:tc>
          <w:tcPr>
            <w:tcW w:w="631" w:type="pct"/>
            <w:noWrap/>
            <w:vAlign w:val="center"/>
          </w:tcPr>
          <w:p w14:paraId="41F7F628">
            <w:pPr>
              <w:pStyle w:val="1343"/>
            </w:pPr>
            <w:r>
              <w:rPr>
                <w:rFonts w:hint="eastAsia"/>
              </w:rPr>
              <w:t>110人</w:t>
            </w:r>
          </w:p>
        </w:tc>
        <w:tc>
          <w:tcPr>
            <w:tcW w:w="366" w:type="pct"/>
            <w:vMerge w:val="continue"/>
            <w:noWrap/>
            <w:vAlign w:val="center"/>
          </w:tcPr>
          <w:p w14:paraId="40AF52B4">
            <w:pPr>
              <w:pStyle w:val="1343"/>
            </w:pPr>
          </w:p>
        </w:tc>
        <w:tc>
          <w:tcPr>
            <w:tcW w:w="464" w:type="pct"/>
            <w:vMerge w:val="continue"/>
            <w:vAlign w:val="center"/>
          </w:tcPr>
          <w:p w14:paraId="5BBE4E4A">
            <w:pPr>
              <w:pStyle w:val="1343"/>
            </w:pPr>
          </w:p>
        </w:tc>
      </w:tr>
      <w:tr w14:paraId="65E12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2FD87F2E">
            <w:pPr>
              <w:pStyle w:val="1343"/>
              <w:numPr>
                <w:ilvl w:val="0"/>
                <w:numId w:val="24"/>
              </w:numPr>
            </w:pPr>
          </w:p>
        </w:tc>
        <w:tc>
          <w:tcPr>
            <w:tcW w:w="276" w:type="pct"/>
            <w:vMerge w:val="continue"/>
            <w:noWrap/>
            <w:vAlign w:val="center"/>
          </w:tcPr>
          <w:p w14:paraId="6F2363FF">
            <w:pPr>
              <w:pStyle w:val="1343"/>
            </w:pPr>
          </w:p>
        </w:tc>
        <w:tc>
          <w:tcPr>
            <w:tcW w:w="837" w:type="pct"/>
            <w:noWrap/>
            <w:vAlign w:val="center"/>
          </w:tcPr>
          <w:p w14:paraId="3AAC0855">
            <w:pPr>
              <w:pStyle w:val="1343"/>
            </w:pPr>
            <w:r>
              <w:rPr>
                <w:rFonts w:hint="eastAsia"/>
              </w:rPr>
              <w:t>石梓村</w:t>
            </w:r>
          </w:p>
        </w:tc>
        <w:tc>
          <w:tcPr>
            <w:tcW w:w="572" w:type="pct"/>
            <w:noWrap/>
            <w:vAlign w:val="center"/>
          </w:tcPr>
          <w:p w14:paraId="1D7A9EB6">
            <w:pPr>
              <w:pStyle w:val="1343"/>
            </w:pPr>
            <w:r>
              <w:rPr>
                <w:rFonts w:hint="eastAsia"/>
              </w:rPr>
              <w:t>112.9131</w:t>
            </w:r>
          </w:p>
        </w:tc>
        <w:tc>
          <w:tcPr>
            <w:tcW w:w="616" w:type="pct"/>
            <w:noWrap/>
            <w:vAlign w:val="center"/>
          </w:tcPr>
          <w:p w14:paraId="55A08B9C">
            <w:pPr>
              <w:pStyle w:val="1343"/>
            </w:pPr>
            <w:r>
              <w:rPr>
                <w:rFonts w:hint="eastAsia"/>
              </w:rPr>
              <w:t>26.4420</w:t>
            </w:r>
          </w:p>
        </w:tc>
        <w:tc>
          <w:tcPr>
            <w:tcW w:w="550" w:type="pct"/>
            <w:noWrap/>
            <w:vAlign w:val="center"/>
          </w:tcPr>
          <w:p w14:paraId="1BBC57F0">
            <w:pPr>
              <w:pStyle w:val="1343"/>
            </w:pPr>
            <w:r>
              <w:rPr>
                <w:rFonts w:hint="eastAsia"/>
              </w:rPr>
              <w:t>2830</w:t>
            </w:r>
          </w:p>
        </w:tc>
        <w:tc>
          <w:tcPr>
            <w:tcW w:w="432" w:type="pct"/>
            <w:noWrap/>
            <w:vAlign w:val="center"/>
          </w:tcPr>
          <w:p w14:paraId="7C39F9F7">
            <w:pPr>
              <w:pStyle w:val="1343"/>
            </w:pPr>
            <w:r>
              <w:t>NW</w:t>
            </w:r>
          </w:p>
        </w:tc>
        <w:tc>
          <w:tcPr>
            <w:tcW w:w="631" w:type="pct"/>
            <w:noWrap/>
            <w:vAlign w:val="center"/>
          </w:tcPr>
          <w:p w14:paraId="7F0D026A">
            <w:pPr>
              <w:pStyle w:val="1343"/>
            </w:pPr>
            <w:r>
              <w:rPr>
                <w:rFonts w:hint="eastAsia"/>
              </w:rPr>
              <w:t>95人</w:t>
            </w:r>
          </w:p>
        </w:tc>
        <w:tc>
          <w:tcPr>
            <w:tcW w:w="366" w:type="pct"/>
            <w:vMerge w:val="continue"/>
            <w:noWrap/>
            <w:vAlign w:val="center"/>
          </w:tcPr>
          <w:p w14:paraId="166D41DB">
            <w:pPr>
              <w:pStyle w:val="1343"/>
            </w:pPr>
          </w:p>
        </w:tc>
        <w:tc>
          <w:tcPr>
            <w:tcW w:w="464" w:type="pct"/>
            <w:vMerge w:val="continue"/>
            <w:vAlign w:val="center"/>
          </w:tcPr>
          <w:p w14:paraId="07D146B0">
            <w:pPr>
              <w:pStyle w:val="1343"/>
            </w:pPr>
          </w:p>
        </w:tc>
      </w:tr>
      <w:tr w14:paraId="018E9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5AFE0468">
            <w:pPr>
              <w:pStyle w:val="1343"/>
              <w:numPr>
                <w:ilvl w:val="0"/>
                <w:numId w:val="24"/>
              </w:numPr>
            </w:pPr>
          </w:p>
        </w:tc>
        <w:tc>
          <w:tcPr>
            <w:tcW w:w="276" w:type="pct"/>
            <w:vMerge w:val="continue"/>
            <w:noWrap/>
            <w:vAlign w:val="center"/>
          </w:tcPr>
          <w:p w14:paraId="505DC9E8">
            <w:pPr>
              <w:pStyle w:val="1343"/>
            </w:pPr>
          </w:p>
        </w:tc>
        <w:tc>
          <w:tcPr>
            <w:tcW w:w="837" w:type="pct"/>
            <w:noWrap/>
            <w:vAlign w:val="center"/>
          </w:tcPr>
          <w:p w14:paraId="4EF25BE7">
            <w:pPr>
              <w:pStyle w:val="1343"/>
            </w:pPr>
            <w:r>
              <w:rPr>
                <w:rFonts w:hint="eastAsia"/>
              </w:rPr>
              <w:t>竹市小学</w:t>
            </w:r>
          </w:p>
        </w:tc>
        <w:tc>
          <w:tcPr>
            <w:tcW w:w="572" w:type="pct"/>
            <w:noWrap/>
            <w:vAlign w:val="center"/>
          </w:tcPr>
          <w:p w14:paraId="3F62AB43">
            <w:pPr>
              <w:pStyle w:val="1343"/>
            </w:pPr>
            <w:r>
              <w:rPr>
                <w:rFonts w:hint="eastAsia"/>
              </w:rPr>
              <w:t>112.9350</w:t>
            </w:r>
          </w:p>
        </w:tc>
        <w:tc>
          <w:tcPr>
            <w:tcW w:w="616" w:type="pct"/>
            <w:noWrap/>
            <w:vAlign w:val="center"/>
          </w:tcPr>
          <w:p w14:paraId="7E1304BB">
            <w:pPr>
              <w:pStyle w:val="1343"/>
            </w:pPr>
            <w:r>
              <w:rPr>
                <w:rFonts w:hint="eastAsia"/>
              </w:rPr>
              <w:t>26.4206</w:t>
            </w:r>
          </w:p>
        </w:tc>
        <w:tc>
          <w:tcPr>
            <w:tcW w:w="550" w:type="pct"/>
            <w:noWrap/>
            <w:vAlign w:val="center"/>
          </w:tcPr>
          <w:p w14:paraId="36CDFDAB">
            <w:pPr>
              <w:pStyle w:val="1343"/>
            </w:pPr>
            <w:r>
              <w:rPr>
                <w:rFonts w:hint="eastAsia"/>
              </w:rPr>
              <w:t>1290</w:t>
            </w:r>
          </w:p>
        </w:tc>
        <w:tc>
          <w:tcPr>
            <w:tcW w:w="432" w:type="pct"/>
            <w:noWrap/>
            <w:vAlign w:val="center"/>
          </w:tcPr>
          <w:p w14:paraId="72BA2AF8">
            <w:pPr>
              <w:pStyle w:val="1343"/>
            </w:pPr>
            <w:r>
              <w:rPr>
                <w:rFonts w:hint="eastAsia"/>
              </w:rPr>
              <w:t>E</w:t>
            </w:r>
          </w:p>
        </w:tc>
        <w:tc>
          <w:tcPr>
            <w:tcW w:w="631" w:type="pct"/>
            <w:noWrap/>
            <w:vAlign w:val="center"/>
          </w:tcPr>
          <w:p w14:paraId="3699BEB5">
            <w:pPr>
              <w:pStyle w:val="1343"/>
            </w:pPr>
            <w:r>
              <w:t>160</w:t>
            </w:r>
            <w:r>
              <w:rPr>
                <w:rFonts w:hint="eastAsia"/>
              </w:rPr>
              <w:t>人</w:t>
            </w:r>
          </w:p>
        </w:tc>
        <w:tc>
          <w:tcPr>
            <w:tcW w:w="366" w:type="pct"/>
            <w:noWrap/>
            <w:vAlign w:val="center"/>
          </w:tcPr>
          <w:p w14:paraId="13E98447">
            <w:pPr>
              <w:pStyle w:val="1343"/>
            </w:pPr>
            <w:r>
              <w:rPr>
                <w:rFonts w:hint="eastAsia"/>
              </w:rPr>
              <w:t>学校</w:t>
            </w:r>
          </w:p>
        </w:tc>
        <w:tc>
          <w:tcPr>
            <w:tcW w:w="464" w:type="pct"/>
            <w:vMerge w:val="continue"/>
            <w:vAlign w:val="center"/>
          </w:tcPr>
          <w:p w14:paraId="3D06453C">
            <w:pPr>
              <w:pStyle w:val="1343"/>
            </w:pPr>
          </w:p>
        </w:tc>
      </w:tr>
      <w:tr w14:paraId="43C8E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3367D3F7">
            <w:pPr>
              <w:pStyle w:val="1343"/>
              <w:numPr>
                <w:ilvl w:val="0"/>
                <w:numId w:val="24"/>
              </w:numPr>
            </w:pPr>
          </w:p>
        </w:tc>
        <w:tc>
          <w:tcPr>
            <w:tcW w:w="276" w:type="pct"/>
            <w:vMerge w:val="restart"/>
            <w:noWrap/>
            <w:vAlign w:val="center"/>
          </w:tcPr>
          <w:p w14:paraId="48D08202">
            <w:pPr>
              <w:pStyle w:val="1343"/>
            </w:pPr>
            <w:r>
              <w:rPr>
                <w:rFonts w:hint="eastAsia"/>
              </w:rPr>
              <w:t>耒阳分输站</w:t>
            </w:r>
          </w:p>
        </w:tc>
        <w:tc>
          <w:tcPr>
            <w:tcW w:w="837" w:type="pct"/>
            <w:noWrap/>
            <w:vAlign w:val="center"/>
          </w:tcPr>
          <w:p w14:paraId="0E779079">
            <w:pPr>
              <w:pStyle w:val="1343"/>
            </w:pPr>
            <w:r>
              <w:rPr>
                <w:rFonts w:hint="eastAsia"/>
              </w:rPr>
              <w:t>资家湾</w:t>
            </w:r>
          </w:p>
        </w:tc>
        <w:tc>
          <w:tcPr>
            <w:tcW w:w="572" w:type="pct"/>
            <w:noWrap/>
            <w:vAlign w:val="center"/>
          </w:tcPr>
          <w:p w14:paraId="099D7C06">
            <w:pPr>
              <w:pStyle w:val="1343"/>
            </w:pPr>
            <w:r>
              <w:rPr>
                <w:rFonts w:hint="eastAsia"/>
              </w:rPr>
              <w:t>112.9286</w:t>
            </w:r>
          </w:p>
        </w:tc>
        <w:tc>
          <w:tcPr>
            <w:tcW w:w="616" w:type="pct"/>
            <w:noWrap/>
            <w:vAlign w:val="center"/>
          </w:tcPr>
          <w:p w14:paraId="3A8D7EC0">
            <w:pPr>
              <w:pStyle w:val="1343"/>
            </w:pPr>
            <w:r>
              <w:rPr>
                <w:rFonts w:hint="eastAsia"/>
              </w:rPr>
              <w:t>26.4153</w:t>
            </w:r>
          </w:p>
        </w:tc>
        <w:tc>
          <w:tcPr>
            <w:tcW w:w="550" w:type="pct"/>
            <w:noWrap/>
            <w:vAlign w:val="center"/>
          </w:tcPr>
          <w:p w14:paraId="0C6B7D92">
            <w:pPr>
              <w:pStyle w:val="1343"/>
            </w:pPr>
            <w:r>
              <w:rPr>
                <w:rFonts w:hint="eastAsia"/>
              </w:rPr>
              <w:t>290</w:t>
            </w:r>
          </w:p>
        </w:tc>
        <w:tc>
          <w:tcPr>
            <w:tcW w:w="432" w:type="pct"/>
            <w:noWrap/>
            <w:vAlign w:val="center"/>
          </w:tcPr>
          <w:p w14:paraId="58111973">
            <w:pPr>
              <w:pStyle w:val="1343"/>
            </w:pPr>
            <w:r>
              <w:rPr>
                <w:rFonts w:hint="eastAsia"/>
              </w:rPr>
              <w:t>N</w:t>
            </w:r>
          </w:p>
        </w:tc>
        <w:tc>
          <w:tcPr>
            <w:tcW w:w="631" w:type="pct"/>
            <w:noWrap/>
            <w:vAlign w:val="center"/>
          </w:tcPr>
          <w:p w14:paraId="0C557C56">
            <w:pPr>
              <w:pStyle w:val="1343"/>
            </w:pPr>
            <w:r>
              <w:rPr>
                <w:rFonts w:hint="eastAsia"/>
              </w:rPr>
              <w:t>85人</w:t>
            </w:r>
          </w:p>
        </w:tc>
        <w:tc>
          <w:tcPr>
            <w:tcW w:w="366" w:type="pct"/>
            <w:vMerge w:val="restart"/>
            <w:noWrap/>
            <w:vAlign w:val="center"/>
          </w:tcPr>
          <w:p w14:paraId="43CBAB5E">
            <w:pPr>
              <w:pStyle w:val="1343"/>
            </w:pPr>
            <w:r>
              <w:rPr>
                <w:rFonts w:hint="eastAsia"/>
              </w:rPr>
              <w:t>村庄</w:t>
            </w:r>
          </w:p>
        </w:tc>
        <w:tc>
          <w:tcPr>
            <w:tcW w:w="464" w:type="pct"/>
            <w:vMerge w:val="continue"/>
            <w:vAlign w:val="center"/>
          </w:tcPr>
          <w:p w14:paraId="31D3E7A0">
            <w:pPr>
              <w:pStyle w:val="1343"/>
            </w:pPr>
          </w:p>
        </w:tc>
      </w:tr>
      <w:tr w14:paraId="11579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28D0FDAD">
            <w:pPr>
              <w:pStyle w:val="1343"/>
              <w:numPr>
                <w:ilvl w:val="0"/>
                <w:numId w:val="24"/>
              </w:numPr>
            </w:pPr>
          </w:p>
        </w:tc>
        <w:tc>
          <w:tcPr>
            <w:tcW w:w="276" w:type="pct"/>
            <w:vMerge w:val="continue"/>
            <w:noWrap/>
            <w:vAlign w:val="center"/>
          </w:tcPr>
          <w:p w14:paraId="26436B98">
            <w:pPr>
              <w:pStyle w:val="1343"/>
            </w:pPr>
          </w:p>
        </w:tc>
        <w:tc>
          <w:tcPr>
            <w:tcW w:w="837" w:type="pct"/>
            <w:noWrap/>
            <w:vAlign w:val="center"/>
          </w:tcPr>
          <w:p w14:paraId="03D512C7">
            <w:pPr>
              <w:pStyle w:val="1343"/>
            </w:pPr>
            <w:r>
              <w:rPr>
                <w:rFonts w:hint="eastAsia"/>
              </w:rPr>
              <w:t>铜角湾</w:t>
            </w:r>
          </w:p>
        </w:tc>
        <w:tc>
          <w:tcPr>
            <w:tcW w:w="572" w:type="pct"/>
            <w:noWrap/>
            <w:vAlign w:val="center"/>
          </w:tcPr>
          <w:p w14:paraId="00744E75">
            <w:pPr>
              <w:pStyle w:val="1343"/>
            </w:pPr>
            <w:r>
              <w:rPr>
                <w:rFonts w:hint="eastAsia"/>
              </w:rPr>
              <w:t>112.9281</w:t>
            </w:r>
          </w:p>
        </w:tc>
        <w:tc>
          <w:tcPr>
            <w:tcW w:w="616" w:type="pct"/>
            <w:noWrap/>
            <w:vAlign w:val="center"/>
          </w:tcPr>
          <w:p w14:paraId="7C78553B">
            <w:pPr>
              <w:pStyle w:val="1343"/>
            </w:pPr>
            <w:r>
              <w:rPr>
                <w:rFonts w:hint="eastAsia"/>
              </w:rPr>
              <w:t>26.4115</w:t>
            </w:r>
          </w:p>
        </w:tc>
        <w:tc>
          <w:tcPr>
            <w:tcW w:w="550" w:type="pct"/>
            <w:noWrap/>
            <w:vAlign w:val="center"/>
          </w:tcPr>
          <w:p w14:paraId="738A980A">
            <w:pPr>
              <w:pStyle w:val="1343"/>
            </w:pPr>
            <w:r>
              <w:rPr>
                <w:rFonts w:hint="eastAsia"/>
              </w:rPr>
              <w:t>190</w:t>
            </w:r>
          </w:p>
        </w:tc>
        <w:tc>
          <w:tcPr>
            <w:tcW w:w="432" w:type="pct"/>
            <w:noWrap/>
            <w:vAlign w:val="center"/>
          </w:tcPr>
          <w:p w14:paraId="35DB8844">
            <w:pPr>
              <w:pStyle w:val="1343"/>
            </w:pPr>
            <w:r>
              <w:t>E</w:t>
            </w:r>
          </w:p>
        </w:tc>
        <w:tc>
          <w:tcPr>
            <w:tcW w:w="631" w:type="pct"/>
            <w:noWrap/>
            <w:vAlign w:val="center"/>
          </w:tcPr>
          <w:p w14:paraId="065056D0">
            <w:pPr>
              <w:pStyle w:val="1343"/>
            </w:pPr>
            <w:r>
              <w:rPr>
                <w:rFonts w:hint="eastAsia"/>
              </w:rPr>
              <w:t>130人</w:t>
            </w:r>
          </w:p>
        </w:tc>
        <w:tc>
          <w:tcPr>
            <w:tcW w:w="366" w:type="pct"/>
            <w:vMerge w:val="continue"/>
            <w:noWrap/>
            <w:vAlign w:val="center"/>
          </w:tcPr>
          <w:p w14:paraId="6CB28EFE">
            <w:pPr>
              <w:pStyle w:val="1343"/>
            </w:pPr>
          </w:p>
        </w:tc>
        <w:tc>
          <w:tcPr>
            <w:tcW w:w="464" w:type="pct"/>
            <w:vMerge w:val="continue"/>
            <w:vAlign w:val="center"/>
          </w:tcPr>
          <w:p w14:paraId="69946E78">
            <w:pPr>
              <w:pStyle w:val="1343"/>
            </w:pPr>
          </w:p>
        </w:tc>
      </w:tr>
      <w:tr w14:paraId="68912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64599647">
            <w:pPr>
              <w:pStyle w:val="1343"/>
              <w:numPr>
                <w:ilvl w:val="0"/>
                <w:numId w:val="24"/>
              </w:numPr>
            </w:pPr>
          </w:p>
        </w:tc>
        <w:tc>
          <w:tcPr>
            <w:tcW w:w="276" w:type="pct"/>
            <w:vMerge w:val="continue"/>
            <w:noWrap/>
            <w:vAlign w:val="center"/>
          </w:tcPr>
          <w:p w14:paraId="6F9DA639">
            <w:pPr>
              <w:pStyle w:val="1343"/>
            </w:pPr>
          </w:p>
        </w:tc>
        <w:tc>
          <w:tcPr>
            <w:tcW w:w="837" w:type="pct"/>
            <w:noWrap/>
            <w:vAlign w:val="center"/>
          </w:tcPr>
          <w:p w14:paraId="7F6E321E">
            <w:pPr>
              <w:pStyle w:val="1343"/>
            </w:pPr>
            <w:r>
              <w:rPr>
                <w:rFonts w:hint="eastAsia"/>
              </w:rPr>
              <w:t>兴竹村</w:t>
            </w:r>
          </w:p>
        </w:tc>
        <w:tc>
          <w:tcPr>
            <w:tcW w:w="572" w:type="pct"/>
            <w:noWrap/>
            <w:vAlign w:val="center"/>
          </w:tcPr>
          <w:p w14:paraId="39C65577">
            <w:pPr>
              <w:pStyle w:val="1343"/>
            </w:pPr>
            <w:r>
              <w:rPr>
                <w:rFonts w:hint="eastAsia"/>
              </w:rPr>
              <w:t>112.9322</w:t>
            </w:r>
          </w:p>
        </w:tc>
        <w:tc>
          <w:tcPr>
            <w:tcW w:w="616" w:type="pct"/>
            <w:noWrap/>
            <w:vAlign w:val="center"/>
          </w:tcPr>
          <w:p w14:paraId="0623F59B">
            <w:pPr>
              <w:pStyle w:val="1343"/>
            </w:pPr>
            <w:r>
              <w:rPr>
                <w:rFonts w:hint="eastAsia"/>
              </w:rPr>
              <w:t>26.4119</w:t>
            </w:r>
          </w:p>
        </w:tc>
        <w:tc>
          <w:tcPr>
            <w:tcW w:w="550" w:type="pct"/>
            <w:noWrap/>
            <w:vAlign w:val="center"/>
          </w:tcPr>
          <w:p w14:paraId="4317D431">
            <w:pPr>
              <w:pStyle w:val="1343"/>
            </w:pPr>
            <w:r>
              <w:rPr>
                <w:rFonts w:hint="eastAsia"/>
              </w:rPr>
              <w:t>650</w:t>
            </w:r>
          </w:p>
        </w:tc>
        <w:tc>
          <w:tcPr>
            <w:tcW w:w="432" w:type="pct"/>
            <w:noWrap/>
            <w:vAlign w:val="center"/>
          </w:tcPr>
          <w:p w14:paraId="0CA0EC40">
            <w:pPr>
              <w:pStyle w:val="1343"/>
            </w:pPr>
            <w:r>
              <w:t>E</w:t>
            </w:r>
          </w:p>
        </w:tc>
        <w:tc>
          <w:tcPr>
            <w:tcW w:w="631" w:type="pct"/>
            <w:noWrap/>
            <w:vAlign w:val="center"/>
          </w:tcPr>
          <w:p w14:paraId="5ADC4C81">
            <w:pPr>
              <w:pStyle w:val="1343"/>
            </w:pPr>
            <w:r>
              <w:rPr>
                <w:rFonts w:hint="eastAsia"/>
              </w:rPr>
              <w:t>60人</w:t>
            </w:r>
          </w:p>
        </w:tc>
        <w:tc>
          <w:tcPr>
            <w:tcW w:w="366" w:type="pct"/>
            <w:vMerge w:val="continue"/>
            <w:noWrap/>
            <w:vAlign w:val="center"/>
          </w:tcPr>
          <w:p w14:paraId="7D3217C4">
            <w:pPr>
              <w:pStyle w:val="1343"/>
            </w:pPr>
          </w:p>
        </w:tc>
        <w:tc>
          <w:tcPr>
            <w:tcW w:w="464" w:type="pct"/>
            <w:vMerge w:val="continue"/>
            <w:vAlign w:val="center"/>
          </w:tcPr>
          <w:p w14:paraId="64BBB660">
            <w:pPr>
              <w:pStyle w:val="1343"/>
            </w:pPr>
          </w:p>
        </w:tc>
      </w:tr>
      <w:tr w14:paraId="0AEF1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3035F100">
            <w:pPr>
              <w:pStyle w:val="1343"/>
              <w:numPr>
                <w:ilvl w:val="0"/>
                <w:numId w:val="24"/>
              </w:numPr>
            </w:pPr>
          </w:p>
        </w:tc>
        <w:tc>
          <w:tcPr>
            <w:tcW w:w="276" w:type="pct"/>
            <w:vMerge w:val="continue"/>
            <w:noWrap/>
            <w:vAlign w:val="center"/>
          </w:tcPr>
          <w:p w14:paraId="131453DB">
            <w:pPr>
              <w:pStyle w:val="1343"/>
            </w:pPr>
          </w:p>
        </w:tc>
        <w:tc>
          <w:tcPr>
            <w:tcW w:w="837" w:type="pct"/>
            <w:noWrap/>
            <w:vAlign w:val="center"/>
          </w:tcPr>
          <w:p w14:paraId="3C7F87A5">
            <w:pPr>
              <w:pStyle w:val="1343"/>
            </w:pPr>
            <w:r>
              <w:rPr>
                <w:rFonts w:hint="eastAsia"/>
              </w:rPr>
              <w:t>阳光村</w:t>
            </w:r>
          </w:p>
        </w:tc>
        <w:tc>
          <w:tcPr>
            <w:tcW w:w="572" w:type="pct"/>
            <w:noWrap/>
            <w:vAlign w:val="center"/>
          </w:tcPr>
          <w:p w14:paraId="22F55E35">
            <w:pPr>
              <w:pStyle w:val="1343"/>
            </w:pPr>
            <w:r>
              <w:rPr>
                <w:rFonts w:hint="eastAsia"/>
              </w:rPr>
              <w:t>112.9326</w:t>
            </w:r>
          </w:p>
        </w:tc>
        <w:tc>
          <w:tcPr>
            <w:tcW w:w="616" w:type="pct"/>
            <w:noWrap/>
            <w:vAlign w:val="center"/>
          </w:tcPr>
          <w:p w14:paraId="08A0A5BA">
            <w:pPr>
              <w:pStyle w:val="1343"/>
            </w:pPr>
            <w:r>
              <w:rPr>
                <w:rFonts w:hint="eastAsia"/>
              </w:rPr>
              <w:t>26.4136</w:t>
            </w:r>
          </w:p>
        </w:tc>
        <w:tc>
          <w:tcPr>
            <w:tcW w:w="550" w:type="pct"/>
            <w:noWrap/>
            <w:vAlign w:val="center"/>
          </w:tcPr>
          <w:p w14:paraId="2DB2FA40">
            <w:pPr>
              <w:pStyle w:val="1343"/>
            </w:pPr>
            <w:r>
              <w:rPr>
                <w:rFonts w:hint="eastAsia"/>
              </w:rPr>
              <w:t>640</w:t>
            </w:r>
          </w:p>
        </w:tc>
        <w:tc>
          <w:tcPr>
            <w:tcW w:w="432" w:type="pct"/>
            <w:noWrap/>
            <w:vAlign w:val="center"/>
          </w:tcPr>
          <w:p w14:paraId="5E8DA3E7">
            <w:pPr>
              <w:pStyle w:val="1343"/>
            </w:pPr>
            <w:r>
              <w:t>E</w:t>
            </w:r>
          </w:p>
        </w:tc>
        <w:tc>
          <w:tcPr>
            <w:tcW w:w="631" w:type="pct"/>
            <w:noWrap/>
            <w:vAlign w:val="center"/>
          </w:tcPr>
          <w:p w14:paraId="325514CA">
            <w:pPr>
              <w:pStyle w:val="1343"/>
            </w:pPr>
            <w:r>
              <w:rPr>
                <w:rFonts w:hint="eastAsia"/>
              </w:rPr>
              <w:t>70人</w:t>
            </w:r>
          </w:p>
        </w:tc>
        <w:tc>
          <w:tcPr>
            <w:tcW w:w="366" w:type="pct"/>
            <w:vMerge w:val="continue"/>
            <w:noWrap/>
            <w:vAlign w:val="center"/>
          </w:tcPr>
          <w:p w14:paraId="65A6723F">
            <w:pPr>
              <w:pStyle w:val="1343"/>
            </w:pPr>
          </w:p>
        </w:tc>
        <w:tc>
          <w:tcPr>
            <w:tcW w:w="464" w:type="pct"/>
            <w:vMerge w:val="continue"/>
            <w:vAlign w:val="center"/>
          </w:tcPr>
          <w:p w14:paraId="1787AB90">
            <w:pPr>
              <w:pStyle w:val="1343"/>
            </w:pPr>
          </w:p>
        </w:tc>
      </w:tr>
      <w:tr w14:paraId="58D95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5166A816">
            <w:pPr>
              <w:pStyle w:val="1343"/>
              <w:numPr>
                <w:ilvl w:val="0"/>
                <w:numId w:val="24"/>
              </w:numPr>
            </w:pPr>
          </w:p>
        </w:tc>
        <w:tc>
          <w:tcPr>
            <w:tcW w:w="276" w:type="pct"/>
            <w:vMerge w:val="continue"/>
            <w:noWrap/>
            <w:vAlign w:val="center"/>
          </w:tcPr>
          <w:p w14:paraId="562896A1">
            <w:pPr>
              <w:pStyle w:val="1343"/>
            </w:pPr>
          </w:p>
        </w:tc>
        <w:tc>
          <w:tcPr>
            <w:tcW w:w="837" w:type="pct"/>
            <w:noWrap/>
            <w:vAlign w:val="center"/>
          </w:tcPr>
          <w:p w14:paraId="5BDBE1E4">
            <w:pPr>
              <w:pStyle w:val="1343"/>
            </w:pPr>
            <w:r>
              <w:rPr>
                <w:rFonts w:hint="eastAsia"/>
              </w:rPr>
              <w:t>白茅冲</w:t>
            </w:r>
          </w:p>
        </w:tc>
        <w:tc>
          <w:tcPr>
            <w:tcW w:w="572" w:type="pct"/>
            <w:noWrap/>
            <w:vAlign w:val="center"/>
          </w:tcPr>
          <w:p w14:paraId="4799DD64">
            <w:pPr>
              <w:pStyle w:val="1343"/>
            </w:pPr>
            <w:r>
              <w:rPr>
                <w:rFonts w:hint="eastAsia"/>
              </w:rPr>
              <w:t>112.9369</w:t>
            </w:r>
          </w:p>
        </w:tc>
        <w:tc>
          <w:tcPr>
            <w:tcW w:w="616" w:type="pct"/>
            <w:noWrap/>
            <w:vAlign w:val="center"/>
          </w:tcPr>
          <w:p w14:paraId="2A66981F">
            <w:pPr>
              <w:pStyle w:val="1343"/>
            </w:pPr>
            <w:r>
              <w:rPr>
                <w:rFonts w:hint="eastAsia"/>
              </w:rPr>
              <w:t>26.4122</w:t>
            </w:r>
          </w:p>
        </w:tc>
        <w:tc>
          <w:tcPr>
            <w:tcW w:w="550" w:type="pct"/>
            <w:noWrap/>
            <w:vAlign w:val="center"/>
          </w:tcPr>
          <w:p w14:paraId="5EDE2071">
            <w:pPr>
              <w:pStyle w:val="1343"/>
            </w:pPr>
            <w:r>
              <w:rPr>
                <w:rFonts w:hint="eastAsia"/>
              </w:rPr>
              <w:t>1100</w:t>
            </w:r>
          </w:p>
        </w:tc>
        <w:tc>
          <w:tcPr>
            <w:tcW w:w="432" w:type="pct"/>
            <w:noWrap/>
            <w:vAlign w:val="center"/>
          </w:tcPr>
          <w:p w14:paraId="624D5425">
            <w:pPr>
              <w:pStyle w:val="1343"/>
            </w:pPr>
            <w:r>
              <w:t>E</w:t>
            </w:r>
          </w:p>
        </w:tc>
        <w:tc>
          <w:tcPr>
            <w:tcW w:w="631" w:type="pct"/>
            <w:noWrap/>
            <w:vAlign w:val="center"/>
          </w:tcPr>
          <w:p w14:paraId="20C0ACD4">
            <w:pPr>
              <w:pStyle w:val="1343"/>
            </w:pPr>
            <w:r>
              <w:rPr>
                <w:rFonts w:hint="eastAsia"/>
              </w:rPr>
              <w:t>90人</w:t>
            </w:r>
          </w:p>
        </w:tc>
        <w:tc>
          <w:tcPr>
            <w:tcW w:w="366" w:type="pct"/>
            <w:vMerge w:val="continue"/>
            <w:noWrap/>
            <w:vAlign w:val="center"/>
          </w:tcPr>
          <w:p w14:paraId="5642191F">
            <w:pPr>
              <w:pStyle w:val="1343"/>
            </w:pPr>
          </w:p>
        </w:tc>
        <w:tc>
          <w:tcPr>
            <w:tcW w:w="464" w:type="pct"/>
            <w:vMerge w:val="continue"/>
            <w:vAlign w:val="center"/>
          </w:tcPr>
          <w:p w14:paraId="486A6287">
            <w:pPr>
              <w:pStyle w:val="1343"/>
            </w:pPr>
          </w:p>
        </w:tc>
      </w:tr>
      <w:tr w14:paraId="2B122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7F449ECE">
            <w:pPr>
              <w:pStyle w:val="1343"/>
              <w:numPr>
                <w:ilvl w:val="0"/>
                <w:numId w:val="24"/>
              </w:numPr>
            </w:pPr>
          </w:p>
        </w:tc>
        <w:tc>
          <w:tcPr>
            <w:tcW w:w="276" w:type="pct"/>
            <w:vMerge w:val="continue"/>
            <w:noWrap/>
            <w:vAlign w:val="center"/>
          </w:tcPr>
          <w:p w14:paraId="750E0F0C">
            <w:pPr>
              <w:pStyle w:val="1343"/>
            </w:pPr>
          </w:p>
        </w:tc>
        <w:tc>
          <w:tcPr>
            <w:tcW w:w="837" w:type="pct"/>
            <w:noWrap/>
            <w:vAlign w:val="center"/>
          </w:tcPr>
          <w:p w14:paraId="26C12F0C">
            <w:pPr>
              <w:pStyle w:val="1343"/>
            </w:pPr>
            <w:r>
              <w:rPr>
                <w:rFonts w:hint="eastAsia"/>
              </w:rPr>
              <w:t>双家冲</w:t>
            </w:r>
          </w:p>
        </w:tc>
        <w:tc>
          <w:tcPr>
            <w:tcW w:w="572" w:type="pct"/>
            <w:noWrap/>
            <w:vAlign w:val="center"/>
          </w:tcPr>
          <w:p w14:paraId="6FC20D48">
            <w:pPr>
              <w:pStyle w:val="1343"/>
            </w:pPr>
            <w:r>
              <w:rPr>
                <w:rFonts w:hint="eastAsia"/>
              </w:rPr>
              <w:t>112.9446</w:t>
            </w:r>
          </w:p>
        </w:tc>
        <w:tc>
          <w:tcPr>
            <w:tcW w:w="616" w:type="pct"/>
            <w:noWrap/>
            <w:vAlign w:val="center"/>
          </w:tcPr>
          <w:p w14:paraId="2968D569">
            <w:pPr>
              <w:pStyle w:val="1343"/>
            </w:pPr>
            <w:r>
              <w:rPr>
                <w:rFonts w:hint="eastAsia"/>
              </w:rPr>
              <w:t>26.4122</w:t>
            </w:r>
          </w:p>
        </w:tc>
        <w:tc>
          <w:tcPr>
            <w:tcW w:w="550" w:type="pct"/>
            <w:noWrap/>
            <w:vAlign w:val="center"/>
          </w:tcPr>
          <w:p w14:paraId="1586FC86">
            <w:pPr>
              <w:pStyle w:val="1343"/>
            </w:pPr>
            <w:r>
              <w:rPr>
                <w:rFonts w:hint="eastAsia"/>
              </w:rPr>
              <w:t>1850</w:t>
            </w:r>
          </w:p>
        </w:tc>
        <w:tc>
          <w:tcPr>
            <w:tcW w:w="432" w:type="pct"/>
            <w:noWrap/>
            <w:vAlign w:val="center"/>
          </w:tcPr>
          <w:p w14:paraId="3ACD2BE4">
            <w:pPr>
              <w:pStyle w:val="1343"/>
            </w:pPr>
            <w:r>
              <w:t>E</w:t>
            </w:r>
          </w:p>
        </w:tc>
        <w:tc>
          <w:tcPr>
            <w:tcW w:w="631" w:type="pct"/>
            <w:noWrap/>
            <w:vAlign w:val="center"/>
          </w:tcPr>
          <w:p w14:paraId="773F91CC">
            <w:pPr>
              <w:pStyle w:val="1343"/>
            </w:pPr>
            <w:r>
              <w:rPr>
                <w:rFonts w:hint="eastAsia"/>
              </w:rPr>
              <w:t>70人</w:t>
            </w:r>
          </w:p>
        </w:tc>
        <w:tc>
          <w:tcPr>
            <w:tcW w:w="366" w:type="pct"/>
            <w:vMerge w:val="continue"/>
            <w:noWrap/>
            <w:vAlign w:val="center"/>
          </w:tcPr>
          <w:p w14:paraId="560C37E7">
            <w:pPr>
              <w:pStyle w:val="1343"/>
            </w:pPr>
          </w:p>
        </w:tc>
        <w:tc>
          <w:tcPr>
            <w:tcW w:w="464" w:type="pct"/>
            <w:vMerge w:val="continue"/>
            <w:vAlign w:val="center"/>
          </w:tcPr>
          <w:p w14:paraId="72F38133">
            <w:pPr>
              <w:pStyle w:val="1343"/>
            </w:pPr>
          </w:p>
        </w:tc>
      </w:tr>
      <w:tr w14:paraId="590F0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4F4B73B5">
            <w:pPr>
              <w:pStyle w:val="1343"/>
              <w:numPr>
                <w:ilvl w:val="0"/>
                <w:numId w:val="24"/>
              </w:numPr>
            </w:pPr>
          </w:p>
        </w:tc>
        <w:tc>
          <w:tcPr>
            <w:tcW w:w="276" w:type="pct"/>
            <w:vMerge w:val="continue"/>
            <w:noWrap/>
            <w:vAlign w:val="center"/>
          </w:tcPr>
          <w:p w14:paraId="2730B433">
            <w:pPr>
              <w:pStyle w:val="1343"/>
            </w:pPr>
          </w:p>
        </w:tc>
        <w:tc>
          <w:tcPr>
            <w:tcW w:w="837" w:type="pct"/>
            <w:noWrap/>
            <w:vAlign w:val="center"/>
          </w:tcPr>
          <w:p w14:paraId="0B4F8984">
            <w:pPr>
              <w:pStyle w:val="1343"/>
            </w:pPr>
            <w:r>
              <w:rPr>
                <w:rFonts w:hint="eastAsia"/>
              </w:rPr>
              <w:t>王家烂屋</w:t>
            </w:r>
          </w:p>
        </w:tc>
        <w:tc>
          <w:tcPr>
            <w:tcW w:w="572" w:type="pct"/>
            <w:noWrap/>
            <w:vAlign w:val="center"/>
          </w:tcPr>
          <w:p w14:paraId="4E651140">
            <w:pPr>
              <w:pStyle w:val="1343"/>
            </w:pPr>
            <w:r>
              <w:rPr>
                <w:rFonts w:hint="eastAsia"/>
              </w:rPr>
              <w:t>112.9326</w:t>
            </w:r>
          </w:p>
        </w:tc>
        <w:tc>
          <w:tcPr>
            <w:tcW w:w="616" w:type="pct"/>
            <w:noWrap/>
            <w:vAlign w:val="center"/>
          </w:tcPr>
          <w:p w14:paraId="4449AF4F">
            <w:pPr>
              <w:pStyle w:val="1343"/>
            </w:pPr>
            <w:r>
              <w:rPr>
                <w:rFonts w:hint="eastAsia"/>
              </w:rPr>
              <w:t>26.4096</w:t>
            </w:r>
          </w:p>
        </w:tc>
        <w:tc>
          <w:tcPr>
            <w:tcW w:w="550" w:type="pct"/>
            <w:noWrap/>
            <w:vAlign w:val="center"/>
          </w:tcPr>
          <w:p w14:paraId="44254DDD">
            <w:pPr>
              <w:pStyle w:val="1343"/>
            </w:pPr>
            <w:r>
              <w:rPr>
                <w:rFonts w:hint="eastAsia"/>
              </w:rPr>
              <w:t>720</w:t>
            </w:r>
          </w:p>
        </w:tc>
        <w:tc>
          <w:tcPr>
            <w:tcW w:w="432" w:type="pct"/>
            <w:noWrap/>
            <w:vAlign w:val="center"/>
          </w:tcPr>
          <w:p w14:paraId="0B0BE5BC">
            <w:pPr>
              <w:pStyle w:val="1343"/>
            </w:pPr>
            <w:r>
              <w:t>SE</w:t>
            </w:r>
          </w:p>
        </w:tc>
        <w:tc>
          <w:tcPr>
            <w:tcW w:w="631" w:type="pct"/>
            <w:noWrap/>
            <w:vAlign w:val="center"/>
          </w:tcPr>
          <w:p w14:paraId="44E8E2F0">
            <w:pPr>
              <w:pStyle w:val="1343"/>
            </w:pPr>
            <w:r>
              <w:rPr>
                <w:rFonts w:hint="eastAsia"/>
              </w:rPr>
              <w:t>55人</w:t>
            </w:r>
          </w:p>
        </w:tc>
        <w:tc>
          <w:tcPr>
            <w:tcW w:w="366" w:type="pct"/>
            <w:vMerge w:val="continue"/>
            <w:noWrap/>
            <w:vAlign w:val="center"/>
          </w:tcPr>
          <w:p w14:paraId="1824A0D1">
            <w:pPr>
              <w:pStyle w:val="1343"/>
            </w:pPr>
          </w:p>
        </w:tc>
        <w:tc>
          <w:tcPr>
            <w:tcW w:w="464" w:type="pct"/>
            <w:vMerge w:val="continue"/>
            <w:vAlign w:val="center"/>
          </w:tcPr>
          <w:p w14:paraId="5AFCE194">
            <w:pPr>
              <w:pStyle w:val="1343"/>
            </w:pPr>
          </w:p>
        </w:tc>
      </w:tr>
      <w:tr w14:paraId="0717E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7A4E92A8">
            <w:pPr>
              <w:pStyle w:val="1343"/>
              <w:numPr>
                <w:ilvl w:val="0"/>
                <w:numId w:val="24"/>
              </w:numPr>
            </w:pPr>
          </w:p>
        </w:tc>
        <w:tc>
          <w:tcPr>
            <w:tcW w:w="276" w:type="pct"/>
            <w:vMerge w:val="continue"/>
            <w:noWrap/>
            <w:vAlign w:val="center"/>
          </w:tcPr>
          <w:p w14:paraId="54AE5EE5">
            <w:pPr>
              <w:pStyle w:val="1343"/>
            </w:pPr>
          </w:p>
        </w:tc>
        <w:tc>
          <w:tcPr>
            <w:tcW w:w="837" w:type="pct"/>
            <w:noWrap/>
            <w:vAlign w:val="center"/>
          </w:tcPr>
          <w:p w14:paraId="0E73F179">
            <w:pPr>
              <w:pStyle w:val="1343"/>
            </w:pPr>
            <w:r>
              <w:rPr>
                <w:rFonts w:hint="eastAsia"/>
              </w:rPr>
              <w:t>曾家</w:t>
            </w:r>
          </w:p>
        </w:tc>
        <w:tc>
          <w:tcPr>
            <w:tcW w:w="572" w:type="pct"/>
            <w:noWrap/>
            <w:vAlign w:val="center"/>
          </w:tcPr>
          <w:p w14:paraId="363313F0">
            <w:pPr>
              <w:pStyle w:val="1343"/>
            </w:pPr>
            <w:r>
              <w:rPr>
                <w:rFonts w:hint="eastAsia"/>
              </w:rPr>
              <w:t>112.9269</w:t>
            </w:r>
          </w:p>
        </w:tc>
        <w:tc>
          <w:tcPr>
            <w:tcW w:w="616" w:type="pct"/>
            <w:noWrap/>
            <w:vAlign w:val="center"/>
          </w:tcPr>
          <w:p w14:paraId="1B348F1D">
            <w:pPr>
              <w:pStyle w:val="1343"/>
            </w:pPr>
            <w:r>
              <w:rPr>
                <w:rFonts w:hint="eastAsia"/>
              </w:rPr>
              <w:t>26.4086</w:t>
            </w:r>
          </w:p>
        </w:tc>
        <w:tc>
          <w:tcPr>
            <w:tcW w:w="550" w:type="pct"/>
            <w:noWrap/>
            <w:vAlign w:val="center"/>
          </w:tcPr>
          <w:p w14:paraId="2A91E507">
            <w:pPr>
              <w:pStyle w:val="1343"/>
            </w:pPr>
            <w:r>
              <w:rPr>
                <w:rFonts w:hint="eastAsia"/>
              </w:rPr>
              <w:t>340</w:t>
            </w:r>
          </w:p>
        </w:tc>
        <w:tc>
          <w:tcPr>
            <w:tcW w:w="432" w:type="pct"/>
            <w:noWrap/>
            <w:vAlign w:val="center"/>
          </w:tcPr>
          <w:p w14:paraId="5DF7A386">
            <w:pPr>
              <w:pStyle w:val="1343"/>
            </w:pPr>
            <w:r>
              <w:t>SE</w:t>
            </w:r>
          </w:p>
        </w:tc>
        <w:tc>
          <w:tcPr>
            <w:tcW w:w="631" w:type="pct"/>
            <w:noWrap/>
            <w:vAlign w:val="center"/>
          </w:tcPr>
          <w:p w14:paraId="74205D0E">
            <w:pPr>
              <w:pStyle w:val="1343"/>
            </w:pPr>
            <w:r>
              <w:rPr>
                <w:rFonts w:hint="eastAsia"/>
              </w:rPr>
              <w:t>110人</w:t>
            </w:r>
          </w:p>
        </w:tc>
        <w:tc>
          <w:tcPr>
            <w:tcW w:w="366" w:type="pct"/>
            <w:vMerge w:val="continue"/>
            <w:noWrap/>
            <w:vAlign w:val="center"/>
          </w:tcPr>
          <w:p w14:paraId="2F5990F7">
            <w:pPr>
              <w:pStyle w:val="1343"/>
            </w:pPr>
          </w:p>
        </w:tc>
        <w:tc>
          <w:tcPr>
            <w:tcW w:w="464" w:type="pct"/>
            <w:vMerge w:val="continue"/>
            <w:vAlign w:val="center"/>
          </w:tcPr>
          <w:p w14:paraId="776A720C">
            <w:pPr>
              <w:pStyle w:val="1343"/>
            </w:pPr>
          </w:p>
        </w:tc>
      </w:tr>
      <w:tr w14:paraId="02D21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26E343D4">
            <w:pPr>
              <w:pStyle w:val="1343"/>
              <w:numPr>
                <w:ilvl w:val="0"/>
                <w:numId w:val="24"/>
              </w:numPr>
            </w:pPr>
          </w:p>
        </w:tc>
        <w:tc>
          <w:tcPr>
            <w:tcW w:w="276" w:type="pct"/>
            <w:vMerge w:val="continue"/>
            <w:noWrap/>
            <w:vAlign w:val="center"/>
          </w:tcPr>
          <w:p w14:paraId="525A4B38">
            <w:pPr>
              <w:pStyle w:val="1343"/>
            </w:pPr>
          </w:p>
        </w:tc>
        <w:tc>
          <w:tcPr>
            <w:tcW w:w="837" w:type="pct"/>
            <w:noWrap/>
            <w:vAlign w:val="center"/>
          </w:tcPr>
          <w:p w14:paraId="69F14461">
            <w:pPr>
              <w:pStyle w:val="1343"/>
            </w:pPr>
            <w:r>
              <w:rPr>
                <w:rFonts w:hint="eastAsia"/>
              </w:rPr>
              <w:t>下朱家村</w:t>
            </w:r>
          </w:p>
        </w:tc>
        <w:tc>
          <w:tcPr>
            <w:tcW w:w="572" w:type="pct"/>
            <w:noWrap/>
            <w:vAlign w:val="center"/>
          </w:tcPr>
          <w:p w14:paraId="74F68C48">
            <w:pPr>
              <w:pStyle w:val="1343"/>
            </w:pPr>
            <w:r>
              <w:rPr>
                <w:rFonts w:hint="eastAsia"/>
              </w:rPr>
              <w:t>112.9297</w:t>
            </w:r>
          </w:p>
        </w:tc>
        <w:tc>
          <w:tcPr>
            <w:tcW w:w="616" w:type="pct"/>
            <w:noWrap/>
            <w:vAlign w:val="center"/>
          </w:tcPr>
          <w:p w14:paraId="010505D6">
            <w:pPr>
              <w:pStyle w:val="1343"/>
            </w:pPr>
            <w:r>
              <w:rPr>
                <w:rFonts w:hint="eastAsia"/>
              </w:rPr>
              <w:t>26.4066</w:t>
            </w:r>
          </w:p>
        </w:tc>
        <w:tc>
          <w:tcPr>
            <w:tcW w:w="550" w:type="pct"/>
            <w:noWrap/>
            <w:vAlign w:val="center"/>
          </w:tcPr>
          <w:p w14:paraId="68239AB3">
            <w:pPr>
              <w:pStyle w:val="1343"/>
            </w:pPr>
            <w:r>
              <w:rPr>
                <w:rFonts w:hint="eastAsia"/>
              </w:rPr>
              <w:t>600</w:t>
            </w:r>
          </w:p>
        </w:tc>
        <w:tc>
          <w:tcPr>
            <w:tcW w:w="432" w:type="pct"/>
            <w:noWrap/>
            <w:vAlign w:val="center"/>
          </w:tcPr>
          <w:p w14:paraId="0BC146CC">
            <w:pPr>
              <w:pStyle w:val="1343"/>
            </w:pPr>
            <w:r>
              <w:t>SE</w:t>
            </w:r>
          </w:p>
        </w:tc>
        <w:tc>
          <w:tcPr>
            <w:tcW w:w="631" w:type="pct"/>
            <w:noWrap/>
            <w:vAlign w:val="center"/>
          </w:tcPr>
          <w:p w14:paraId="1858A435">
            <w:pPr>
              <w:pStyle w:val="1343"/>
            </w:pPr>
            <w:r>
              <w:rPr>
                <w:rFonts w:hint="eastAsia"/>
              </w:rPr>
              <w:t>75人</w:t>
            </w:r>
          </w:p>
        </w:tc>
        <w:tc>
          <w:tcPr>
            <w:tcW w:w="366" w:type="pct"/>
            <w:vMerge w:val="continue"/>
            <w:noWrap/>
            <w:vAlign w:val="center"/>
          </w:tcPr>
          <w:p w14:paraId="3371B94B">
            <w:pPr>
              <w:pStyle w:val="1343"/>
            </w:pPr>
          </w:p>
        </w:tc>
        <w:tc>
          <w:tcPr>
            <w:tcW w:w="464" w:type="pct"/>
            <w:vMerge w:val="continue"/>
            <w:vAlign w:val="center"/>
          </w:tcPr>
          <w:p w14:paraId="2A54642D">
            <w:pPr>
              <w:pStyle w:val="1343"/>
            </w:pPr>
          </w:p>
        </w:tc>
      </w:tr>
      <w:tr w14:paraId="4E88D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5FF9ADD7">
            <w:pPr>
              <w:pStyle w:val="1343"/>
              <w:numPr>
                <w:ilvl w:val="0"/>
                <w:numId w:val="24"/>
              </w:numPr>
            </w:pPr>
          </w:p>
        </w:tc>
        <w:tc>
          <w:tcPr>
            <w:tcW w:w="276" w:type="pct"/>
            <w:vMerge w:val="continue"/>
            <w:noWrap/>
            <w:vAlign w:val="center"/>
          </w:tcPr>
          <w:p w14:paraId="198C538A">
            <w:pPr>
              <w:pStyle w:val="1343"/>
            </w:pPr>
          </w:p>
        </w:tc>
        <w:tc>
          <w:tcPr>
            <w:tcW w:w="837" w:type="pct"/>
            <w:noWrap/>
            <w:vAlign w:val="center"/>
          </w:tcPr>
          <w:p w14:paraId="59BF4CAC">
            <w:pPr>
              <w:pStyle w:val="1343"/>
            </w:pPr>
            <w:r>
              <w:rPr>
                <w:rFonts w:hint="eastAsia"/>
              </w:rPr>
              <w:t>段家湾</w:t>
            </w:r>
          </w:p>
        </w:tc>
        <w:tc>
          <w:tcPr>
            <w:tcW w:w="572" w:type="pct"/>
            <w:noWrap/>
            <w:vAlign w:val="center"/>
          </w:tcPr>
          <w:p w14:paraId="2FCBDC3D">
            <w:pPr>
              <w:pStyle w:val="1343"/>
            </w:pPr>
            <w:r>
              <w:rPr>
                <w:rFonts w:hint="eastAsia"/>
              </w:rPr>
              <w:t>112.9345</w:t>
            </w:r>
          </w:p>
        </w:tc>
        <w:tc>
          <w:tcPr>
            <w:tcW w:w="616" w:type="pct"/>
            <w:noWrap/>
            <w:vAlign w:val="center"/>
          </w:tcPr>
          <w:p w14:paraId="168630DD">
            <w:pPr>
              <w:pStyle w:val="1343"/>
            </w:pPr>
            <w:r>
              <w:rPr>
                <w:rFonts w:hint="eastAsia"/>
              </w:rPr>
              <w:t>26.4028</w:t>
            </w:r>
          </w:p>
        </w:tc>
        <w:tc>
          <w:tcPr>
            <w:tcW w:w="550" w:type="pct"/>
            <w:noWrap/>
            <w:vAlign w:val="center"/>
          </w:tcPr>
          <w:p w14:paraId="2E2882E3">
            <w:pPr>
              <w:pStyle w:val="1343"/>
            </w:pPr>
            <w:r>
              <w:rPr>
                <w:rFonts w:hint="eastAsia"/>
              </w:rPr>
              <w:t>1250</w:t>
            </w:r>
          </w:p>
        </w:tc>
        <w:tc>
          <w:tcPr>
            <w:tcW w:w="432" w:type="pct"/>
            <w:noWrap/>
            <w:vAlign w:val="center"/>
          </w:tcPr>
          <w:p w14:paraId="4DCE0D21">
            <w:pPr>
              <w:pStyle w:val="1343"/>
            </w:pPr>
            <w:r>
              <w:t>SE</w:t>
            </w:r>
          </w:p>
        </w:tc>
        <w:tc>
          <w:tcPr>
            <w:tcW w:w="631" w:type="pct"/>
            <w:noWrap/>
            <w:vAlign w:val="center"/>
          </w:tcPr>
          <w:p w14:paraId="2876C9D2">
            <w:pPr>
              <w:pStyle w:val="1343"/>
            </w:pPr>
            <w:r>
              <w:rPr>
                <w:rFonts w:hint="eastAsia"/>
              </w:rPr>
              <w:t>120人</w:t>
            </w:r>
          </w:p>
        </w:tc>
        <w:tc>
          <w:tcPr>
            <w:tcW w:w="366" w:type="pct"/>
            <w:vMerge w:val="continue"/>
            <w:noWrap/>
            <w:vAlign w:val="center"/>
          </w:tcPr>
          <w:p w14:paraId="34DAF68B">
            <w:pPr>
              <w:pStyle w:val="1343"/>
            </w:pPr>
          </w:p>
        </w:tc>
        <w:tc>
          <w:tcPr>
            <w:tcW w:w="464" w:type="pct"/>
            <w:vMerge w:val="continue"/>
            <w:vAlign w:val="center"/>
          </w:tcPr>
          <w:p w14:paraId="292FE2F9">
            <w:pPr>
              <w:pStyle w:val="1343"/>
            </w:pPr>
          </w:p>
        </w:tc>
      </w:tr>
      <w:tr w14:paraId="19F4B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22DC0445">
            <w:pPr>
              <w:pStyle w:val="1343"/>
              <w:numPr>
                <w:ilvl w:val="0"/>
                <w:numId w:val="24"/>
              </w:numPr>
            </w:pPr>
          </w:p>
        </w:tc>
        <w:tc>
          <w:tcPr>
            <w:tcW w:w="276" w:type="pct"/>
            <w:vMerge w:val="continue"/>
            <w:noWrap/>
            <w:vAlign w:val="center"/>
          </w:tcPr>
          <w:p w14:paraId="13D3F18A">
            <w:pPr>
              <w:pStyle w:val="1343"/>
            </w:pPr>
          </w:p>
        </w:tc>
        <w:tc>
          <w:tcPr>
            <w:tcW w:w="837" w:type="pct"/>
            <w:noWrap/>
            <w:vAlign w:val="center"/>
          </w:tcPr>
          <w:p w14:paraId="02B70DA0">
            <w:pPr>
              <w:pStyle w:val="1343"/>
            </w:pPr>
            <w:r>
              <w:rPr>
                <w:rFonts w:hint="eastAsia"/>
              </w:rPr>
              <w:t>陈家村</w:t>
            </w:r>
          </w:p>
        </w:tc>
        <w:tc>
          <w:tcPr>
            <w:tcW w:w="572" w:type="pct"/>
            <w:noWrap/>
            <w:vAlign w:val="center"/>
          </w:tcPr>
          <w:p w14:paraId="64FB88F4">
            <w:pPr>
              <w:pStyle w:val="1343"/>
            </w:pPr>
            <w:r>
              <w:rPr>
                <w:rFonts w:hint="eastAsia"/>
              </w:rPr>
              <w:t>112.9374</w:t>
            </w:r>
          </w:p>
        </w:tc>
        <w:tc>
          <w:tcPr>
            <w:tcW w:w="616" w:type="pct"/>
            <w:noWrap/>
            <w:vAlign w:val="center"/>
          </w:tcPr>
          <w:p w14:paraId="1D519503">
            <w:pPr>
              <w:pStyle w:val="1343"/>
            </w:pPr>
            <w:r>
              <w:rPr>
                <w:rFonts w:hint="eastAsia"/>
              </w:rPr>
              <w:t>26.4063</w:t>
            </w:r>
          </w:p>
        </w:tc>
        <w:tc>
          <w:tcPr>
            <w:tcW w:w="550" w:type="pct"/>
            <w:noWrap/>
            <w:vAlign w:val="center"/>
          </w:tcPr>
          <w:p w14:paraId="568DE6E9">
            <w:pPr>
              <w:pStyle w:val="1343"/>
            </w:pPr>
            <w:r>
              <w:rPr>
                <w:rFonts w:hint="eastAsia"/>
              </w:rPr>
              <w:t>1280</w:t>
            </w:r>
          </w:p>
        </w:tc>
        <w:tc>
          <w:tcPr>
            <w:tcW w:w="432" w:type="pct"/>
            <w:noWrap/>
            <w:vAlign w:val="center"/>
          </w:tcPr>
          <w:p w14:paraId="2CCF63F8">
            <w:pPr>
              <w:pStyle w:val="1343"/>
            </w:pPr>
            <w:r>
              <w:t>SE</w:t>
            </w:r>
          </w:p>
        </w:tc>
        <w:tc>
          <w:tcPr>
            <w:tcW w:w="631" w:type="pct"/>
            <w:noWrap/>
            <w:vAlign w:val="center"/>
          </w:tcPr>
          <w:p w14:paraId="7E6AC29B">
            <w:pPr>
              <w:pStyle w:val="1343"/>
            </w:pPr>
            <w:r>
              <w:rPr>
                <w:rFonts w:hint="eastAsia"/>
              </w:rPr>
              <w:t>35人</w:t>
            </w:r>
          </w:p>
        </w:tc>
        <w:tc>
          <w:tcPr>
            <w:tcW w:w="366" w:type="pct"/>
            <w:vMerge w:val="continue"/>
            <w:noWrap/>
            <w:vAlign w:val="center"/>
          </w:tcPr>
          <w:p w14:paraId="4EFC2120">
            <w:pPr>
              <w:pStyle w:val="1343"/>
            </w:pPr>
          </w:p>
        </w:tc>
        <w:tc>
          <w:tcPr>
            <w:tcW w:w="464" w:type="pct"/>
            <w:vMerge w:val="continue"/>
            <w:vAlign w:val="center"/>
          </w:tcPr>
          <w:p w14:paraId="46C2C625">
            <w:pPr>
              <w:pStyle w:val="1343"/>
            </w:pPr>
          </w:p>
        </w:tc>
      </w:tr>
      <w:tr w14:paraId="5ADC9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48E97879">
            <w:pPr>
              <w:pStyle w:val="1343"/>
              <w:numPr>
                <w:ilvl w:val="0"/>
                <w:numId w:val="24"/>
              </w:numPr>
            </w:pPr>
          </w:p>
        </w:tc>
        <w:tc>
          <w:tcPr>
            <w:tcW w:w="276" w:type="pct"/>
            <w:vMerge w:val="continue"/>
            <w:noWrap/>
            <w:vAlign w:val="center"/>
          </w:tcPr>
          <w:p w14:paraId="18D23C37">
            <w:pPr>
              <w:pStyle w:val="1343"/>
            </w:pPr>
          </w:p>
        </w:tc>
        <w:tc>
          <w:tcPr>
            <w:tcW w:w="837" w:type="pct"/>
            <w:noWrap/>
            <w:vAlign w:val="center"/>
          </w:tcPr>
          <w:p w14:paraId="68534A73">
            <w:pPr>
              <w:pStyle w:val="1343"/>
            </w:pPr>
            <w:r>
              <w:rPr>
                <w:rFonts w:hint="eastAsia"/>
              </w:rPr>
              <w:t>鲤鱼塘</w:t>
            </w:r>
          </w:p>
        </w:tc>
        <w:tc>
          <w:tcPr>
            <w:tcW w:w="572" w:type="pct"/>
            <w:noWrap/>
            <w:vAlign w:val="center"/>
          </w:tcPr>
          <w:p w14:paraId="6BC75898">
            <w:pPr>
              <w:pStyle w:val="1343"/>
            </w:pPr>
            <w:r>
              <w:rPr>
                <w:rFonts w:hint="eastAsia"/>
              </w:rPr>
              <w:t>112.9408</w:t>
            </w:r>
          </w:p>
        </w:tc>
        <w:tc>
          <w:tcPr>
            <w:tcW w:w="616" w:type="pct"/>
            <w:noWrap/>
            <w:vAlign w:val="center"/>
          </w:tcPr>
          <w:p w14:paraId="180240EC">
            <w:pPr>
              <w:pStyle w:val="1343"/>
            </w:pPr>
            <w:r>
              <w:rPr>
                <w:rFonts w:hint="eastAsia"/>
              </w:rPr>
              <w:t>26.4037</w:t>
            </w:r>
          </w:p>
        </w:tc>
        <w:tc>
          <w:tcPr>
            <w:tcW w:w="550" w:type="pct"/>
            <w:noWrap/>
            <w:vAlign w:val="center"/>
          </w:tcPr>
          <w:p w14:paraId="7E3E4E52">
            <w:pPr>
              <w:pStyle w:val="1343"/>
            </w:pPr>
            <w:r>
              <w:rPr>
                <w:rFonts w:hint="eastAsia"/>
              </w:rPr>
              <w:t>1740</w:t>
            </w:r>
          </w:p>
        </w:tc>
        <w:tc>
          <w:tcPr>
            <w:tcW w:w="432" w:type="pct"/>
            <w:noWrap/>
            <w:vAlign w:val="center"/>
          </w:tcPr>
          <w:p w14:paraId="2620DEFC">
            <w:pPr>
              <w:pStyle w:val="1343"/>
            </w:pPr>
            <w:r>
              <w:t>SE</w:t>
            </w:r>
          </w:p>
        </w:tc>
        <w:tc>
          <w:tcPr>
            <w:tcW w:w="631" w:type="pct"/>
            <w:noWrap/>
            <w:vAlign w:val="center"/>
          </w:tcPr>
          <w:p w14:paraId="2DAC0BC3">
            <w:pPr>
              <w:pStyle w:val="1343"/>
            </w:pPr>
            <w:r>
              <w:rPr>
                <w:rFonts w:hint="eastAsia"/>
              </w:rPr>
              <w:t>15人</w:t>
            </w:r>
          </w:p>
        </w:tc>
        <w:tc>
          <w:tcPr>
            <w:tcW w:w="366" w:type="pct"/>
            <w:vMerge w:val="continue"/>
            <w:noWrap/>
            <w:vAlign w:val="center"/>
          </w:tcPr>
          <w:p w14:paraId="46181AE5">
            <w:pPr>
              <w:pStyle w:val="1343"/>
            </w:pPr>
          </w:p>
        </w:tc>
        <w:tc>
          <w:tcPr>
            <w:tcW w:w="464" w:type="pct"/>
            <w:vMerge w:val="continue"/>
            <w:vAlign w:val="center"/>
          </w:tcPr>
          <w:p w14:paraId="2EA04F0E">
            <w:pPr>
              <w:pStyle w:val="1343"/>
            </w:pPr>
          </w:p>
        </w:tc>
      </w:tr>
      <w:tr w14:paraId="0527B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54EE4065">
            <w:pPr>
              <w:pStyle w:val="1343"/>
              <w:numPr>
                <w:ilvl w:val="0"/>
                <w:numId w:val="24"/>
              </w:numPr>
            </w:pPr>
          </w:p>
        </w:tc>
        <w:tc>
          <w:tcPr>
            <w:tcW w:w="276" w:type="pct"/>
            <w:vMerge w:val="continue"/>
            <w:noWrap/>
            <w:vAlign w:val="center"/>
          </w:tcPr>
          <w:p w14:paraId="73FEE08F">
            <w:pPr>
              <w:pStyle w:val="1343"/>
            </w:pPr>
          </w:p>
        </w:tc>
        <w:tc>
          <w:tcPr>
            <w:tcW w:w="837" w:type="pct"/>
            <w:noWrap/>
            <w:vAlign w:val="center"/>
          </w:tcPr>
          <w:p w14:paraId="4D5F0099">
            <w:pPr>
              <w:pStyle w:val="1343"/>
            </w:pPr>
            <w:r>
              <w:rPr>
                <w:rFonts w:hint="eastAsia"/>
              </w:rPr>
              <w:t>白石村</w:t>
            </w:r>
          </w:p>
        </w:tc>
        <w:tc>
          <w:tcPr>
            <w:tcW w:w="572" w:type="pct"/>
            <w:noWrap/>
            <w:vAlign w:val="center"/>
          </w:tcPr>
          <w:p w14:paraId="43D946E3">
            <w:pPr>
              <w:pStyle w:val="1343"/>
            </w:pPr>
            <w:r>
              <w:rPr>
                <w:rFonts w:hint="eastAsia"/>
              </w:rPr>
              <w:t>112.9298</w:t>
            </w:r>
          </w:p>
        </w:tc>
        <w:tc>
          <w:tcPr>
            <w:tcW w:w="616" w:type="pct"/>
            <w:noWrap/>
            <w:vAlign w:val="center"/>
          </w:tcPr>
          <w:p w14:paraId="1653EBBE">
            <w:pPr>
              <w:pStyle w:val="1343"/>
            </w:pPr>
            <w:r>
              <w:rPr>
                <w:rFonts w:hint="eastAsia"/>
              </w:rPr>
              <w:t>26.4016</w:t>
            </w:r>
          </w:p>
        </w:tc>
        <w:tc>
          <w:tcPr>
            <w:tcW w:w="550" w:type="pct"/>
            <w:noWrap/>
            <w:vAlign w:val="center"/>
          </w:tcPr>
          <w:p w14:paraId="11F3BFF7">
            <w:pPr>
              <w:pStyle w:val="1343"/>
            </w:pPr>
            <w:r>
              <w:rPr>
                <w:rFonts w:hint="eastAsia"/>
              </w:rPr>
              <w:t>1020</w:t>
            </w:r>
          </w:p>
        </w:tc>
        <w:tc>
          <w:tcPr>
            <w:tcW w:w="432" w:type="pct"/>
            <w:noWrap/>
            <w:vAlign w:val="center"/>
          </w:tcPr>
          <w:p w14:paraId="7E617280">
            <w:pPr>
              <w:pStyle w:val="1343"/>
            </w:pPr>
            <w:r>
              <w:t>SE</w:t>
            </w:r>
          </w:p>
        </w:tc>
        <w:tc>
          <w:tcPr>
            <w:tcW w:w="631" w:type="pct"/>
            <w:noWrap/>
            <w:vAlign w:val="center"/>
          </w:tcPr>
          <w:p w14:paraId="7D29438F">
            <w:pPr>
              <w:pStyle w:val="1343"/>
            </w:pPr>
            <w:r>
              <w:rPr>
                <w:rFonts w:hint="eastAsia"/>
              </w:rPr>
              <w:t>200人</w:t>
            </w:r>
          </w:p>
        </w:tc>
        <w:tc>
          <w:tcPr>
            <w:tcW w:w="366" w:type="pct"/>
            <w:vMerge w:val="continue"/>
            <w:noWrap/>
            <w:vAlign w:val="center"/>
          </w:tcPr>
          <w:p w14:paraId="27CF8950">
            <w:pPr>
              <w:pStyle w:val="1343"/>
            </w:pPr>
          </w:p>
        </w:tc>
        <w:tc>
          <w:tcPr>
            <w:tcW w:w="464" w:type="pct"/>
            <w:vMerge w:val="continue"/>
            <w:vAlign w:val="center"/>
          </w:tcPr>
          <w:p w14:paraId="44A250DF">
            <w:pPr>
              <w:pStyle w:val="1343"/>
            </w:pPr>
          </w:p>
        </w:tc>
      </w:tr>
      <w:tr w14:paraId="3E070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6661999F">
            <w:pPr>
              <w:pStyle w:val="1343"/>
              <w:numPr>
                <w:ilvl w:val="0"/>
                <w:numId w:val="24"/>
              </w:numPr>
            </w:pPr>
          </w:p>
        </w:tc>
        <w:tc>
          <w:tcPr>
            <w:tcW w:w="276" w:type="pct"/>
            <w:vMerge w:val="continue"/>
            <w:noWrap/>
            <w:vAlign w:val="center"/>
          </w:tcPr>
          <w:p w14:paraId="6AAE594B">
            <w:pPr>
              <w:pStyle w:val="1343"/>
            </w:pPr>
          </w:p>
        </w:tc>
        <w:tc>
          <w:tcPr>
            <w:tcW w:w="837" w:type="pct"/>
            <w:noWrap/>
            <w:vAlign w:val="center"/>
          </w:tcPr>
          <w:p w14:paraId="6709F058">
            <w:pPr>
              <w:pStyle w:val="1343"/>
            </w:pPr>
            <w:r>
              <w:rPr>
                <w:rFonts w:hint="eastAsia"/>
              </w:rPr>
              <w:t>王家大湾</w:t>
            </w:r>
          </w:p>
        </w:tc>
        <w:tc>
          <w:tcPr>
            <w:tcW w:w="572" w:type="pct"/>
            <w:noWrap/>
            <w:vAlign w:val="center"/>
          </w:tcPr>
          <w:p w14:paraId="2C163261">
            <w:pPr>
              <w:pStyle w:val="1343"/>
            </w:pPr>
            <w:r>
              <w:rPr>
                <w:rFonts w:hint="eastAsia"/>
              </w:rPr>
              <w:t>112.9276</w:t>
            </w:r>
          </w:p>
        </w:tc>
        <w:tc>
          <w:tcPr>
            <w:tcW w:w="616" w:type="pct"/>
            <w:noWrap/>
            <w:vAlign w:val="center"/>
          </w:tcPr>
          <w:p w14:paraId="79DB046C">
            <w:pPr>
              <w:pStyle w:val="1343"/>
            </w:pPr>
            <w:r>
              <w:rPr>
                <w:rFonts w:hint="eastAsia"/>
              </w:rPr>
              <w:t>26.4027</w:t>
            </w:r>
          </w:p>
        </w:tc>
        <w:tc>
          <w:tcPr>
            <w:tcW w:w="550" w:type="pct"/>
            <w:noWrap/>
            <w:vAlign w:val="center"/>
          </w:tcPr>
          <w:p w14:paraId="382E3956">
            <w:pPr>
              <w:pStyle w:val="1343"/>
            </w:pPr>
            <w:r>
              <w:rPr>
                <w:rFonts w:hint="eastAsia"/>
              </w:rPr>
              <w:t>910</w:t>
            </w:r>
          </w:p>
        </w:tc>
        <w:tc>
          <w:tcPr>
            <w:tcW w:w="432" w:type="pct"/>
            <w:noWrap/>
            <w:vAlign w:val="center"/>
          </w:tcPr>
          <w:p w14:paraId="6EC64D05">
            <w:pPr>
              <w:pStyle w:val="1343"/>
            </w:pPr>
            <w:r>
              <w:t>SE</w:t>
            </w:r>
          </w:p>
        </w:tc>
        <w:tc>
          <w:tcPr>
            <w:tcW w:w="631" w:type="pct"/>
            <w:noWrap/>
            <w:vAlign w:val="center"/>
          </w:tcPr>
          <w:p w14:paraId="6A27F290">
            <w:pPr>
              <w:pStyle w:val="1343"/>
            </w:pPr>
            <w:r>
              <w:rPr>
                <w:rFonts w:hint="eastAsia"/>
              </w:rPr>
              <w:t>80人</w:t>
            </w:r>
          </w:p>
        </w:tc>
        <w:tc>
          <w:tcPr>
            <w:tcW w:w="366" w:type="pct"/>
            <w:vMerge w:val="continue"/>
            <w:noWrap/>
            <w:vAlign w:val="center"/>
          </w:tcPr>
          <w:p w14:paraId="530E9FEE">
            <w:pPr>
              <w:pStyle w:val="1343"/>
            </w:pPr>
          </w:p>
        </w:tc>
        <w:tc>
          <w:tcPr>
            <w:tcW w:w="464" w:type="pct"/>
            <w:vMerge w:val="continue"/>
            <w:vAlign w:val="center"/>
          </w:tcPr>
          <w:p w14:paraId="37E9F741">
            <w:pPr>
              <w:pStyle w:val="1343"/>
            </w:pPr>
          </w:p>
        </w:tc>
      </w:tr>
      <w:tr w14:paraId="66442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701253E3">
            <w:pPr>
              <w:pStyle w:val="1343"/>
              <w:numPr>
                <w:ilvl w:val="0"/>
                <w:numId w:val="24"/>
              </w:numPr>
            </w:pPr>
          </w:p>
        </w:tc>
        <w:tc>
          <w:tcPr>
            <w:tcW w:w="276" w:type="pct"/>
            <w:vMerge w:val="continue"/>
            <w:noWrap/>
            <w:vAlign w:val="center"/>
          </w:tcPr>
          <w:p w14:paraId="4893E801">
            <w:pPr>
              <w:pStyle w:val="1343"/>
            </w:pPr>
          </w:p>
        </w:tc>
        <w:tc>
          <w:tcPr>
            <w:tcW w:w="837" w:type="pct"/>
            <w:noWrap/>
            <w:vAlign w:val="center"/>
          </w:tcPr>
          <w:p w14:paraId="5055A537">
            <w:pPr>
              <w:pStyle w:val="1343"/>
            </w:pPr>
            <w:r>
              <w:rPr>
                <w:rFonts w:hint="eastAsia"/>
              </w:rPr>
              <w:t>六十担</w:t>
            </w:r>
          </w:p>
        </w:tc>
        <w:tc>
          <w:tcPr>
            <w:tcW w:w="572" w:type="pct"/>
            <w:noWrap/>
            <w:vAlign w:val="center"/>
          </w:tcPr>
          <w:p w14:paraId="72568383">
            <w:pPr>
              <w:pStyle w:val="1343"/>
            </w:pPr>
            <w:r>
              <w:rPr>
                <w:rFonts w:hint="eastAsia"/>
              </w:rPr>
              <w:t>112.9302</w:t>
            </w:r>
          </w:p>
        </w:tc>
        <w:tc>
          <w:tcPr>
            <w:tcW w:w="616" w:type="pct"/>
            <w:noWrap/>
            <w:vAlign w:val="center"/>
          </w:tcPr>
          <w:p w14:paraId="53BA7954">
            <w:pPr>
              <w:pStyle w:val="1343"/>
            </w:pPr>
            <w:r>
              <w:rPr>
                <w:rFonts w:hint="eastAsia"/>
              </w:rPr>
              <w:t>26.4027</w:t>
            </w:r>
          </w:p>
        </w:tc>
        <w:tc>
          <w:tcPr>
            <w:tcW w:w="550" w:type="pct"/>
            <w:noWrap/>
            <w:vAlign w:val="center"/>
          </w:tcPr>
          <w:p w14:paraId="79B92F4D">
            <w:pPr>
              <w:pStyle w:val="1343"/>
            </w:pPr>
            <w:r>
              <w:rPr>
                <w:rFonts w:hint="eastAsia"/>
              </w:rPr>
              <w:t>1030</w:t>
            </w:r>
          </w:p>
        </w:tc>
        <w:tc>
          <w:tcPr>
            <w:tcW w:w="432" w:type="pct"/>
            <w:noWrap/>
            <w:vAlign w:val="center"/>
          </w:tcPr>
          <w:p w14:paraId="233E22F5">
            <w:pPr>
              <w:pStyle w:val="1343"/>
            </w:pPr>
            <w:r>
              <w:t>SE</w:t>
            </w:r>
          </w:p>
        </w:tc>
        <w:tc>
          <w:tcPr>
            <w:tcW w:w="631" w:type="pct"/>
            <w:noWrap/>
            <w:vAlign w:val="center"/>
          </w:tcPr>
          <w:p w14:paraId="41BC4F00">
            <w:pPr>
              <w:pStyle w:val="1343"/>
            </w:pPr>
            <w:r>
              <w:rPr>
                <w:rFonts w:hint="eastAsia"/>
              </w:rPr>
              <w:t>50人</w:t>
            </w:r>
          </w:p>
        </w:tc>
        <w:tc>
          <w:tcPr>
            <w:tcW w:w="366" w:type="pct"/>
            <w:vMerge w:val="continue"/>
            <w:noWrap/>
            <w:vAlign w:val="center"/>
          </w:tcPr>
          <w:p w14:paraId="54DFCDE5">
            <w:pPr>
              <w:pStyle w:val="1343"/>
            </w:pPr>
          </w:p>
        </w:tc>
        <w:tc>
          <w:tcPr>
            <w:tcW w:w="464" w:type="pct"/>
            <w:vMerge w:val="continue"/>
            <w:vAlign w:val="center"/>
          </w:tcPr>
          <w:p w14:paraId="7F343D6E">
            <w:pPr>
              <w:pStyle w:val="1343"/>
            </w:pPr>
          </w:p>
        </w:tc>
      </w:tr>
      <w:tr w14:paraId="2A569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38A314F1">
            <w:pPr>
              <w:pStyle w:val="1343"/>
              <w:numPr>
                <w:ilvl w:val="0"/>
                <w:numId w:val="24"/>
              </w:numPr>
            </w:pPr>
          </w:p>
        </w:tc>
        <w:tc>
          <w:tcPr>
            <w:tcW w:w="276" w:type="pct"/>
            <w:vMerge w:val="continue"/>
            <w:noWrap/>
            <w:vAlign w:val="center"/>
          </w:tcPr>
          <w:p w14:paraId="7D2A6D02">
            <w:pPr>
              <w:pStyle w:val="1343"/>
            </w:pPr>
          </w:p>
        </w:tc>
        <w:tc>
          <w:tcPr>
            <w:tcW w:w="837" w:type="pct"/>
            <w:noWrap/>
            <w:vAlign w:val="center"/>
          </w:tcPr>
          <w:p w14:paraId="652BF503">
            <w:pPr>
              <w:pStyle w:val="1343"/>
            </w:pPr>
            <w:r>
              <w:rPr>
                <w:rFonts w:hint="eastAsia"/>
              </w:rPr>
              <w:t>大眼塘</w:t>
            </w:r>
          </w:p>
        </w:tc>
        <w:tc>
          <w:tcPr>
            <w:tcW w:w="572" w:type="pct"/>
            <w:noWrap/>
            <w:vAlign w:val="center"/>
          </w:tcPr>
          <w:p w14:paraId="3BE47685">
            <w:pPr>
              <w:pStyle w:val="1343"/>
            </w:pPr>
            <w:r>
              <w:rPr>
                <w:rFonts w:hint="eastAsia"/>
              </w:rPr>
              <w:t>112.9298</w:t>
            </w:r>
          </w:p>
        </w:tc>
        <w:tc>
          <w:tcPr>
            <w:tcW w:w="616" w:type="pct"/>
            <w:noWrap/>
            <w:vAlign w:val="center"/>
          </w:tcPr>
          <w:p w14:paraId="17C4E64D">
            <w:pPr>
              <w:pStyle w:val="1343"/>
            </w:pPr>
            <w:r>
              <w:rPr>
                <w:rFonts w:hint="eastAsia"/>
              </w:rPr>
              <w:t>26.3992</w:t>
            </w:r>
          </w:p>
        </w:tc>
        <w:tc>
          <w:tcPr>
            <w:tcW w:w="550" w:type="pct"/>
            <w:noWrap/>
            <w:vAlign w:val="center"/>
          </w:tcPr>
          <w:p w14:paraId="304063DE">
            <w:pPr>
              <w:pStyle w:val="1343"/>
            </w:pPr>
            <w:r>
              <w:rPr>
                <w:rFonts w:hint="eastAsia"/>
              </w:rPr>
              <w:t>1450</w:t>
            </w:r>
          </w:p>
        </w:tc>
        <w:tc>
          <w:tcPr>
            <w:tcW w:w="432" w:type="pct"/>
            <w:noWrap/>
            <w:vAlign w:val="center"/>
          </w:tcPr>
          <w:p w14:paraId="17353307">
            <w:pPr>
              <w:pStyle w:val="1343"/>
            </w:pPr>
            <w:r>
              <w:t>SE</w:t>
            </w:r>
          </w:p>
        </w:tc>
        <w:tc>
          <w:tcPr>
            <w:tcW w:w="631" w:type="pct"/>
            <w:noWrap/>
            <w:vAlign w:val="center"/>
          </w:tcPr>
          <w:p w14:paraId="5B163D0E">
            <w:pPr>
              <w:pStyle w:val="1343"/>
            </w:pPr>
            <w:r>
              <w:rPr>
                <w:rFonts w:hint="eastAsia"/>
              </w:rPr>
              <w:t>160人</w:t>
            </w:r>
          </w:p>
        </w:tc>
        <w:tc>
          <w:tcPr>
            <w:tcW w:w="366" w:type="pct"/>
            <w:vMerge w:val="continue"/>
            <w:noWrap/>
            <w:vAlign w:val="center"/>
          </w:tcPr>
          <w:p w14:paraId="19D233D9">
            <w:pPr>
              <w:pStyle w:val="1343"/>
            </w:pPr>
          </w:p>
        </w:tc>
        <w:tc>
          <w:tcPr>
            <w:tcW w:w="464" w:type="pct"/>
            <w:vMerge w:val="continue"/>
            <w:vAlign w:val="center"/>
          </w:tcPr>
          <w:p w14:paraId="1B79B78E">
            <w:pPr>
              <w:pStyle w:val="1343"/>
            </w:pPr>
          </w:p>
        </w:tc>
      </w:tr>
      <w:tr w14:paraId="22259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5BE15858">
            <w:pPr>
              <w:pStyle w:val="1343"/>
              <w:numPr>
                <w:ilvl w:val="0"/>
                <w:numId w:val="24"/>
              </w:numPr>
            </w:pPr>
          </w:p>
        </w:tc>
        <w:tc>
          <w:tcPr>
            <w:tcW w:w="276" w:type="pct"/>
            <w:vMerge w:val="continue"/>
            <w:noWrap/>
            <w:vAlign w:val="center"/>
          </w:tcPr>
          <w:p w14:paraId="2728FF64">
            <w:pPr>
              <w:pStyle w:val="1343"/>
            </w:pPr>
          </w:p>
        </w:tc>
        <w:tc>
          <w:tcPr>
            <w:tcW w:w="837" w:type="pct"/>
            <w:noWrap/>
            <w:vAlign w:val="center"/>
          </w:tcPr>
          <w:p w14:paraId="66D46603">
            <w:pPr>
              <w:pStyle w:val="1343"/>
            </w:pPr>
            <w:r>
              <w:rPr>
                <w:rFonts w:hint="eastAsia"/>
              </w:rPr>
              <w:t>白鹭塘</w:t>
            </w:r>
          </w:p>
        </w:tc>
        <w:tc>
          <w:tcPr>
            <w:tcW w:w="572" w:type="pct"/>
            <w:noWrap/>
            <w:vAlign w:val="center"/>
          </w:tcPr>
          <w:p w14:paraId="280BCE5E">
            <w:pPr>
              <w:pStyle w:val="1343"/>
            </w:pPr>
            <w:r>
              <w:rPr>
                <w:rFonts w:hint="eastAsia"/>
              </w:rPr>
              <w:t>112.9338</w:t>
            </w:r>
          </w:p>
        </w:tc>
        <w:tc>
          <w:tcPr>
            <w:tcW w:w="616" w:type="pct"/>
            <w:noWrap/>
            <w:vAlign w:val="center"/>
          </w:tcPr>
          <w:p w14:paraId="51FBA8DC">
            <w:pPr>
              <w:pStyle w:val="1343"/>
            </w:pPr>
            <w:r>
              <w:rPr>
                <w:rFonts w:hint="eastAsia"/>
              </w:rPr>
              <w:t>26.3989</w:t>
            </w:r>
          </w:p>
        </w:tc>
        <w:tc>
          <w:tcPr>
            <w:tcW w:w="550" w:type="pct"/>
            <w:noWrap/>
            <w:vAlign w:val="center"/>
          </w:tcPr>
          <w:p w14:paraId="28233677">
            <w:pPr>
              <w:pStyle w:val="1343"/>
            </w:pPr>
            <w:r>
              <w:rPr>
                <w:rFonts w:hint="eastAsia"/>
              </w:rPr>
              <w:t>1570</w:t>
            </w:r>
          </w:p>
        </w:tc>
        <w:tc>
          <w:tcPr>
            <w:tcW w:w="432" w:type="pct"/>
            <w:noWrap/>
            <w:vAlign w:val="center"/>
          </w:tcPr>
          <w:p w14:paraId="4B4E1E51">
            <w:pPr>
              <w:pStyle w:val="1343"/>
            </w:pPr>
            <w:r>
              <w:t>SE</w:t>
            </w:r>
          </w:p>
        </w:tc>
        <w:tc>
          <w:tcPr>
            <w:tcW w:w="631" w:type="pct"/>
            <w:noWrap/>
            <w:vAlign w:val="center"/>
          </w:tcPr>
          <w:p w14:paraId="1BFA6965">
            <w:pPr>
              <w:pStyle w:val="1343"/>
            </w:pPr>
            <w:r>
              <w:rPr>
                <w:rFonts w:hint="eastAsia"/>
              </w:rPr>
              <w:t>65人</w:t>
            </w:r>
          </w:p>
        </w:tc>
        <w:tc>
          <w:tcPr>
            <w:tcW w:w="366" w:type="pct"/>
            <w:vMerge w:val="continue"/>
            <w:noWrap/>
            <w:vAlign w:val="center"/>
          </w:tcPr>
          <w:p w14:paraId="3CBB6F8D">
            <w:pPr>
              <w:pStyle w:val="1343"/>
            </w:pPr>
          </w:p>
        </w:tc>
        <w:tc>
          <w:tcPr>
            <w:tcW w:w="464" w:type="pct"/>
            <w:vMerge w:val="continue"/>
            <w:vAlign w:val="center"/>
          </w:tcPr>
          <w:p w14:paraId="7811FCAA">
            <w:pPr>
              <w:pStyle w:val="1343"/>
            </w:pPr>
          </w:p>
        </w:tc>
      </w:tr>
      <w:tr w14:paraId="03D97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6D739626">
            <w:pPr>
              <w:pStyle w:val="1343"/>
              <w:numPr>
                <w:ilvl w:val="0"/>
                <w:numId w:val="24"/>
              </w:numPr>
            </w:pPr>
          </w:p>
        </w:tc>
        <w:tc>
          <w:tcPr>
            <w:tcW w:w="276" w:type="pct"/>
            <w:vMerge w:val="continue"/>
            <w:noWrap/>
            <w:vAlign w:val="center"/>
          </w:tcPr>
          <w:p w14:paraId="01CFE2D7">
            <w:pPr>
              <w:pStyle w:val="1343"/>
            </w:pPr>
          </w:p>
        </w:tc>
        <w:tc>
          <w:tcPr>
            <w:tcW w:w="837" w:type="pct"/>
            <w:noWrap/>
            <w:vAlign w:val="center"/>
          </w:tcPr>
          <w:p w14:paraId="15DEDCE6">
            <w:pPr>
              <w:pStyle w:val="1343"/>
            </w:pPr>
            <w:r>
              <w:rPr>
                <w:rFonts w:hint="eastAsia"/>
              </w:rPr>
              <w:t>李家老湾</w:t>
            </w:r>
          </w:p>
        </w:tc>
        <w:tc>
          <w:tcPr>
            <w:tcW w:w="572" w:type="pct"/>
            <w:noWrap/>
            <w:vAlign w:val="center"/>
          </w:tcPr>
          <w:p w14:paraId="33824835">
            <w:pPr>
              <w:pStyle w:val="1343"/>
            </w:pPr>
            <w:r>
              <w:rPr>
                <w:rFonts w:hint="eastAsia"/>
              </w:rPr>
              <w:t>112.9328</w:t>
            </w:r>
          </w:p>
        </w:tc>
        <w:tc>
          <w:tcPr>
            <w:tcW w:w="616" w:type="pct"/>
            <w:noWrap/>
            <w:vAlign w:val="center"/>
          </w:tcPr>
          <w:p w14:paraId="337060A3">
            <w:pPr>
              <w:pStyle w:val="1343"/>
            </w:pPr>
            <w:r>
              <w:rPr>
                <w:rFonts w:hint="eastAsia"/>
              </w:rPr>
              <w:t>26.3972</w:t>
            </w:r>
          </w:p>
        </w:tc>
        <w:tc>
          <w:tcPr>
            <w:tcW w:w="550" w:type="pct"/>
            <w:noWrap/>
            <w:vAlign w:val="center"/>
          </w:tcPr>
          <w:p w14:paraId="30EBE954">
            <w:pPr>
              <w:pStyle w:val="1343"/>
            </w:pPr>
            <w:r>
              <w:rPr>
                <w:rFonts w:hint="eastAsia"/>
              </w:rPr>
              <w:t>1690</w:t>
            </w:r>
          </w:p>
        </w:tc>
        <w:tc>
          <w:tcPr>
            <w:tcW w:w="432" w:type="pct"/>
            <w:noWrap/>
            <w:vAlign w:val="center"/>
          </w:tcPr>
          <w:p w14:paraId="127521C6">
            <w:pPr>
              <w:pStyle w:val="1343"/>
            </w:pPr>
            <w:r>
              <w:t>SE</w:t>
            </w:r>
          </w:p>
        </w:tc>
        <w:tc>
          <w:tcPr>
            <w:tcW w:w="631" w:type="pct"/>
            <w:noWrap/>
            <w:vAlign w:val="center"/>
          </w:tcPr>
          <w:p w14:paraId="2D9C7216">
            <w:pPr>
              <w:pStyle w:val="1343"/>
            </w:pPr>
            <w:r>
              <w:rPr>
                <w:rFonts w:hint="eastAsia"/>
              </w:rPr>
              <w:t>90人</w:t>
            </w:r>
          </w:p>
        </w:tc>
        <w:tc>
          <w:tcPr>
            <w:tcW w:w="366" w:type="pct"/>
            <w:vMerge w:val="continue"/>
            <w:noWrap/>
            <w:vAlign w:val="center"/>
          </w:tcPr>
          <w:p w14:paraId="73F9A659">
            <w:pPr>
              <w:pStyle w:val="1343"/>
            </w:pPr>
          </w:p>
        </w:tc>
        <w:tc>
          <w:tcPr>
            <w:tcW w:w="464" w:type="pct"/>
            <w:vMerge w:val="continue"/>
            <w:vAlign w:val="center"/>
          </w:tcPr>
          <w:p w14:paraId="6E37078F">
            <w:pPr>
              <w:pStyle w:val="1343"/>
            </w:pPr>
          </w:p>
        </w:tc>
      </w:tr>
      <w:tr w14:paraId="12A78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7A726392">
            <w:pPr>
              <w:pStyle w:val="1343"/>
              <w:numPr>
                <w:ilvl w:val="0"/>
                <w:numId w:val="24"/>
              </w:numPr>
            </w:pPr>
          </w:p>
        </w:tc>
        <w:tc>
          <w:tcPr>
            <w:tcW w:w="276" w:type="pct"/>
            <w:vMerge w:val="continue"/>
            <w:noWrap/>
            <w:vAlign w:val="center"/>
          </w:tcPr>
          <w:p w14:paraId="73E0B56C">
            <w:pPr>
              <w:pStyle w:val="1343"/>
            </w:pPr>
          </w:p>
        </w:tc>
        <w:tc>
          <w:tcPr>
            <w:tcW w:w="837" w:type="pct"/>
            <w:noWrap/>
            <w:vAlign w:val="center"/>
          </w:tcPr>
          <w:p w14:paraId="6A8627EA">
            <w:pPr>
              <w:pStyle w:val="1343"/>
            </w:pPr>
            <w:r>
              <w:rPr>
                <w:rFonts w:hint="eastAsia"/>
              </w:rPr>
              <w:t>青石岭</w:t>
            </w:r>
          </w:p>
        </w:tc>
        <w:tc>
          <w:tcPr>
            <w:tcW w:w="572" w:type="pct"/>
            <w:noWrap/>
            <w:vAlign w:val="center"/>
          </w:tcPr>
          <w:p w14:paraId="568D5E97">
            <w:pPr>
              <w:pStyle w:val="1343"/>
            </w:pPr>
            <w:r>
              <w:rPr>
                <w:rFonts w:hint="eastAsia"/>
              </w:rPr>
              <w:t>112.9443</w:t>
            </w:r>
          </w:p>
        </w:tc>
        <w:tc>
          <w:tcPr>
            <w:tcW w:w="616" w:type="pct"/>
            <w:noWrap/>
            <w:vAlign w:val="center"/>
          </w:tcPr>
          <w:p w14:paraId="34133689">
            <w:pPr>
              <w:pStyle w:val="1343"/>
            </w:pPr>
            <w:r>
              <w:rPr>
                <w:rFonts w:hint="eastAsia"/>
              </w:rPr>
              <w:t>26.3982</w:t>
            </w:r>
          </w:p>
        </w:tc>
        <w:tc>
          <w:tcPr>
            <w:tcW w:w="550" w:type="pct"/>
            <w:noWrap/>
            <w:vAlign w:val="center"/>
          </w:tcPr>
          <w:p w14:paraId="4455C80D">
            <w:pPr>
              <w:pStyle w:val="1343"/>
            </w:pPr>
            <w:r>
              <w:rPr>
                <w:rFonts w:hint="eastAsia"/>
              </w:rPr>
              <w:t>2380</w:t>
            </w:r>
          </w:p>
        </w:tc>
        <w:tc>
          <w:tcPr>
            <w:tcW w:w="432" w:type="pct"/>
            <w:noWrap/>
            <w:vAlign w:val="center"/>
          </w:tcPr>
          <w:p w14:paraId="1BCBC359">
            <w:pPr>
              <w:pStyle w:val="1343"/>
            </w:pPr>
            <w:r>
              <w:t>SE</w:t>
            </w:r>
          </w:p>
        </w:tc>
        <w:tc>
          <w:tcPr>
            <w:tcW w:w="631" w:type="pct"/>
            <w:noWrap/>
            <w:vAlign w:val="center"/>
          </w:tcPr>
          <w:p w14:paraId="2C95DD1C">
            <w:pPr>
              <w:pStyle w:val="1343"/>
            </w:pPr>
            <w:r>
              <w:rPr>
                <w:rFonts w:hint="eastAsia"/>
              </w:rPr>
              <w:t>5人</w:t>
            </w:r>
          </w:p>
        </w:tc>
        <w:tc>
          <w:tcPr>
            <w:tcW w:w="366" w:type="pct"/>
            <w:vMerge w:val="continue"/>
            <w:noWrap/>
            <w:vAlign w:val="center"/>
          </w:tcPr>
          <w:p w14:paraId="14966BB7">
            <w:pPr>
              <w:pStyle w:val="1343"/>
            </w:pPr>
          </w:p>
        </w:tc>
        <w:tc>
          <w:tcPr>
            <w:tcW w:w="464" w:type="pct"/>
            <w:vMerge w:val="continue"/>
            <w:vAlign w:val="center"/>
          </w:tcPr>
          <w:p w14:paraId="5428B95B">
            <w:pPr>
              <w:pStyle w:val="1343"/>
            </w:pPr>
          </w:p>
        </w:tc>
      </w:tr>
      <w:tr w14:paraId="20CC5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020CD82C">
            <w:pPr>
              <w:pStyle w:val="1343"/>
              <w:numPr>
                <w:ilvl w:val="0"/>
                <w:numId w:val="24"/>
              </w:numPr>
            </w:pPr>
          </w:p>
        </w:tc>
        <w:tc>
          <w:tcPr>
            <w:tcW w:w="276" w:type="pct"/>
            <w:vMerge w:val="continue"/>
            <w:noWrap/>
            <w:vAlign w:val="center"/>
          </w:tcPr>
          <w:p w14:paraId="0B5248C5">
            <w:pPr>
              <w:pStyle w:val="1343"/>
            </w:pPr>
          </w:p>
        </w:tc>
        <w:tc>
          <w:tcPr>
            <w:tcW w:w="837" w:type="pct"/>
            <w:noWrap/>
            <w:vAlign w:val="center"/>
          </w:tcPr>
          <w:p w14:paraId="6AE3F9DF">
            <w:pPr>
              <w:pStyle w:val="1343"/>
            </w:pPr>
            <w:r>
              <w:rPr>
                <w:rFonts w:hint="eastAsia"/>
              </w:rPr>
              <w:t>谭家</w:t>
            </w:r>
          </w:p>
        </w:tc>
        <w:tc>
          <w:tcPr>
            <w:tcW w:w="572" w:type="pct"/>
            <w:noWrap/>
            <w:vAlign w:val="center"/>
          </w:tcPr>
          <w:p w14:paraId="16FA20F0">
            <w:pPr>
              <w:pStyle w:val="1343"/>
            </w:pPr>
            <w:r>
              <w:rPr>
                <w:rFonts w:hint="eastAsia"/>
              </w:rPr>
              <w:t>112.9538</w:t>
            </w:r>
          </w:p>
        </w:tc>
        <w:tc>
          <w:tcPr>
            <w:tcW w:w="616" w:type="pct"/>
            <w:noWrap/>
            <w:vAlign w:val="center"/>
          </w:tcPr>
          <w:p w14:paraId="33F9A60B">
            <w:pPr>
              <w:pStyle w:val="1343"/>
            </w:pPr>
            <w:r>
              <w:rPr>
                <w:rFonts w:hint="eastAsia"/>
              </w:rPr>
              <w:t>26.4092</w:t>
            </w:r>
          </w:p>
        </w:tc>
        <w:tc>
          <w:tcPr>
            <w:tcW w:w="550" w:type="pct"/>
            <w:noWrap/>
            <w:vAlign w:val="center"/>
          </w:tcPr>
          <w:p w14:paraId="78CC803D">
            <w:pPr>
              <w:pStyle w:val="1343"/>
            </w:pPr>
            <w:r>
              <w:rPr>
                <w:rFonts w:hint="eastAsia"/>
              </w:rPr>
              <w:t>2730</w:t>
            </w:r>
          </w:p>
        </w:tc>
        <w:tc>
          <w:tcPr>
            <w:tcW w:w="432" w:type="pct"/>
            <w:noWrap/>
            <w:vAlign w:val="center"/>
          </w:tcPr>
          <w:p w14:paraId="06BBF31D">
            <w:pPr>
              <w:pStyle w:val="1343"/>
            </w:pPr>
            <w:r>
              <w:t>SE</w:t>
            </w:r>
          </w:p>
        </w:tc>
        <w:tc>
          <w:tcPr>
            <w:tcW w:w="631" w:type="pct"/>
            <w:noWrap/>
            <w:vAlign w:val="center"/>
          </w:tcPr>
          <w:p w14:paraId="163DDA91">
            <w:pPr>
              <w:pStyle w:val="1343"/>
            </w:pPr>
            <w:r>
              <w:rPr>
                <w:rFonts w:hint="eastAsia"/>
              </w:rPr>
              <w:t>20人</w:t>
            </w:r>
          </w:p>
        </w:tc>
        <w:tc>
          <w:tcPr>
            <w:tcW w:w="366" w:type="pct"/>
            <w:vMerge w:val="continue"/>
            <w:noWrap/>
            <w:vAlign w:val="center"/>
          </w:tcPr>
          <w:p w14:paraId="21065E09">
            <w:pPr>
              <w:pStyle w:val="1343"/>
            </w:pPr>
          </w:p>
        </w:tc>
        <w:tc>
          <w:tcPr>
            <w:tcW w:w="464" w:type="pct"/>
            <w:vMerge w:val="continue"/>
            <w:vAlign w:val="center"/>
          </w:tcPr>
          <w:p w14:paraId="124E7445">
            <w:pPr>
              <w:pStyle w:val="1343"/>
            </w:pPr>
          </w:p>
        </w:tc>
      </w:tr>
      <w:tr w14:paraId="688C4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4B931F08">
            <w:pPr>
              <w:pStyle w:val="1343"/>
              <w:numPr>
                <w:ilvl w:val="0"/>
                <w:numId w:val="24"/>
              </w:numPr>
            </w:pPr>
          </w:p>
        </w:tc>
        <w:tc>
          <w:tcPr>
            <w:tcW w:w="276" w:type="pct"/>
            <w:vMerge w:val="continue"/>
            <w:noWrap/>
            <w:vAlign w:val="center"/>
          </w:tcPr>
          <w:p w14:paraId="10EC2212">
            <w:pPr>
              <w:pStyle w:val="1343"/>
            </w:pPr>
          </w:p>
        </w:tc>
        <w:tc>
          <w:tcPr>
            <w:tcW w:w="837" w:type="pct"/>
            <w:noWrap/>
            <w:vAlign w:val="center"/>
          </w:tcPr>
          <w:p w14:paraId="2017DAD9">
            <w:pPr>
              <w:pStyle w:val="1343"/>
            </w:pPr>
            <w:r>
              <w:rPr>
                <w:rFonts w:hint="eastAsia"/>
              </w:rPr>
              <w:t>谭家冲</w:t>
            </w:r>
          </w:p>
        </w:tc>
        <w:tc>
          <w:tcPr>
            <w:tcW w:w="572" w:type="pct"/>
            <w:noWrap/>
            <w:vAlign w:val="center"/>
          </w:tcPr>
          <w:p w14:paraId="0CA7F332">
            <w:pPr>
              <w:pStyle w:val="1343"/>
            </w:pPr>
            <w:r>
              <w:rPr>
                <w:rFonts w:hint="eastAsia"/>
              </w:rPr>
              <w:t>112.9488</w:t>
            </w:r>
          </w:p>
        </w:tc>
        <w:tc>
          <w:tcPr>
            <w:tcW w:w="616" w:type="pct"/>
            <w:noWrap/>
            <w:vAlign w:val="center"/>
          </w:tcPr>
          <w:p w14:paraId="1EFAF2E2">
            <w:pPr>
              <w:pStyle w:val="1343"/>
            </w:pPr>
            <w:r>
              <w:rPr>
                <w:rFonts w:hint="eastAsia"/>
              </w:rPr>
              <w:t>26.3950</w:t>
            </w:r>
          </w:p>
        </w:tc>
        <w:tc>
          <w:tcPr>
            <w:tcW w:w="550" w:type="pct"/>
            <w:noWrap/>
            <w:vAlign w:val="center"/>
          </w:tcPr>
          <w:p w14:paraId="56674CB5">
            <w:pPr>
              <w:pStyle w:val="1343"/>
            </w:pPr>
            <w:r>
              <w:rPr>
                <w:rFonts w:hint="eastAsia"/>
              </w:rPr>
              <w:t>2940</w:t>
            </w:r>
          </w:p>
        </w:tc>
        <w:tc>
          <w:tcPr>
            <w:tcW w:w="432" w:type="pct"/>
            <w:noWrap/>
            <w:vAlign w:val="center"/>
          </w:tcPr>
          <w:p w14:paraId="3B230D74">
            <w:pPr>
              <w:pStyle w:val="1343"/>
            </w:pPr>
            <w:r>
              <w:t>SE</w:t>
            </w:r>
          </w:p>
        </w:tc>
        <w:tc>
          <w:tcPr>
            <w:tcW w:w="631" w:type="pct"/>
            <w:noWrap/>
            <w:vAlign w:val="center"/>
          </w:tcPr>
          <w:p w14:paraId="110B42EB">
            <w:pPr>
              <w:pStyle w:val="1343"/>
            </w:pPr>
            <w:r>
              <w:rPr>
                <w:rFonts w:hint="eastAsia"/>
              </w:rPr>
              <w:t>35人</w:t>
            </w:r>
          </w:p>
        </w:tc>
        <w:tc>
          <w:tcPr>
            <w:tcW w:w="366" w:type="pct"/>
            <w:vMerge w:val="continue"/>
            <w:noWrap/>
            <w:vAlign w:val="center"/>
          </w:tcPr>
          <w:p w14:paraId="42E99E96">
            <w:pPr>
              <w:pStyle w:val="1343"/>
            </w:pPr>
          </w:p>
        </w:tc>
        <w:tc>
          <w:tcPr>
            <w:tcW w:w="464" w:type="pct"/>
            <w:vMerge w:val="continue"/>
            <w:vAlign w:val="center"/>
          </w:tcPr>
          <w:p w14:paraId="44A95C49">
            <w:pPr>
              <w:pStyle w:val="1343"/>
            </w:pPr>
          </w:p>
        </w:tc>
      </w:tr>
      <w:tr w14:paraId="7044E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02F7BAE4">
            <w:pPr>
              <w:pStyle w:val="1343"/>
              <w:numPr>
                <w:ilvl w:val="0"/>
                <w:numId w:val="24"/>
              </w:numPr>
            </w:pPr>
          </w:p>
        </w:tc>
        <w:tc>
          <w:tcPr>
            <w:tcW w:w="276" w:type="pct"/>
            <w:vMerge w:val="continue"/>
            <w:noWrap/>
            <w:vAlign w:val="center"/>
          </w:tcPr>
          <w:p w14:paraId="0E3629ED">
            <w:pPr>
              <w:pStyle w:val="1343"/>
            </w:pPr>
          </w:p>
        </w:tc>
        <w:tc>
          <w:tcPr>
            <w:tcW w:w="837" w:type="pct"/>
            <w:noWrap/>
            <w:vAlign w:val="center"/>
          </w:tcPr>
          <w:p w14:paraId="1EA24CAA">
            <w:pPr>
              <w:pStyle w:val="1343"/>
            </w:pPr>
            <w:r>
              <w:rPr>
                <w:rFonts w:hint="eastAsia"/>
              </w:rPr>
              <w:t>梁家冲</w:t>
            </w:r>
          </w:p>
        </w:tc>
        <w:tc>
          <w:tcPr>
            <w:tcW w:w="572" w:type="pct"/>
            <w:noWrap/>
            <w:vAlign w:val="center"/>
          </w:tcPr>
          <w:p w14:paraId="3A875426">
            <w:pPr>
              <w:pStyle w:val="1343"/>
            </w:pPr>
            <w:r>
              <w:rPr>
                <w:rFonts w:hint="eastAsia"/>
              </w:rPr>
              <w:t>112.9420</w:t>
            </w:r>
          </w:p>
        </w:tc>
        <w:tc>
          <w:tcPr>
            <w:tcW w:w="616" w:type="pct"/>
            <w:noWrap/>
            <w:vAlign w:val="center"/>
          </w:tcPr>
          <w:p w14:paraId="46D5495A">
            <w:pPr>
              <w:pStyle w:val="1343"/>
            </w:pPr>
            <w:r>
              <w:rPr>
                <w:rFonts w:hint="eastAsia"/>
              </w:rPr>
              <w:t>26.3930</w:t>
            </w:r>
          </w:p>
        </w:tc>
        <w:tc>
          <w:tcPr>
            <w:tcW w:w="550" w:type="pct"/>
            <w:noWrap/>
            <w:vAlign w:val="center"/>
          </w:tcPr>
          <w:p w14:paraId="5235DAEE">
            <w:pPr>
              <w:pStyle w:val="1343"/>
            </w:pPr>
            <w:r>
              <w:rPr>
                <w:rFonts w:hint="eastAsia"/>
              </w:rPr>
              <w:t>2630</w:t>
            </w:r>
          </w:p>
        </w:tc>
        <w:tc>
          <w:tcPr>
            <w:tcW w:w="432" w:type="pct"/>
            <w:noWrap/>
            <w:vAlign w:val="center"/>
          </w:tcPr>
          <w:p w14:paraId="371D351F">
            <w:pPr>
              <w:pStyle w:val="1343"/>
            </w:pPr>
            <w:r>
              <w:t>SE</w:t>
            </w:r>
          </w:p>
        </w:tc>
        <w:tc>
          <w:tcPr>
            <w:tcW w:w="631" w:type="pct"/>
            <w:noWrap/>
            <w:vAlign w:val="center"/>
          </w:tcPr>
          <w:p w14:paraId="3C18018F">
            <w:pPr>
              <w:pStyle w:val="1343"/>
            </w:pPr>
            <w:r>
              <w:rPr>
                <w:rFonts w:hint="eastAsia"/>
              </w:rPr>
              <w:t>5人</w:t>
            </w:r>
          </w:p>
        </w:tc>
        <w:tc>
          <w:tcPr>
            <w:tcW w:w="366" w:type="pct"/>
            <w:vMerge w:val="continue"/>
            <w:noWrap/>
            <w:vAlign w:val="center"/>
          </w:tcPr>
          <w:p w14:paraId="283208F1">
            <w:pPr>
              <w:pStyle w:val="1343"/>
            </w:pPr>
          </w:p>
        </w:tc>
        <w:tc>
          <w:tcPr>
            <w:tcW w:w="464" w:type="pct"/>
            <w:vMerge w:val="continue"/>
            <w:vAlign w:val="center"/>
          </w:tcPr>
          <w:p w14:paraId="75E3FE72">
            <w:pPr>
              <w:pStyle w:val="1343"/>
            </w:pPr>
          </w:p>
        </w:tc>
      </w:tr>
      <w:tr w14:paraId="4CED6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6AA4811B">
            <w:pPr>
              <w:pStyle w:val="1343"/>
              <w:numPr>
                <w:ilvl w:val="0"/>
                <w:numId w:val="24"/>
              </w:numPr>
            </w:pPr>
          </w:p>
        </w:tc>
        <w:tc>
          <w:tcPr>
            <w:tcW w:w="276" w:type="pct"/>
            <w:vMerge w:val="continue"/>
            <w:noWrap/>
            <w:vAlign w:val="center"/>
          </w:tcPr>
          <w:p w14:paraId="215D63B9">
            <w:pPr>
              <w:pStyle w:val="1343"/>
            </w:pPr>
          </w:p>
        </w:tc>
        <w:tc>
          <w:tcPr>
            <w:tcW w:w="837" w:type="pct"/>
            <w:noWrap/>
            <w:vAlign w:val="center"/>
          </w:tcPr>
          <w:p w14:paraId="7765A6C2">
            <w:pPr>
              <w:pStyle w:val="1343"/>
            </w:pPr>
            <w:r>
              <w:rPr>
                <w:rFonts w:hint="eastAsia"/>
              </w:rPr>
              <w:t>杨梅坳</w:t>
            </w:r>
          </w:p>
        </w:tc>
        <w:tc>
          <w:tcPr>
            <w:tcW w:w="572" w:type="pct"/>
            <w:noWrap/>
            <w:vAlign w:val="center"/>
          </w:tcPr>
          <w:p w14:paraId="71EA0270">
            <w:pPr>
              <w:pStyle w:val="1343"/>
            </w:pPr>
            <w:r>
              <w:rPr>
                <w:rFonts w:hint="eastAsia"/>
              </w:rPr>
              <w:t>112.9369</w:t>
            </w:r>
          </w:p>
        </w:tc>
        <w:tc>
          <w:tcPr>
            <w:tcW w:w="616" w:type="pct"/>
            <w:noWrap/>
            <w:vAlign w:val="center"/>
          </w:tcPr>
          <w:p w14:paraId="1E5BF631">
            <w:pPr>
              <w:pStyle w:val="1343"/>
            </w:pPr>
            <w:r>
              <w:rPr>
                <w:rFonts w:hint="eastAsia"/>
              </w:rPr>
              <w:t>26.3905</w:t>
            </w:r>
          </w:p>
        </w:tc>
        <w:tc>
          <w:tcPr>
            <w:tcW w:w="550" w:type="pct"/>
            <w:noWrap/>
            <w:vAlign w:val="center"/>
          </w:tcPr>
          <w:p w14:paraId="66FCD55B">
            <w:pPr>
              <w:pStyle w:val="1343"/>
            </w:pPr>
            <w:r>
              <w:rPr>
                <w:rFonts w:hint="eastAsia"/>
              </w:rPr>
              <w:t>2570</w:t>
            </w:r>
          </w:p>
        </w:tc>
        <w:tc>
          <w:tcPr>
            <w:tcW w:w="432" w:type="pct"/>
            <w:noWrap/>
            <w:vAlign w:val="center"/>
          </w:tcPr>
          <w:p w14:paraId="491C840A">
            <w:pPr>
              <w:pStyle w:val="1343"/>
            </w:pPr>
            <w:r>
              <w:t>SE</w:t>
            </w:r>
          </w:p>
        </w:tc>
        <w:tc>
          <w:tcPr>
            <w:tcW w:w="631" w:type="pct"/>
            <w:noWrap/>
            <w:vAlign w:val="center"/>
          </w:tcPr>
          <w:p w14:paraId="6BBDA3DB">
            <w:pPr>
              <w:pStyle w:val="1343"/>
            </w:pPr>
            <w:r>
              <w:rPr>
                <w:rFonts w:hint="eastAsia"/>
              </w:rPr>
              <w:t>10人</w:t>
            </w:r>
          </w:p>
        </w:tc>
        <w:tc>
          <w:tcPr>
            <w:tcW w:w="366" w:type="pct"/>
            <w:vMerge w:val="continue"/>
            <w:noWrap/>
            <w:vAlign w:val="center"/>
          </w:tcPr>
          <w:p w14:paraId="52B0ECA2">
            <w:pPr>
              <w:pStyle w:val="1343"/>
            </w:pPr>
          </w:p>
        </w:tc>
        <w:tc>
          <w:tcPr>
            <w:tcW w:w="464" w:type="pct"/>
            <w:vMerge w:val="continue"/>
            <w:vAlign w:val="center"/>
          </w:tcPr>
          <w:p w14:paraId="33F3125A">
            <w:pPr>
              <w:pStyle w:val="1343"/>
            </w:pPr>
          </w:p>
        </w:tc>
      </w:tr>
      <w:tr w14:paraId="66A41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3746F4F7">
            <w:pPr>
              <w:pStyle w:val="1343"/>
              <w:numPr>
                <w:ilvl w:val="0"/>
                <w:numId w:val="24"/>
              </w:numPr>
            </w:pPr>
          </w:p>
        </w:tc>
        <w:tc>
          <w:tcPr>
            <w:tcW w:w="276" w:type="pct"/>
            <w:vMerge w:val="continue"/>
            <w:noWrap/>
            <w:vAlign w:val="center"/>
          </w:tcPr>
          <w:p w14:paraId="66BECFD8">
            <w:pPr>
              <w:pStyle w:val="1343"/>
            </w:pPr>
          </w:p>
        </w:tc>
        <w:tc>
          <w:tcPr>
            <w:tcW w:w="837" w:type="pct"/>
            <w:noWrap/>
            <w:vAlign w:val="center"/>
          </w:tcPr>
          <w:p w14:paraId="520296F4">
            <w:pPr>
              <w:pStyle w:val="1343"/>
            </w:pPr>
            <w:r>
              <w:rPr>
                <w:rFonts w:hint="eastAsia"/>
              </w:rPr>
              <w:t>王家湾</w:t>
            </w:r>
          </w:p>
        </w:tc>
        <w:tc>
          <w:tcPr>
            <w:tcW w:w="572" w:type="pct"/>
            <w:noWrap/>
            <w:vAlign w:val="center"/>
          </w:tcPr>
          <w:p w14:paraId="16FE8871">
            <w:pPr>
              <w:pStyle w:val="1343"/>
            </w:pPr>
            <w:r>
              <w:rPr>
                <w:rFonts w:hint="eastAsia"/>
              </w:rPr>
              <w:t>112.9277</w:t>
            </w:r>
          </w:p>
        </w:tc>
        <w:tc>
          <w:tcPr>
            <w:tcW w:w="616" w:type="pct"/>
            <w:noWrap/>
            <w:vAlign w:val="center"/>
          </w:tcPr>
          <w:p w14:paraId="5E330867">
            <w:pPr>
              <w:pStyle w:val="1343"/>
            </w:pPr>
            <w:r>
              <w:rPr>
                <w:rFonts w:hint="eastAsia"/>
              </w:rPr>
              <w:t>26.4030</w:t>
            </w:r>
          </w:p>
        </w:tc>
        <w:tc>
          <w:tcPr>
            <w:tcW w:w="550" w:type="pct"/>
            <w:noWrap/>
            <w:vAlign w:val="center"/>
          </w:tcPr>
          <w:p w14:paraId="7E391FEA">
            <w:pPr>
              <w:pStyle w:val="1343"/>
            </w:pPr>
            <w:r>
              <w:rPr>
                <w:rFonts w:hint="eastAsia"/>
              </w:rPr>
              <w:t>970</w:t>
            </w:r>
          </w:p>
        </w:tc>
        <w:tc>
          <w:tcPr>
            <w:tcW w:w="432" w:type="pct"/>
            <w:noWrap/>
            <w:vAlign w:val="center"/>
          </w:tcPr>
          <w:p w14:paraId="65477FEE">
            <w:pPr>
              <w:pStyle w:val="1343"/>
            </w:pPr>
            <w:r>
              <w:t>S</w:t>
            </w:r>
          </w:p>
        </w:tc>
        <w:tc>
          <w:tcPr>
            <w:tcW w:w="631" w:type="pct"/>
            <w:noWrap/>
            <w:vAlign w:val="center"/>
          </w:tcPr>
          <w:p w14:paraId="7846C665">
            <w:pPr>
              <w:pStyle w:val="1343"/>
            </w:pPr>
            <w:r>
              <w:rPr>
                <w:rFonts w:hint="eastAsia"/>
              </w:rPr>
              <w:t>65人</w:t>
            </w:r>
          </w:p>
        </w:tc>
        <w:tc>
          <w:tcPr>
            <w:tcW w:w="366" w:type="pct"/>
            <w:vMerge w:val="continue"/>
            <w:noWrap/>
            <w:vAlign w:val="center"/>
          </w:tcPr>
          <w:p w14:paraId="7AFE4834">
            <w:pPr>
              <w:pStyle w:val="1343"/>
            </w:pPr>
          </w:p>
        </w:tc>
        <w:tc>
          <w:tcPr>
            <w:tcW w:w="464" w:type="pct"/>
            <w:vMerge w:val="continue"/>
            <w:vAlign w:val="center"/>
          </w:tcPr>
          <w:p w14:paraId="2AF2B000">
            <w:pPr>
              <w:pStyle w:val="1343"/>
            </w:pPr>
          </w:p>
        </w:tc>
      </w:tr>
      <w:tr w14:paraId="14BA5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2FFFB973">
            <w:pPr>
              <w:pStyle w:val="1343"/>
              <w:numPr>
                <w:ilvl w:val="0"/>
                <w:numId w:val="24"/>
              </w:numPr>
            </w:pPr>
          </w:p>
        </w:tc>
        <w:tc>
          <w:tcPr>
            <w:tcW w:w="276" w:type="pct"/>
            <w:vMerge w:val="continue"/>
            <w:noWrap/>
            <w:vAlign w:val="center"/>
          </w:tcPr>
          <w:p w14:paraId="093FD92F">
            <w:pPr>
              <w:pStyle w:val="1343"/>
            </w:pPr>
          </w:p>
        </w:tc>
        <w:tc>
          <w:tcPr>
            <w:tcW w:w="837" w:type="pct"/>
            <w:noWrap/>
            <w:vAlign w:val="center"/>
          </w:tcPr>
          <w:p w14:paraId="06CA0D6A">
            <w:pPr>
              <w:pStyle w:val="1343"/>
            </w:pPr>
            <w:r>
              <w:rPr>
                <w:rFonts w:hint="eastAsia"/>
              </w:rPr>
              <w:t>和尚塘</w:t>
            </w:r>
          </w:p>
        </w:tc>
        <w:tc>
          <w:tcPr>
            <w:tcW w:w="572" w:type="pct"/>
            <w:noWrap/>
            <w:vAlign w:val="center"/>
          </w:tcPr>
          <w:p w14:paraId="3414700D">
            <w:pPr>
              <w:pStyle w:val="1343"/>
            </w:pPr>
            <w:r>
              <w:rPr>
                <w:rFonts w:hint="eastAsia"/>
              </w:rPr>
              <w:t>112.9235</w:t>
            </w:r>
          </w:p>
        </w:tc>
        <w:tc>
          <w:tcPr>
            <w:tcW w:w="616" w:type="pct"/>
            <w:noWrap/>
            <w:vAlign w:val="center"/>
          </w:tcPr>
          <w:p w14:paraId="7945634F">
            <w:pPr>
              <w:pStyle w:val="1343"/>
            </w:pPr>
            <w:r>
              <w:rPr>
                <w:rFonts w:hint="eastAsia"/>
              </w:rPr>
              <w:t>26.4001</w:t>
            </w:r>
          </w:p>
        </w:tc>
        <w:tc>
          <w:tcPr>
            <w:tcW w:w="550" w:type="pct"/>
            <w:noWrap/>
            <w:vAlign w:val="center"/>
          </w:tcPr>
          <w:p w14:paraId="22214054">
            <w:pPr>
              <w:pStyle w:val="1343"/>
            </w:pPr>
            <w:r>
              <w:rPr>
                <w:rFonts w:hint="eastAsia"/>
              </w:rPr>
              <w:t>1210</w:t>
            </w:r>
          </w:p>
        </w:tc>
        <w:tc>
          <w:tcPr>
            <w:tcW w:w="432" w:type="pct"/>
            <w:noWrap/>
            <w:vAlign w:val="center"/>
          </w:tcPr>
          <w:p w14:paraId="29B08DC0">
            <w:pPr>
              <w:pStyle w:val="1343"/>
            </w:pPr>
            <w:r>
              <w:t>S</w:t>
            </w:r>
          </w:p>
        </w:tc>
        <w:tc>
          <w:tcPr>
            <w:tcW w:w="631" w:type="pct"/>
            <w:noWrap/>
            <w:vAlign w:val="center"/>
          </w:tcPr>
          <w:p w14:paraId="1CE7BADD">
            <w:pPr>
              <w:pStyle w:val="1343"/>
            </w:pPr>
            <w:r>
              <w:rPr>
                <w:rFonts w:hint="eastAsia"/>
              </w:rPr>
              <w:t>40人</w:t>
            </w:r>
          </w:p>
        </w:tc>
        <w:tc>
          <w:tcPr>
            <w:tcW w:w="366" w:type="pct"/>
            <w:vMerge w:val="continue"/>
            <w:noWrap/>
            <w:vAlign w:val="center"/>
          </w:tcPr>
          <w:p w14:paraId="7B10A635">
            <w:pPr>
              <w:pStyle w:val="1343"/>
            </w:pPr>
          </w:p>
        </w:tc>
        <w:tc>
          <w:tcPr>
            <w:tcW w:w="464" w:type="pct"/>
            <w:vMerge w:val="continue"/>
            <w:vAlign w:val="center"/>
          </w:tcPr>
          <w:p w14:paraId="5D5EF553">
            <w:pPr>
              <w:pStyle w:val="1343"/>
            </w:pPr>
          </w:p>
        </w:tc>
      </w:tr>
      <w:tr w14:paraId="285B8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11A32135">
            <w:pPr>
              <w:pStyle w:val="1343"/>
              <w:numPr>
                <w:ilvl w:val="0"/>
                <w:numId w:val="24"/>
              </w:numPr>
            </w:pPr>
          </w:p>
        </w:tc>
        <w:tc>
          <w:tcPr>
            <w:tcW w:w="276" w:type="pct"/>
            <w:vMerge w:val="continue"/>
            <w:noWrap/>
            <w:vAlign w:val="center"/>
          </w:tcPr>
          <w:p w14:paraId="01D05A4F">
            <w:pPr>
              <w:pStyle w:val="1343"/>
            </w:pPr>
          </w:p>
        </w:tc>
        <w:tc>
          <w:tcPr>
            <w:tcW w:w="837" w:type="pct"/>
            <w:noWrap/>
            <w:vAlign w:val="center"/>
          </w:tcPr>
          <w:p w14:paraId="50AF1A64">
            <w:pPr>
              <w:pStyle w:val="1343"/>
            </w:pPr>
            <w:r>
              <w:rPr>
                <w:rFonts w:hint="eastAsia"/>
              </w:rPr>
              <w:t>王家坳</w:t>
            </w:r>
          </w:p>
        </w:tc>
        <w:tc>
          <w:tcPr>
            <w:tcW w:w="572" w:type="pct"/>
            <w:noWrap/>
            <w:vAlign w:val="center"/>
          </w:tcPr>
          <w:p w14:paraId="587A9232">
            <w:pPr>
              <w:pStyle w:val="1343"/>
            </w:pPr>
            <w:r>
              <w:rPr>
                <w:rFonts w:hint="eastAsia"/>
              </w:rPr>
              <w:t>112.9174</w:t>
            </w:r>
          </w:p>
        </w:tc>
        <w:tc>
          <w:tcPr>
            <w:tcW w:w="616" w:type="pct"/>
            <w:noWrap/>
            <w:vAlign w:val="center"/>
          </w:tcPr>
          <w:p w14:paraId="2789E8E2">
            <w:pPr>
              <w:pStyle w:val="1343"/>
            </w:pPr>
            <w:r>
              <w:rPr>
                <w:rFonts w:hint="eastAsia"/>
              </w:rPr>
              <w:t>26.3958</w:t>
            </w:r>
          </w:p>
        </w:tc>
        <w:tc>
          <w:tcPr>
            <w:tcW w:w="550" w:type="pct"/>
            <w:noWrap/>
            <w:vAlign w:val="center"/>
          </w:tcPr>
          <w:p w14:paraId="4AC76D71">
            <w:pPr>
              <w:pStyle w:val="1343"/>
            </w:pPr>
            <w:r>
              <w:rPr>
                <w:rFonts w:hint="eastAsia"/>
              </w:rPr>
              <w:t>1800</w:t>
            </w:r>
          </w:p>
        </w:tc>
        <w:tc>
          <w:tcPr>
            <w:tcW w:w="432" w:type="pct"/>
            <w:noWrap/>
            <w:vAlign w:val="center"/>
          </w:tcPr>
          <w:p w14:paraId="37C5C00F">
            <w:pPr>
              <w:pStyle w:val="1343"/>
            </w:pPr>
            <w:r>
              <w:t>S</w:t>
            </w:r>
          </w:p>
        </w:tc>
        <w:tc>
          <w:tcPr>
            <w:tcW w:w="631" w:type="pct"/>
            <w:noWrap/>
            <w:vAlign w:val="center"/>
          </w:tcPr>
          <w:p w14:paraId="5A1F7F4A">
            <w:pPr>
              <w:pStyle w:val="1343"/>
            </w:pPr>
            <w:r>
              <w:rPr>
                <w:rFonts w:hint="eastAsia"/>
              </w:rPr>
              <w:t>10人</w:t>
            </w:r>
          </w:p>
        </w:tc>
        <w:tc>
          <w:tcPr>
            <w:tcW w:w="366" w:type="pct"/>
            <w:vMerge w:val="continue"/>
            <w:noWrap/>
            <w:vAlign w:val="center"/>
          </w:tcPr>
          <w:p w14:paraId="1F71B823">
            <w:pPr>
              <w:pStyle w:val="1343"/>
            </w:pPr>
          </w:p>
        </w:tc>
        <w:tc>
          <w:tcPr>
            <w:tcW w:w="464" w:type="pct"/>
            <w:vMerge w:val="continue"/>
            <w:vAlign w:val="center"/>
          </w:tcPr>
          <w:p w14:paraId="6D0B10CE">
            <w:pPr>
              <w:pStyle w:val="1343"/>
            </w:pPr>
          </w:p>
        </w:tc>
      </w:tr>
      <w:tr w14:paraId="4C5C4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4444C09C">
            <w:pPr>
              <w:pStyle w:val="1343"/>
              <w:numPr>
                <w:ilvl w:val="0"/>
                <w:numId w:val="24"/>
              </w:numPr>
            </w:pPr>
          </w:p>
        </w:tc>
        <w:tc>
          <w:tcPr>
            <w:tcW w:w="276" w:type="pct"/>
            <w:vMerge w:val="continue"/>
            <w:noWrap/>
            <w:vAlign w:val="center"/>
          </w:tcPr>
          <w:p w14:paraId="3F9F1BD5">
            <w:pPr>
              <w:pStyle w:val="1343"/>
            </w:pPr>
          </w:p>
        </w:tc>
        <w:tc>
          <w:tcPr>
            <w:tcW w:w="837" w:type="pct"/>
            <w:noWrap/>
            <w:vAlign w:val="center"/>
          </w:tcPr>
          <w:p w14:paraId="6F3FC4F6">
            <w:pPr>
              <w:pStyle w:val="1343"/>
            </w:pPr>
            <w:r>
              <w:rPr>
                <w:rFonts w:hint="eastAsia"/>
              </w:rPr>
              <w:t>小白石坳</w:t>
            </w:r>
          </w:p>
        </w:tc>
        <w:tc>
          <w:tcPr>
            <w:tcW w:w="572" w:type="pct"/>
            <w:noWrap/>
            <w:vAlign w:val="center"/>
          </w:tcPr>
          <w:p w14:paraId="2A1E1417">
            <w:pPr>
              <w:pStyle w:val="1343"/>
            </w:pPr>
            <w:r>
              <w:rPr>
                <w:rFonts w:hint="eastAsia"/>
              </w:rPr>
              <w:t>112.9222</w:t>
            </w:r>
          </w:p>
        </w:tc>
        <w:tc>
          <w:tcPr>
            <w:tcW w:w="616" w:type="pct"/>
            <w:noWrap/>
            <w:vAlign w:val="center"/>
          </w:tcPr>
          <w:p w14:paraId="31A05625">
            <w:pPr>
              <w:pStyle w:val="1343"/>
            </w:pPr>
            <w:r>
              <w:rPr>
                <w:rFonts w:hint="eastAsia"/>
              </w:rPr>
              <w:t>26.3927</w:t>
            </w:r>
          </w:p>
        </w:tc>
        <w:tc>
          <w:tcPr>
            <w:tcW w:w="550" w:type="pct"/>
            <w:noWrap/>
            <w:vAlign w:val="center"/>
          </w:tcPr>
          <w:p w14:paraId="776EE242">
            <w:pPr>
              <w:pStyle w:val="1343"/>
            </w:pPr>
            <w:r>
              <w:rPr>
                <w:rFonts w:hint="eastAsia"/>
              </w:rPr>
              <w:t>2070</w:t>
            </w:r>
          </w:p>
        </w:tc>
        <w:tc>
          <w:tcPr>
            <w:tcW w:w="432" w:type="pct"/>
            <w:noWrap/>
            <w:vAlign w:val="center"/>
          </w:tcPr>
          <w:p w14:paraId="076EC6DC">
            <w:pPr>
              <w:pStyle w:val="1343"/>
            </w:pPr>
            <w:r>
              <w:t>S</w:t>
            </w:r>
          </w:p>
        </w:tc>
        <w:tc>
          <w:tcPr>
            <w:tcW w:w="631" w:type="pct"/>
            <w:noWrap/>
            <w:vAlign w:val="center"/>
          </w:tcPr>
          <w:p w14:paraId="2002B4B1">
            <w:pPr>
              <w:pStyle w:val="1343"/>
            </w:pPr>
            <w:r>
              <w:rPr>
                <w:rFonts w:hint="eastAsia"/>
              </w:rPr>
              <w:t>5人</w:t>
            </w:r>
          </w:p>
        </w:tc>
        <w:tc>
          <w:tcPr>
            <w:tcW w:w="366" w:type="pct"/>
            <w:vMerge w:val="continue"/>
            <w:noWrap/>
            <w:vAlign w:val="center"/>
          </w:tcPr>
          <w:p w14:paraId="65C198E2">
            <w:pPr>
              <w:pStyle w:val="1343"/>
            </w:pPr>
          </w:p>
        </w:tc>
        <w:tc>
          <w:tcPr>
            <w:tcW w:w="464" w:type="pct"/>
            <w:vMerge w:val="continue"/>
            <w:vAlign w:val="center"/>
          </w:tcPr>
          <w:p w14:paraId="4D7065B5">
            <w:pPr>
              <w:pStyle w:val="1343"/>
            </w:pPr>
          </w:p>
        </w:tc>
      </w:tr>
      <w:tr w14:paraId="3EACC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602C2B64">
            <w:pPr>
              <w:pStyle w:val="1343"/>
              <w:numPr>
                <w:ilvl w:val="0"/>
                <w:numId w:val="24"/>
              </w:numPr>
            </w:pPr>
          </w:p>
        </w:tc>
        <w:tc>
          <w:tcPr>
            <w:tcW w:w="276" w:type="pct"/>
            <w:vMerge w:val="continue"/>
            <w:noWrap/>
            <w:vAlign w:val="center"/>
          </w:tcPr>
          <w:p w14:paraId="218F15F0">
            <w:pPr>
              <w:pStyle w:val="1343"/>
            </w:pPr>
          </w:p>
        </w:tc>
        <w:tc>
          <w:tcPr>
            <w:tcW w:w="837" w:type="pct"/>
            <w:noWrap/>
            <w:vAlign w:val="center"/>
          </w:tcPr>
          <w:p w14:paraId="7DECB658">
            <w:pPr>
              <w:pStyle w:val="1343"/>
            </w:pPr>
            <w:r>
              <w:rPr>
                <w:rFonts w:hint="eastAsia"/>
              </w:rPr>
              <w:t>刘家坳</w:t>
            </w:r>
          </w:p>
        </w:tc>
        <w:tc>
          <w:tcPr>
            <w:tcW w:w="572" w:type="pct"/>
            <w:noWrap/>
            <w:vAlign w:val="center"/>
          </w:tcPr>
          <w:p w14:paraId="78B56551">
            <w:pPr>
              <w:pStyle w:val="1343"/>
            </w:pPr>
            <w:r>
              <w:rPr>
                <w:rFonts w:hint="eastAsia"/>
              </w:rPr>
              <w:t>112.9246</w:t>
            </w:r>
          </w:p>
        </w:tc>
        <w:tc>
          <w:tcPr>
            <w:tcW w:w="616" w:type="pct"/>
            <w:noWrap/>
            <w:vAlign w:val="center"/>
          </w:tcPr>
          <w:p w14:paraId="0740043D">
            <w:pPr>
              <w:pStyle w:val="1343"/>
            </w:pPr>
            <w:r>
              <w:rPr>
                <w:rFonts w:hint="eastAsia"/>
              </w:rPr>
              <w:t>26.3855</w:t>
            </w:r>
          </w:p>
        </w:tc>
        <w:tc>
          <w:tcPr>
            <w:tcW w:w="550" w:type="pct"/>
            <w:noWrap/>
            <w:vAlign w:val="center"/>
          </w:tcPr>
          <w:p w14:paraId="2ED37709">
            <w:pPr>
              <w:pStyle w:val="1343"/>
            </w:pPr>
            <w:r>
              <w:rPr>
                <w:rFonts w:hint="eastAsia"/>
              </w:rPr>
              <w:t>2850</w:t>
            </w:r>
          </w:p>
        </w:tc>
        <w:tc>
          <w:tcPr>
            <w:tcW w:w="432" w:type="pct"/>
            <w:noWrap/>
            <w:vAlign w:val="center"/>
          </w:tcPr>
          <w:p w14:paraId="741967F0">
            <w:pPr>
              <w:pStyle w:val="1343"/>
            </w:pPr>
            <w:r>
              <w:t>S</w:t>
            </w:r>
          </w:p>
        </w:tc>
        <w:tc>
          <w:tcPr>
            <w:tcW w:w="631" w:type="pct"/>
            <w:noWrap/>
            <w:vAlign w:val="center"/>
          </w:tcPr>
          <w:p w14:paraId="3BF288B3">
            <w:pPr>
              <w:pStyle w:val="1343"/>
            </w:pPr>
            <w:r>
              <w:rPr>
                <w:rFonts w:hint="eastAsia"/>
              </w:rPr>
              <w:t>5人</w:t>
            </w:r>
          </w:p>
        </w:tc>
        <w:tc>
          <w:tcPr>
            <w:tcW w:w="366" w:type="pct"/>
            <w:vMerge w:val="continue"/>
            <w:noWrap/>
            <w:vAlign w:val="center"/>
          </w:tcPr>
          <w:p w14:paraId="448086F4">
            <w:pPr>
              <w:pStyle w:val="1343"/>
            </w:pPr>
          </w:p>
        </w:tc>
        <w:tc>
          <w:tcPr>
            <w:tcW w:w="464" w:type="pct"/>
            <w:vMerge w:val="continue"/>
            <w:vAlign w:val="center"/>
          </w:tcPr>
          <w:p w14:paraId="51C071A5">
            <w:pPr>
              <w:pStyle w:val="1343"/>
            </w:pPr>
          </w:p>
        </w:tc>
      </w:tr>
      <w:tr w14:paraId="2EE31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091EC525">
            <w:pPr>
              <w:pStyle w:val="1343"/>
              <w:numPr>
                <w:ilvl w:val="0"/>
                <w:numId w:val="24"/>
              </w:numPr>
            </w:pPr>
          </w:p>
        </w:tc>
        <w:tc>
          <w:tcPr>
            <w:tcW w:w="276" w:type="pct"/>
            <w:vMerge w:val="continue"/>
            <w:noWrap/>
            <w:vAlign w:val="center"/>
          </w:tcPr>
          <w:p w14:paraId="62E40D99">
            <w:pPr>
              <w:pStyle w:val="1343"/>
            </w:pPr>
          </w:p>
        </w:tc>
        <w:tc>
          <w:tcPr>
            <w:tcW w:w="837" w:type="pct"/>
            <w:noWrap/>
            <w:vAlign w:val="center"/>
          </w:tcPr>
          <w:p w14:paraId="2AF43267">
            <w:pPr>
              <w:pStyle w:val="1343"/>
            </w:pPr>
            <w:r>
              <w:rPr>
                <w:rFonts w:hint="eastAsia"/>
              </w:rPr>
              <w:t>大白石坳</w:t>
            </w:r>
          </w:p>
        </w:tc>
        <w:tc>
          <w:tcPr>
            <w:tcW w:w="572" w:type="pct"/>
            <w:noWrap/>
            <w:vAlign w:val="center"/>
          </w:tcPr>
          <w:p w14:paraId="113CD4D0">
            <w:pPr>
              <w:pStyle w:val="1343"/>
            </w:pPr>
            <w:r>
              <w:rPr>
                <w:rFonts w:hint="eastAsia"/>
              </w:rPr>
              <w:t>112.9169</w:t>
            </w:r>
          </w:p>
        </w:tc>
        <w:tc>
          <w:tcPr>
            <w:tcW w:w="616" w:type="pct"/>
            <w:noWrap/>
            <w:vAlign w:val="center"/>
          </w:tcPr>
          <w:p w14:paraId="559AC38B">
            <w:pPr>
              <w:pStyle w:val="1343"/>
            </w:pPr>
            <w:r>
              <w:rPr>
                <w:rFonts w:hint="eastAsia"/>
              </w:rPr>
              <w:t>26.4077</w:t>
            </w:r>
          </w:p>
        </w:tc>
        <w:tc>
          <w:tcPr>
            <w:tcW w:w="550" w:type="pct"/>
            <w:noWrap/>
            <w:vAlign w:val="center"/>
          </w:tcPr>
          <w:p w14:paraId="194E5857">
            <w:pPr>
              <w:pStyle w:val="1343"/>
            </w:pPr>
            <w:r>
              <w:rPr>
                <w:rFonts w:hint="eastAsia"/>
              </w:rPr>
              <w:t>880</w:t>
            </w:r>
          </w:p>
        </w:tc>
        <w:tc>
          <w:tcPr>
            <w:tcW w:w="432" w:type="pct"/>
            <w:noWrap/>
            <w:vAlign w:val="center"/>
          </w:tcPr>
          <w:p w14:paraId="5AF5C9F6">
            <w:pPr>
              <w:pStyle w:val="1343"/>
            </w:pPr>
            <w:r>
              <w:t>SW</w:t>
            </w:r>
          </w:p>
        </w:tc>
        <w:tc>
          <w:tcPr>
            <w:tcW w:w="631" w:type="pct"/>
            <w:noWrap/>
            <w:vAlign w:val="center"/>
          </w:tcPr>
          <w:p w14:paraId="15344585">
            <w:pPr>
              <w:pStyle w:val="1343"/>
            </w:pPr>
            <w:r>
              <w:rPr>
                <w:rFonts w:hint="eastAsia"/>
              </w:rPr>
              <w:t>30人</w:t>
            </w:r>
          </w:p>
        </w:tc>
        <w:tc>
          <w:tcPr>
            <w:tcW w:w="366" w:type="pct"/>
            <w:vMerge w:val="continue"/>
            <w:noWrap/>
            <w:vAlign w:val="center"/>
          </w:tcPr>
          <w:p w14:paraId="22FBB3D2">
            <w:pPr>
              <w:pStyle w:val="1343"/>
            </w:pPr>
          </w:p>
        </w:tc>
        <w:tc>
          <w:tcPr>
            <w:tcW w:w="464" w:type="pct"/>
            <w:vMerge w:val="continue"/>
            <w:vAlign w:val="center"/>
          </w:tcPr>
          <w:p w14:paraId="2E6B7217">
            <w:pPr>
              <w:pStyle w:val="1343"/>
            </w:pPr>
          </w:p>
        </w:tc>
      </w:tr>
      <w:tr w14:paraId="464F5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40202C13">
            <w:pPr>
              <w:pStyle w:val="1343"/>
              <w:numPr>
                <w:ilvl w:val="0"/>
                <w:numId w:val="24"/>
              </w:numPr>
            </w:pPr>
          </w:p>
        </w:tc>
        <w:tc>
          <w:tcPr>
            <w:tcW w:w="276" w:type="pct"/>
            <w:vMerge w:val="continue"/>
            <w:noWrap/>
            <w:vAlign w:val="center"/>
          </w:tcPr>
          <w:p w14:paraId="06A25165">
            <w:pPr>
              <w:pStyle w:val="1343"/>
            </w:pPr>
          </w:p>
        </w:tc>
        <w:tc>
          <w:tcPr>
            <w:tcW w:w="837" w:type="pct"/>
            <w:noWrap/>
            <w:vAlign w:val="center"/>
          </w:tcPr>
          <w:p w14:paraId="1E618EBF">
            <w:pPr>
              <w:pStyle w:val="1343"/>
            </w:pPr>
            <w:r>
              <w:rPr>
                <w:rFonts w:hint="eastAsia"/>
              </w:rPr>
              <w:t>张家冲</w:t>
            </w:r>
          </w:p>
        </w:tc>
        <w:tc>
          <w:tcPr>
            <w:tcW w:w="572" w:type="pct"/>
            <w:noWrap/>
            <w:vAlign w:val="center"/>
          </w:tcPr>
          <w:p w14:paraId="6F63BE9B">
            <w:pPr>
              <w:pStyle w:val="1343"/>
            </w:pPr>
            <w:r>
              <w:rPr>
                <w:rFonts w:hint="eastAsia"/>
              </w:rPr>
              <w:t>112.9163</w:t>
            </w:r>
          </w:p>
        </w:tc>
        <w:tc>
          <w:tcPr>
            <w:tcW w:w="616" w:type="pct"/>
            <w:noWrap/>
            <w:vAlign w:val="center"/>
          </w:tcPr>
          <w:p w14:paraId="52342CC8">
            <w:pPr>
              <w:pStyle w:val="1343"/>
            </w:pPr>
            <w:r>
              <w:rPr>
                <w:rFonts w:hint="eastAsia"/>
              </w:rPr>
              <w:t>26.3905</w:t>
            </w:r>
          </w:p>
        </w:tc>
        <w:tc>
          <w:tcPr>
            <w:tcW w:w="550" w:type="pct"/>
            <w:noWrap/>
            <w:vAlign w:val="center"/>
          </w:tcPr>
          <w:p w14:paraId="0E6282A1">
            <w:pPr>
              <w:pStyle w:val="1343"/>
            </w:pPr>
            <w:r>
              <w:rPr>
                <w:rFonts w:hint="eastAsia"/>
              </w:rPr>
              <w:t>2460</w:t>
            </w:r>
          </w:p>
        </w:tc>
        <w:tc>
          <w:tcPr>
            <w:tcW w:w="432" w:type="pct"/>
            <w:noWrap/>
            <w:vAlign w:val="center"/>
          </w:tcPr>
          <w:p w14:paraId="67B275E2">
            <w:pPr>
              <w:pStyle w:val="1343"/>
            </w:pPr>
            <w:r>
              <w:t>SW</w:t>
            </w:r>
          </w:p>
        </w:tc>
        <w:tc>
          <w:tcPr>
            <w:tcW w:w="631" w:type="pct"/>
            <w:noWrap/>
            <w:vAlign w:val="center"/>
          </w:tcPr>
          <w:p w14:paraId="2A951E79">
            <w:pPr>
              <w:pStyle w:val="1343"/>
            </w:pPr>
            <w:r>
              <w:rPr>
                <w:rFonts w:hint="eastAsia"/>
              </w:rPr>
              <w:t>30人</w:t>
            </w:r>
          </w:p>
        </w:tc>
        <w:tc>
          <w:tcPr>
            <w:tcW w:w="366" w:type="pct"/>
            <w:vMerge w:val="continue"/>
            <w:noWrap/>
            <w:vAlign w:val="center"/>
          </w:tcPr>
          <w:p w14:paraId="6468EBAC">
            <w:pPr>
              <w:pStyle w:val="1343"/>
            </w:pPr>
          </w:p>
        </w:tc>
        <w:tc>
          <w:tcPr>
            <w:tcW w:w="464" w:type="pct"/>
            <w:vMerge w:val="continue"/>
            <w:vAlign w:val="center"/>
          </w:tcPr>
          <w:p w14:paraId="4748C0F8">
            <w:pPr>
              <w:pStyle w:val="1343"/>
            </w:pPr>
          </w:p>
        </w:tc>
      </w:tr>
      <w:tr w14:paraId="09441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44E24EAF">
            <w:pPr>
              <w:pStyle w:val="1343"/>
              <w:numPr>
                <w:ilvl w:val="0"/>
                <w:numId w:val="24"/>
              </w:numPr>
            </w:pPr>
          </w:p>
        </w:tc>
        <w:tc>
          <w:tcPr>
            <w:tcW w:w="276" w:type="pct"/>
            <w:vMerge w:val="continue"/>
            <w:noWrap/>
            <w:vAlign w:val="center"/>
          </w:tcPr>
          <w:p w14:paraId="1E2B6052">
            <w:pPr>
              <w:pStyle w:val="1343"/>
            </w:pPr>
          </w:p>
        </w:tc>
        <w:tc>
          <w:tcPr>
            <w:tcW w:w="837" w:type="pct"/>
            <w:noWrap/>
            <w:vAlign w:val="center"/>
          </w:tcPr>
          <w:p w14:paraId="5CCD0716">
            <w:pPr>
              <w:pStyle w:val="1343"/>
            </w:pPr>
            <w:r>
              <w:rPr>
                <w:rFonts w:hint="eastAsia"/>
              </w:rPr>
              <w:t>杨家坳</w:t>
            </w:r>
          </w:p>
        </w:tc>
        <w:tc>
          <w:tcPr>
            <w:tcW w:w="572" w:type="pct"/>
            <w:noWrap/>
            <w:vAlign w:val="center"/>
          </w:tcPr>
          <w:p w14:paraId="77C84BA5">
            <w:pPr>
              <w:pStyle w:val="1343"/>
            </w:pPr>
            <w:r>
              <w:rPr>
                <w:rFonts w:hint="eastAsia"/>
              </w:rPr>
              <w:t>112.9098</w:t>
            </w:r>
          </w:p>
        </w:tc>
        <w:tc>
          <w:tcPr>
            <w:tcW w:w="616" w:type="pct"/>
            <w:noWrap/>
            <w:vAlign w:val="center"/>
          </w:tcPr>
          <w:p w14:paraId="746EBFDA">
            <w:pPr>
              <w:pStyle w:val="1343"/>
            </w:pPr>
            <w:r>
              <w:rPr>
                <w:rFonts w:hint="eastAsia"/>
              </w:rPr>
              <w:t>26.4019</w:t>
            </w:r>
          </w:p>
        </w:tc>
        <w:tc>
          <w:tcPr>
            <w:tcW w:w="550" w:type="pct"/>
            <w:noWrap/>
            <w:vAlign w:val="center"/>
          </w:tcPr>
          <w:p w14:paraId="64FB6C5E">
            <w:pPr>
              <w:pStyle w:val="1343"/>
            </w:pPr>
            <w:r>
              <w:rPr>
                <w:rFonts w:hint="eastAsia"/>
              </w:rPr>
              <w:t>1860</w:t>
            </w:r>
          </w:p>
        </w:tc>
        <w:tc>
          <w:tcPr>
            <w:tcW w:w="432" w:type="pct"/>
            <w:noWrap/>
            <w:vAlign w:val="center"/>
          </w:tcPr>
          <w:p w14:paraId="0036E9D7">
            <w:pPr>
              <w:pStyle w:val="1343"/>
            </w:pPr>
            <w:r>
              <w:t>SW</w:t>
            </w:r>
          </w:p>
        </w:tc>
        <w:tc>
          <w:tcPr>
            <w:tcW w:w="631" w:type="pct"/>
            <w:noWrap/>
            <w:vAlign w:val="center"/>
          </w:tcPr>
          <w:p w14:paraId="4AFDC028">
            <w:pPr>
              <w:pStyle w:val="1343"/>
            </w:pPr>
            <w:r>
              <w:rPr>
                <w:rFonts w:hint="eastAsia"/>
              </w:rPr>
              <w:t>5人</w:t>
            </w:r>
          </w:p>
        </w:tc>
        <w:tc>
          <w:tcPr>
            <w:tcW w:w="366" w:type="pct"/>
            <w:vMerge w:val="continue"/>
            <w:noWrap/>
            <w:vAlign w:val="center"/>
          </w:tcPr>
          <w:p w14:paraId="2A1FE020">
            <w:pPr>
              <w:pStyle w:val="1343"/>
            </w:pPr>
          </w:p>
        </w:tc>
        <w:tc>
          <w:tcPr>
            <w:tcW w:w="464" w:type="pct"/>
            <w:vMerge w:val="continue"/>
            <w:vAlign w:val="center"/>
          </w:tcPr>
          <w:p w14:paraId="52A15582">
            <w:pPr>
              <w:pStyle w:val="1343"/>
            </w:pPr>
          </w:p>
        </w:tc>
      </w:tr>
      <w:tr w14:paraId="0042E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5CB04FEA">
            <w:pPr>
              <w:pStyle w:val="1343"/>
              <w:numPr>
                <w:ilvl w:val="0"/>
                <w:numId w:val="24"/>
              </w:numPr>
            </w:pPr>
          </w:p>
        </w:tc>
        <w:tc>
          <w:tcPr>
            <w:tcW w:w="276" w:type="pct"/>
            <w:vMerge w:val="continue"/>
            <w:noWrap/>
            <w:vAlign w:val="center"/>
          </w:tcPr>
          <w:p w14:paraId="3EEC4167">
            <w:pPr>
              <w:pStyle w:val="1343"/>
            </w:pPr>
          </w:p>
        </w:tc>
        <w:tc>
          <w:tcPr>
            <w:tcW w:w="837" w:type="pct"/>
            <w:noWrap/>
            <w:vAlign w:val="center"/>
          </w:tcPr>
          <w:p w14:paraId="0F335DDD">
            <w:pPr>
              <w:pStyle w:val="1343"/>
            </w:pPr>
            <w:r>
              <w:rPr>
                <w:rFonts w:hint="eastAsia"/>
              </w:rPr>
              <w:t>刘家村</w:t>
            </w:r>
          </w:p>
        </w:tc>
        <w:tc>
          <w:tcPr>
            <w:tcW w:w="572" w:type="pct"/>
            <w:noWrap/>
            <w:vAlign w:val="center"/>
          </w:tcPr>
          <w:p w14:paraId="13E3E943">
            <w:pPr>
              <w:pStyle w:val="1343"/>
            </w:pPr>
            <w:r>
              <w:rPr>
                <w:rFonts w:hint="eastAsia"/>
              </w:rPr>
              <w:t>112.9191</w:t>
            </w:r>
          </w:p>
        </w:tc>
        <w:tc>
          <w:tcPr>
            <w:tcW w:w="616" w:type="pct"/>
            <w:noWrap/>
            <w:vAlign w:val="center"/>
          </w:tcPr>
          <w:p w14:paraId="1BAC17EA">
            <w:pPr>
              <w:pStyle w:val="1343"/>
            </w:pPr>
            <w:r>
              <w:rPr>
                <w:rFonts w:hint="eastAsia"/>
              </w:rPr>
              <w:t>26.3863</w:t>
            </w:r>
          </w:p>
        </w:tc>
        <w:tc>
          <w:tcPr>
            <w:tcW w:w="550" w:type="pct"/>
            <w:noWrap/>
            <w:vAlign w:val="center"/>
          </w:tcPr>
          <w:p w14:paraId="1DB476B0">
            <w:pPr>
              <w:pStyle w:val="1343"/>
            </w:pPr>
            <w:r>
              <w:rPr>
                <w:rFonts w:hint="eastAsia"/>
              </w:rPr>
              <w:t>2750</w:t>
            </w:r>
          </w:p>
        </w:tc>
        <w:tc>
          <w:tcPr>
            <w:tcW w:w="432" w:type="pct"/>
            <w:noWrap/>
            <w:vAlign w:val="center"/>
          </w:tcPr>
          <w:p w14:paraId="220F045F">
            <w:pPr>
              <w:pStyle w:val="1343"/>
            </w:pPr>
            <w:r>
              <w:t>SW</w:t>
            </w:r>
          </w:p>
        </w:tc>
        <w:tc>
          <w:tcPr>
            <w:tcW w:w="631" w:type="pct"/>
            <w:noWrap/>
            <w:vAlign w:val="center"/>
          </w:tcPr>
          <w:p w14:paraId="244ED2F7">
            <w:pPr>
              <w:pStyle w:val="1343"/>
            </w:pPr>
            <w:r>
              <w:rPr>
                <w:rFonts w:hint="eastAsia"/>
              </w:rPr>
              <w:t>40人</w:t>
            </w:r>
          </w:p>
        </w:tc>
        <w:tc>
          <w:tcPr>
            <w:tcW w:w="366" w:type="pct"/>
            <w:vMerge w:val="continue"/>
            <w:noWrap/>
            <w:vAlign w:val="center"/>
          </w:tcPr>
          <w:p w14:paraId="15C5E3F2">
            <w:pPr>
              <w:pStyle w:val="1343"/>
            </w:pPr>
          </w:p>
        </w:tc>
        <w:tc>
          <w:tcPr>
            <w:tcW w:w="464" w:type="pct"/>
            <w:vMerge w:val="continue"/>
            <w:vAlign w:val="center"/>
          </w:tcPr>
          <w:p w14:paraId="06392054">
            <w:pPr>
              <w:pStyle w:val="1343"/>
            </w:pPr>
          </w:p>
        </w:tc>
      </w:tr>
      <w:tr w14:paraId="24339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1" w:type="pct"/>
            <w:vAlign w:val="center"/>
          </w:tcPr>
          <w:p w14:paraId="77962F04">
            <w:pPr>
              <w:pStyle w:val="1343"/>
              <w:jc w:val="both"/>
            </w:pPr>
          </w:p>
        </w:tc>
        <w:tc>
          <w:tcPr>
            <w:tcW w:w="4284" w:type="pct"/>
            <w:gridSpan w:val="8"/>
            <w:noWrap/>
            <w:vAlign w:val="center"/>
          </w:tcPr>
          <w:p w14:paraId="227EE989">
            <w:pPr>
              <w:pStyle w:val="1343"/>
            </w:pPr>
            <w:r>
              <w:t>合计：</w:t>
            </w:r>
            <w:r>
              <w:rPr>
                <w:rFonts w:hint="eastAsia"/>
              </w:rPr>
              <w:t>84</w:t>
            </w:r>
            <w:r>
              <w:t>个村庄、</w:t>
            </w:r>
            <w:r>
              <w:rPr>
                <w:rFonts w:hint="eastAsia"/>
              </w:rPr>
              <w:t>1</w:t>
            </w:r>
            <w:r>
              <w:t>所学校，人数共</w:t>
            </w:r>
            <w:r>
              <w:rPr>
                <w:rFonts w:hint="eastAsia"/>
              </w:rPr>
              <w:t>6380</w:t>
            </w:r>
            <w:r>
              <w:t>人。</w:t>
            </w:r>
          </w:p>
        </w:tc>
        <w:tc>
          <w:tcPr>
            <w:tcW w:w="464" w:type="pct"/>
            <w:vMerge w:val="continue"/>
            <w:vAlign w:val="center"/>
          </w:tcPr>
          <w:p w14:paraId="22C36795">
            <w:pPr>
              <w:pStyle w:val="1343"/>
            </w:pPr>
          </w:p>
        </w:tc>
      </w:tr>
    </w:tbl>
    <w:p w14:paraId="6A13F23F">
      <w:pPr>
        <w:spacing w:line="360" w:lineRule="auto"/>
        <w:ind w:firstLine="480" w:firstLineChars="200"/>
        <w:rPr>
          <w:sz w:val="24"/>
        </w:rPr>
      </w:pPr>
    </w:p>
    <w:p w14:paraId="53A3E0AB">
      <w:pPr>
        <w:sectPr>
          <w:pgSz w:w="11906" w:h="16838"/>
          <w:pgMar w:top="1440" w:right="1418" w:bottom="1440" w:left="1418" w:header="839" w:footer="850" w:gutter="0"/>
          <w:cols w:space="425" w:num="1"/>
          <w:docGrid w:linePitch="312" w:charSpace="0"/>
        </w:sectPr>
      </w:pPr>
    </w:p>
    <w:p w14:paraId="56EF5F0B">
      <w:pPr>
        <w:pStyle w:val="3"/>
      </w:pPr>
      <w:bookmarkStart w:id="139" w:name="_Toc72672339"/>
      <w:r>
        <w:t xml:space="preserve"> </w:t>
      </w:r>
      <w:bookmarkStart w:id="140" w:name="_Toc6383"/>
      <w:r>
        <w:t>建设项目概况与工程分析</w:t>
      </w:r>
      <w:bookmarkEnd w:id="139"/>
      <w:bookmarkEnd w:id="140"/>
    </w:p>
    <w:p w14:paraId="3BD5B9FE">
      <w:pPr>
        <w:pStyle w:val="4"/>
      </w:pPr>
      <w:bookmarkStart w:id="141" w:name="_Toc28671"/>
      <w:bookmarkStart w:id="142" w:name="_Toc72672341"/>
      <w:r>
        <w:rPr>
          <w:rFonts w:hint="eastAsia"/>
          <w:lang w:val="en-US"/>
        </w:rPr>
        <w:t>现有工程基本情况</w:t>
      </w:r>
      <w:bookmarkEnd w:id="141"/>
    </w:p>
    <w:p w14:paraId="6CC9FC69">
      <w:pPr>
        <w:pStyle w:val="5"/>
        <w:rPr>
          <w:color w:val="auto"/>
        </w:rPr>
      </w:pPr>
      <w:r>
        <w:rPr>
          <w:rFonts w:hint="eastAsia"/>
          <w:color w:val="auto"/>
        </w:rPr>
        <w:t>现有工程工程概况</w:t>
      </w:r>
    </w:p>
    <w:p w14:paraId="2187BF82">
      <w:pPr>
        <w:pStyle w:val="234"/>
        <w:ind w:firstLine="482"/>
        <w:rPr>
          <w:b/>
          <w:bCs/>
        </w:rPr>
      </w:pPr>
      <w:r>
        <w:rPr>
          <w:rFonts w:hint="eastAsia"/>
          <w:b/>
          <w:bCs/>
        </w:rPr>
        <w:t>（1）现有工程环评及验收情况</w:t>
      </w:r>
    </w:p>
    <w:p w14:paraId="3D9FA371">
      <w:pPr>
        <w:pStyle w:val="234"/>
      </w:pPr>
      <w:r>
        <w:rPr>
          <w:rFonts w:hint="eastAsia"/>
        </w:rPr>
        <w:t>本项目改建的28号阀室属于潜江-韶关输气管道工程；“潜江-韶关输气管道工程”是“中国石化新疆煤制气外输管道工程（新粤浙管道）”一期工程。中国石化新疆煤制天然气外输管道有限责任公司于2012年3月委托北京飞燕石化环保科技发展有限公司编制了《中国石化新疆煤制气外输管道工程（新粤浙管道）环境影响报告书》，中华人民共和国环境保护部于2015年6月26日以环审</w:t>
      </w:r>
      <w:r>
        <w:rPr>
          <w:rFonts w:hint="eastAsia" w:ascii="宋体" w:hAnsi="宋体" w:cs="宋体"/>
        </w:rPr>
        <w:t>〔</w:t>
      </w:r>
      <w:r>
        <w:rPr>
          <w:rFonts w:hint="eastAsia"/>
        </w:rPr>
        <w:t>2015</w:t>
      </w:r>
      <w:r>
        <w:rPr>
          <w:rFonts w:hint="eastAsia" w:ascii="宋体" w:hAnsi="宋体" w:cs="宋体"/>
        </w:rPr>
        <w:t>〕</w:t>
      </w:r>
      <w:r>
        <w:rPr>
          <w:rFonts w:hint="eastAsia"/>
        </w:rPr>
        <w:t>149号文下达了该项目的环评批复（见附件10）。</w:t>
      </w:r>
    </w:p>
    <w:p w14:paraId="7248E34B">
      <w:pPr>
        <w:pStyle w:val="234"/>
      </w:pPr>
      <w:r>
        <w:rPr>
          <w:rFonts w:hint="eastAsia"/>
        </w:rPr>
        <w:t>2017年9月新粤浙管道一期工程开工建设，2020年6月新粤浙管道一期工程（潜江-郴州段）完工，2021年1月工程通气运行。2021年5月29日完成自主验收（见附件11）。</w:t>
      </w:r>
    </w:p>
    <w:p w14:paraId="279701CD">
      <w:pPr>
        <w:pStyle w:val="234"/>
        <w:ind w:firstLine="482"/>
        <w:rPr>
          <w:b/>
          <w:bCs/>
        </w:rPr>
      </w:pPr>
      <w:r>
        <w:rPr>
          <w:rFonts w:hint="eastAsia"/>
          <w:b/>
          <w:bCs/>
        </w:rPr>
        <w:t>（2）主体工程</w:t>
      </w:r>
    </w:p>
    <w:p w14:paraId="304BB18B">
      <w:pPr>
        <w:pStyle w:val="234"/>
      </w:pPr>
      <w:r>
        <w:rPr>
          <w:rFonts w:hint="eastAsia"/>
        </w:rPr>
        <w:t>新疆煤制气外输管道工程（新粤浙管道）一期工程（潜江至郴州段）起自湖北省潜江市潜江枢纽站，途经湖北省潜江市、荆州市，湖南省岳阳市、长沙市、株洲、衡阳市和郴州市，止于湖南和广东交界处，全长 687km，输气规模为60×10</w:t>
      </w:r>
      <w:r>
        <w:rPr>
          <w:rFonts w:hint="eastAsia"/>
          <w:vertAlign w:val="superscript"/>
        </w:rPr>
        <w:t>8</w:t>
      </w:r>
      <w:r>
        <w:rPr>
          <w:rFonts w:hint="eastAsia"/>
        </w:rPr>
        <w:t>Nm</w:t>
      </w:r>
      <w:r>
        <w:rPr>
          <w:rFonts w:hint="eastAsia"/>
          <w:vertAlign w:val="superscript"/>
        </w:rPr>
        <w:t>3</w:t>
      </w:r>
      <w:r>
        <w:rPr>
          <w:rFonts w:hint="eastAsia"/>
        </w:rPr>
        <w:t>/a，管径1016mm，压力为10MPa，共设7座工艺站场和34座截断阀室。</w:t>
      </w:r>
    </w:p>
    <w:p w14:paraId="587154DE">
      <w:pPr>
        <w:pStyle w:val="234"/>
        <w:ind w:firstLine="482"/>
        <w:rPr>
          <w:b/>
          <w:bCs/>
        </w:rPr>
      </w:pPr>
      <w:r>
        <w:rPr>
          <w:rFonts w:hint="eastAsia"/>
          <w:b/>
          <w:bCs/>
        </w:rPr>
        <w:t>（3）穿越工程</w:t>
      </w:r>
    </w:p>
    <w:p w14:paraId="49AF199C">
      <w:pPr>
        <w:pStyle w:val="234"/>
      </w:pPr>
      <w:r>
        <w:rPr>
          <w:rFonts w:hint="eastAsia"/>
        </w:rPr>
        <w:t>新疆煤制气外输管道工程（新粤浙管道）一期工程（潜江至郴州段）涉及大中型河流穿越26次（穿越长度17424.45m），穿越方式以定向钻为主，开挖为辅；涉及高速公路穿越16次（穿越长度2295.15m），穿越方式以顶管为主，开挖为辅；涉及高等级公路穿越51次（穿越长度3067.39m），穿越方式以顶管为主，定向钻为辅；涉及铁路穿越13次（穿越长度1056.26m），穿越方式以顶管为主，开挖为辅。</w:t>
      </w:r>
    </w:p>
    <w:p w14:paraId="5D98DB1A">
      <w:pPr>
        <w:pStyle w:val="234"/>
        <w:ind w:firstLine="482"/>
        <w:rPr>
          <w:b/>
          <w:bCs/>
        </w:rPr>
      </w:pPr>
      <w:r>
        <w:rPr>
          <w:rFonts w:hint="eastAsia"/>
          <w:b/>
          <w:bCs/>
        </w:rPr>
        <w:t>（4）辅助工程</w:t>
      </w:r>
    </w:p>
    <w:p w14:paraId="02E7CF15">
      <w:pPr>
        <w:pStyle w:val="234"/>
      </w:pPr>
      <w:r>
        <w:rPr>
          <w:rFonts w:hint="eastAsia"/>
        </w:rPr>
        <w:t>新修、整修伴行路111.7km，新修、整修施工便道118.1km。</w:t>
      </w:r>
    </w:p>
    <w:p w14:paraId="50303CAA">
      <w:pPr>
        <w:pStyle w:val="234"/>
      </w:pPr>
      <w:r>
        <w:rPr>
          <w:rFonts w:hint="eastAsia"/>
        </w:rPr>
        <w:t>潜江—韶关输气关系及28号阀室位置详见图3.1-1。</w:t>
      </w:r>
    </w:p>
    <w:p w14:paraId="191BC577">
      <w:pPr>
        <w:pStyle w:val="234"/>
        <w:ind w:firstLine="0" w:firstLineChars="0"/>
      </w:pPr>
      <w:r>
        <w:rPr>
          <w:rFonts w:hint="eastAsia"/>
        </w:rPr>
        <w:drawing>
          <wp:inline distT="0" distB="0" distL="114300" distR="114300">
            <wp:extent cx="5977890" cy="7618730"/>
            <wp:effectExtent l="0" t="0" r="3810" b="1270"/>
            <wp:docPr id="32" name="图片 32" descr="0d8e36593bcbf4b2c1d05e02f5cc6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0d8e36593bcbf4b2c1d05e02f5cc6ea"/>
                    <pic:cNvPicPr>
                      <a:picLocks noChangeAspect="1"/>
                    </pic:cNvPicPr>
                  </pic:nvPicPr>
                  <pic:blipFill>
                    <a:blip r:embed="rId38"/>
                    <a:stretch>
                      <a:fillRect/>
                    </a:stretch>
                  </pic:blipFill>
                  <pic:spPr>
                    <a:xfrm>
                      <a:off x="0" y="0"/>
                      <a:ext cx="5977890" cy="7618730"/>
                    </a:xfrm>
                    <a:prstGeom prst="rect">
                      <a:avLst/>
                    </a:prstGeom>
                  </pic:spPr>
                </pic:pic>
              </a:graphicData>
            </a:graphic>
          </wp:inline>
        </w:drawing>
      </w:r>
    </w:p>
    <w:p w14:paraId="6C7F7A87">
      <w:pPr>
        <w:pStyle w:val="904"/>
        <w:spacing w:line="360" w:lineRule="auto"/>
      </w:pPr>
      <w:r>
        <w:rPr>
          <w:rFonts w:hint="eastAsia"/>
        </w:rPr>
        <w:t>图3.1-1  潜江—韶关输气管道及28号阀室位置图</w:t>
      </w:r>
    </w:p>
    <w:p w14:paraId="10AC30C1">
      <w:pPr>
        <w:pStyle w:val="5"/>
        <w:rPr>
          <w:color w:val="auto"/>
        </w:rPr>
      </w:pPr>
      <w:r>
        <w:rPr>
          <w:rFonts w:hint="eastAsia"/>
          <w:color w:val="auto"/>
        </w:rPr>
        <w:t xml:space="preserve"> 28号阀室工程概况</w:t>
      </w:r>
    </w:p>
    <w:p w14:paraId="44F01886">
      <w:pPr>
        <w:pStyle w:val="234"/>
      </w:pPr>
      <w:r>
        <w:rPr>
          <w:rFonts w:hint="eastAsia"/>
        </w:rPr>
        <w:t>本次改扩建工程仅涉及28号阀室，在28号阀室内新增分输阀组一套。</w:t>
      </w:r>
    </w:p>
    <w:p w14:paraId="546E7CDE">
      <w:pPr>
        <w:pStyle w:val="234"/>
      </w:pPr>
      <w:r>
        <w:rPr>
          <w:rFonts w:hint="eastAsia"/>
        </w:rPr>
        <w:t>28号阀室位于耒阳市竹市镇，站场主要功能为接收上游输气管道来气、分输、数据采集与监控、冷放空。</w:t>
      </w:r>
    </w:p>
    <w:p w14:paraId="39718572">
      <w:pPr>
        <w:pStyle w:val="234"/>
      </w:pPr>
      <w:r>
        <w:rPr>
          <w:rFonts w:hint="eastAsia"/>
        </w:rPr>
        <w:t>阀室现有设备见表3.1-1。</w:t>
      </w:r>
    </w:p>
    <w:p w14:paraId="2DCF4003">
      <w:pPr>
        <w:pStyle w:val="904"/>
      </w:pPr>
      <w:r>
        <w:t>表3.</w:t>
      </w:r>
      <w:r>
        <w:rPr>
          <w:rFonts w:hint="eastAsia"/>
        </w:rPr>
        <w:t>1-1</w:t>
      </w:r>
      <w:r>
        <w:t xml:space="preserve"> </w:t>
      </w:r>
      <w:r>
        <w:rPr>
          <w:rFonts w:hint="eastAsia"/>
        </w:rPr>
        <w:t>28号阀室现有</w:t>
      </w:r>
      <w:r>
        <w:t>设备一览表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1802"/>
        <w:gridCol w:w="3736"/>
        <w:gridCol w:w="863"/>
        <w:gridCol w:w="2619"/>
      </w:tblGrid>
      <w:tr w14:paraId="6C604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27DDA4DF">
            <w:pPr>
              <w:pStyle w:val="1343"/>
            </w:pPr>
            <w:r>
              <w:t>序号</w:t>
            </w:r>
          </w:p>
        </w:tc>
        <w:tc>
          <w:tcPr>
            <w:tcW w:w="932" w:type="pct"/>
            <w:vAlign w:val="center"/>
          </w:tcPr>
          <w:p w14:paraId="4A8BE17D">
            <w:pPr>
              <w:pStyle w:val="1343"/>
            </w:pPr>
            <w:r>
              <w:rPr>
                <w:rFonts w:hint="eastAsia"/>
              </w:rPr>
              <w:t>设备名称</w:t>
            </w:r>
          </w:p>
        </w:tc>
        <w:tc>
          <w:tcPr>
            <w:tcW w:w="1932" w:type="pct"/>
            <w:vAlign w:val="center"/>
          </w:tcPr>
          <w:p w14:paraId="02E627B7">
            <w:pPr>
              <w:pStyle w:val="1343"/>
            </w:pPr>
            <w:r>
              <w:rPr>
                <w:rFonts w:hint="eastAsia"/>
              </w:rPr>
              <w:t>规格型号</w:t>
            </w:r>
          </w:p>
        </w:tc>
        <w:tc>
          <w:tcPr>
            <w:tcW w:w="446" w:type="pct"/>
            <w:vAlign w:val="center"/>
          </w:tcPr>
          <w:p w14:paraId="36BBD091">
            <w:pPr>
              <w:pStyle w:val="1343"/>
            </w:pPr>
            <w:r>
              <w:rPr>
                <w:rFonts w:hint="eastAsia"/>
              </w:rPr>
              <w:t>单位</w:t>
            </w:r>
          </w:p>
        </w:tc>
        <w:tc>
          <w:tcPr>
            <w:tcW w:w="1354" w:type="pct"/>
            <w:vAlign w:val="center"/>
          </w:tcPr>
          <w:p w14:paraId="6D80E912">
            <w:pPr>
              <w:pStyle w:val="1343"/>
            </w:pPr>
            <w:r>
              <w:rPr>
                <w:rFonts w:hint="eastAsia"/>
              </w:rPr>
              <w:t>数量</w:t>
            </w:r>
          </w:p>
        </w:tc>
      </w:tr>
      <w:tr w14:paraId="08856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4B73F800">
            <w:pPr>
              <w:snapToGrid w:val="0"/>
              <w:jc w:val="center"/>
              <w:rPr>
                <w:szCs w:val="21"/>
              </w:rPr>
            </w:pPr>
            <w:r>
              <w:rPr>
                <w:szCs w:val="21"/>
              </w:rPr>
              <w:t>1</w:t>
            </w:r>
          </w:p>
        </w:tc>
        <w:tc>
          <w:tcPr>
            <w:tcW w:w="932" w:type="pct"/>
            <w:vAlign w:val="center"/>
          </w:tcPr>
          <w:p w14:paraId="70B750F8">
            <w:pPr>
              <w:snapToGrid w:val="0"/>
              <w:jc w:val="center"/>
              <w:rPr>
                <w:szCs w:val="21"/>
              </w:rPr>
            </w:pPr>
            <w:r>
              <w:rPr>
                <w:rFonts w:hint="eastAsia"/>
                <w:szCs w:val="21"/>
              </w:rPr>
              <w:t>气液联动球阀</w:t>
            </w:r>
          </w:p>
        </w:tc>
        <w:tc>
          <w:tcPr>
            <w:tcW w:w="1932" w:type="pct"/>
            <w:vAlign w:val="center"/>
          </w:tcPr>
          <w:p w14:paraId="5B20B848">
            <w:pPr>
              <w:snapToGrid w:val="0"/>
              <w:jc w:val="center"/>
              <w:rPr>
                <w:szCs w:val="21"/>
              </w:rPr>
            </w:pPr>
            <w:r>
              <w:rPr>
                <w:rFonts w:hint="eastAsia"/>
                <w:szCs w:val="21"/>
              </w:rPr>
              <w:t>DN1000 CL600 BW</w:t>
            </w:r>
          </w:p>
        </w:tc>
        <w:tc>
          <w:tcPr>
            <w:tcW w:w="446" w:type="pct"/>
            <w:vAlign w:val="center"/>
          </w:tcPr>
          <w:p w14:paraId="0D0E6F0F">
            <w:pPr>
              <w:snapToGrid w:val="0"/>
              <w:jc w:val="center"/>
              <w:rPr>
                <w:szCs w:val="21"/>
              </w:rPr>
            </w:pPr>
            <w:r>
              <w:rPr>
                <w:rFonts w:hint="eastAsia"/>
                <w:szCs w:val="21"/>
              </w:rPr>
              <w:t>套</w:t>
            </w:r>
          </w:p>
        </w:tc>
        <w:tc>
          <w:tcPr>
            <w:tcW w:w="1354" w:type="pct"/>
            <w:vAlign w:val="center"/>
          </w:tcPr>
          <w:p w14:paraId="75C69537">
            <w:pPr>
              <w:snapToGrid w:val="0"/>
              <w:jc w:val="center"/>
              <w:rPr>
                <w:szCs w:val="21"/>
              </w:rPr>
            </w:pPr>
            <w:r>
              <w:rPr>
                <w:rFonts w:hint="eastAsia"/>
                <w:szCs w:val="21"/>
              </w:rPr>
              <w:t>1</w:t>
            </w:r>
          </w:p>
        </w:tc>
      </w:tr>
      <w:tr w14:paraId="5CBAB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3C4613F2">
            <w:pPr>
              <w:snapToGrid w:val="0"/>
              <w:jc w:val="center"/>
              <w:rPr>
                <w:szCs w:val="21"/>
              </w:rPr>
            </w:pPr>
            <w:r>
              <w:rPr>
                <w:szCs w:val="21"/>
              </w:rPr>
              <w:t>2</w:t>
            </w:r>
          </w:p>
        </w:tc>
        <w:tc>
          <w:tcPr>
            <w:tcW w:w="932" w:type="pct"/>
            <w:vAlign w:val="center"/>
          </w:tcPr>
          <w:p w14:paraId="60649F54">
            <w:pPr>
              <w:snapToGrid w:val="0"/>
              <w:jc w:val="center"/>
              <w:rPr>
                <w:szCs w:val="21"/>
              </w:rPr>
            </w:pPr>
            <w:r>
              <w:rPr>
                <w:rFonts w:hint="eastAsia"/>
                <w:szCs w:val="21"/>
              </w:rPr>
              <w:t>手动球阀</w:t>
            </w:r>
          </w:p>
        </w:tc>
        <w:tc>
          <w:tcPr>
            <w:tcW w:w="1932" w:type="pct"/>
            <w:vAlign w:val="center"/>
          </w:tcPr>
          <w:p w14:paraId="4B52ACB8">
            <w:pPr>
              <w:snapToGrid w:val="0"/>
              <w:jc w:val="center"/>
              <w:rPr>
                <w:szCs w:val="21"/>
              </w:rPr>
            </w:pPr>
            <w:r>
              <w:rPr>
                <w:rFonts w:hint="eastAsia"/>
                <w:szCs w:val="21"/>
              </w:rPr>
              <w:t>/</w:t>
            </w:r>
          </w:p>
        </w:tc>
        <w:tc>
          <w:tcPr>
            <w:tcW w:w="446" w:type="pct"/>
            <w:vAlign w:val="center"/>
          </w:tcPr>
          <w:p w14:paraId="6CDB12AB">
            <w:pPr>
              <w:snapToGrid w:val="0"/>
              <w:jc w:val="center"/>
              <w:rPr>
                <w:szCs w:val="21"/>
              </w:rPr>
            </w:pPr>
            <w:r>
              <w:rPr>
                <w:rFonts w:hint="eastAsia"/>
                <w:szCs w:val="21"/>
              </w:rPr>
              <w:t>台</w:t>
            </w:r>
          </w:p>
        </w:tc>
        <w:tc>
          <w:tcPr>
            <w:tcW w:w="1354" w:type="pct"/>
            <w:vAlign w:val="center"/>
          </w:tcPr>
          <w:p w14:paraId="2A9B854D">
            <w:pPr>
              <w:snapToGrid w:val="0"/>
              <w:jc w:val="center"/>
              <w:rPr>
                <w:szCs w:val="21"/>
              </w:rPr>
            </w:pPr>
            <w:r>
              <w:rPr>
                <w:rFonts w:hint="eastAsia"/>
                <w:szCs w:val="21"/>
              </w:rPr>
              <w:t>10</w:t>
            </w:r>
          </w:p>
        </w:tc>
      </w:tr>
      <w:tr w14:paraId="3A77A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60CCC3A3">
            <w:pPr>
              <w:snapToGrid w:val="0"/>
              <w:jc w:val="center"/>
              <w:rPr>
                <w:szCs w:val="21"/>
              </w:rPr>
            </w:pPr>
            <w:r>
              <w:rPr>
                <w:rFonts w:hint="eastAsia"/>
                <w:szCs w:val="21"/>
              </w:rPr>
              <w:t>3</w:t>
            </w:r>
          </w:p>
        </w:tc>
        <w:tc>
          <w:tcPr>
            <w:tcW w:w="932" w:type="pct"/>
            <w:vAlign w:val="center"/>
          </w:tcPr>
          <w:p w14:paraId="43606E6A">
            <w:pPr>
              <w:snapToGrid w:val="0"/>
              <w:jc w:val="center"/>
              <w:rPr>
                <w:szCs w:val="21"/>
              </w:rPr>
            </w:pPr>
            <w:r>
              <w:rPr>
                <w:rFonts w:hint="eastAsia"/>
                <w:szCs w:val="21"/>
              </w:rPr>
              <w:t>手动截止阀</w:t>
            </w:r>
          </w:p>
        </w:tc>
        <w:tc>
          <w:tcPr>
            <w:tcW w:w="1932" w:type="pct"/>
            <w:vAlign w:val="center"/>
          </w:tcPr>
          <w:p w14:paraId="612F3AA5">
            <w:pPr>
              <w:snapToGrid w:val="0"/>
              <w:jc w:val="center"/>
              <w:rPr>
                <w:szCs w:val="21"/>
              </w:rPr>
            </w:pPr>
            <w:r>
              <w:rPr>
                <w:rFonts w:hint="eastAsia"/>
                <w:szCs w:val="21"/>
              </w:rPr>
              <w:t>GLV0001 （11Y-CL150）</w:t>
            </w:r>
          </w:p>
        </w:tc>
        <w:tc>
          <w:tcPr>
            <w:tcW w:w="446" w:type="pct"/>
            <w:vAlign w:val="center"/>
          </w:tcPr>
          <w:p w14:paraId="1FB3F73D">
            <w:pPr>
              <w:snapToGrid w:val="0"/>
              <w:jc w:val="center"/>
              <w:rPr>
                <w:szCs w:val="21"/>
              </w:rPr>
            </w:pPr>
            <w:r>
              <w:rPr>
                <w:rFonts w:hint="eastAsia"/>
                <w:szCs w:val="21"/>
              </w:rPr>
              <w:t>台</w:t>
            </w:r>
          </w:p>
        </w:tc>
        <w:tc>
          <w:tcPr>
            <w:tcW w:w="1354" w:type="pct"/>
            <w:vAlign w:val="center"/>
          </w:tcPr>
          <w:p w14:paraId="4EECEA9A">
            <w:pPr>
              <w:snapToGrid w:val="0"/>
              <w:jc w:val="center"/>
              <w:rPr>
                <w:szCs w:val="21"/>
              </w:rPr>
            </w:pPr>
            <w:r>
              <w:rPr>
                <w:rFonts w:hint="eastAsia"/>
                <w:szCs w:val="21"/>
              </w:rPr>
              <w:t>1</w:t>
            </w:r>
          </w:p>
        </w:tc>
      </w:tr>
      <w:tr w14:paraId="5ABB5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3A42E1C7">
            <w:pPr>
              <w:snapToGrid w:val="0"/>
              <w:jc w:val="center"/>
              <w:rPr>
                <w:szCs w:val="21"/>
              </w:rPr>
            </w:pPr>
            <w:r>
              <w:rPr>
                <w:rFonts w:hint="eastAsia"/>
                <w:szCs w:val="21"/>
              </w:rPr>
              <w:t>4</w:t>
            </w:r>
          </w:p>
        </w:tc>
        <w:tc>
          <w:tcPr>
            <w:tcW w:w="932" w:type="pct"/>
            <w:vAlign w:val="center"/>
          </w:tcPr>
          <w:p w14:paraId="4C1AD3B2">
            <w:pPr>
              <w:snapToGrid w:val="0"/>
              <w:jc w:val="center"/>
              <w:rPr>
                <w:szCs w:val="21"/>
              </w:rPr>
            </w:pPr>
            <w:r>
              <w:rPr>
                <w:rFonts w:hint="eastAsia"/>
                <w:szCs w:val="21"/>
              </w:rPr>
              <w:t>手动旋塞阀</w:t>
            </w:r>
          </w:p>
        </w:tc>
        <w:tc>
          <w:tcPr>
            <w:tcW w:w="1932" w:type="pct"/>
            <w:vAlign w:val="center"/>
          </w:tcPr>
          <w:p w14:paraId="71A6330A">
            <w:pPr>
              <w:snapToGrid w:val="0"/>
              <w:jc w:val="center"/>
              <w:rPr>
                <w:szCs w:val="21"/>
              </w:rPr>
            </w:pPr>
            <w:r>
              <w:rPr>
                <w:rFonts w:hint="eastAsia"/>
                <w:szCs w:val="21"/>
              </w:rPr>
              <w:t>Class600 DN350</w:t>
            </w:r>
          </w:p>
        </w:tc>
        <w:tc>
          <w:tcPr>
            <w:tcW w:w="446" w:type="pct"/>
            <w:vAlign w:val="center"/>
          </w:tcPr>
          <w:p w14:paraId="3DBC9ED7">
            <w:pPr>
              <w:snapToGrid w:val="0"/>
              <w:jc w:val="center"/>
              <w:rPr>
                <w:szCs w:val="21"/>
              </w:rPr>
            </w:pPr>
            <w:r>
              <w:rPr>
                <w:rFonts w:hint="eastAsia"/>
                <w:szCs w:val="21"/>
              </w:rPr>
              <w:t>台</w:t>
            </w:r>
          </w:p>
        </w:tc>
        <w:tc>
          <w:tcPr>
            <w:tcW w:w="1354" w:type="pct"/>
            <w:vAlign w:val="center"/>
          </w:tcPr>
          <w:p w14:paraId="797CBD0E">
            <w:pPr>
              <w:snapToGrid w:val="0"/>
              <w:jc w:val="center"/>
              <w:rPr>
                <w:szCs w:val="21"/>
              </w:rPr>
            </w:pPr>
            <w:r>
              <w:rPr>
                <w:rFonts w:hint="eastAsia"/>
                <w:szCs w:val="21"/>
              </w:rPr>
              <w:t>2</w:t>
            </w:r>
          </w:p>
        </w:tc>
      </w:tr>
      <w:tr w14:paraId="53F84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2484E8CC">
            <w:pPr>
              <w:snapToGrid w:val="0"/>
              <w:jc w:val="center"/>
              <w:rPr>
                <w:szCs w:val="21"/>
              </w:rPr>
            </w:pPr>
            <w:r>
              <w:rPr>
                <w:rFonts w:hint="eastAsia"/>
                <w:szCs w:val="21"/>
              </w:rPr>
              <w:t>5</w:t>
            </w:r>
          </w:p>
        </w:tc>
        <w:tc>
          <w:tcPr>
            <w:tcW w:w="932" w:type="pct"/>
            <w:vAlign w:val="center"/>
          </w:tcPr>
          <w:p w14:paraId="0E181630">
            <w:pPr>
              <w:snapToGrid w:val="0"/>
              <w:jc w:val="center"/>
              <w:rPr>
                <w:szCs w:val="21"/>
              </w:rPr>
            </w:pPr>
            <w:r>
              <w:rPr>
                <w:rFonts w:hint="eastAsia"/>
                <w:szCs w:val="21"/>
              </w:rPr>
              <w:t>放空立管</w:t>
            </w:r>
          </w:p>
        </w:tc>
        <w:tc>
          <w:tcPr>
            <w:tcW w:w="1932" w:type="pct"/>
            <w:vAlign w:val="center"/>
          </w:tcPr>
          <w:p w14:paraId="27B9E236">
            <w:pPr>
              <w:snapToGrid w:val="0"/>
              <w:jc w:val="center"/>
              <w:rPr>
                <w:szCs w:val="21"/>
              </w:rPr>
            </w:pPr>
            <w:r>
              <w:rPr>
                <w:rFonts w:hint="eastAsia"/>
                <w:szCs w:val="21"/>
              </w:rPr>
              <w:t>150mm  15m</w:t>
            </w:r>
          </w:p>
        </w:tc>
        <w:tc>
          <w:tcPr>
            <w:tcW w:w="446" w:type="pct"/>
            <w:vAlign w:val="center"/>
          </w:tcPr>
          <w:p w14:paraId="2C821F9A">
            <w:pPr>
              <w:snapToGrid w:val="0"/>
              <w:jc w:val="center"/>
              <w:rPr>
                <w:szCs w:val="21"/>
              </w:rPr>
            </w:pPr>
            <w:r>
              <w:rPr>
                <w:rFonts w:hint="eastAsia"/>
                <w:szCs w:val="21"/>
              </w:rPr>
              <w:t>台</w:t>
            </w:r>
          </w:p>
        </w:tc>
        <w:tc>
          <w:tcPr>
            <w:tcW w:w="1354" w:type="pct"/>
            <w:vAlign w:val="center"/>
          </w:tcPr>
          <w:p w14:paraId="15AA4F62">
            <w:pPr>
              <w:snapToGrid w:val="0"/>
              <w:jc w:val="center"/>
              <w:rPr>
                <w:szCs w:val="21"/>
              </w:rPr>
            </w:pPr>
            <w:r>
              <w:rPr>
                <w:rFonts w:hint="eastAsia"/>
                <w:szCs w:val="21"/>
              </w:rPr>
              <w:t>1</w:t>
            </w:r>
          </w:p>
        </w:tc>
      </w:tr>
    </w:tbl>
    <w:p w14:paraId="76E69C1B">
      <w:pPr>
        <w:pStyle w:val="234"/>
        <w:spacing w:before="120" w:beforeLines="50"/>
      </w:pPr>
      <w:r>
        <w:rPr>
          <w:rFonts w:hint="eastAsia"/>
        </w:rPr>
        <w:t>28号阀室现状见图3.1-2。</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33"/>
        <w:gridCol w:w="4833"/>
      </w:tblGrid>
      <w:tr w14:paraId="70C7D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2500" w:type="pct"/>
            <w:tcBorders>
              <w:top w:val="nil"/>
              <w:left w:val="nil"/>
              <w:bottom w:val="nil"/>
              <w:right w:val="nil"/>
            </w:tcBorders>
            <w:vAlign w:val="center"/>
          </w:tcPr>
          <w:p w14:paraId="7B1EB6B7">
            <w:pPr>
              <w:pStyle w:val="1343"/>
            </w:pPr>
            <w:r>
              <w:rPr>
                <w:rFonts w:hint="eastAsia"/>
              </w:rPr>
              <w:drawing>
                <wp:inline distT="0" distB="0" distL="114300" distR="114300">
                  <wp:extent cx="2918460" cy="2188845"/>
                  <wp:effectExtent l="0" t="0" r="15240" b="1905"/>
                  <wp:docPr id="72" name="图片 72" descr="微信图片_2024050809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微信图片_20240508095803"/>
                          <pic:cNvPicPr>
                            <a:picLocks noChangeAspect="1"/>
                          </pic:cNvPicPr>
                        </pic:nvPicPr>
                        <pic:blipFill>
                          <a:blip r:embed="rId39"/>
                          <a:stretch>
                            <a:fillRect/>
                          </a:stretch>
                        </pic:blipFill>
                        <pic:spPr>
                          <a:xfrm>
                            <a:off x="0" y="0"/>
                            <a:ext cx="2918460" cy="2188845"/>
                          </a:xfrm>
                          <a:prstGeom prst="rect">
                            <a:avLst/>
                          </a:prstGeom>
                        </pic:spPr>
                      </pic:pic>
                    </a:graphicData>
                  </a:graphic>
                </wp:inline>
              </w:drawing>
            </w:r>
          </w:p>
        </w:tc>
        <w:tc>
          <w:tcPr>
            <w:tcW w:w="2500" w:type="pct"/>
            <w:tcBorders>
              <w:top w:val="nil"/>
              <w:left w:val="nil"/>
              <w:bottom w:val="nil"/>
              <w:right w:val="nil"/>
            </w:tcBorders>
            <w:vAlign w:val="center"/>
          </w:tcPr>
          <w:p w14:paraId="5F656668">
            <w:pPr>
              <w:pStyle w:val="1343"/>
            </w:pPr>
            <w:r>
              <w:rPr>
                <w:rFonts w:hint="eastAsia"/>
              </w:rPr>
              <w:drawing>
                <wp:inline distT="0" distB="0" distL="114300" distR="114300">
                  <wp:extent cx="2918460" cy="2188845"/>
                  <wp:effectExtent l="0" t="0" r="15240" b="1905"/>
                  <wp:docPr id="73" name="图片 73" descr="微信图片_2024050809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微信图片_20240508095845"/>
                          <pic:cNvPicPr>
                            <a:picLocks noChangeAspect="1"/>
                          </pic:cNvPicPr>
                        </pic:nvPicPr>
                        <pic:blipFill>
                          <a:blip r:embed="rId40"/>
                          <a:stretch>
                            <a:fillRect/>
                          </a:stretch>
                        </pic:blipFill>
                        <pic:spPr>
                          <a:xfrm rot="10800000">
                            <a:off x="0" y="0"/>
                            <a:ext cx="2918460" cy="2188845"/>
                          </a:xfrm>
                          <a:prstGeom prst="rect">
                            <a:avLst/>
                          </a:prstGeom>
                        </pic:spPr>
                      </pic:pic>
                    </a:graphicData>
                  </a:graphic>
                </wp:inline>
              </w:drawing>
            </w:r>
          </w:p>
        </w:tc>
      </w:tr>
    </w:tbl>
    <w:p w14:paraId="1E2083B7">
      <w:pPr>
        <w:pStyle w:val="904"/>
        <w:spacing w:line="360" w:lineRule="auto"/>
      </w:pPr>
      <w:r>
        <w:rPr>
          <w:rFonts w:hint="eastAsia"/>
        </w:rPr>
        <w:t>图3.1-2  28号阀室现状照片</w:t>
      </w:r>
    </w:p>
    <w:p w14:paraId="0F49C7FA">
      <w:pPr>
        <w:pStyle w:val="5"/>
        <w:rPr>
          <w:color w:val="auto"/>
        </w:rPr>
      </w:pPr>
      <w:r>
        <w:rPr>
          <w:rFonts w:hint="eastAsia"/>
          <w:color w:val="auto"/>
        </w:rPr>
        <w:t>现有工程已采取的环境保护措施</w:t>
      </w:r>
    </w:p>
    <w:p w14:paraId="47CE7789">
      <w:pPr>
        <w:pStyle w:val="234"/>
        <w:ind w:firstLine="482"/>
        <w:rPr>
          <w:b/>
          <w:bCs/>
        </w:rPr>
      </w:pPr>
      <w:r>
        <w:rPr>
          <w:rFonts w:hint="eastAsia"/>
          <w:b/>
          <w:bCs/>
        </w:rPr>
        <w:t>（1）废气治理措施</w:t>
      </w:r>
    </w:p>
    <w:p w14:paraId="1AD5B55F">
      <w:pPr>
        <w:pStyle w:val="234"/>
      </w:pPr>
      <w:r>
        <w:rPr>
          <w:rFonts w:hint="eastAsia"/>
        </w:rPr>
        <w:t>现有工程大气污染源主要为各场站无组织排放的非甲烷总烃，及非正常工况下系统超压火炬燃烧排放的废气。</w:t>
      </w:r>
    </w:p>
    <w:p w14:paraId="58803CA0">
      <w:pPr>
        <w:pStyle w:val="234"/>
      </w:pPr>
      <w:r>
        <w:t>①</w:t>
      </w:r>
      <w:r>
        <w:rPr>
          <w:rFonts w:hint="eastAsia"/>
        </w:rPr>
        <w:t>制定了清管作业和分离器检修管理制度和措施，减少天然气的泄漏量；</w:t>
      </w:r>
    </w:p>
    <w:p w14:paraId="42A46556">
      <w:pPr>
        <w:pStyle w:val="234"/>
      </w:pPr>
      <w:r>
        <w:t>②</w:t>
      </w:r>
      <w:r>
        <w:rPr>
          <w:rFonts w:hint="eastAsia"/>
        </w:rPr>
        <w:t>站场和阀室放空设置了点火装置或冷放空装置，可有效减少事故和放空的非甲烷总烃的影响。</w:t>
      </w:r>
    </w:p>
    <w:p w14:paraId="396B6E97">
      <w:pPr>
        <w:pStyle w:val="234"/>
        <w:ind w:firstLine="482"/>
        <w:rPr>
          <w:b/>
          <w:bCs/>
        </w:rPr>
      </w:pPr>
      <w:r>
        <w:rPr>
          <w:rFonts w:hint="eastAsia"/>
          <w:b/>
          <w:bCs/>
        </w:rPr>
        <w:t>（2）废水治理措施</w:t>
      </w:r>
    </w:p>
    <w:p w14:paraId="7F2498DB">
      <w:pPr>
        <w:pStyle w:val="234"/>
      </w:pPr>
      <w:r>
        <w:rPr>
          <w:rFonts w:hint="eastAsia"/>
        </w:rPr>
        <w:t>现有工程污水来源主要为沿线各站场人员生活污水，各站场设置了撬装卫生间，生活污水排入撬装卫生间委托第三方进行清运和无害化处理。</w:t>
      </w:r>
    </w:p>
    <w:p w14:paraId="5BA7B264">
      <w:pPr>
        <w:pStyle w:val="234"/>
        <w:ind w:firstLine="482"/>
        <w:rPr>
          <w:b/>
          <w:bCs/>
        </w:rPr>
      </w:pPr>
      <w:r>
        <w:rPr>
          <w:rFonts w:hint="eastAsia"/>
          <w:b/>
          <w:bCs/>
        </w:rPr>
        <w:t>（3）噪声防治措施</w:t>
      </w:r>
    </w:p>
    <w:p w14:paraId="64BE9BC6">
      <w:pPr>
        <w:pStyle w:val="234"/>
      </w:pPr>
      <w:r>
        <w:rPr>
          <w:rFonts w:hint="eastAsia"/>
        </w:rPr>
        <w:t>现有工程各站场主要噪声源来自调压装置、旋风过滤分离器、汇管等。站场设备选择低噪声设备、产噪设备布置在场地中央等措施减轻噪声影响。</w:t>
      </w:r>
    </w:p>
    <w:p w14:paraId="577A9861">
      <w:pPr>
        <w:pStyle w:val="234"/>
        <w:ind w:firstLine="482"/>
        <w:rPr>
          <w:b/>
          <w:bCs/>
        </w:rPr>
      </w:pPr>
      <w:r>
        <w:rPr>
          <w:rFonts w:hint="eastAsia"/>
          <w:b/>
          <w:bCs/>
        </w:rPr>
        <w:t>（4）固体废物防治措施</w:t>
      </w:r>
    </w:p>
    <w:p w14:paraId="6201E42E">
      <w:pPr>
        <w:pStyle w:val="234"/>
      </w:pPr>
      <w:r>
        <w:rPr>
          <w:rFonts w:hint="eastAsia"/>
        </w:rPr>
        <w:t>现有工程固体废物主要为各站场职工产生的生活垃圾、分离器检修（除尘）、清管收球作业时产生的粉尘和废渣。生活垃圾收集后交由第三方定期清运处理；清管作业以及分离器检修产生的少量固体粉末，存放在排污罐或排污池（采取了防渗措施），达到一定量时外委有资质的单位进行处置。</w:t>
      </w:r>
    </w:p>
    <w:p w14:paraId="0AFF542A">
      <w:pPr>
        <w:pStyle w:val="234"/>
        <w:ind w:firstLine="482"/>
        <w:rPr>
          <w:b/>
          <w:bCs/>
        </w:rPr>
      </w:pPr>
      <w:r>
        <w:rPr>
          <w:rFonts w:hint="eastAsia"/>
          <w:b/>
          <w:bCs/>
        </w:rPr>
        <w:t>（5）生态环境保护措施</w:t>
      </w:r>
    </w:p>
    <w:p w14:paraId="233C6E0F">
      <w:pPr>
        <w:pStyle w:val="234"/>
      </w:pPr>
      <w:r>
        <w:t>①</w:t>
      </w:r>
      <w:r>
        <w:rPr>
          <w:rFonts w:hint="eastAsia"/>
        </w:rPr>
        <w:t>施工期严格划定了施工作业带，施工便道尽量利用已有道路，尽量减少占地面积；</w:t>
      </w:r>
    </w:p>
    <w:p w14:paraId="7CCCAF3D">
      <w:pPr>
        <w:pStyle w:val="234"/>
      </w:pPr>
      <w:r>
        <w:t>②</w:t>
      </w:r>
      <w:r>
        <w:rPr>
          <w:rFonts w:hint="eastAsia"/>
        </w:rPr>
        <w:t>管沟施工过程中施行了分层剥离、分层堆放、循序分层回填措施，表土进行妥善保存，施工结束后及时恢复了土地原貌；</w:t>
      </w:r>
    </w:p>
    <w:p w14:paraId="292545C8">
      <w:pPr>
        <w:pStyle w:val="234"/>
      </w:pPr>
      <w:r>
        <w:t>③</w:t>
      </w:r>
      <w:r>
        <w:rPr>
          <w:rFonts w:hint="eastAsia"/>
        </w:rPr>
        <w:t>按原有植被类型进行了植被恢复，农田地段施工结束后及时进行了复垦，林地段管道中心线两侧5m范围内以植草绿化为主，辅以浅根性半灌木、灌木进行绿化，5m范围外恢复为原有植被类型。</w:t>
      </w:r>
    </w:p>
    <w:p w14:paraId="1109173B">
      <w:pPr>
        <w:pStyle w:val="234"/>
      </w:pPr>
      <w:r>
        <w:rPr>
          <w:rFonts w:hint="eastAsia"/>
        </w:rPr>
        <w:t>④穿越河流、湿地等环境敏感区时以定向钻为主，开挖为辅；施工</w:t>
      </w:r>
      <w:r>
        <w:rPr>
          <w:rFonts w:hint="eastAsia"/>
          <w:lang w:val="en-US" w:eastAsia="zh-CN"/>
        </w:rPr>
        <w:t>期</w:t>
      </w:r>
      <w:r>
        <w:rPr>
          <w:rFonts w:hint="eastAsia"/>
        </w:rPr>
        <w:t>废水及固体废物妥善处理，禁止排入地表水体；管道采用管壁加厚、稳管、防腐层加强等措施。</w:t>
      </w:r>
    </w:p>
    <w:p w14:paraId="13122808">
      <w:pPr>
        <w:pStyle w:val="234"/>
      </w:pPr>
      <w:r>
        <w:rPr>
          <w:rFonts w:hint="eastAsia"/>
        </w:rPr>
        <w:t>⑤采取了挡墙、截排水、骨架护坡、复耕、植被恢复等水土保持措施。</w:t>
      </w:r>
    </w:p>
    <w:p w14:paraId="7A1B1DA5">
      <w:pPr>
        <w:pStyle w:val="234"/>
        <w:ind w:firstLine="482"/>
        <w:rPr>
          <w:b/>
          <w:bCs/>
        </w:rPr>
      </w:pPr>
      <w:r>
        <w:rPr>
          <w:rFonts w:hint="eastAsia"/>
          <w:b/>
          <w:bCs/>
        </w:rPr>
        <w:t>（6）环境风险防范措施</w:t>
      </w:r>
    </w:p>
    <w:p w14:paraId="31DC9669">
      <w:pPr>
        <w:pStyle w:val="234"/>
      </w:pPr>
      <w:r>
        <w:t>①</w:t>
      </w:r>
      <w:r>
        <w:rPr>
          <w:rFonts w:hint="eastAsia"/>
        </w:rPr>
        <w:t>穿越敏感区钢管壁厚为26.2mm，防腐措施为3PE加强级防腐；</w:t>
      </w:r>
    </w:p>
    <w:p w14:paraId="32204F65">
      <w:pPr>
        <w:pStyle w:val="234"/>
      </w:pPr>
      <w:r>
        <w:t>②</w:t>
      </w:r>
      <w:r>
        <w:rPr>
          <w:rFonts w:hint="eastAsia"/>
        </w:rPr>
        <w:t>穿越河流处设置了管道标志桩、警示牌；</w:t>
      </w:r>
    </w:p>
    <w:p w14:paraId="3E4CB8B9">
      <w:pPr>
        <w:pStyle w:val="234"/>
      </w:pPr>
      <w:r>
        <w:t>③</w:t>
      </w:r>
      <w:r>
        <w:rPr>
          <w:rFonts w:hint="eastAsia"/>
        </w:rPr>
        <w:t>设置了自动控制系统，包括阔火灾报警系统、可燃气体监测和报警系统、天然气管道泄漏检测系统（LDS）、气液联动紧急关断阀等应用系统；</w:t>
      </w:r>
    </w:p>
    <w:p w14:paraId="6D2F6155">
      <w:pPr>
        <w:pStyle w:val="234"/>
      </w:pPr>
      <w:r>
        <w:rPr>
          <w:rFonts w:hint="eastAsia"/>
        </w:rPr>
        <w:t>④编制了《潜江-韶关输气管道工程（湖北段）突发环境事件应急预案》和《潜江-韶关输气管道工程（湖南段）突发环境事件应急预案》，并完成各市县备案。应急物资存放在管道沿线输气站场及设置的岳阳物资库。</w:t>
      </w:r>
    </w:p>
    <w:p w14:paraId="5AC1BF65">
      <w:pPr>
        <w:pStyle w:val="234"/>
      </w:pPr>
      <w:r>
        <w:rPr>
          <w:rFonts w:hint="eastAsia"/>
        </w:rPr>
        <w:t>⑤建设单位已基本具备较为完善的组织管理机构，明确了主要环境风险防控岗位责任人和责任机构，成立了领导小组，各项安全、环保管理制度较为完善。</w:t>
      </w:r>
    </w:p>
    <w:p w14:paraId="7396E267">
      <w:pPr>
        <w:pStyle w:val="234"/>
        <w:ind w:firstLine="482"/>
        <w:rPr>
          <w:b/>
          <w:bCs/>
        </w:rPr>
      </w:pPr>
      <w:r>
        <w:rPr>
          <w:rFonts w:hint="eastAsia"/>
          <w:b/>
          <w:bCs/>
        </w:rPr>
        <w:t>（7）环境管理措施</w:t>
      </w:r>
    </w:p>
    <w:p w14:paraId="4642C8DB">
      <w:pPr>
        <w:pStyle w:val="234"/>
      </w:pPr>
      <w:r>
        <w:t>①</w:t>
      </w:r>
      <w:r>
        <w:rPr>
          <w:rFonts w:hint="eastAsia"/>
        </w:rPr>
        <w:t>国家石油天然气管网集团有限公司湖南分公司湖广输气分公司负责潜江-韶关输气管道工程日常运营、环境保护管理和环境应急处置工作，分公司内设 HSE 管理委员会，下设安全环保科，在各输气站内配有环保安全专职管理人员，负责监督和检查站场、线路的环保设施的正常运行工作以及应对和预防各种事故事件。建立了日常巡线制度，日常巡线人员及时发现和反馈环境保护的情况，分公司及时组织处理。</w:t>
      </w:r>
    </w:p>
    <w:p w14:paraId="4269AAD6">
      <w:pPr>
        <w:pStyle w:val="234"/>
      </w:pPr>
      <w:r>
        <w:t>②</w:t>
      </w:r>
      <w:r>
        <w:rPr>
          <w:rFonts w:hint="eastAsia"/>
        </w:rPr>
        <w:t>现有工程制定了环境监测计划，包括站场厂界非甲烷总烃、噪声，周边地下水的定期监测，以及事故状况下大气环境和地表水环境的监测计划，运营单位严格按照监测计划落实监测内容。</w:t>
      </w:r>
    </w:p>
    <w:p w14:paraId="4750DA9D">
      <w:pPr>
        <w:pStyle w:val="5"/>
        <w:rPr>
          <w:color w:val="auto"/>
        </w:rPr>
      </w:pPr>
      <w:r>
        <w:rPr>
          <w:rFonts w:hint="eastAsia"/>
          <w:color w:val="auto"/>
        </w:rPr>
        <w:t>现有工程污染物排放情况及达标情况</w:t>
      </w:r>
    </w:p>
    <w:p w14:paraId="1C70F363">
      <w:pPr>
        <w:pStyle w:val="234"/>
        <w:ind w:firstLine="482"/>
        <w:rPr>
          <w:b/>
          <w:bCs/>
        </w:rPr>
      </w:pPr>
      <w:r>
        <w:rPr>
          <w:rFonts w:hint="eastAsia"/>
          <w:b/>
          <w:bCs/>
        </w:rPr>
        <w:t>（1）废气</w:t>
      </w:r>
    </w:p>
    <w:p w14:paraId="1633AB79">
      <w:pPr>
        <w:pStyle w:val="234"/>
      </w:pPr>
      <w:r>
        <w:rPr>
          <w:rFonts w:hint="eastAsia"/>
        </w:rPr>
        <w:t>现有工程大气污染源主要为各场站无组织排放的非甲烷总烃，及非正常工况下系统超压火炬燃烧排放的废气，主要污染物为SO</w:t>
      </w:r>
      <w:r>
        <w:rPr>
          <w:rFonts w:hint="eastAsia"/>
          <w:vertAlign w:val="subscript"/>
        </w:rPr>
        <w:t>2</w:t>
      </w:r>
      <w:r>
        <w:rPr>
          <w:rFonts w:hint="eastAsia"/>
        </w:rPr>
        <w:t>、NO</w:t>
      </w:r>
      <w:r>
        <w:rPr>
          <w:rFonts w:hint="eastAsia"/>
          <w:vertAlign w:val="subscript"/>
        </w:rPr>
        <w:t>X</w:t>
      </w:r>
      <w:r>
        <w:rPr>
          <w:rFonts w:hint="eastAsia"/>
        </w:rPr>
        <w:t>、烟尘。</w:t>
      </w:r>
    </w:p>
    <w:p w14:paraId="4D8542AD">
      <w:pPr>
        <w:pStyle w:val="234"/>
      </w:pPr>
      <w:r>
        <w:rPr>
          <w:rFonts w:hint="eastAsia"/>
        </w:rPr>
        <w:t>根据验收调查报告中对潜江枢纽站、监利分输站、岳阳分输清管站、株洲分输清管站上风向及下风向非甲烷总烃、SO</w:t>
      </w:r>
      <w:r>
        <w:rPr>
          <w:rFonts w:hint="eastAsia"/>
          <w:vertAlign w:val="subscript"/>
        </w:rPr>
        <w:t>2</w:t>
      </w:r>
      <w:r>
        <w:rPr>
          <w:rFonts w:hint="eastAsia"/>
        </w:rPr>
        <w:t>、NO</w:t>
      </w:r>
      <w:r>
        <w:rPr>
          <w:rFonts w:hint="eastAsia"/>
          <w:vertAlign w:val="subscript"/>
        </w:rPr>
        <w:t>X</w:t>
      </w:r>
      <w:r>
        <w:rPr>
          <w:rFonts w:hint="eastAsia"/>
        </w:rPr>
        <w:t>的监测数据可知，现有工程工艺场站厂界各监测因子均满足《大气污染物综合排放标准》（GB16297-1996）中表2无组织排放监控浓度限值要求。</w:t>
      </w:r>
    </w:p>
    <w:p w14:paraId="03230A23">
      <w:pPr>
        <w:spacing w:line="360" w:lineRule="auto"/>
        <w:ind w:firstLine="480" w:firstLineChars="200"/>
        <w:rPr>
          <w:sz w:val="24"/>
        </w:rPr>
      </w:pPr>
      <w:r>
        <w:rPr>
          <w:sz w:val="24"/>
        </w:rPr>
        <w:t>本次评价委托</w:t>
      </w:r>
      <w:r>
        <w:rPr>
          <w:rFonts w:hint="eastAsia"/>
          <w:sz w:val="24"/>
        </w:rPr>
        <w:t>湖南华清检测技术有限公司</w:t>
      </w:r>
      <w:r>
        <w:rPr>
          <w:sz w:val="24"/>
        </w:rPr>
        <w:t>对</w:t>
      </w:r>
      <w:r>
        <w:rPr>
          <w:rFonts w:hint="eastAsia"/>
          <w:sz w:val="24"/>
        </w:rPr>
        <w:t>28号阀室</w:t>
      </w:r>
      <w:r>
        <w:rPr>
          <w:sz w:val="24"/>
        </w:rPr>
        <w:t>无组织非甲烷总烃进行了监测，</w:t>
      </w:r>
      <w:r>
        <w:rPr>
          <w:rFonts w:hint="eastAsia"/>
          <w:sz w:val="24"/>
        </w:rPr>
        <w:t>因28号阀室为冷放空，无SO</w:t>
      </w:r>
      <w:r>
        <w:rPr>
          <w:rFonts w:hint="eastAsia"/>
          <w:sz w:val="24"/>
          <w:vertAlign w:val="subscript"/>
        </w:rPr>
        <w:t>2</w:t>
      </w:r>
      <w:r>
        <w:rPr>
          <w:rFonts w:hint="eastAsia"/>
          <w:sz w:val="24"/>
        </w:rPr>
        <w:t>、NO</w:t>
      </w:r>
      <w:r>
        <w:rPr>
          <w:rFonts w:hint="eastAsia"/>
          <w:sz w:val="24"/>
          <w:vertAlign w:val="subscript"/>
        </w:rPr>
        <w:t>X</w:t>
      </w:r>
      <w:r>
        <w:rPr>
          <w:rFonts w:hint="eastAsia"/>
          <w:sz w:val="24"/>
        </w:rPr>
        <w:t>、烟尘污染物排放，因此仅监测非甲烷总烃。</w:t>
      </w:r>
      <w:r>
        <w:rPr>
          <w:sz w:val="24"/>
        </w:rPr>
        <w:t>具体见表3.</w:t>
      </w:r>
      <w:r>
        <w:rPr>
          <w:rFonts w:hint="eastAsia"/>
          <w:sz w:val="24"/>
        </w:rPr>
        <w:t>1-3</w:t>
      </w:r>
      <w:r>
        <w:rPr>
          <w:sz w:val="24"/>
        </w:rPr>
        <w:t>。</w:t>
      </w:r>
    </w:p>
    <w:p w14:paraId="59BEA7A9">
      <w:pPr>
        <w:pStyle w:val="904"/>
      </w:pPr>
      <w:r>
        <w:t>表3.</w:t>
      </w:r>
      <w:r>
        <w:rPr>
          <w:rFonts w:hint="eastAsia"/>
        </w:rPr>
        <w:t>1-2   28号阀室</w:t>
      </w:r>
      <w:r>
        <w:t>厂界无组织废气监测</w:t>
      </w:r>
      <w:r>
        <w:rPr>
          <w:rFonts w:hint="eastAsia"/>
        </w:rPr>
        <w:t>气象参数</w:t>
      </w:r>
    </w:p>
    <w:tbl>
      <w:tblPr>
        <w:tblStyle w:val="88"/>
        <w:tblW w:w="502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0"/>
        <w:gridCol w:w="1335"/>
        <w:gridCol w:w="1335"/>
        <w:gridCol w:w="1335"/>
        <w:gridCol w:w="1335"/>
        <w:gridCol w:w="1338"/>
        <w:gridCol w:w="1335"/>
      </w:tblGrid>
      <w:tr w14:paraId="6C65A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5" w:type="pct"/>
            <w:vAlign w:val="center"/>
          </w:tcPr>
          <w:p w14:paraId="05F0C201">
            <w:pPr>
              <w:adjustRightInd w:val="0"/>
              <w:snapToGrid w:val="0"/>
              <w:spacing w:line="320" w:lineRule="exact"/>
              <w:jc w:val="center"/>
              <w:rPr>
                <w:szCs w:val="21"/>
                <w:lang w:val="de-DE"/>
              </w:rPr>
            </w:pPr>
            <w:r>
              <w:rPr>
                <w:szCs w:val="21"/>
                <w:lang w:val="de-DE"/>
              </w:rPr>
              <w:t>采样日期</w:t>
            </w:r>
          </w:p>
        </w:tc>
        <w:tc>
          <w:tcPr>
            <w:tcW w:w="687" w:type="pct"/>
            <w:vAlign w:val="center"/>
          </w:tcPr>
          <w:p w14:paraId="656A7FD0">
            <w:pPr>
              <w:adjustRightInd w:val="0"/>
              <w:snapToGrid w:val="0"/>
              <w:spacing w:line="320" w:lineRule="exact"/>
              <w:jc w:val="center"/>
              <w:rPr>
                <w:szCs w:val="21"/>
              </w:rPr>
            </w:pPr>
            <w:r>
              <w:rPr>
                <w:rFonts w:hint="eastAsia"/>
                <w:szCs w:val="21"/>
              </w:rPr>
              <w:t>天气状况</w:t>
            </w:r>
          </w:p>
        </w:tc>
        <w:tc>
          <w:tcPr>
            <w:tcW w:w="687" w:type="pct"/>
            <w:vAlign w:val="center"/>
          </w:tcPr>
          <w:p w14:paraId="3EAA1A8C">
            <w:pPr>
              <w:adjustRightInd w:val="0"/>
              <w:snapToGrid w:val="0"/>
              <w:spacing w:line="320" w:lineRule="exact"/>
              <w:jc w:val="center"/>
              <w:rPr>
                <w:szCs w:val="21"/>
                <w:lang w:val="de-DE"/>
              </w:rPr>
            </w:pPr>
            <w:r>
              <w:rPr>
                <w:szCs w:val="21"/>
                <w:lang w:val="de-DE"/>
              </w:rPr>
              <w:t>风向</w:t>
            </w:r>
          </w:p>
        </w:tc>
        <w:tc>
          <w:tcPr>
            <w:tcW w:w="687" w:type="pct"/>
            <w:vAlign w:val="center"/>
          </w:tcPr>
          <w:p w14:paraId="196EAFA6">
            <w:pPr>
              <w:adjustRightInd w:val="0"/>
              <w:snapToGrid w:val="0"/>
              <w:spacing w:line="320" w:lineRule="exact"/>
              <w:jc w:val="center"/>
              <w:rPr>
                <w:szCs w:val="21"/>
                <w:lang w:val="de-DE"/>
              </w:rPr>
            </w:pPr>
            <w:r>
              <w:rPr>
                <w:szCs w:val="21"/>
                <w:lang w:val="de-DE"/>
              </w:rPr>
              <w:t>风速</w:t>
            </w:r>
          </w:p>
          <w:p w14:paraId="60236B43">
            <w:pPr>
              <w:adjustRightInd w:val="0"/>
              <w:snapToGrid w:val="0"/>
              <w:spacing w:line="320" w:lineRule="exact"/>
              <w:jc w:val="center"/>
              <w:rPr>
                <w:szCs w:val="21"/>
                <w:lang w:val="de-DE"/>
              </w:rPr>
            </w:pPr>
            <w:r>
              <w:rPr>
                <w:szCs w:val="21"/>
                <w:lang w:val="de-DE"/>
              </w:rPr>
              <w:t>(m/s)</w:t>
            </w:r>
          </w:p>
        </w:tc>
        <w:tc>
          <w:tcPr>
            <w:tcW w:w="687" w:type="pct"/>
            <w:vAlign w:val="center"/>
          </w:tcPr>
          <w:p w14:paraId="1522247D">
            <w:pPr>
              <w:adjustRightInd w:val="0"/>
              <w:snapToGrid w:val="0"/>
              <w:spacing w:line="320" w:lineRule="exact"/>
              <w:jc w:val="center"/>
              <w:rPr>
                <w:szCs w:val="21"/>
              </w:rPr>
            </w:pPr>
            <w:r>
              <w:rPr>
                <w:rFonts w:hint="eastAsia"/>
                <w:szCs w:val="21"/>
              </w:rPr>
              <w:t>环境气温</w:t>
            </w:r>
          </w:p>
          <w:p w14:paraId="6A5566BB">
            <w:pPr>
              <w:adjustRightInd w:val="0"/>
              <w:snapToGrid w:val="0"/>
              <w:spacing w:line="320" w:lineRule="exact"/>
              <w:jc w:val="center"/>
              <w:rPr>
                <w:szCs w:val="21"/>
                <w:lang w:val="de-DE"/>
              </w:rPr>
            </w:pPr>
            <w:r>
              <w:rPr>
                <w:szCs w:val="21"/>
                <w:lang w:val="de-DE"/>
              </w:rPr>
              <w:t>(℃)</w:t>
            </w:r>
          </w:p>
        </w:tc>
        <w:tc>
          <w:tcPr>
            <w:tcW w:w="689" w:type="pct"/>
            <w:vAlign w:val="center"/>
          </w:tcPr>
          <w:p w14:paraId="0280AFBD">
            <w:pPr>
              <w:adjustRightInd w:val="0"/>
              <w:snapToGrid w:val="0"/>
              <w:spacing w:line="320" w:lineRule="exact"/>
              <w:jc w:val="center"/>
              <w:rPr>
                <w:szCs w:val="21"/>
                <w:lang w:val="de-DE"/>
              </w:rPr>
            </w:pPr>
            <w:r>
              <w:rPr>
                <w:rFonts w:hint="eastAsia"/>
                <w:szCs w:val="21"/>
              </w:rPr>
              <w:t>环境</w:t>
            </w:r>
            <w:r>
              <w:rPr>
                <w:szCs w:val="21"/>
                <w:lang w:val="de-DE"/>
              </w:rPr>
              <w:t>气压(</w:t>
            </w:r>
            <w:r>
              <w:rPr>
                <w:rFonts w:hint="eastAsia"/>
                <w:szCs w:val="21"/>
              </w:rPr>
              <w:t>k</w:t>
            </w:r>
            <w:r>
              <w:rPr>
                <w:szCs w:val="21"/>
                <w:lang w:val="de-DE"/>
              </w:rPr>
              <w:t>Pa)</w:t>
            </w:r>
          </w:p>
        </w:tc>
        <w:tc>
          <w:tcPr>
            <w:tcW w:w="687" w:type="pct"/>
            <w:vAlign w:val="center"/>
          </w:tcPr>
          <w:p w14:paraId="2CCB3F15">
            <w:pPr>
              <w:adjustRightInd w:val="0"/>
              <w:snapToGrid w:val="0"/>
              <w:spacing w:line="320" w:lineRule="exact"/>
              <w:jc w:val="center"/>
              <w:rPr>
                <w:szCs w:val="21"/>
              </w:rPr>
            </w:pPr>
            <w:r>
              <w:rPr>
                <w:rFonts w:hint="eastAsia"/>
                <w:szCs w:val="21"/>
              </w:rPr>
              <w:t>相对湿度（%）</w:t>
            </w:r>
          </w:p>
        </w:tc>
      </w:tr>
      <w:tr w14:paraId="76367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5" w:type="pct"/>
            <w:vAlign w:val="center"/>
          </w:tcPr>
          <w:p w14:paraId="73FD6856">
            <w:pPr>
              <w:adjustRightInd w:val="0"/>
              <w:snapToGrid w:val="0"/>
              <w:spacing w:line="320" w:lineRule="exact"/>
              <w:jc w:val="center"/>
              <w:rPr>
                <w:szCs w:val="21"/>
              </w:rPr>
            </w:pPr>
            <w:r>
              <w:rPr>
                <w:rFonts w:hint="eastAsia"/>
                <w:szCs w:val="21"/>
              </w:rPr>
              <w:t>2023.8.11</w:t>
            </w:r>
          </w:p>
        </w:tc>
        <w:tc>
          <w:tcPr>
            <w:tcW w:w="687" w:type="pct"/>
            <w:vAlign w:val="center"/>
          </w:tcPr>
          <w:p w14:paraId="58BD0132">
            <w:pPr>
              <w:adjustRightInd w:val="0"/>
              <w:snapToGrid w:val="0"/>
              <w:spacing w:line="320" w:lineRule="exact"/>
              <w:jc w:val="center"/>
              <w:rPr>
                <w:szCs w:val="21"/>
              </w:rPr>
            </w:pPr>
            <w:r>
              <w:rPr>
                <w:rFonts w:hint="eastAsia"/>
                <w:szCs w:val="21"/>
              </w:rPr>
              <w:t>晴</w:t>
            </w:r>
          </w:p>
        </w:tc>
        <w:tc>
          <w:tcPr>
            <w:tcW w:w="687" w:type="pct"/>
            <w:vAlign w:val="center"/>
          </w:tcPr>
          <w:p w14:paraId="3B3252A5">
            <w:pPr>
              <w:adjustRightInd w:val="0"/>
              <w:snapToGrid w:val="0"/>
              <w:spacing w:line="320" w:lineRule="exact"/>
              <w:jc w:val="center"/>
              <w:rPr>
                <w:szCs w:val="21"/>
              </w:rPr>
            </w:pPr>
            <w:r>
              <w:rPr>
                <w:rFonts w:hint="eastAsia"/>
                <w:szCs w:val="21"/>
              </w:rPr>
              <w:t>西北</w:t>
            </w:r>
          </w:p>
        </w:tc>
        <w:tc>
          <w:tcPr>
            <w:tcW w:w="687" w:type="pct"/>
            <w:vAlign w:val="center"/>
          </w:tcPr>
          <w:p w14:paraId="2DEC0733">
            <w:pPr>
              <w:adjustRightInd w:val="0"/>
              <w:snapToGrid w:val="0"/>
              <w:spacing w:line="320" w:lineRule="exact"/>
              <w:jc w:val="center"/>
              <w:rPr>
                <w:szCs w:val="21"/>
              </w:rPr>
            </w:pPr>
            <w:r>
              <w:rPr>
                <w:rFonts w:hint="eastAsia"/>
                <w:szCs w:val="21"/>
              </w:rPr>
              <w:t>1.1~1.5</w:t>
            </w:r>
          </w:p>
        </w:tc>
        <w:tc>
          <w:tcPr>
            <w:tcW w:w="687" w:type="pct"/>
            <w:vAlign w:val="center"/>
          </w:tcPr>
          <w:p w14:paraId="242D6720">
            <w:pPr>
              <w:adjustRightInd w:val="0"/>
              <w:snapToGrid w:val="0"/>
              <w:spacing w:line="320" w:lineRule="exact"/>
              <w:jc w:val="center"/>
              <w:rPr>
                <w:szCs w:val="21"/>
              </w:rPr>
            </w:pPr>
            <w:r>
              <w:rPr>
                <w:rFonts w:hint="eastAsia"/>
                <w:szCs w:val="21"/>
              </w:rPr>
              <w:t>27~38</w:t>
            </w:r>
          </w:p>
        </w:tc>
        <w:tc>
          <w:tcPr>
            <w:tcW w:w="689" w:type="pct"/>
            <w:vAlign w:val="center"/>
          </w:tcPr>
          <w:p w14:paraId="3C4D6EA2">
            <w:pPr>
              <w:adjustRightInd w:val="0"/>
              <w:snapToGrid w:val="0"/>
              <w:spacing w:line="320" w:lineRule="exact"/>
              <w:jc w:val="center"/>
              <w:rPr>
                <w:szCs w:val="21"/>
              </w:rPr>
            </w:pPr>
            <w:r>
              <w:rPr>
                <w:rFonts w:hint="eastAsia"/>
                <w:szCs w:val="21"/>
              </w:rPr>
              <w:t>99.7~100.4</w:t>
            </w:r>
          </w:p>
        </w:tc>
        <w:tc>
          <w:tcPr>
            <w:tcW w:w="687" w:type="pct"/>
            <w:vAlign w:val="center"/>
          </w:tcPr>
          <w:p w14:paraId="7E33A036">
            <w:pPr>
              <w:adjustRightInd w:val="0"/>
              <w:snapToGrid w:val="0"/>
              <w:spacing w:line="320" w:lineRule="exact"/>
              <w:jc w:val="center"/>
              <w:rPr>
                <w:szCs w:val="21"/>
              </w:rPr>
            </w:pPr>
            <w:r>
              <w:rPr>
                <w:rFonts w:hint="eastAsia"/>
                <w:szCs w:val="21"/>
              </w:rPr>
              <w:t>54~61</w:t>
            </w:r>
          </w:p>
        </w:tc>
      </w:tr>
      <w:tr w14:paraId="43649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5" w:type="pct"/>
            <w:vAlign w:val="center"/>
          </w:tcPr>
          <w:p w14:paraId="0161EAF9">
            <w:pPr>
              <w:adjustRightInd w:val="0"/>
              <w:snapToGrid w:val="0"/>
              <w:spacing w:line="320" w:lineRule="exact"/>
              <w:jc w:val="center"/>
              <w:rPr>
                <w:szCs w:val="21"/>
              </w:rPr>
            </w:pPr>
            <w:r>
              <w:rPr>
                <w:rFonts w:hint="eastAsia"/>
                <w:szCs w:val="21"/>
              </w:rPr>
              <w:t>2023.8.12</w:t>
            </w:r>
          </w:p>
        </w:tc>
        <w:tc>
          <w:tcPr>
            <w:tcW w:w="687" w:type="pct"/>
            <w:vAlign w:val="center"/>
          </w:tcPr>
          <w:p w14:paraId="05DAFB81">
            <w:pPr>
              <w:adjustRightInd w:val="0"/>
              <w:snapToGrid w:val="0"/>
              <w:spacing w:line="320" w:lineRule="exact"/>
              <w:jc w:val="center"/>
              <w:rPr>
                <w:szCs w:val="21"/>
              </w:rPr>
            </w:pPr>
            <w:r>
              <w:rPr>
                <w:rFonts w:hint="eastAsia"/>
                <w:szCs w:val="21"/>
              </w:rPr>
              <w:t>晴</w:t>
            </w:r>
          </w:p>
        </w:tc>
        <w:tc>
          <w:tcPr>
            <w:tcW w:w="687" w:type="pct"/>
            <w:vAlign w:val="center"/>
          </w:tcPr>
          <w:p w14:paraId="25F5B657">
            <w:pPr>
              <w:adjustRightInd w:val="0"/>
              <w:snapToGrid w:val="0"/>
              <w:spacing w:line="320" w:lineRule="exact"/>
              <w:jc w:val="center"/>
              <w:rPr>
                <w:szCs w:val="21"/>
              </w:rPr>
            </w:pPr>
            <w:r>
              <w:rPr>
                <w:rFonts w:hint="eastAsia"/>
                <w:szCs w:val="21"/>
              </w:rPr>
              <w:t>西北</w:t>
            </w:r>
          </w:p>
        </w:tc>
        <w:tc>
          <w:tcPr>
            <w:tcW w:w="687" w:type="pct"/>
            <w:vAlign w:val="center"/>
          </w:tcPr>
          <w:p w14:paraId="181C1D85">
            <w:pPr>
              <w:adjustRightInd w:val="0"/>
              <w:snapToGrid w:val="0"/>
              <w:spacing w:line="320" w:lineRule="exact"/>
              <w:jc w:val="center"/>
              <w:rPr>
                <w:szCs w:val="21"/>
              </w:rPr>
            </w:pPr>
            <w:r>
              <w:rPr>
                <w:rFonts w:hint="eastAsia"/>
                <w:szCs w:val="21"/>
              </w:rPr>
              <w:t>1.0~1.4</w:t>
            </w:r>
          </w:p>
        </w:tc>
        <w:tc>
          <w:tcPr>
            <w:tcW w:w="687" w:type="pct"/>
            <w:vAlign w:val="center"/>
          </w:tcPr>
          <w:p w14:paraId="5247568E">
            <w:pPr>
              <w:adjustRightInd w:val="0"/>
              <w:snapToGrid w:val="0"/>
              <w:spacing w:line="320" w:lineRule="exact"/>
              <w:jc w:val="center"/>
              <w:rPr>
                <w:szCs w:val="21"/>
              </w:rPr>
            </w:pPr>
            <w:r>
              <w:rPr>
                <w:rFonts w:hint="eastAsia"/>
                <w:szCs w:val="21"/>
              </w:rPr>
              <w:t>27~39</w:t>
            </w:r>
          </w:p>
        </w:tc>
        <w:tc>
          <w:tcPr>
            <w:tcW w:w="689" w:type="pct"/>
            <w:vAlign w:val="center"/>
          </w:tcPr>
          <w:p w14:paraId="09B97008">
            <w:pPr>
              <w:adjustRightInd w:val="0"/>
              <w:snapToGrid w:val="0"/>
              <w:spacing w:line="320" w:lineRule="exact"/>
              <w:jc w:val="center"/>
              <w:rPr>
                <w:szCs w:val="21"/>
              </w:rPr>
            </w:pPr>
            <w:r>
              <w:rPr>
                <w:rFonts w:hint="eastAsia"/>
                <w:szCs w:val="21"/>
              </w:rPr>
              <w:t>99.8~100.5</w:t>
            </w:r>
          </w:p>
        </w:tc>
        <w:tc>
          <w:tcPr>
            <w:tcW w:w="687" w:type="pct"/>
            <w:vAlign w:val="center"/>
          </w:tcPr>
          <w:p w14:paraId="579BA588">
            <w:pPr>
              <w:adjustRightInd w:val="0"/>
              <w:snapToGrid w:val="0"/>
              <w:spacing w:line="320" w:lineRule="exact"/>
              <w:jc w:val="center"/>
              <w:rPr>
                <w:szCs w:val="21"/>
              </w:rPr>
            </w:pPr>
            <w:r>
              <w:rPr>
                <w:rFonts w:hint="eastAsia"/>
                <w:szCs w:val="21"/>
              </w:rPr>
              <w:t>54~61</w:t>
            </w:r>
          </w:p>
        </w:tc>
      </w:tr>
    </w:tbl>
    <w:p w14:paraId="31DEBB88">
      <w:pPr>
        <w:pStyle w:val="904"/>
        <w:spacing w:before="120" w:beforeLines="50"/>
      </w:pPr>
      <w:r>
        <w:t>表3.</w:t>
      </w:r>
      <w:r>
        <w:rPr>
          <w:rFonts w:hint="eastAsia"/>
        </w:rPr>
        <w:t>1-3  28号阀室</w:t>
      </w:r>
      <w:r>
        <w:t>厂界无组织废气监测结果表     单位mg/m</w:t>
      </w:r>
      <w:r>
        <w:rPr>
          <w:vertAlign w:val="superscript"/>
        </w:rPr>
        <w:t>3</w:t>
      </w:r>
    </w:p>
    <w:tbl>
      <w:tblPr>
        <w:tblStyle w:val="88"/>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098"/>
        <w:gridCol w:w="1378"/>
        <w:gridCol w:w="1282"/>
        <w:gridCol w:w="1477"/>
        <w:gridCol w:w="1477"/>
        <w:gridCol w:w="1477"/>
        <w:gridCol w:w="1477"/>
      </w:tblGrid>
      <w:tr w14:paraId="63BF23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68" w:type="pct"/>
            <w:vAlign w:val="center"/>
          </w:tcPr>
          <w:p w14:paraId="4147ECB7">
            <w:pPr>
              <w:snapToGrid w:val="0"/>
              <w:jc w:val="center"/>
              <w:rPr>
                <w:szCs w:val="21"/>
              </w:rPr>
            </w:pPr>
            <w:r>
              <w:rPr>
                <w:szCs w:val="21"/>
              </w:rPr>
              <w:t>检测内容</w:t>
            </w:r>
          </w:p>
        </w:tc>
        <w:tc>
          <w:tcPr>
            <w:tcW w:w="713" w:type="pct"/>
            <w:vAlign w:val="center"/>
          </w:tcPr>
          <w:p w14:paraId="541191F9">
            <w:pPr>
              <w:snapToGrid w:val="0"/>
              <w:jc w:val="center"/>
              <w:rPr>
                <w:szCs w:val="21"/>
              </w:rPr>
            </w:pPr>
            <w:r>
              <w:rPr>
                <w:szCs w:val="21"/>
              </w:rPr>
              <w:t>日期</w:t>
            </w:r>
          </w:p>
        </w:tc>
        <w:tc>
          <w:tcPr>
            <w:tcW w:w="663" w:type="pct"/>
            <w:vAlign w:val="center"/>
          </w:tcPr>
          <w:p w14:paraId="78379B34">
            <w:pPr>
              <w:snapToGrid w:val="0"/>
              <w:jc w:val="center"/>
              <w:rPr>
                <w:szCs w:val="21"/>
              </w:rPr>
            </w:pPr>
            <w:r>
              <w:rPr>
                <w:szCs w:val="21"/>
              </w:rPr>
              <w:t>频次</w:t>
            </w:r>
          </w:p>
        </w:tc>
        <w:tc>
          <w:tcPr>
            <w:tcW w:w="764" w:type="pct"/>
            <w:vAlign w:val="center"/>
          </w:tcPr>
          <w:p w14:paraId="123672F2">
            <w:pPr>
              <w:snapToGrid w:val="0"/>
              <w:jc w:val="center"/>
              <w:rPr>
                <w:szCs w:val="21"/>
              </w:rPr>
            </w:pPr>
            <w:r>
              <w:rPr>
                <w:szCs w:val="21"/>
              </w:rPr>
              <w:t>上风向</w:t>
            </w:r>
          </w:p>
        </w:tc>
        <w:tc>
          <w:tcPr>
            <w:tcW w:w="764" w:type="pct"/>
            <w:vAlign w:val="center"/>
          </w:tcPr>
          <w:p w14:paraId="1D6884AD">
            <w:pPr>
              <w:snapToGrid w:val="0"/>
              <w:jc w:val="center"/>
              <w:rPr>
                <w:szCs w:val="21"/>
              </w:rPr>
            </w:pPr>
            <w:r>
              <w:rPr>
                <w:szCs w:val="21"/>
              </w:rPr>
              <w:t>下风向</w:t>
            </w:r>
            <w:r>
              <w:rPr>
                <w:rFonts w:hint="eastAsia"/>
                <w:szCs w:val="21"/>
              </w:rPr>
              <w:t>1</w:t>
            </w:r>
            <w:r>
              <w:rPr>
                <w:szCs w:val="21"/>
              </w:rPr>
              <w:t>#</w:t>
            </w:r>
          </w:p>
        </w:tc>
        <w:tc>
          <w:tcPr>
            <w:tcW w:w="764" w:type="pct"/>
            <w:vAlign w:val="center"/>
          </w:tcPr>
          <w:p w14:paraId="7F57C9A2">
            <w:pPr>
              <w:snapToGrid w:val="0"/>
              <w:jc w:val="center"/>
              <w:rPr>
                <w:szCs w:val="21"/>
              </w:rPr>
            </w:pPr>
            <w:r>
              <w:rPr>
                <w:szCs w:val="21"/>
              </w:rPr>
              <w:t>下风向</w:t>
            </w:r>
            <w:r>
              <w:rPr>
                <w:rFonts w:hint="eastAsia"/>
                <w:szCs w:val="21"/>
              </w:rPr>
              <w:t>2</w:t>
            </w:r>
            <w:r>
              <w:rPr>
                <w:szCs w:val="21"/>
              </w:rPr>
              <w:t>#</w:t>
            </w:r>
          </w:p>
        </w:tc>
        <w:tc>
          <w:tcPr>
            <w:tcW w:w="764" w:type="pct"/>
            <w:vAlign w:val="center"/>
          </w:tcPr>
          <w:p w14:paraId="620E8305">
            <w:pPr>
              <w:snapToGrid w:val="0"/>
              <w:jc w:val="center"/>
              <w:rPr>
                <w:szCs w:val="21"/>
              </w:rPr>
            </w:pPr>
            <w:r>
              <w:rPr>
                <w:szCs w:val="21"/>
              </w:rPr>
              <w:t>下风向</w:t>
            </w:r>
            <w:r>
              <w:rPr>
                <w:rFonts w:hint="eastAsia"/>
                <w:szCs w:val="21"/>
              </w:rPr>
              <w:t>3</w:t>
            </w:r>
            <w:r>
              <w:rPr>
                <w:szCs w:val="21"/>
              </w:rPr>
              <w:t>#</w:t>
            </w:r>
          </w:p>
        </w:tc>
      </w:tr>
      <w:tr w14:paraId="1AF619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68" w:type="pct"/>
            <w:vMerge w:val="restart"/>
            <w:vAlign w:val="center"/>
          </w:tcPr>
          <w:p w14:paraId="5BA03119">
            <w:pPr>
              <w:snapToGrid w:val="0"/>
              <w:jc w:val="center"/>
              <w:rPr>
                <w:szCs w:val="21"/>
              </w:rPr>
            </w:pPr>
            <w:r>
              <w:rPr>
                <w:szCs w:val="21"/>
              </w:rPr>
              <w:t>非甲烷总烃</w:t>
            </w:r>
          </w:p>
        </w:tc>
        <w:tc>
          <w:tcPr>
            <w:tcW w:w="713" w:type="pct"/>
            <w:vMerge w:val="restart"/>
            <w:vAlign w:val="center"/>
          </w:tcPr>
          <w:p w14:paraId="4A828793">
            <w:pPr>
              <w:snapToGrid w:val="0"/>
              <w:jc w:val="center"/>
              <w:rPr>
                <w:szCs w:val="21"/>
              </w:rPr>
            </w:pPr>
            <w:r>
              <w:rPr>
                <w:rFonts w:hint="eastAsia"/>
                <w:szCs w:val="21"/>
              </w:rPr>
              <w:t>2023.8.11</w:t>
            </w:r>
          </w:p>
        </w:tc>
        <w:tc>
          <w:tcPr>
            <w:tcW w:w="663" w:type="pct"/>
            <w:vAlign w:val="center"/>
          </w:tcPr>
          <w:p w14:paraId="6CAA87F7">
            <w:pPr>
              <w:snapToGrid w:val="0"/>
              <w:jc w:val="center"/>
              <w:rPr>
                <w:szCs w:val="21"/>
              </w:rPr>
            </w:pPr>
            <w:r>
              <w:rPr>
                <w:szCs w:val="21"/>
              </w:rPr>
              <w:t>第一次</w:t>
            </w:r>
          </w:p>
        </w:tc>
        <w:tc>
          <w:tcPr>
            <w:tcW w:w="764" w:type="pct"/>
            <w:vAlign w:val="center"/>
          </w:tcPr>
          <w:p w14:paraId="7C8A6D33">
            <w:pPr>
              <w:snapToGrid w:val="0"/>
              <w:jc w:val="center"/>
              <w:rPr>
                <w:szCs w:val="21"/>
              </w:rPr>
            </w:pPr>
            <w:r>
              <w:rPr>
                <w:rFonts w:hint="eastAsia"/>
                <w:szCs w:val="21"/>
              </w:rPr>
              <w:t>0.65</w:t>
            </w:r>
          </w:p>
        </w:tc>
        <w:tc>
          <w:tcPr>
            <w:tcW w:w="764" w:type="pct"/>
            <w:vAlign w:val="center"/>
          </w:tcPr>
          <w:p w14:paraId="01B04830">
            <w:pPr>
              <w:snapToGrid w:val="0"/>
              <w:jc w:val="center"/>
              <w:rPr>
                <w:szCs w:val="21"/>
              </w:rPr>
            </w:pPr>
            <w:r>
              <w:rPr>
                <w:rFonts w:hint="eastAsia"/>
                <w:szCs w:val="21"/>
              </w:rPr>
              <w:t>0.72</w:t>
            </w:r>
          </w:p>
        </w:tc>
        <w:tc>
          <w:tcPr>
            <w:tcW w:w="764" w:type="pct"/>
            <w:vAlign w:val="center"/>
          </w:tcPr>
          <w:p w14:paraId="67280E6E">
            <w:pPr>
              <w:snapToGrid w:val="0"/>
              <w:jc w:val="center"/>
              <w:rPr>
                <w:szCs w:val="21"/>
              </w:rPr>
            </w:pPr>
            <w:r>
              <w:rPr>
                <w:rFonts w:hint="eastAsia"/>
                <w:szCs w:val="21"/>
              </w:rPr>
              <w:t>0.72</w:t>
            </w:r>
          </w:p>
        </w:tc>
        <w:tc>
          <w:tcPr>
            <w:tcW w:w="764" w:type="pct"/>
            <w:vAlign w:val="center"/>
          </w:tcPr>
          <w:p w14:paraId="18A5DC7A">
            <w:pPr>
              <w:snapToGrid w:val="0"/>
              <w:jc w:val="center"/>
              <w:rPr>
                <w:szCs w:val="21"/>
              </w:rPr>
            </w:pPr>
            <w:r>
              <w:rPr>
                <w:rFonts w:hint="eastAsia"/>
                <w:szCs w:val="21"/>
              </w:rPr>
              <w:t>0.76</w:t>
            </w:r>
          </w:p>
        </w:tc>
      </w:tr>
      <w:tr w14:paraId="0FE1F2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68" w:type="pct"/>
            <w:vMerge w:val="continue"/>
            <w:vAlign w:val="center"/>
          </w:tcPr>
          <w:p w14:paraId="4611F993">
            <w:pPr>
              <w:snapToGrid w:val="0"/>
              <w:jc w:val="center"/>
              <w:rPr>
                <w:szCs w:val="21"/>
              </w:rPr>
            </w:pPr>
          </w:p>
        </w:tc>
        <w:tc>
          <w:tcPr>
            <w:tcW w:w="713" w:type="pct"/>
            <w:vMerge w:val="continue"/>
            <w:vAlign w:val="center"/>
          </w:tcPr>
          <w:p w14:paraId="4811892E">
            <w:pPr>
              <w:snapToGrid w:val="0"/>
              <w:jc w:val="center"/>
              <w:rPr>
                <w:szCs w:val="21"/>
              </w:rPr>
            </w:pPr>
          </w:p>
        </w:tc>
        <w:tc>
          <w:tcPr>
            <w:tcW w:w="663" w:type="pct"/>
            <w:vAlign w:val="center"/>
          </w:tcPr>
          <w:p w14:paraId="5F80CCB3">
            <w:pPr>
              <w:snapToGrid w:val="0"/>
              <w:jc w:val="center"/>
              <w:rPr>
                <w:szCs w:val="21"/>
              </w:rPr>
            </w:pPr>
            <w:r>
              <w:rPr>
                <w:szCs w:val="21"/>
              </w:rPr>
              <w:t>第二次</w:t>
            </w:r>
          </w:p>
        </w:tc>
        <w:tc>
          <w:tcPr>
            <w:tcW w:w="764" w:type="pct"/>
            <w:vAlign w:val="center"/>
          </w:tcPr>
          <w:p w14:paraId="6A2B7AEB">
            <w:pPr>
              <w:snapToGrid w:val="0"/>
              <w:jc w:val="center"/>
              <w:rPr>
                <w:szCs w:val="21"/>
              </w:rPr>
            </w:pPr>
            <w:r>
              <w:rPr>
                <w:rFonts w:hint="eastAsia"/>
                <w:szCs w:val="21"/>
              </w:rPr>
              <w:t>0.66</w:t>
            </w:r>
          </w:p>
        </w:tc>
        <w:tc>
          <w:tcPr>
            <w:tcW w:w="764" w:type="pct"/>
            <w:vAlign w:val="center"/>
          </w:tcPr>
          <w:p w14:paraId="071F7101">
            <w:pPr>
              <w:snapToGrid w:val="0"/>
              <w:jc w:val="center"/>
              <w:rPr>
                <w:szCs w:val="21"/>
              </w:rPr>
            </w:pPr>
            <w:r>
              <w:rPr>
                <w:rFonts w:hint="eastAsia"/>
                <w:szCs w:val="21"/>
              </w:rPr>
              <w:t>0.73</w:t>
            </w:r>
          </w:p>
        </w:tc>
        <w:tc>
          <w:tcPr>
            <w:tcW w:w="764" w:type="pct"/>
            <w:vAlign w:val="center"/>
          </w:tcPr>
          <w:p w14:paraId="28A2828D">
            <w:pPr>
              <w:snapToGrid w:val="0"/>
              <w:jc w:val="center"/>
              <w:rPr>
                <w:szCs w:val="21"/>
              </w:rPr>
            </w:pPr>
            <w:r>
              <w:rPr>
                <w:rFonts w:hint="eastAsia"/>
                <w:szCs w:val="21"/>
              </w:rPr>
              <w:t>0.74</w:t>
            </w:r>
          </w:p>
        </w:tc>
        <w:tc>
          <w:tcPr>
            <w:tcW w:w="764" w:type="pct"/>
            <w:vAlign w:val="center"/>
          </w:tcPr>
          <w:p w14:paraId="1777D68D">
            <w:pPr>
              <w:snapToGrid w:val="0"/>
              <w:jc w:val="center"/>
              <w:rPr>
                <w:szCs w:val="21"/>
              </w:rPr>
            </w:pPr>
            <w:r>
              <w:rPr>
                <w:rFonts w:hint="eastAsia"/>
                <w:szCs w:val="21"/>
              </w:rPr>
              <w:t>0.70</w:t>
            </w:r>
          </w:p>
        </w:tc>
      </w:tr>
      <w:tr w14:paraId="3C1742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68" w:type="pct"/>
            <w:vMerge w:val="continue"/>
            <w:vAlign w:val="center"/>
          </w:tcPr>
          <w:p w14:paraId="75CAC145">
            <w:pPr>
              <w:snapToGrid w:val="0"/>
              <w:jc w:val="center"/>
              <w:rPr>
                <w:szCs w:val="21"/>
              </w:rPr>
            </w:pPr>
          </w:p>
        </w:tc>
        <w:tc>
          <w:tcPr>
            <w:tcW w:w="713" w:type="pct"/>
            <w:vMerge w:val="continue"/>
            <w:vAlign w:val="center"/>
          </w:tcPr>
          <w:p w14:paraId="7A7CDC2B">
            <w:pPr>
              <w:snapToGrid w:val="0"/>
              <w:jc w:val="center"/>
              <w:rPr>
                <w:szCs w:val="21"/>
              </w:rPr>
            </w:pPr>
          </w:p>
        </w:tc>
        <w:tc>
          <w:tcPr>
            <w:tcW w:w="663" w:type="pct"/>
            <w:vAlign w:val="center"/>
          </w:tcPr>
          <w:p w14:paraId="4385B4D9">
            <w:pPr>
              <w:snapToGrid w:val="0"/>
              <w:jc w:val="center"/>
              <w:rPr>
                <w:szCs w:val="21"/>
              </w:rPr>
            </w:pPr>
            <w:r>
              <w:rPr>
                <w:szCs w:val="21"/>
              </w:rPr>
              <w:t>第三次</w:t>
            </w:r>
          </w:p>
        </w:tc>
        <w:tc>
          <w:tcPr>
            <w:tcW w:w="764" w:type="pct"/>
            <w:vAlign w:val="center"/>
          </w:tcPr>
          <w:p w14:paraId="71319CEB">
            <w:pPr>
              <w:snapToGrid w:val="0"/>
              <w:jc w:val="center"/>
              <w:rPr>
                <w:szCs w:val="21"/>
              </w:rPr>
            </w:pPr>
            <w:r>
              <w:rPr>
                <w:rFonts w:hint="eastAsia"/>
                <w:szCs w:val="21"/>
              </w:rPr>
              <w:t>0.64</w:t>
            </w:r>
          </w:p>
        </w:tc>
        <w:tc>
          <w:tcPr>
            <w:tcW w:w="764" w:type="pct"/>
            <w:vAlign w:val="center"/>
          </w:tcPr>
          <w:p w14:paraId="47506F43">
            <w:pPr>
              <w:snapToGrid w:val="0"/>
              <w:jc w:val="center"/>
              <w:rPr>
                <w:szCs w:val="21"/>
              </w:rPr>
            </w:pPr>
            <w:r>
              <w:rPr>
                <w:rFonts w:hint="eastAsia"/>
                <w:szCs w:val="21"/>
              </w:rPr>
              <w:t>0.71</w:t>
            </w:r>
          </w:p>
        </w:tc>
        <w:tc>
          <w:tcPr>
            <w:tcW w:w="764" w:type="pct"/>
            <w:vAlign w:val="center"/>
          </w:tcPr>
          <w:p w14:paraId="119F1C2C">
            <w:pPr>
              <w:snapToGrid w:val="0"/>
              <w:jc w:val="center"/>
              <w:rPr>
                <w:szCs w:val="21"/>
              </w:rPr>
            </w:pPr>
            <w:r>
              <w:rPr>
                <w:rFonts w:hint="eastAsia"/>
                <w:szCs w:val="21"/>
              </w:rPr>
              <w:t>0.71</w:t>
            </w:r>
          </w:p>
        </w:tc>
        <w:tc>
          <w:tcPr>
            <w:tcW w:w="764" w:type="pct"/>
            <w:vAlign w:val="center"/>
          </w:tcPr>
          <w:p w14:paraId="1FD0D592">
            <w:pPr>
              <w:snapToGrid w:val="0"/>
              <w:jc w:val="center"/>
              <w:rPr>
                <w:szCs w:val="21"/>
              </w:rPr>
            </w:pPr>
            <w:r>
              <w:rPr>
                <w:rFonts w:hint="eastAsia"/>
                <w:szCs w:val="21"/>
              </w:rPr>
              <w:t>0.73</w:t>
            </w:r>
          </w:p>
        </w:tc>
      </w:tr>
      <w:tr w14:paraId="4960EE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68" w:type="pct"/>
            <w:vMerge w:val="continue"/>
            <w:vAlign w:val="center"/>
          </w:tcPr>
          <w:p w14:paraId="1AF5582F">
            <w:pPr>
              <w:snapToGrid w:val="0"/>
              <w:jc w:val="center"/>
              <w:rPr>
                <w:szCs w:val="21"/>
              </w:rPr>
            </w:pPr>
          </w:p>
        </w:tc>
        <w:tc>
          <w:tcPr>
            <w:tcW w:w="713" w:type="pct"/>
            <w:vMerge w:val="restart"/>
            <w:vAlign w:val="center"/>
          </w:tcPr>
          <w:p w14:paraId="5EF18358">
            <w:pPr>
              <w:snapToGrid w:val="0"/>
              <w:jc w:val="center"/>
              <w:rPr>
                <w:szCs w:val="21"/>
              </w:rPr>
            </w:pPr>
            <w:r>
              <w:rPr>
                <w:rFonts w:hint="eastAsia"/>
                <w:szCs w:val="21"/>
              </w:rPr>
              <w:t>2023.8.12</w:t>
            </w:r>
          </w:p>
        </w:tc>
        <w:tc>
          <w:tcPr>
            <w:tcW w:w="663" w:type="pct"/>
            <w:vAlign w:val="center"/>
          </w:tcPr>
          <w:p w14:paraId="4250EE50">
            <w:pPr>
              <w:snapToGrid w:val="0"/>
              <w:jc w:val="center"/>
              <w:rPr>
                <w:szCs w:val="21"/>
              </w:rPr>
            </w:pPr>
            <w:r>
              <w:rPr>
                <w:szCs w:val="21"/>
              </w:rPr>
              <w:t>第一次</w:t>
            </w:r>
          </w:p>
        </w:tc>
        <w:tc>
          <w:tcPr>
            <w:tcW w:w="764" w:type="pct"/>
            <w:vAlign w:val="center"/>
          </w:tcPr>
          <w:p w14:paraId="74DBC79D">
            <w:pPr>
              <w:snapToGrid w:val="0"/>
              <w:jc w:val="center"/>
              <w:rPr>
                <w:szCs w:val="21"/>
              </w:rPr>
            </w:pPr>
            <w:r>
              <w:rPr>
                <w:rFonts w:hint="eastAsia"/>
                <w:szCs w:val="21"/>
              </w:rPr>
              <w:t>0.68</w:t>
            </w:r>
          </w:p>
        </w:tc>
        <w:tc>
          <w:tcPr>
            <w:tcW w:w="764" w:type="pct"/>
            <w:vAlign w:val="center"/>
          </w:tcPr>
          <w:p w14:paraId="095C0271">
            <w:pPr>
              <w:snapToGrid w:val="0"/>
              <w:jc w:val="center"/>
              <w:rPr>
                <w:szCs w:val="21"/>
              </w:rPr>
            </w:pPr>
            <w:r>
              <w:rPr>
                <w:rFonts w:hint="eastAsia"/>
                <w:szCs w:val="21"/>
              </w:rPr>
              <w:t>0.75</w:t>
            </w:r>
          </w:p>
        </w:tc>
        <w:tc>
          <w:tcPr>
            <w:tcW w:w="764" w:type="pct"/>
            <w:vAlign w:val="center"/>
          </w:tcPr>
          <w:p w14:paraId="3D6D0C11">
            <w:pPr>
              <w:snapToGrid w:val="0"/>
              <w:jc w:val="center"/>
              <w:rPr>
                <w:szCs w:val="21"/>
              </w:rPr>
            </w:pPr>
            <w:r>
              <w:rPr>
                <w:rFonts w:hint="eastAsia"/>
                <w:szCs w:val="21"/>
              </w:rPr>
              <w:t>0.74</w:t>
            </w:r>
          </w:p>
        </w:tc>
        <w:tc>
          <w:tcPr>
            <w:tcW w:w="764" w:type="pct"/>
            <w:vAlign w:val="center"/>
          </w:tcPr>
          <w:p w14:paraId="62713045">
            <w:pPr>
              <w:snapToGrid w:val="0"/>
              <w:jc w:val="center"/>
              <w:rPr>
                <w:szCs w:val="21"/>
              </w:rPr>
            </w:pPr>
            <w:r>
              <w:rPr>
                <w:rFonts w:hint="eastAsia"/>
                <w:szCs w:val="21"/>
              </w:rPr>
              <w:t>0.73</w:t>
            </w:r>
          </w:p>
        </w:tc>
      </w:tr>
      <w:tr w14:paraId="5CFF7F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68" w:type="pct"/>
            <w:vMerge w:val="continue"/>
            <w:vAlign w:val="center"/>
          </w:tcPr>
          <w:p w14:paraId="313543D3">
            <w:pPr>
              <w:snapToGrid w:val="0"/>
              <w:jc w:val="center"/>
              <w:rPr>
                <w:szCs w:val="21"/>
              </w:rPr>
            </w:pPr>
          </w:p>
        </w:tc>
        <w:tc>
          <w:tcPr>
            <w:tcW w:w="713" w:type="pct"/>
            <w:vMerge w:val="continue"/>
            <w:vAlign w:val="center"/>
          </w:tcPr>
          <w:p w14:paraId="6D53E0DD">
            <w:pPr>
              <w:snapToGrid w:val="0"/>
              <w:jc w:val="center"/>
              <w:rPr>
                <w:szCs w:val="21"/>
              </w:rPr>
            </w:pPr>
          </w:p>
        </w:tc>
        <w:tc>
          <w:tcPr>
            <w:tcW w:w="663" w:type="pct"/>
            <w:vAlign w:val="center"/>
          </w:tcPr>
          <w:p w14:paraId="218AB06C">
            <w:pPr>
              <w:snapToGrid w:val="0"/>
              <w:jc w:val="center"/>
              <w:rPr>
                <w:szCs w:val="21"/>
              </w:rPr>
            </w:pPr>
            <w:r>
              <w:rPr>
                <w:szCs w:val="21"/>
              </w:rPr>
              <w:t>第二次</w:t>
            </w:r>
          </w:p>
        </w:tc>
        <w:tc>
          <w:tcPr>
            <w:tcW w:w="764" w:type="pct"/>
            <w:vAlign w:val="center"/>
          </w:tcPr>
          <w:p w14:paraId="2100983F">
            <w:pPr>
              <w:snapToGrid w:val="0"/>
              <w:jc w:val="center"/>
              <w:rPr>
                <w:szCs w:val="21"/>
              </w:rPr>
            </w:pPr>
            <w:r>
              <w:rPr>
                <w:rFonts w:hint="eastAsia"/>
                <w:szCs w:val="21"/>
              </w:rPr>
              <w:t>0.68</w:t>
            </w:r>
          </w:p>
        </w:tc>
        <w:tc>
          <w:tcPr>
            <w:tcW w:w="764" w:type="pct"/>
            <w:vAlign w:val="center"/>
          </w:tcPr>
          <w:p w14:paraId="1D97EC4A">
            <w:pPr>
              <w:snapToGrid w:val="0"/>
              <w:jc w:val="center"/>
              <w:rPr>
                <w:szCs w:val="21"/>
              </w:rPr>
            </w:pPr>
            <w:r>
              <w:rPr>
                <w:rFonts w:hint="eastAsia"/>
                <w:szCs w:val="21"/>
              </w:rPr>
              <w:t>0.73</w:t>
            </w:r>
          </w:p>
        </w:tc>
        <w:tc>
          <w:tcPr>
            <w:tcW w:w="764" w:type="pct"/>
            <w:vAlign w:val="center"/>
          </w:tcPr>
          <w:p w14:paraId="6A743FE8">
            <w:pPr>
              <w:snapToGrid w:val="0"/>
              <w:jc w:val="center"/>
              <w:rPr>
                <w:szCs w:val="21"/>
              </w:rPr>
            </w:pPr>
            <w:r>
              <w:rPr>
                <w:rFonts w:hint="eastAsia"/>
                <w:szCs w:val="21"/>
              </w:rPr>
              <w:t>0.72</w:t>
            </w:r>
          </w:p>
        </w:tc>
        <w:tc>
          <w:tcPr>
            <w:tcW w:w="764" w:type="pct"/>
            <w:vAlign w:val="center"/>
          </w:tcPr>
          <w:p w14:paraId="75DABEF6">
            <w:pPr>
              <w:snapToGrid w:val="0"/>
              <w:jc w:val="center"/>
              <w:rPr>
                <w:szCs w:val="21"/>
              </w:rPr>
            </w:pPr>
            <w:r>
              <w:rPr>
                <w:rFonts w:hint="eastAsia"/>
                <w:szCs w:val="21"/>
              </w:rPr>
              <w:t>0.75</w:t>
            </w:r>
          </w:p>
        </w:tc>
      </w:tr>
      <w:tr w14:paraId="4E40D6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68" w:type="pct"/>
            <w:vMerge w:val="continue"/>
            <w:vAlign w:val="center"/>
          </w:tcPr>
          <w:p w14:paraId="08B79BDC">
            <w:pPr>
              <w:snapToGrid w:val="0"/>
              <w:jc w:val="center"/>
              <w:rPr>
                <w:szCs w:val="21"/>
              </w:rPr>
            </w:pPr>
          </w:p>
        </w:tc>
        <w:tc>
          <w:tcPr>
            <w:tcW w:w="713" w:type="pct"/>
            <w:vMerge w:val="continue"/>
            <w:vAlign w:val="center"/>
          </w:tcPr>
          <w:p w14:paraId="7F00A7C9">
            <w:pPr>
              <w:snapToGrid w:val="0"/>
              <w:jc w:val="center"/>
              <w:rPr>
                <w:szCs w:val="21"/>
              </w:rPr>
            </w:pPr>
          </w:p>
        </w:tc>
        <w:tc>
          <w:tcPr>
            <w:tcW w:w="663" w:type="pct"/>
            <w:vAlign w:val="center"/>
          </w:tcPr>
          <w:p w14:paraId="6B2A092E">
            <w:pPr>
              <w:snapToGrid w:val="0"/>
              <w:jc w:val="center"/>
              <w:rPr>
                <w:szCs w:val="21"/>
              </w:rPr>
            </w:pPr>
            <w:r>
              <w:rPr>
                <w:szCs w:val="21"/>
              </w:rPr>
              <w:t>第三次</w:t>
            </w:r>
          </w:p>
        </w:tc>
        <w:tc>
          <w:tcPr>
            <w:tcW w:w="764" w:type="pct"/>
            <w:vAlign w:val="center"/>
          </w:tcPr>
          <w:p w14:paraId="4E7970AB">
            <w:pPr>
              <w:snapToGrid w:val="0"/>
              <w:jc w:val="center"/>
              <w:rPr>
                <w:szCs w:val="21"/>
              </w:rPr>
            </w:pPr>
            <w:r>
              <w:rPr>
                <w:rFonts w:hint="eastAsia"/>
                <w:szCs w:val="21"/>
              </w:rPr>
              <w:t>0.67</w:t>
            </w:r>
          </w:p>
        </w:tc>
        <w:tc>
          <w:tcPr>
            <w:tcW w:w="764" w:type="pct"/>
            <w:vAlign w:val="center"/>
          </w:tcPr>
          <w:p w14:paraId="324BF91D">
            <w:pPr>
              <w:snapToGrid w:val="0"/>
              <w:jc w:val="center"/>
              <w:rPr>
                <w:szCs w:val="21"/>
              </w:rPr>
            </w:pPr>
            <w:r>
              <w:rPr>
                <w:rFonts w:hint="eastAsia"/>
                <w:szCs w:val="21"/>
              </w:rPr>
              <w:t>0.77</w:t>
            </w:r>
          </w:p>
        </w:tc>
        <w:tc>
          <w:tcPr>
            <w:tcW w:w="764" w:type="pct"/>
            <w:vAlign w:val="center"/>
          </w:tcPr>
          <w:p w14:paraId="0EAF1D4C">
            <w:pPr>
              <w:snapToGrid w:val="0"/>
              <w:jc w:val="center"/>
              <w:rPr>
                <w:szCs w:val="21"/>
              </w:rPr>
            </w:pPr>
            <w:r>
              <w:rPr>
                <w:rFonts w:hint="eastAsia"/>
                <w:szCs w:val="21"/>
              </w:rPr>
              <w:t>0.72</w:t>
            </w:r>
          </w:p>
        </w:tc>
        <w:tc>
          <w:tcPr>
            <w:tcW w:w="764" w:type="pct"/>
            <w:vAlign w:val="center"/>
          </w:tcPr>
          <w:p w14:paraId="31147C3F">
            <w:pPr>
              <w:snapToGrid w:val="0"/>
              <w:jc w:val="center"/>
              <w:rPr>
                <w:szCs w:val="21"/>
              </w:rPr>
            </w:pPr>
            <w:r>
              <w:rPr>
                <w:rFonts w:hint="eastAsia"/>
                <w:szCs w:val="21"/>
              </w:rPr>
              <w:t>0.72</w:t>
            </w:r>
          </w:p>
        </w:tc>
      </w:tr>
    </w:tbl>
    <w:p w14:paraId="78AE932F">
      <w:pPr>
        <w:pStyle w:val="234"/>
        <w:spacing w:before="120" w:beforeLines="50"/>
      </w:pPr>
      <w:r>
        <w:t>根据表3.</w:t>
      </w:r>
      <w:r>
        <w:rPr>
          <w:rFonts w:hint="eastAsia"/>
        </w:rPr>
        <w:t>1-3</w:t>
      </w:r>
      <w:r>
        <w:t>，</w:t>
      </w:r>
      <w:r>
        <w:rPr>
          <w:rFonts w:hint="eastAsia"/>
        </w:rPr>
        <w:t>28号阀室</w:t>
      </w:r>
      <w:r>
        <w:t>厂界非甲烷总烃能够满足《</w:t>
      </w:r>
      <w:r>
        <w:rPr>
          <w:rFonts w:hint="eastAsia"/>
        </w:rPr>
        <w:t>大气污染物综合排放标准</w:t>
      </w:r>
      <w:r>
        <w:t>》(</w:t>
      </w:r>
      <w:r>
        <w:rPr>
          <w:rFonts w:hint="eastAsia"/>
        </w:rPr>
        <w:t>GB16297-1996</w:t>
      </w:r>
      <w:r>
        <w:t>)表2厂界监控点浓度限值</w:t>
      </w:r>
      <w:r>
        <w:rPr>
          <w:rFonts w:hint="eastAsia"/>
        </w:rPr>
        <w:t>（4</w:t>
      </w:r>
      <w:r>
        <w:t>.0mg/m</w:t>
      </w:r>
      <w:r>
        <w:rPr>
          <w:vertAlign w:val="superscript"/>
        </w:rPr>
        <w:t>3</w:t>
      </w:r>
      <w:r>
        <w:rPr>
          <w:rFonts w:hint="eastAsia"/>
        </w:rPr>
        <w:t>）。</w:t>
      </w:r>
    </w:p>
    <w:p w14:paraId="3B96455C">
      <w:pPr>
        <w:pStyle w:val="234"/>
        <w:ind w:firstLine="482"/>
        <w:rPr>
          <w:b/>
          <w:bCs/>
        </w:rPr>
      </w:pPr>
      <w:r>
        <w:rPr>
          <w:rFonts w:hint="eastAsia"/>
          <w:b/>
          <w:bCs/>
        </w:rPr>
        <w:t>（2）废水</w:t>
      </w:r>
    </w:p>
    <w:p w14:paraId="7F063E2D">
      <w:pPr>
        <w:pStyle w:val="234"/>
      </w:pPr>
      <w:r>
        <w:rPr>
          <w:rFonts w:hint="eastAsia"/>
        </w:rPr>
        <w:t>现有工程污水来源主要为沿线各站场人员生活污水，各站场设置了撬装卫生间，生活污水排入撬装卫生间委托第三方进行清运和无害化处理。</w:t>
      </w:r>
    </w:p>
    <w:p w14:paraId="1C31AEC0">
      <w:pPr>
        <w:pStyle w:val="234"/>
      </w:pPr>
      <w:r>
        <w:rPr>
          <w:rFonts w:hint="eastAsia"/>
        </w:rPr>
        <w:t>本工程改造的28号阀室为无人值守站，无生活污水产生。</w:t>
      </w:r>
    </w:p>
    <w:p w14:paraId="7C208325">
      <w:pPr>
        <w:pStyle w:val="234"/>
        <w:ind w:firstLine="482"/>
        <w:rPr>
          <w:b/>
          <w:bCs/>
        </w:rPr>
      </w:pPr>
      <w:r>
        <w:rPr>
          <w:rFonts w:hint="eastAsia"/>
          <w:b/>
          <w:bCs/>
        </w:rPr>
        <w:t>（3）噪声</w:t>
      </w:r>
    </w:p>
    <w:p w14:paraId="495B2644">
      <w:pPr>
        <w:pStyle w:val="234"/>
      </w:pPr>
      <w:r>
        <w:rPr>
          <w:rFonts w:hint="eastAsia"/>
        </w:rPr>
        <w:t>现有工程各站场主要噪声源来自调压装置、旋风过滤分离器、汇管等。</w:t>
      </w:r>
    </w:p>
    <w:p w14:paraId="0F546C8A">
      <w:pPr>
        <w:pStyle w:val="234"/>
      </w:pPr>
      <w:r>
        <w:rPr>
          <w:rFonts w:hint="eastAsia"/>
        </w:rPr>
        <w:t>根据验收调查报告中对潜江枢纽站、监利分输站、岳阳分输清管站、株洲分输清管站厂界昼间、夜间噪声的监测结果可知，各站场厂界环境噪声均满足《工业企业厂界环境噪声排放标准》（GB12348-2008）的2类区标准要求。</w:t>
      </w:r>
    </w:p>
    <w:p w14:paraId="33458C0B">
      <w:pPr>
        <w:spacing w:line="360" w:lineRule="auto"/>
        <w:ind w:firstLine="480" w:firstLineChars="200"/>
        <w:rPr>
          <w:sz w:val="24"/>
        </w:rPr>
      </w:pPr>
      <w:r>
        <w:rPr>
          <w:sz w:val="24"/>
        </w:rPr>
        <w:t>本次评价委托</w:t>
      </w:r>
      <w:r>
        <w:rPr>
          <w:rFonts w:hint="eastAsia"/>
          <w:sz w:val="24"/>
        </w:rPr>
        <w:t>湖南华清检测技术有限公司</w:t>
      </w:r>
      <w:r>
        <w:rPr>
          <w:sz w:val="24"/>
        </w:rPr>
        <w:t>对</w:t>
      </w:r>
      <w:r>
        <w:rPr>
          <w:rFonts w:hint="eastAsia"/>
          <w:sz w:val="24"/>
        </w:rPr>
        <w:t>28号阀室</w:t>
      </w:r>
      <w:r>
        <w:rPr>
          <w:sz w:val="24"/>
        </w:rPr>
        <w:t>厂界噪声进行了监测，具体见表3.</w:t>
      </w:r>
      <w:r>
        <w:rPr>
          <w:rFonts w:hint="eastAsia"/>
          <w:sz w:val="24"/>
        </w:rPr>
        <w:t>1-4</w:t>
      </w:r>
      <w:r>
        <w:rPr>
          <w:sz w:val="24"/>
        </w:rPr>
        <w:t>。</w:t>
      </w:r>
    </w:p>
    <w:p w14:paraId="7AD98526">
      <w:pPr>
        <w:pStyle w:val="904"/>
      </w:pPr>
      <w:r>
        <w:t>表3.</w:t>
      </w:r>
      <w:r>
        <w:rPr>
          <w:rFonts w:hint="eastAsia"/>
        </w:rPr>
        <w:t>1-4   28号阀室</w:t>
      </w:r>
      <w:r>
        <w:t>厂界噪声监测结果表</w:t>
      </w:r>
    </w:p>
    <w:tbl>
      <w:tblPr>
        <w:tblStyle w:val="88"/>
        <w:tblW w:w="975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830"/>
        <w:gridCol w:w="1730"/>
        <w:gridCol w:w="1730"/>
        <w:gridCol w:w="1730"/>
        <w:gridCol w:w="1730"/>
      </w:tblGrid>
      <w:tr w14:paraId="12A157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830" w:type="dxa"/>
            <w:vMerge w:val="restart"/>
            <w:vAlign w:val="center"/>
          </w:tcPr>
          <w:p w14:paraId="229B1DF4">
            <w:pPr>
              <w:snapToGrid w:val="0"/>
              <w:jc w:val="center"/>
              <w:rPr>
                <w:szCs w:val="21"/>
              </w:rPr>
            </w:pPr>
            <w:r>
              <w:rPr>
                <w:szCs w:val="21"/>
              </w:rPr>
              <w:t>测点</w:t>
            </w:r>
          </w:p>
          <w:p w14:paraId="5311C12F">
            <w:pPr>
              <w:snapToGrid w:val="0"/>
              <w:jc w:val="center"/>
              <w:rPr>
                <w:szCs w:val="21"/>
              </w:rPr>
            </w:pPr>
            <w:r>
              <w:rPr>
                <w:szCs w:val="21"/>
              </w:rPr>
              <w:t>位置</w:t>
            </w:r>
          </w:p>
        </w:tc>
        <w:tc>
          <w:tcPr>
            <w:tcW w:w="6920" w:type="dxa"/>
            <w:gridSpan w:val="4"/>
            <w:vAlign w:val="center"/>
          </w:tcPr>
          <w:p w14:paraId="2176BECB">
            <w:pPr>
              <w:snapToGrid w:val="0"/>
              <w:jc w:val="center"/>
              <w:rPr>
                <w:szCs w:val="21"/>
              </w:rPr>
            </w:pPr>
            <w:r>
              <w:rPr>
                <w:szCs w:val="21"/>
              </w:rPr>
              <w:t>等效声级值dB (A)</w:t>
            </w:r>
          </w:p>
        </w:tc>
      </w:tr>
      <w:tr w14:paraId="02E03D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830" w:type="dxa"/>
            <w:vMerge w:val="continue"/>
            <w:vAlign w:val="center"/>
          </w:tcPr>
          <w:p w14:paraId="5E7A69F2">
            <w:pPr>
              <w:snapToGrid w:val="0"/>
              <w:jc w:val="center"/>
              <w:rPr>
                <w:szCs w:val="21"/>
              </w:rPr>
            </w:pPr>
          </w:p>
        </w:tc>
        <w:tc>
          <w:tcPr>
            <w:tcW w:w="3460" w:type="dxa"/>
            <w:gridSpan w:val="2"/>
            <w:vAlign w:val="center"/>
          </w:tcPr>
          <w:p w14:paraId="0C81F7D8">
            <w:pPr>
              <w:snapToGrid w:val="0"/>
              <w:jc w:val="center"/>
              <w:rPr>
                <w:szCs w:val="21"/>
              </w:rPr>
            </w:pPr>
            <w:r>
              <w:rPr>
                <w:rFonts w:hint="eastAsia"/>
                <w:szCs w:val="21"/>
              </w:rPr>
              <w:t>2023.8.11</w:t>
            </w:r>
          </w:p>
        </w:tc>
        <w:tc>
          <w:tcPr>
            <w:tcW w:w="3460" w:type="dxa"/>
            <w:gridSpan w:val="2"/>
            <w:vAlign w:val="center"/>
          </w:tcPr>
          <w:p w14:paraId="4B2890B1">
            <w:pPr>
              <w:snapToGrid w:val="0"/>
              <w:jc w:val="center"/>
              <w:rPr>
                <w:szCs w:val="21"/>
              </w:rPr>
            </w:pPr>
            <w:r>
              <w:rPr>
                <w:rFonts w:hint="eastAsia"/>
                <w:szCs w:val="21"/>
              </w:rPr>
              <w:t>2023.8.12</w:t>
            </w:r>
          </w:p>
        </w:tc>
      </w:tr>
      <w:tr w14:paraId="2FA75E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830" w:type="dxa"/>
            <w:vMerge w:val="continue"/>
            <w:vAlign w:val="center"/>
          </w:tcPr>
          <w:p w14:paraId="18AFEDF0">
            <w:pPr>
              <w:snapToGrid w:val="0"/>
              <w:jc w:val="center"/>
              <w:rPr>
                <w:szCs w:val="21"/>
              </w:rPr>
            </w:pPr>
          </w:p>
        </w:tc>
        <w:tc>
          <w:tcPr>
            <w:tcW w:w="1730" w:type="dxa"/>
            <w:vAlign w:val="center"/>
          </w:tcPr>
          <w:p w14:paraId="71775C4C">
            <w:pPr>
              <w:snapToGrid w:val="0"/>
              <w:jc w:val="center"/>
              <w:rPr>
                <w:szCs w:val="21"/>
              </w:rPr>
            </w:pPr>
            <w:r>
              <w:rPr>
                <w:szCs w:val="21"/>
              </w:rPr>
              <w:t>昼间</w:t>
            </w:r>
          </w:p>
        </w:tc>
        <w:tc>
          <w:tcPr>
            <w:tcW w:w="1730" w:type="dxa"/>
            <w:vAlign w:val="center"/>
          </w:tcPr>
          <w:p w14:paraId="4BD97470">
            <w:pPr>
              <w:snapToGrid w:val="0"/>
              <w:jc w:val="center"/>
              <w:rPr>
                <w:szCs w:val="21"/>
              </w:rPr>
            </w:pPr>
            <w:r>
              <w:rPr>
                <w:szCs w:val="21"/>
              </w:rPr>
              <w:t>夜间</w:t>
            </w:r>
          </w:p>
        </w:tc>
        <w:tc>
          <w:tcPr>
            <w:tcW w:w="1730" w:type="dxa"/>
            <w:vAlign w:val="center"/>
          </w:tcPr>
          <w:p w14:paraId="73787105">
            <w:pPr>
              <w:snapToGrid w:val="0"/>
              <w:jc w:val="center"/>
              <w:rPr>
                <w:szCs w:val="21"/>
              </w:rPr>
            </w:pPr>
            <w:r>
              <w:rPr>
                <w:szCs w:val="21"/>
              </w:rPr>
              <w:t>昼间</w:t>
            </w:r>
          </w:p>
        </w:tc>
        <w:tc>
          <w:tcPr>
            <w:tcW w:w="1730" w:type="dxa"/>
            <w:vAlign w:val="center"/>
          </w:tcPr>
          <w:p w14:paraId="50135FF4">
            <w:pPr>
              <w:snapToGrid w:val="0"/>
              <w:jc w:val="center"/>
              <w:rPr>
                <w:szCs w:val="21"/>
              </w:rPr>
            </w:pPr>
            <w:r>
              <w:rPr>
                <w:szCs w:val="21"/>
              </w:rPr>
              <w:t>夜间</w:t>
            </w:r>
          </w:p>
        </w:tc>
      </w:tr>
      <w:tr w14:paraId="2B0EAE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830" w:type="dxa"/>
            <w:vAlign w:val="center"/>
          </w:tcPr>
          <w:p w14:paraId="37FF2FE7">
            <w:pPr>
              <w:snapToGrid w:val="0"/>
              <w:jc w:val="center"/>
              <w:rPr>
                <w:szCs w:val="21"/>
              </w:rPr>
            </w:pPr>
            <w:r>
              <w:rPr>
                <w:rFonts w:hint="eastAsia"/>
                <w:szCs w:val="21"/>
              </w:rPr>
              <w:t>28号阀室</w:t>
            </w:r>
            <w:r>
              <w:rPr>
                <w:szCs w:val="21"/>
              </w:rPr>
              <w:t>东厂界</w:t>
            </w:r>
          </w:p>
        </w:tc>
        <w:tc>
          <w:tcPr>
            <w:tcW w:w="1730" w:type="dxa"/>
            <w:vAlign w:val="center"/>
          </w:tcPr>
          <w:p w14:paraId="2EA6BB51">
            <w:pPr>
              <w:snapToGrid w:val="0"/>
              <w:jc w:val="center"/>
              <w:rPr>
                <w:szCs w:val="21"/>
              </w:rPr>
            </w:pPr>
            <w:r>
              <w:rPr>
                <w:rFonts w:hint="eastAsia"/>
                <w:szCs w:val="21"/>
              </w:rPr>
              <w:t>45</w:t>
            </w:r>
          </w:p>
        </w:tc>
        <w:tc>
          <w:tcPr>
            <w:tcW w:w="1730" w:type="dxa"/>
            <w:vAlign w:val="center"/>
          </w:tcPr>
          <w:p w14:paraId="28541713">
            <w:pPr>
              <w:snapToGrid w:val="0"/>
              <w:jc w:val="center"/>
              <w:rPr>
                <w:szCs w:val="21"/>
              </w:rPr>
            </w:pPr>
            <w:r>
              <w:rPr>
                <w:rFonts w:hint="eastAsia"/>
                <w:szCs w:val="21"/>
              </w:rPr>
              <w:t>44</w:t>
            </w:r>
          </w:p>
        </w:tc>
        <w:tc>
          <w:tcPr>
            <w:tcW w:w="1730" w:type="dxa"/>
            <w:vAlign w:val="center"/>
          </w:tcPr>
          <w:p w14:paraId="26DBF853">
            <w:pPr>
              <w:snapToGrid w:val="0"/>
              <w:jc w:val="center"/>
              <w:rPr>
                <w:szCs w:val="21"/>
              </w:rPr>
            </w:pPr>
            <w:r>
              <w:rPr>
                <w:rFonts w:hint="eastAsia"/>
                <w:szCs w:val="21"/>
              </w:rPr>
              <w:t>46</w:t>
            </w:r>
          </w:p>
        </w:tc>
        <w:tc>
          <w:tcPr>
            <w:tcW w:w="1730" w:type="dxa"/>
            <w:vAlign w:val="center"/>
          </w:tcPr>
          <w:p w14:paraId="13EF94A4">
            <w:pPr>
              <w:snapToGrid w:val="0"/>
              <w:jc w:val="center"/>
              <w:rPr>
                <w:szCs w:val="21"/>
              </w:rPr>
            </w:pPr>
            <w:r>
              <w:rPr>
                <w:rFonts w:hint="eastAsia"/>
                <w:szCs w:val="21"/>
              </w:rPr>
              <w:t>44</w:t>
            </w:r>
          </w:p>
        </w:tc>
      </w:tr>
      <w:tr w14:paraId="4A0BFB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830" w:type="dxa"/>
            <w:vAlign w:val="center"/>
          </w:tcPr>
          <w:p w14:paraId="0713A854">
            <w:pPr>
              <w:snapToGrid w:val="0"/>
              <w:jc w:val="center"/>
              <w:rPr>
                <w:szCs w:val="21"/>
              </w:rPr>
            </w:pPr>
            <w:r>
              <w:rPr>
                <w:rFonts w:hint="eastAsia"/>
                <w:szCs w:val="21"/>
              </w:rPr>
              <w:t>28号阀室</w:t>
            </w:r>
            <w:r>
              <w:rPr>
                <w:szCs w:val="21"/>
              </w:rPr>
              <w:t>南厂界</w:t>
            </w:r>
          </w:p>
        </w:tc>
        <w:tc>
          <w:tcPr>
            <w:tcW w:w="1730" w:type="dxa"/>
            <w:vAlign w:val="center"/>
          </w:tcPr>
          <w:p w14:paraId="30D9A3BF">
            <w:pPr>
              <w:snapToGrid w:val="0"/>
              <w:jc w:val="center"/>
              <w:rPr>
                <w:szCs w:val="21"/>
              </w:rPr>
            </w:pPr>
            <w:r>
              <w:rPr>
                <w:rFonts w:hint="eastAsia"/>
                <w:szCs w:val="21"/>
              </w:rPr>
              <w:t>45</w:t>
            </w:r>
          </w:p>
        </w:tc>
        <w:tc>
          <w:tcPr>
            <w:tcW w:w="1730" w:type="dxa"/>
            <w:vAlign w:val="center"/>
          </w:tcPr>
          <w:p w14:paraId="58A8F540">
            <w:pPr>
              <w:snapToGrid w:val="0"/>
              <w:jc w:val="center"/>
              <w:rPr>
                <w:szCs w:val="21"/>
              </w:rPr>
            </w:pPr>
            <w:r>
              <w:rPr>
                <w:rFonts w:hint="eastAsia"/>
                <w:szCs w:val="21"/>
              </w:rPr>
              <w:t>43</w:t>
            </w:r>
          </w:p>
        </w:tc>
        <w:tc>
          <w:tcPr>
            <w:tcW w:w="1730" w:type="dxa"/>
            <w:vAlign w:val="center"/>
          </w:tcPr>
          <w:p w14:paraId="71248786">
            <w:pPr>
              <w:snapToGrid w:val="0"/>
              <w:jc w:val="center"/>
              <w:rPr>
                <w:szCs w:val="21"/>
              </w:rPr>
            </w:pPr>
            <w:r>
              <w:rPr>
                <w:rFonts w:hint="eastAsia"/>
                <w:szCs w:val="21"/>
              </w:rPr>
              <w:t>46</w:t>
            </w:r>
          </w:p>
        </w:tc>
        <w:tc>
          <w:tcPr>
            <w:tcW w:w="1730" w:type="dxa"/>
            <w:vAlign w:val="center"/>
          </w:tcPr>
          <w:p w14:paraId="6975E595">
            <w:pPr>
              <w:snapToGrid w:val="0"/>
              <w:jc w:val="center"/>
              <w:rPr>
                <w:szCs w:val="21"/>
              </w:rPr>
            </w:pPr>
            <w:r>
              <w:rPr>
                <w:rFonts w:hint="eastAsia"/>
                <w:szCs w:val="21"/>
              </w:rPr>
              <w:t>44</w:t>
            </w:r>
          </w:p>
        </w:tc>
      </w:tr>
      <w:tr w14:paraId="52F367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830" w:type="dxa"/>
            <w:vAlign w:val="center"/>
          </w:tcPr>
          <w:p w14:paraId="1610286E">
            <w:pPr>
              <w:snapToGrid w:val="0"/>
              <w:jc w:val="center"/>
              <w:rPr>
                <w:szCs w:val="21"/>
              </w:rPr>
            </w:pPr>
            <w:r>
              <w:rPr>
                <w:rFonts w:hint="eastAsia"/>
                <w:szCs w:val="21"/>
              </w:rPr>
              <w:t>28号阀室</w:t>
            </w:r>
            <w:r>
              <w:rPr>
                <w:szCs w:val="21"/>
              </w:rPr>
              <w:t>西厂界</w:t>
            </w:r>
          </w:p>
        </w:tc>
        <w:tc>
          <w:tcPr>
            <w:tcW w:w="1730" w:type="dxa"/>
            <w:vAlign w:val="center"/>
          </w:tcPr>
          <w:p w14:paraId="4A3BD148">
            <w:pPr>
              <w:snapToGrid w:val="0"/>
              <w:jc w:val="center"/>
              <w:rPr>
                <w:szCs w:val="21"/>
              </w:rPr>
            </w:pPr>
            <w:r>
              <w:rPr>
                <w:rFonts w:hint="eastAsia"/>
                <w:szCs w:val="21"/>
              </w:rPr>
              <w:t>45</w:t>
            </w:r>
          </w:p>
        </w:tc>
        <w:tc>
          <w:tcPr>
            <w:tcW w:w="1730" w:type="dxa"/>
            <w:vAlign w:val="center"/>
          </w:tcPr>
          <w:p w14:paraId="73961791">
            <w:pPr>
              <w:snapToGrid w:val="0"/>
              <w:jc w:val="center"/>
              <w:rPr>
                <w:szCs w:val="21"/>
              </w:rPr>
            </w:pPr>
            <w:r>
              <w:rPr>
                <w:rFonts w:hint="eastAsia"/>
                <w:szCs w:val="21"/>
              </w:rPr>
              <w:t>44</w:t>
            </w:r>
          </w:p>
        </w:tc>
        <w:tc>
          <w:tcPr>
            <w:tcW w:w="1730" w:type="dxa"/>
            <w:vAlign w:val="center"/>
          </w:tcPr>
          <w:p w14:paraId="27ED9FC5">
            <w:pPr>
              <w:snapToGrid w:val="0"/>
              <w:jc w:val="center"/>
              <w:rPr>
                <w:szCs w:val="21"/>
              </w:rPr>
            </w:pPr>
            <w:r>
              <w:rPr>
                <w:rFonts w:hint="eastAsia"/>
                <w:szCs w:val="21"/>
              </w:rPr>
              <w:t>45</w:t>
            </w:r>
          </w:p>
        </w:tc>
        <w:tc>
          <w:tcPr>
            <w:tcW w:w="1730" w:type="dxa"/>
            <w:vAlign w:val="center"/>
          </w:tcPr>
          <w:p w14:paraId="69FBD8AC">
            <w:pPr>
              <w:snapToGrid w:val="0"/>
              <w:jc w:val="center"/>
              <w:rPr>
                <w:szCs w:val="21"/>
              </w:rPr>
            </w:pPr>
            <w:r>
              <w:rPr>
                <w:rFonts w:hint="eastAsia"/>
                <w:szCs w:val="21"/>
              </w:rPr>
              <w:t>43</w:t>
            </w:r>
          </w:p>
        </w:tc>
      </w:tr>
      <w:tr w14:paraId="516FF8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830" w:type="dxa"/>
            <w:vAlign w:val="center"/>
          </w:tcPr>
          <w:p w14:paraId="036B14A2">
            <w:pPr>
              <w:snapToGrid w:val="0"/>
              <w:jc w:val="center"/>
              <w:rPr>
                <w:szCs w:val="21"/>
              </w:rPr>
            </w:pPr>
            <w:r>
              <w:rPr>
                <w:rFonts w:hint="eastAsia"/>
                <w:szCs w:val="21"/>
              </w:rPr>
              <w:t>28号阀室</w:t>
            </w:r>
            <w:r>
              <w:rPr>
                <w:szCs w:val="21"/>
              </w:rPr>
              <w:t>北厂界</w:t>
            </w:r>
          </w:p>
        </w:tc>
        <w:tc>
          <w:tcPr>
            <w:tcW w:w="1730" w:type="dxa"/>
            <w:vAlign w:val="center"/>
          </w:tcPr>
          <w:p w14:paraId="5A5C9B8F">
            <w:pPr>
              <w:snapToGrid w:val="0"/>
              <w:jc w:val="center"/>
              <w:rPr>
                <w:szCs w:val="21"/>
              </w:rPr>
            </w:pPr>
            <w:r>
              <w:rPr>
                <w:rFonts w:hint="eastAsia"/>
                <w:szCs w:val="21"/>
              </w:rPr>
              <w:t>45</w:t>
            </w:r>
          </w:p>
        </w:tc>
        <w:tc>
          <w:tcPr>
            <w:tcW w:w="1730" w:type="dxa"/>
            <w:vAlign w:val="center"/>
          </w:tcPr>
          <w:p w14:paraId="6D9C7CE9">
            <w:pPr>
              <w:snapToGrid w:val="0"/>
              <w:jc w:val="center"/>
              <w:rPr>
                <w:szCs w:val="21"/>
              </w:rPr>
            </w:pPr>
            <w:r>
              <w:rPr>
                <w:rFonts w:hint="eastAsia"/>
                <w:szCs w:val="21"/>
              </w:rPr>
              <w:t>43</w:t>
            </w:r>
          </w:p>
        </w:tc>
        <w:tc>
          <w:tcPr>
            <w:tcW w:w="1730" w:type="dxa"/>
            <w:vAlign w:val="center"/>
          </w:tcPr>
          <w:p w14:paraId="7C023415">
            <w:pPr>
              <w:snapToGrid w:val="0"/>
              <w:jc w:val="center"/>
              <w:rPr>
                <w:szCs w:val="21"/>
              </w:rPr>
            </w:pPr>
            <w:r>
              <w:rPr>
                <w:rFonts w:hint="eastAsia"/>
                <w:szCs w:val="21"/>
              </w:rPr>
              <w:t>44</w:t>
            </w:r>
          </w:p>
        </w:tc>
        <w:tc>
          <w:tcPr>
            <w:tcW w:w="1730" w:type="dxa"/>
            <w:vAlign w:val="center"/>
          </w:tcPr>
          <w:p w14:paraId="0C805587">
            <w:pPr>
              <w:snapToGrid w:val="0"/>
              <w:jc w:val="center"/>
              <w:rPr>
                <w:szCs w:val="21"/>
              </w:rPr>
            </w:pPr>
            <w:r>
              <w:rPr>
                <w:rFonts w:hint="eastAsia"/>
                <w:szCs w:val="21"/>
              </w:rPr>
              <w:t>43</w:t>
            </w:r>
          </w:p>
        </w:tc>
      </w:tr>
    </w:tbl>
    <w:p w14:paraId="040BBFF5">
      <w:pPr>
        <w:pStyle w:val="234"/>
        <w:spacing w:before="120" w:beforeLines="50"/>
      </w:pPr>
      <w:r>
        <w:t>根据表3.</w:t>
      </w:r>
      <w:r>
        <w:rPr>
          <w:rFonts w:hint="eastAsia"/>
        </w:rPr>
        <w:t>1-4</w:t>
      </w:r>
      <w:r>
        <w:t>，</w:t>
      </w:r>
      <w:r>
        <w:rPr>
          <w:rFonts w:hint="eastAsia"/>
        </w:rPr>
        <w:t>28号阀室</w:t>
      </w:r>
      <w:r>
        <w:t>厂界噪声能够满足《工业企业厂界环境噪声排放标准》（GB12348-2008）2类标准</w:t>
      </w:r>
      <w:r>
        <w:rPr>
          <w:rFonts w:hint="eastAsia"/>
        </w:rPr>
        <w:t>（昼间6</w:t>
      </w:r>
      <w:r>
        <w:t>0</w:t>
      </w:r>
      <w:r>
        <w:rPr>
          <w:rFonts w:hint="eastAsia"/>
        </w:rPr>
        <w:t>d</w:t>
      </w:r>
      <w:r>
        <w:t>B(A</w:t>
      </w:r>
      <w:r>
        <w:rPr>
          <w:rFonts w:hint="eastAsia"/>
        </w:rPr>
        <w:t>)、夜间</w:t>
      </w:r>
      <w:r>
        <w:t>50</w:t>
      </w:r>
      <w:r>
        <w:rPr>
          <w:rFonts w:hint="eastAsia"/>
        </w:rPr>
        <w:t>d</w:t>
      </w:r>
      <w:r>
        <w:t>B(A</w:t>
      </w:r>
      <w:r>
        <w:rPr>
          <w:rFonts w:hint="eastAsia"/>
        </w:rPr>
        <w:t>)）。</w:t>
      </w:r>
    </w:p>
    <w:p w14:paraId="46C2AAFA">
      <w:pPr>
        <w:pStyle w:val="234"/>
        <w:ind w:firstLine="482"/>
        <w:rPr>
          <w:b/>
          <w:bCs/>
        </w:rPr>
      </w:pPr>
      <w:r>
        <w:rPr>
          <w:rFonts w:hint="eastAsia"/>
          <w:b/>
          <w:bCs/>
        </w:rPr>
        <w:t>（4）固体废物</w:t>
      </w:r>
    </w:p>
    <w:p w14:paraId="0D2C6221">
      <w:pPr>
        <w:pStyle w:val="234"/>
      </w:pPr>
      <w:r>
        <w:rPr>
          <w:rFonts w:hint="eastAsia"/>
        </w:rPr>
        <w:t>现有工程固体废物主要为各站场职工产生的生活垃圾、分离器检修（除尘）、清管收球作业时产生的粉尘和废渣。生活垃圾收集后交由第三方定期清运处理；清管作业以及分离器检修产生的少量固体粉末，存放在排污罐或排污池，达到一定量时外委有资质的单位进行处置。</w:t>
      </w:r>
    </w:p>
    <w:p w14:paraId="05F25D30">
      <w:pPr>
        <w:pStyle w:val="234"/>
      </w:pPr>
      <w:r>
        <w:rPr>
          <w:rFonts w:hint="eastAsia"/>
        </w:rPr>
        <w:t>28号阀室为无人值守站，产生的固体废物为</w:t>
      </w:r>
      <w:r>
        <w:rPr>
          <w:shd w:val="clear" w:color="auto" w:fill="FFFFFF"/>
        </w:rPr>
        <w:t>更换的废铅蓄电池</w:t>
      </w:r>
      <w:r>
        <w:rPr>
          <w:rFonts w:hint="eastAsia"/>
          <w:shd w:val="clear" w:color="auto" w:fill="FFFFFF"/>
        </w:rPr>
        <w:t>，每8年更换一次，更换后委托有资质单位处理（见附件12），不在站内储存。</w:t>
      </w:r>
    </w:p>
    <w:p w14:paraId="61F45AD6">
      <w:pPr>
        <w:pStyle w:val="5"/>
        <w:rPr>
          <w:color w:val="auto"/>
        </w:rPr>
      </w:pPr>
      <w:r>
        <w:rPr>
          <w:rFonts w:hint="eastAsia"/>
          <w:color w:val="auto"/>
        </w:rPr>
        <w:t>现有工程存在的环境问题及整改方案</w:t>
      </w:r>
    </w:p>
    <w:p w14:paraId="0C66D9EE">
      <w:pPr>
        <w:pStyle w:val="234"/>
      </w:pPr>
      <w:r>
        <w:rPr>
          <w:rFonts w:hint="eastAsia"/>
        </w:rPr>
        <w:t>根据调查及竣工环境保护验收调查报告，现有工程落实了环境影响报告书及批复中提出的环境保护措施和要求，工程废气、噪声均达标排放；废水及固体废物委托第三方处置，措施可行；采取了生态恢复措施，未造成明显的生态影响和水土流失，生态环境恢复良好；落实了各项风险防范措施，编制了突发环境事件应急预案并已备案；设置环保管理机构和人员，制订了完善的环境管理制度，根据监测计划落实了自行监测内容。现有工程未发现环境问题。</w:t>
      </w:r>
    </w:p>
    <w:p w14:paraId="0CE61EBC">
      <w:pPr>
        <w:pStyle w:val="4"/>
      </w:pPr>
      <w:bookmarkStart w:id="143" w:name="_Toc32742"/>
      <w:r>
        <w:t>拟建工程基本情况</w:t>
      </w:r>
      <w:bookmarkEnd w:id="143"/>
    </w:p>
    <w:p w14:paraId="6F0E251F">
      <w:pPr>
        <w:pStyle w:val="5"/>
        <w:rPr>
          <w:color w:val="auto"/>
        </w:rPr>
      </w:pPr>
      <w:r>
        <w:rPr>
          <w:color w:val="auto"/>
        </w:rPr>
        <w:t>建设项目</w:t>
      </w:r>
      <w:r>
        <w:rPr>
          <w:rFonts w:hint="eastAsia"/>
          <w:color w:val="auto"/>
        </w:rPr>
        <w:t>概况</w:t>
      </w:r>
    </w:p>
    <w:p w14:paraId="31A16F45">
      <w:pPr>
        <w:pStyle w:val="234"/>
      </w:pPr>
      <w:r>
        <w:t>建设项目名称：</w:t>
      </w:r>
      <w:r>
        <w:rPr>
          <w:rFonts w:hint="eastAsia"/>
        </w:rPr>
        <w:t>潜江—韶关输气管道28号阀室新增下载点改扩建项目</w:t>
      </w:r>
    </w:p>
    <w:p w14:paraId="00A1EB47">
      <w:pPr>
        <w:pStyle w:val="234"/>
      </w:pPr>
      <w:r>
        <w:t>建设单位：</w:t>
      </w:r>
      <w:r>
        <w:rPr>
          <w:rFonts w:hint="eastAsia"/>
        </w:rPr>
        <w:t>国家管网集团新疆煤制天然气外输管道有限责任公司</w:t>
      </w:r>
    </w:p>
    <w:p w14:paraId="487B00D8">
      <w:pPr>
        <w:pStyle w:val="234"/>
      </w:pPr>
      <w:r>
        <w:t>行业类别：G5700管道运输业</w:t>
      </w:r>
    </w:p>
    <w:p w14:paraId="331940EE">
      <w:pPr>
        <w:pStyle w:val="234"/>
      </w:pPr>
      <w:r>
        <w:t>项目性质：</w:t>
      </w:r>
      <w:r>
        <w:rPr>
          <w:rFonts w:hint="eastAsia"/>
        </w:rPr>
        <w:t>改扩建</w:t>
      </w:r>
    </w:p>
    <w:p w14:paraId="641C4482">
      <w:pPr>
        <w:pStyle w:val="234"/>
      </w:pPr>
      <w:r>
        <w:t>设计规模：管线全长0.</w:t>
      </w:r>
      <w:r>
        <w:rPr>
          <w:rFonts w:hint="eastAsia"/>
          <w:lang w:eastAsia="zh-CN"/>
        </w:rPr>
        <w:t>760</w:t>
      </w:r>
      <w:r>
        <w:t>km，管径为</w:t>
      </w:r>
      <w:r>
        <w:rPr>
          <w:rFonts w:hint="eastAsia"/>
        </w:rPr>
        <w:t>DN300</w:t>
      </w:r>
      <w:r>
        <w:t>，</w:t>
      </w:r>
      <w:r>
        <w:rPr>
          <w:rFonts w:hint="eastAsia"/>
        </w:rPr>
        <w:t>设计压力10MPa，</w:t>
      </w:r>
      <w:r>
        <w:t>设计规模为</w:t>
      </w:r>
      <w:r>
        <w:rPr>
          <w:rFonts w:hint="eastAsia"/>
        </w:rPr>
        <w:t>4.2</w:t>
      </w:r>
      <w:r>
        <w:t>×10</w:t>
      </w:r>
      <w:r>
        <w:rPr>
          <w:vertAlign w:val="superscript"/>
        </w:rPr>
        <w:t>8</w:t>
      </w:r>
      <w:r>
        <w:t>Nm</w:t>
      </w:r>
      <w:r>
        <w:rPr>
          <w:vertAlign w:val="superscript"/>
        </w:rPr>
        <w:t>3</w:t>
      </w:r>
      <w:r>
        <w:t>/a</w:t>
      </w:r>
      <w:r>
        <w:rPr>
          <w:rFonts w:hint="eastAsia"/>
        </w:rPr>
        <w:t>，新建耒阳分输站，对已建28号阀室进行改造，新增分输阀组一套</w:t>
      </w:r>
    </w:p>
    <w:p w14:paraId="19E7A062">
      <w:pPr>
        <w:pStyle w:val="234"/>
      </w:pPr>
      <w:r>
        <w:t>建设地点：</w:t>
      </w:r>
      <w:r>
        <w:rPr>
          <w:rFonts w:hint="eastAsia"/>
        </w:rPr>
        <w:t>湖南</w:t>
      </w:r>
      <w:r>
        <w:t>省</w:t>
      </w:r>
      <w:r>
        <w:rPr>
          <w:rFonts w:hint="eastAsia"/>
        </w:rPr>
        <w:t>衡阳</w:t>
      </w:r>
      <w:r>
        <w:t>市</w:t>
      </w:r>
      <w:r>
        <w:rPr>
          <w:rFonts w:hint="eastAsia"/>
        </w:rPr>
        <w:t>耒阳市境内</w:t>
      </w:r>
    </w:p>
    <w:p w14:paraId="29C3C20A">
      <w:pPr>
        <w:pStyle w:val="234"/>
      </w:pPr>
      <w:r>
        <w:t>工程建设期：</w:t>
      </w:r>
      <w:r>
        <w:rPr>
          <w:i/>
          <w:iCs/>
          <w:color w:val="auto"/>
          <w:u w:val="single"/>
        </w:rPr>
        <w:t>预计202</w:t>
      </w:r>
      <w:r>
        <w:rPr>
          <w:rFonts w:hint="eastAsia"/>
          <w:i/>
          <w:iCs/>
          <w:color w:val="auto"/>
          <w:u w:val="single"/>
        </w:rPr>
        <w:t>4</w:t>
      </w:r>
      <w:r>
        <w:rPr>
          <w:i/>
          <w:iCs/>
          <w:color w:val="auto"/>
          <w:u w:val="single"/>
        </w:rPr>
        <w:t>年</w:t>
      </w:r>
      <w:r>
        <w:rPr>
          <w:rFonts w:hint="eastAsia"/>
          <w:i/>
          <w:iCs/>
          <w:color w:val="auto"/>
          <w:u w:val="single"/>
        </w:rPr>
        <w:t>10</w:t>
      </w:r>
      <w:r>
        <w:rPr>
          <w:i/>
          <w:iCs/>
          <w:color w:val="auto"/>
          <w:u w:val="single"/>
        </w:rPr>
        <w:t>月开工，202</w:t>
      </w:r>
      <w:r>
        <w:rPr>
          <w:rFonts w:hint="eastAsia"/>
          <w:i/>
          <w:iCs/>
          <w:color w:val="auto"/>
          <w:u w:val="single"/>
        </w:rPr>
        <w:t>5</w:t>
      </w:r>
      <w:r>
        <w:rPr>
          <w:i/>
          <w:iCs/>
          <w:color w:val="auto"/>
          <w:u w:val="single"/>
        </w:rPr>
        <w:t>年</w:t>
      </w:r>
      <w:r>
        <w:rPr>
          <w:rFonts w:hint="eastAsia"/>
          <w:i/>
          <w:iCs/>
          <w:color w:val="auto"/>
          <w:u w:val="single"/>
        </w:rPr>
        <w:t>4</w:t>
      </w:r>
      <w:r>
        <w:rPr>
          <w:i/>
          <w:iCs/>
          <w:color w:val="auto"/>
          <w:u w:val="single"/>
        </w:rPr>
        <w:t>月竣工投产</w:t>
      </w:r>
    </w:p>
    <w:p w14:paraId="3D577BBD">
      <w:pPr>
        <w:pStyle w:val="234"/>
      </w:pPr>
      <w:r>
        <w:t>组织机构及定员</w:t>
      </w:r>
      <w:r>
        <w:rPr>
          <w:rFonts w:hint="eastAsia"/>
        </w:rPr>
        <w:t>：</w:t>
      </w:r>
      <w:r>
        <w:t>本工程</w:t>
      </w:r>
      <w:r>
        <w:rPr>
          <w:rFonts w:hint="eastAsia"/>
        </w:rPr>
        <w:t>新建耒阳分输站为无人值守站</w:t>
      </w:r>
      <w:r>
        <w:t>，无新增定员</w:t>
      </w:r>
    </w:p>
    <w:p w14:paraId="7DC5E2B4">
      <w:pPr>
        <w:pStyle w:val="234"/>
      </w:pPr>
      <w:r>
        <w:t>投资总额：</w:t>
      </w:r>
      <w:r>
        <w:rPr>
          <w:rFonts w:hint="eastAsia"/>
          <w:i/>
          <w:iCs/>
          <w:color w:val="auto"/>
          <w:u w:val="single"/>
        </w:rPr>
        <w:t>4327.91</w:t>
      </w:r>
      <w:r>
        <w:rPr>
          <w:i/>
          <w:iCs/>
          <w:color w:val="auto"/>
          <w:u w:val="single"/>
        </w:rPr>
        <w:t>万元</w:t>
      </w:r>
      <w:r>
        <w:rPr>
          <w:rFonts w:hint="eastAsia"/>
          <w:i/>
          <w:iCs/>
          <w:color w:val="auto"/>
          <w:u w:val="single"/>
        </w:rPr>
        <w:t>，其中环保投资1</w:t>
      </w:r>
      <w:r>
        <w:rPr>
          <w:rFonts w:hint="eastAsia"/>
          <w:i/>
          <w:iCs/>
          <w:color w:val="auto"/>
          <w:u w:val="single"/>
          <w:lang w:val="en-US" w:eastAsia="zh-CN"/>
        </w:rPr>
        <w:t>32</w:t>
      </w:r>
      <w:r>
        <w:rPr>
          <w:rFonts w:hint="eastAsia"/>
          <w:i/>
          <w:iCs/>
          <w:color w:val="auto"/>
          <w:u w:val="single"/>
        </w:rPr>
        <w:t>万元，占总投资的3</w:t>
      </w:r>
      <w:r>
        <w:rPr>
          <w:rFonts w:hint="eastAsia"/>
          <w:i/>
          <w:iCs/>
          <w:color w:val="auto"/>
          <w:u w:val="single"/>
          <w:lang w:val="en-US" w:eastAsia="zh-CN"/>
        </w:rPr>
        <w:t>.05</w:t>
      </w:r>
      <w:r>
        <w:rPr>
          <w:rFonts w:hint="eastAsia"/>
          <w:i/>
          <w:iCs/>
          <w:color w:val="auto"/>
          <w:u w:val="single"/>
        </w:rPr>
        <w:t>%</w:t>
      </w:r>
    </w:p>
    <w:p w14:paraId="067D77C3">
      <w:pPr>
        <w:pStyle w:val="5"/>
        <w:rPr>
          <w:color w:val="auto"/>
        </w:rPr>
      </w:pPr>
      <w:r>
        <w:rPr>
          <w:color w:val="auto"/>
        </w:rPr>
        <w:t>建设项目工程规模</w:t>
      </w:r>
    </w:p>
    <w:p w14:paraId="461BC9A5">
      <w:pPr>
        <w:pStyle w:val="7"/>
      </w:pPr>
      <w:r>
        <w:t>工程规模</w:t>
      </w:r>
    </w:p>
    <w:p w14:paraId="27890CEF">
      <w:pPr>
        <w:pStyle w:val="234"/>
      </w:pPr>
      <w:r>
        <w:rPr>
          <w:rFonts w:hint="eastAsia"/>
        </w:rPr>
        <w:t>本工程于2024年7月18日取得湖南省发展和改革委员会的核准批复（湘发改能源〔2024〕587号），根据核准批复本工程建设内容为：新建天然气输气管道760m，管径DN300，设计压力10MPa，起点为潜江－韶关输气管道28号阀室，末点为新建耒阳分输站，设计输气规模为4.2×10</w:t>
      </w:r>
      <w:r>
        <w:rPr>
          <w:rFonts w:hint="eastAsia"/>
          <w:vertAlign w:val="superscript"/>
        </w:rPr>
        <w:t>8</w:t>
      </w:r>
      <w:r>
        <w:rPr>
          <w:rFonts w:hint="eastAsia"/>
        </w:rPr>
        <w:t>Nm</w:t>
      </w:r>
      <w:r>
        <w:rPr>
          <w:rFonts w:hint="eastAsia"/>
          <w:vertAlign w:val="superscript"/>
        </w:rPr>
        <w:t>3</w:t>
      </w:r>
      <w:r>
        <w:rPr>
          <w:rFonts w:hint="eastAsia"/>
        </w:rPr>
        <w:t>/a。</w:t>
      </w:r>
    </w:p>
    <w:p w14:paraId="0DB67690">
      <w:pPr>
        <w:pStyle w:val="7"/>
      </w:pPr>
      <w:r>
        <w:t>界面划分</w:t>
      </w:r>
    </w:p>
    <w:p w14:paraId="1935E05A">
      <w:pPr>
        <w:spacing w:line="360" w:lineRule="auto"/>
        <w:ind w:firstLine="480" w:firstLineChars="200"/>
        <w:rPr>
          <w:sz w:val="24"/>
        </w:rPr>
      </w:pPr>
      <w:r>
        <w:rPr>
          <w:rFonts w:hint="eastAsia"/>
          <w:sz w:val="24"/>
        </w:rPr>
        <w:t>（1）</w:t>
      </w:r>
      <w:r>
        <w:rPr>
          <w:sz w:val="24"/>
        </w:rPr>
        <w:t>设计界面</w:t>
      </w:r>
    </w:p>
    <w:p w14:paraId="5EE50DC9">
      <w:pPr>
        <w:spacing w:line="360" w:lineRule="auto"/>
        <w:ind w:firstLine="480" w:firstLineChars="200"/>
        <w:rPr>
          <w:sz w:val="24"/>
        </w:rPr>
      </w:pPr>
      <w:r>
        <w:rPr>
          <w:rFonts w:hint="eastAsia"/>
          <w:sz w:val="24"/>
        </w:rPr>
        <w:fldChar w:fldCharType="begin"/>
      </w:r>
      <w:r>
        <w:rPr>
          <w:rFonts w:hint="eastAsia"/>
          <w:sz w:val="24"/>
        </w:rPr>
        <w:instrText xml:space="preserve"> = 1 \* GB3 \* MERGEFORMAT </w:instrText>
      </w:r>
      <w:r>
        <w:rPr>
          <w:rFonts w:hint="eastAsia"/>
          <w:sz w:val="24"/>
        </w:rPr>
        <w:fldChar w:fldCharType="separate"/>
      </w:r>
      <w:r>
        <w:rPr>
          <w:rFonts w:hint="eastAsia"/>
          <w:sz w:val="24"/>
        </w:rPr>
        <w:t>①</w:t>
      </w:r>
      <w:r>
        <w:rPr>
          <w:rFonts w:hint="eastAsia"/>
          <w:sz w:val="24"/>
        </w:rPr>
        <w:fldChar w:fldCharType="end"/>
      </w:r>
      <w:r>
        <w:rPr>
          <w:rFonts w:hint="eastAsia"/>
          <w:sz w:val="24"/>
        </w:rPr>
        <w:t>与上游28号阀室的工程设计界面</w:t>
      </w:r>
    </w:p>
    <w:p w14:paraId="6A128B9A">
      <w:pPr>
        <w:spacing w:line="360" w:lineRule="auto"/>
        <w:ind w:firstLine="480" w:firstLineChars="200"/>
        <w:rPr>
          <w:sz w:val="24"/>
        </w:rPr>
      </w:pPr>
      <w:r>
        <w:rPr>
          <w:rFonts w:hint="eastAsia"/>
          <w:sz w:val="24"/>
        </w:rPr>
        <w:t>潜江－韶关输气管道28号阀室已投产运行，本工程对28号阀室进行改造，新增分输阀组一套，界面划分点为预留阀门后动火点处。</w:t>
      </w:r>
    </w:p>
    <w:p w14:paraId="63DCB676">
      <w:pPr>
        <w:spacing w:line="360" w:lineRule="auto"/>
        <w:ind w:firstLine="480" w:firstLineChars="200"/>
        <w:rPr>
          <w:sz w:val="24"/>
        </w:rPr>
      </w:pPr>
      <w:r>
        <w:rPr>
          <w:rFonts w:hint="eastAsia"/>
          <w:sz w:val="24"/>
        </w:rPr>
        <w:fldChar w:fldCharType="begin"/>
      </w:r>
      <w:r>
        <w:rPr>
          <w:rFonts w:hint="eastAsia"/>
          <w:sz w:val="24"/>
        </w:rPr>
        <w:instrText xml:space="preserve"> = 2 \* GB3 \* MERGEFORMAT </w:instrText>
      </w:r>
      <w:r>
        <w:rPr>
          <w:rFonts w:hint="eastAsia"/>
          <w:sz w:val="24"/>
        </w:rPr>
        <w:fldChar w:fldCharType="separate"/>
      </w:r>
      <w:r>
        <w:rPr>
          <w:rFonts w:hint="eastAsia"/>
          <w:sz w:val="24"/>
        </w:rPr>
        <w:t>②</w:t>
      </w:r>
      <w:r>
        <w:rPr>
          <w:rFonts w:hint="eastAsia"/>
          <w:sz w:val="24"/>
        </w:rPr>
        <w:fldChar w:fldCharType="end"/>
      </w:r>
      <w:r>
        <w:rPr>
          <w:rFonts w:hint="eastAsia"/>
          <w:sz w:val="24"/>
        </w:rPr>
        <w:t>与下游用户耒阳长城天然气有限公司的工程设计界面</w:t>
      </w:r>
    </w:p>
    <w:p w14:paraId="37C7A8BE">
      <w:pPr>
        <w:spacing w:line="360" w:lineRule="auto"/>
        <w:ind w:firstLine="480" w:firstLineChars="200"/>
        <w:rPr>
          <w:sz w:val="24"/>
        </w:rPr>
      </w:pPr>
      <w:r>
        <w:rPr>
          <w:rFonts w:hint="eastAsia"/>
          <w:sz w:val="24"/>
        </w:rPr>
        <w:t>本工程与下游用户耒阳长城天然气有限公司的界面为新建耒阳分输站出站围墙外2m，下游连接耒阳门站（连接管道不属于本工程建设内容）</w:t>
      </w:r>
      <w:r>
        <w:rPr>
          <w:sz w:val="24"/>
        </w:rPr>
        <w:t>。</w:t>
      </w:r>
    </w:p>
    <w:p w14:paraId="249FEE27">
      <w:pPr>
        <w:spacing w:line="360" w:lineRule="auto"/>
        <w:ind w:firstLine="480" w:firstLineChars="200"/>
        <w:rPr>
          <w:sz w:val="24"/>
        </w:rPr>
      </w:pPr>
      <w:r>
        <w:rPr>
          <w:rFonts w:hint="eastAsia"/>
          <w:sz w:val="24"/>
        </w:rPr>
        <w:t>（2）</w:t>
      </w:r>
      <w:r>
        <w:rPr>
          <w:sz w:val="24"/>
        </w:rPr>
        <w:t>投资、建设及管理界面</w:t>
      </w:r>
    </w:p>
    <w:p w14:paraId="52C0E24E">
      <w:pPr>
        <w:spacing w:line="360" w:lineRule="auto"/>
        <w:ind w:firstLine="480" w:firstLineChars="200"/>
        <w:rPr>
          <w:sz w:val="24"/>
        </w:rPr>
      </w:pPr>
      <w:r>
        <w:rPr>
          <w:sz w:val="24"/>
        </w:rPr>
        <w:t>本工程由</w:t>
      </w:r>
      <w:r>
        <w:rPr>
          <w:rFonts w:hint="eastAsia"/>
          <w:sz w:val="24"/>
        </w:rPr>
        <w:t>国家管网集团新疆煤制天然气外输管道有限责任公司</w:t>
      </w:r>
      <w:r>
        <w:rPr>
          <w:sz w:val="24"/>
        </w:rPr>
        <w:t>负责投资建设</w:t>
      </w:r>
      <w:r>
        <w:rPr>
          <w:rFonts w:hint="eastAsia"/>
          <w:sz w:val="24"/>
        </w:rPr>
        <w:t>，国家石油天然气管网集团有限公司湖南分公司湖广输气分公司负责运营管理</w:t>
      </w:r>
      <w:r>
        <w:rPr>
          <w:sz w:val="24"/>
        </w:rPr>
        <w:t>。</w:t>
      </w:r>
    </w:p>
    <w:p w14:paraId="2E70150E">
      <w:pPr>
        <w:pStyle w:val="4"/>
      </w:pPr>
      <w:bookmarkStart w:id="144" w:name="_Toc30236"/>
      <w:r>
        <w:t>工程概况</w:t>
      </w:r>
      <w:bookmarkEnd w:id="142"/>
      <w:bookmarkEnd w:id="144"/>
    </w:p>
    <w:p w14:paraId="48628541">
      <w:pPr>
        <w:spacing w:line="360" w:lineRule="auto"/>
        <w:ind w:firstLine="480" w:firstLineChars="200"/>
        <w:rPr>
          <w:sz w:val="24"/>
        </w:rPr>
      </w:pPr>
      <w:r>
        <w:rPr>
          <w:sz w:val="24"/>
        </w:rPr>
        <w:t>本工程组成及建设规模见表3.</w:t>
      </w:r>
      <w:r>
        <w:rPr>
          <w:rFonts w:hint="eastAsia"/>
          <w:sz w:val="24"/>
        </w:rPr>
        <w:t>3</w:t>
      </w:r>
      <w:r>
        <w:rPr>
          <w:sz w:val="24"/>
        </w:rPr>
        <w:t>-1。</w:t>
      </w:r>
      <w:r>
        <w:rPr>
          <w:rFonts w:hint="eastAsia"/>
          <w:sz w:val="24"/>
        </w:rPr>
        <w:t>主要经济技术指标见表</w:t>
      </w:r>
      <w:r>
        <w:rPr>
          <w:sz w:val="24"/>
        </w:rPr>
        <w:t>3.</w:t>
      </w:r>
      <w:r>
        <w:rPr>
          <w:rFonts w:hint="eastAsia"/>
          <w:sz w:val="24"/>
        </w:rPr>
        <w:t>3-</w:t>
      </w:r>
      <w:r>
        <w:rPr>
          <w:sz w:val="24"/>
        </w:rPr>
        <w:t>2</w:t>
      </w:r>
      <w:r>
        <w:rPr>
          <w:rFonts w:hint="eastAsia"/>
          <w:sz w:val="24"/>
        </w:rPr>
        <w:t>。</w:t>
      </w:r>
    </w:p>
    <w:p w14:paraId="5C0891B8">
      <w:pPr>
        <w:pStyle w:val="904"/>
      </w:pPr>
      <w:r>
        <w:t>表3.</w:t>
      </w:r>
      <w:r>
        <w:rPr>
          <w:rFonts w:hint="eastAsia"/>
        </w:rPr>
        <w:t>3</w:t>
      </w:r>
      <w:r>
        <w:t>-1 项目组成及建设规模一览表</w:t>
      </w:r>
    </w:p>
    <w:tbl>
      <w:tblPr>
        <w:tblStyle w:val="88"/>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80"/>
        <w:gridCol w:w="440"/>
        <w:gridCol w:w="723"/>
        <w:gridCol w:w="1158"/>
        <w:gridCol w:w="2320"/>
        <w:gridCol w:w="1162"/>
        <w:gridCol w:w="1307"/>
        <w:gridCol w:w="1976"/>
      </w:tblGrid>
      <w:tr w14:paraId="05B0A6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Align w:val="center"/>
          </w:tcPr>
          <w:p w14:paraId="11358DB0">
            <w:pPr>
              <w:pStyle w:val="1343"/>
            </w:pPr>
            <w:r>
              <w:t>分类</w:t>
            </w:r>
          </w:p>
        </w:tc>
        <w:tc>
          <w:tcPr>
            <w:tcW w:w="601" w:type="pct"/>
            <w:gridSpan w:val="2"/>
            <w:vAlign w:val="center"/>
          </w:tcPr>
          <w:p w14:paraId="51F2D33A">
            <w:pPr>
              <w:pStyle w:val="1343"/>
            </w:pPr>
            <w:r>
              <w:t>项目</w:t>
            </w:r>
          </w:p>
        </w:tc>
        <w:tc>
          <w:tcPr>
            <w:tcW w:w="1799" w:type="pct"/>
            <w:gridSpan w:val="2"/>
            <w:vAlign w:val="center"/>
          </w:tcPr>
          <w:p w14:paraId="4DEF324F">
            <w:pPr>
              <w:pStyle w:val="1343"/>
            </w:pPr>
            <w:r>
              <w:t>主要项目内容</w:t>
            </w:r>
          </w:p>
        </w:tc>
        <w:tc>
          <w:tcPr>
            <w:tcW w:w="601" w:type="pct"/>
            <w:vAlign w:val="center"/>
          </w:tcPr>
          <w:p w14:paraId="1B2F18F0">
            <w:pPr>
              <w:pStyle w:val="1343"/>
            </w:pPr>
            <w:r>
              <w:t>单位</w:t>
            </w:r>
          </w:p>
        </w:tc>
        <w:tc>
          <w:tcPr>
            <w:tcW w:w="676" w:type="pct"/>
            <w:vAlign w:val="center"/>
          </w:tcPr>
          <w:p w14:paraId="063F15C1">
            <w:pPr>
              <w:pStyle w:val="1343"/>
            </w:pPr>
            <w:r>
              <w:t>数量</w:t>
            </w:r>
          </w:p>
        </w:tc>
        <w:tc>
          <w:tcPr>
            <w:tcW w:w="1022" w:type="pct"/>
            <w:vAlign w:val="center"/>
          </w:tcPr>
          <w:p w14:paraId="0BBCCEE3">
            <w:pPr>
              <w:pStyle w:val="1343"/>
            </w:pPr>
            <w:r>
              <w:t>备注</w:t>
            </w:r>
          </w:p>
        </w:tc>
      </w:tr>
      <w:tr w14:paraId="38FD96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restart"/>
            <w:vAlign w:val="center"/>
          </w:tcPr>
          <w:p w14:paraId="22321DC0">
            <w:pPr>
              <w:pStyle w:val="1343"/>
            </w:pPr>
            <w:r>
              <w:t>主体工程</w:t>
            </w:r>
          </w:p>
        </w:tc>
        <w:tc>
          <w:tcPr>
            <w:tcW w:w="601" w:type="pct"/>
            <w:gridSpan w:val="2"/>
            <w:vMerge w:val="restart"/>
            <w:vAlign w:val="center"/>
          </w:tcPr>
          <w:p w14:paraId="7BBA9D97">
            <w:pPr>
              <w:pStyle w:val="1343"/>
            </w:pPr>
            <w:r>
              <w:t>输气工程</w:t>
            </w:r>
          </w:p>
        </w:tc>
        <w:tc>
          <w:tcPr>
            <w:tcW w:w="1799" w:type="pct"/>
            <w:gridSpan w:val="2"/>
            <w:vAlign w:val="center"/>
          </w:tcPr>
          <w:p w14:paraId="549A7742">
            <w:pPr>
              <w:pStyle w:val="1343"/>
            </w:pPr>
            <w:r>
              <w:t>线路总长度</w:t>
            </w:r>
          </w:p>
        </w:tc>
        <w:tc>
          <w:tcPr>
            <w:tcW w:w="601" w:type="pct"/>
            <w:vAlign w:val="center"/>
          </w:tcPr>
          <w:p w14:paraId="0E75E8D2">
            <w:pPr>
              <w:pStyle w:val="1343"/>
            </w:pPr>
            <w:r>
              <w:t>km</w:t>
            </w:r>
          </w:p>
        </w:tc>
        <w:tc>
          <w:tcPr>
            <w:tcW w:w="676" w:type="pct"/>
            <w:vAlign w:val="center"/>
          </w:tcPr>
          <w:p w14:paraId="527EED8C">
            <w:pPr>
              <w:pStyle w:val="1343"/>
              <w:rPr>
                <w:rFonts w:hint="eastAsia" w:eastAsia="宋体"/>
                <w:lang w:eastAsia="zh-CN"/>
              </w:rPr>
            </w:pPr>
            <w:r>
              <w:t>0.</w:t>
            </w:r>
            <w:r>
              <w:rPr>
                <w:rFonts w:hint="eastAsia"/>
                <w:lang w:eastAsia="zh-CN"/>
              </w:rPr>
              <w:t>760</w:t>
            </w:r>
          </w:p>
        </w:tc>
        <w:tc>
          <w:tcPr>
            <w:tcW w:w="1022" w:type="pct"/>
            <w:vAlign w:val="center"/>
          </w:tcPr>
          <w:p w14:paraId="73C0741E">
            <w:pPr>
              <w:pStyle w:val="1343"/>
            </w:pPr>
            <w:r>
              <w:rPr>
                <w:rFonts w:hint="eastAsia"/>
              </w:rPr>
              <w:t>/</w:t>
            </w:r>
          </w:p>
        </w:tc>
      </w:tr>
      <w:tr w14:paraId="0DD82F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66126AC7">
            <w:pPr>
              <w:pStyle w:val="1343"/>
            </w:pPr>
          </w:p>
        </w:tc>
        <w:tc>
          <w:tcPr>
            <w:tcW w:w="601" w:type="pct"/>
            <w:gridSpan w:val="2"/>
            <w:vMerge w:val="continue"/>
            <w:vAlign w:val="center"/>
          </w:tcPr>
          <w:p w14:paraId="237370FC">
            <w:pPr>
              <w:pStyle w:val="1343"/>
            </w:pPr>
          </w:p>
        </w:tc>
        <w:tc>
          <w:tcPr>
            <w:tcW w:w="1799" w:type="pct"/>
            <w:gridSpan w:val="2"/>
            <w:vAlign w:val="center"/>
          </w:tcPr>
          <w:p w14:paraId="6FAB5A76">
            <w:pPr>
              <w:pStyle w:val="1343"/>
            </w:pPr>
            <w:r>
              <w:t>输气规模</w:t>
            </w:r>
          </w:p>
        </w:tc>
        <w:tc>
          <w:tcPr>
            <w:tcW w:w="601" w:type="pct"/>
            <w:vAlign w:val="center"/>
          </w:tcPr>
          <w:p w14:paraId="38BA14E7">
            <w:pPr>
              <w:pStyle w:val="1343"/>
            </w:pPr>
            <w:r>
              <w:t>10</w:t>
            </w:r>
            <w:r>
              <w:rPr>
                <w:vertAlign w:val="superscript"/>
              </w:rPr>
              <w:t>8</w:t>
            </w:r>
            <w:r>
              <w:t>Nm</w:t>
            </w:r>
            <w:r>
              <w:rPr>
                <w:vertAlign w:val="superscript"/>
              </w:rPr>
              <w:t>3</w:t>
            </w:r>
            <w:r>
              <w:t>/a</w:t>
            </w:r>
          </w:p>
        </w:tc>
        <w:tc>
          <w:tcPr>
            <w:tcW w:w="676" w:type="pct"/>
            <w:vAlign w:val="center"/>
          </w:tcPr>
          <w:p w14:paraId="456CF876">
            <w:pPr>
              <w:pStyle w:val="1343"/>
            </w:pPr>
            <w:r>
              <w:rPr>
                <w:rFonts w:hint="eastAsia"/>
              </w:rPr>
              <w:t>4.2</w:t>
            </w:r>
          </w:p>
        </w:tc>
        <w:tc>
          <w:tcPr>
            <w:tcW w:w="1022" w:type="pct"/>
            <w:vAlign w:val="center"/>
          </w:tcPr>
          <w:p w14:paraId="6930B467">
            <w:pPr>
              <w:pStyle w:val="1343"/>
            </w:pPr>
            <w:r>
              <w:rPr>
                <w:rFonts w:hint="eastAsia"/>
              </w:rPr>
              <w:t>/</w:t>
            </w:r>
          </w:p>
        </w:tc>
      </w:tr>
      <w:tr w14:paraId="3E6518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06810CCB">
            <w:pPr>
              <w:pStyle w:val="1343"/>
            </w:pPr>
          </w:p>
        </w:tc>
        <w:tc>
          <w:tcPr>
            <w:tcW w:w="601" w:type="pct"/>
            <w:gridSpan w:val="2"/>
            <w:vMerge w:val="continue"/>
            <w:vAlign w:val="center"/>
          </w:tcPr>
          <w:p w14:paraId="1208001D">
            <w:pPr>
              <w:pStyle w:val="1343"/>
            </w:pPr>
          </w:p>
        </w:tc>
        <w:tc>
          <w:tcPr>
            <w:tcW w:w="1799" w:type="pct"/>
            <w:gridSpan w:val="2"/>
            <w:vAlign w:val="center"/>
          </w:tcPr>
          <w:p w14:paraId="574B1E2A">
            <w:pPr>
              <w:pStyle w:val="1343"/>
            </w:pPr>
            <w:r>
              <w:t>管径</w:t>
            </w:r>
          </w:p>
        </w:tc>
        <w:tc>
          <w:tcPr>
            <w:tcW w:w="601" w:type="pct"/>
            <w:vAlign w:val="center"/>
          </w:tcPr>
          <w:p w14:paraId="2F42DEC9">
            <w:pPr>
              <w:pStyle w:val="1343"/>
            </w:pPr>
            <w:r>
              <w:t>mm</w:t>
            </w:r>
          </w:p>
        </w:tc>
        <w:tc>
          <w:tcPr>
            <w:tcW w:w="676" w:type="pct"/>
            <w:vAlign w:val="center"/>
          </w:tcPr>
          <w:p w14:paraId="625FC67D">
            <w:pPr>
              <w:pStyle w:val="1343"/>
            </w:pPr>
            <w:r>
              <w:rPr>
                <w:rFonts w:hint="eastAsia"/>
              </w:rPr>
              <w:t>DN300</w:t>
            </w:r>
          </w:p>
        </w:tc>
        <w:tc>
          <w:tcPr>
            <w:tcW w:w="1022" w:type="pct"/>
            <w:vAlign w:val="center"/>
          </w:tcPr>
          <w:p w14:paraId="34461457">
            <w:pPr>
              <w:pStyle w:val="1343"/>
            </w:pPr>
            <w:r>
              <w:t>Φ</w:t>
            </w:r>
            <w:r>
              <w:rPr>
                <w:rFonts w:hint="eastAsia"/>
              </w:rPr>
              <w:t>323.9×12.5</w:t>
            </w:r>
          </w:p>
        </w:tc>
      </w:tr>
      <w:tr w14:paraId="5A0A4A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24A7DA1D">
            <w:pPr>
              <w:pStyle w:val="1343"/>
            </w:pPr>
          </w:p>
        </w:tc>
        <w:tc>
          <w:tcPr>
            <w:tcW w:w="601" w:type="pct"/>
            <w:gridSpan w:val="2"/>
            <w:vMerge w:val="continue"/>
            <w:vAlign w:val="center"/>
          </w:tcPr>
          <w:p w14:paraId="68B9DE25">
            <w:pPr>
              <w:pStyle w:val="1343"/>
            </w:pPr>
          </w:p>
        </w:tc>
        <w:tc>
          <w:tcPr>
            <w:tcW w:w="1799" w:type="pct"/>
            <w:gridSpan w:val="2"/>
            <w:vAlign w:val="center"/>
          </w:tcPr>
          <w:p w14:paraId="0BB2C00A">
            <w:pPr>
              <w:pStyle w:val="1343"/>
            </w:pPr>
            <w:r>
              <w:t>压力</w:t>
            </w:r>
          </w:p>
        </w:tc>
        <w:tc>
          <w:tcPr>
            <w:tcW w:w="601" w:type="pct"/>
            <w:vAlign w:val="center"/>
          </w:tcPr>
          <w:p w14:paraId="0D9B1EDE">
            <w:pPr>
              <w:pStyle w:val="1343"/>
            </w:pPr>
            <w:r>
              <w:t>MPa</w:t>
            </w:r>
          </w:p>
        </w:tc>
        <w:tc>
          <w:tcPr>
            <w:tcW w:w="676" w:type="pct"/>
            <w:vAlign w:val="center"/>
          </w:tcPr>
          <w:p w14:paraId="5E6FC94D">
            <w:pPr>
              <w:pStyle w:val="1343"/>
            </w:pPr>
            <w:r>
              <w:t>10</w:t>
            </w:r>
          </w:p>
        </w:tc>
        <w:tc>
          <w:tcPr>
            <w:tcW w:w="1022" w:type="pct"/>
            <w:vAlign w:val="center"/>
          </w:tcPr>
          <w:p w14:paraId="2096341D">
            <w:pPr>
              <w:pStyle w:val="1343"/>
            </w:pPr>
            <w:r>
              <w:rPr>
                <w:rFonts w:hint="eastAsia"/>
              </w:rPr>
              <w:t>/</w:t>
            </w:r>
          </w:p>
        </w:tc>
      </w:tr>
      <w:tr w14:paraId="2A86DF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2D74D0C4">
            <w:pPr>
              <w:pStyle w:val="1343"/>
            </w:pPr>
          </w:p>
        </w:tc>
        <w:tc>
          <w:tcPr>
            <w:tcW w:w="601" w:type="pct"/>
            <w:gridSpan w:val="2"/>
            <w:vMerge w:val="restart"/>
            <w:vAlign w:val="center"/>
          </w:tcPr>
          <w:p w14:paraId="10A45B94">
            <w:pPr>
              <w:pStyle w:val="1343"/>
            </w:pPr>
            <w:r>
              <w:t>站场工程</w:t>
            </w:r>
          </w:p>
        </w:tc>
        <w:tc>
          <w:tcPr>
            <w:tcW w:w="1799" w:type="pct"/>
            <w:gridSpan w:val="2"/>
            <w:vAlign w:val="center"/>
          </w:tcPr>
          <w:p w14:paraId="00647D07">
            <w:pPr>
              <w:pStyle w:val="1343"/>
            </w:pPr>
            <w:r>
              <w:rPr>
                <w:rFonts w:hint="eastAsia"/>
              </w:rPr>
              <w:t>新建耒阳分输站</w:t>
            </w:r>
          </w:p>
        </w:tc>
        <w:tc>
          <w:tcPr>
            <w:tcW w:w="601" w:type="pct"/>
            <w:vAlign w:val="center"/>
          </w:tcPr>
          <w:p w14:paraId="0CBBAD99">
            <w:pPr>
              <w:pStyle w:val="1343"/>
            </w:pPr>
            <w:r>
              <w:t>座</w:t>
            </w:r>
          </w:p>
        </w:tc>
        <w:tc>
          <w:tcPr>
            <w:tcW w:w="676" w:type="pct"/>
            <w:vAlign w:val="center"/>
          </w:tcPr>
          <w:p w14:paraId="6A24E570">
            <w:pPr>
              <w:pStyle w:val="1343"/>
            </w:pPr>
            <w:r>
              <w:rPr>
                <w:rFonts w:hint="eastAsia"/>
              </w:rPr>
              <w:t>1</w:t>
            </w:r>
          </w:p>
        </w:tc>
        <w:tc>
          <w:tcPr>
            <w:tcW w:w="1022" w:type="pct"/>
            <w:vAlign w:val="center"/>
          </w:tcPr>
          <w:p w14:paraId="20FBAAE3">
            <w:pPr>
              <w:pStyle w:val="1343"/>
            </w:pPr>
            <w:r>
              <w:rPr>
                <w:rFonts w:hint="eastAsia"/>
              </w:rPr>
              <w:t>具有过滤分离、计量、电加热、调压、外输功能</w:t>
            </w:r>
          </w:p>
        </w:tc>
      </w:tr>
      <w:tr w14:paraId="3134D7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2F949F77">
            <w:pPr>
              <w:pStyle w:val="1343"/>
            </w:pPr>
          </w:p>
        </w:tc>
        <w:tc>
          <w:tcPr>
            <w:tcW w:w="601" w:type="pct"/>
            <w:gridSpan w:val="2"/>
            <w:vMerge w:val="continue"/>
            <w:vAlign w:val="center"/>
          </w:tcPr>
          <w:p w14:paraId="1AA9B32E">
            <w:pPr>
              <w:pStyle w:val="1343"/>
            </w:pPr>
          </w:p>
        </w:tc>
        <w:tc>
          <w:tcPr>
            <w:tcW w:w="1799" w:type="pct"/>
            <w:gridSpan w:val="2"/>
            <w:vAlign w:val="center"/>
          </w:tcPr>
          <w:p w14:paraId="3DF398F4">
            <w:pPr>
              <w:pStyle w:val="1343"/>
            </w:pPr>
            <w:r>
              <w:rPr>
                <w:rFonts w:hint="eastAsia"/>
              </w:rPr>
              <w:t>改造28</w:t>
            </w:r>
            <w:r>
              <w:t>#阀室</w:t>
            </w:r>
          </w:p>
        </w:tc>
        <w:tc>
          <w:tcPr>
            <w:tcW w:w="601" w:type="pct"/>
            <w:vAlign w:val="center"/>
          </w:tcPr>
          <w:p w14:paraId="04054F1B">
            <w:pPr>
              <w:pStyle w:val="1343"/>
            </w:pPr>
            <w:r>
              <w:t>座</w:t>
            </w:r>
          </w:p>
        </w:tc>
        <w:tc>
          <w:tcPr>
            <w:tcW w:w="676" w:type="pct"/>
            <w:vAlign w:val="center"/>
          </w:tcPr>
          <w:p w14:paraId="71C6FACF">
            <w:pPr>
              <w:pStyle w:val="1343"/>
            </w:pPr>
            <w:r>
              <w:t>1</w:t>
            </w:r>
          </w:p>
        </w:tc>
        <w:tc>
          <w:tcPr>
            <w:tcW w:w="1022" w:type="pct"/>
            <w:vAlign w:val="center"/>
          </w:tcPr>
          <w:p w14:paraId="79DCCEAC">
            <w:pPr>
              <w:pStyle w:val="1343"/>
            </w:pPr>
            <w:r>
              <w:rPr>
                <w:rFonts w:hint="eastAsia"/>
              </w:rPr>
              <w:t>新增分输阀组一套</w:t>
            </w:r>
          </w:p>
        </w:tc>
      </w:tr>
      <w:tr w14:paraId="66A20B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2F7CD88B">
            <w:pPr>
              <w:pStyle w:val="1343"/>
            </w:pPr>
          </w:p>
        </w:tc>
        <w:tc>
          <w:tcPr>
            <w:tcW w:w="601" w:type="pct"/>
            <w:gridSpan w:val="2"/>
            <w:vMerge w:val="restart"/>
            <w:vAlign w:val="center"/>
          </w:tcPr>
          <w:p w14:paraId="4E57FD4D">
            <w:pPr>
              <w:pStyle w:val="1343"/>
            </w:pPr>
            <w:r>
              <w:t>穿越工程</w:t>
            </w:r>
          </w:p>
        </w:tc>
        <w:tc>
          <w:tcPr>
            <w:tcW w:w="1799" w:type="pct"/>
            <w:gridSpan w:val="2"/>
            <w:vAlign w:val="center"/>
          </w:tcPr>
          <w:p w14:paraId="7621B6B0">
            <w:pPr>
              <w:pStyle w:val="1343"/>
            </w:pPr>
            <w:r>
              <w:rPr>
                <w:rFonts w:hint="eastAsia"/>
              </w:rPr>
              <w:t>等级公路（G356国道）</w:t>
            </w:r>
          </w:p>
        </w:tc>
        <w:tc>
          <w:tcPr>
            <w:tcW w:w="601" w:type="pct"/>
            <w:vAlign w:val="center"/>
          </w:tcPr>
          <w:p w14:paraId="44EAE721">
            <w:pPr>
              <w:pStyle w:val="1343"/>
            </w:pPr>
            <w:r>
              <w:rPr>
                <w:spacing w:val="-1"/>
              </w:rPr>
              <w:t>m/处</w:t>
            </w:r>
          </w:p>
        </w:tc>
        <w:tc>
          <w:tcPr>
            <w:tcW w:w="676" w:type="pct"/>
            <w:vAlign w:val="center"/>
          </w:tcPr>
          <w:p w14:paraId="385B6719">
            <w:pPr>
              <w:pStyle w:val="1343"/>
            </w:pPr>
            <w:r>
              <w:rPr>
                <w:rFonts w:hint="eastAsia"/>
              </w:rPr>
              <w:t>40</w:t>
            </w:r>
            <w:r>
              <w:t>m/1处</w:t>
            </w:r>
          </w:p>
        </w:tc>
        <w:tc>
          <w:tcPr>
            <w:tcW w:w="1022" w:type="pct"/>
            <w:vAlign w:val="center"/>
          </w:tcPr>
          <w:p w14:paraId="50F063CC">
            <w:pPr>
              <w:pStyle w:val="1343"/>
            </w:pPr>
            <w:r>
              <w:rPr>
                <w:rFonts w:hint="eastAsia"/>
              </w:rPr>
              <w:t>顶管+套管穿越</w:t>
            </w:r>
          </w:p>
        </w:tc>
      </w:tr>
      <w:tr w14:paraId="2245E4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361F4AB9">
            <w:pPr>
              <w:pStyle w:val="1343"/>
            </w:pPr>
          </w:p>
        </w:tc>
        <w:tc>
          <w:tcPr>
            <w:tcW w:w="601" w:type="pct"/>
            <w:gridSpan w:val="2"/>
            <w:vMerge w:val="continue"/>
            <w:vAlign w:val="center"/>
          </w:tcPr>
          <w:p w14:paraId="76D2E643">
            <w:pPr>
              <w:pStyle w:val="1343"/>
            </w:pPr>
          </w:p>
        </w:tc>
        <w:tc>
          <w:tcPr>
            <w:tcW w:w="1799" w:type="pct"/>
            <w:gridSpan w:val="2"/>
            <w:vAlign w:val="center"/>
          </w:tcPr>
          <w:p w14:paraId="6C812B7B">
            <w:pPr>
              <w:pStyle w:val="1343"/>
            </w:pPr>
            <w:r>
              <w:rPr>
                <w:rFonts w:hint="eastAsia"/>
              </w:rPr>
              <w:t>无名乡路</w:t>
            </w:r>
          </w:p>
        </w:tc>
        <w:tc>
          <w:tcPr>
            <w:tcW w:w="601" w:type="pct"/>
            <w:vAlign w:val="center"/>
          </w:tcPr>
          <w:p w14:paraId="16FED7C5">
            <w:pPr>
              <w:pStyle w:val="1343"/>
              <w:rPr>
                <w:spacing w:val="-1"/>
              </w:rPr>
            </w:pPr>
            <w:r>
              <w:rPr>
                <w:spacing w:val="-1"/>
              </w:rPr>
              <w:t>m/处</w:t>
            </w:r>
          </w:p>
        </w:tc>
        <w:tc>
          <w:tcPr>
            <w:tcW w:w="676" w:type="pct"/>
            <w:vAlign w:val="center"/>
          </w:tcPr>
          <w:p w14:paraId="5982B172">
            <w:pPr>
              <w:pStyle w:val="1343"/>
            </w:pPr>
            <w:r>
              <w:rPr>
                <w:rFonts w:hint="eastAsia"/>
              </w:rPr>
              <w:t>12</w:t>
            </w:r>
            <w:r>
              <w:t>m/1处</w:t>
            </w:r>
          </w:p>
        </w:tc>
        <w:tc>
          <w:tcPr>
            <w:tcW w:w="1022" w:type="pct"/>
            <w:vAlign w:val="center"/>
          </w:tcPr>
          <w:p w14:paraId="789E1F3D">
            <w:pPr>
              <w:pStyle w:val="1343"/>
            </w:pPr>
            <w:r>
              <w:rPr>
                <w:rFonts w:hint="eastAsia"/>
              </w:rPr>
              <w:t>开挖加盖板</w:t>
            </w:r>
          </w:p>
        </w:tc>
      </w:tr>
      <w:tr w14:paraId="7EE862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027B00B1">
            <w:pPr>
              <w:pStyle w:val="1343"/>
            </w:pPr>
          </w:p>
        </w:tc>
        <w:tc>
          <w:tcPr>
            <w:tcW w:w="601" w:type="pct"/>
            <w:gridSpan w:val="2"/>
            <w:vMerge w:val="continue"/>
            <w:vAlign w:val="center"/>
          </w:tcPr>
          <w:p w14:paraId="2A32C62E">
            <w:pPr>
              <w:pStyle w:val="1343"/>
            </w:pPr>
          </w:p>
        </w:tc>
        <w:tc>
          <w:tcPr>
            <w:tcW w:w="1799" w:type="pct"/>
            <w:gridSpan w:val="2"/>
            <w:vAlign w:val="center"/>
          </w:tcPr>
          <w:p w14:paraId="418BD9F5">
            <w:pPr>
              <w:pStyle w:val="1343"/>
            </w:pPr>
            <w:r>
              <w:rPr>
                <w:rFonts w:hint="eastAsia"/>
                <w:spacing w:val="-2"/>
              </w:rPr>
              <w:t>耒阳门站进站路</w:t>
            </w:r>
          </w:p>
        </w:tc>
        <w:tc>
          <w:tcPr>
            <w:tcW w:w="601" w:type="pct"/>
            <w:vAlign w:val="center"/>
          </w:tcPr>
          <w:p w14:paraId="3948A2F3">
            <w:pPr>
              <w:pStyle w:val="1343"/>
            </w:pPr>
            <w:r>
              <w:rPr>
                <w:spacing w:val="-1"/>
              </w:rPr>
              <w:t>m/处</w:t>
            </w:r>
          </w:p>
        </w:tc>
        <w:tc>
          <w:tcPr>
            <w:tcW w:w="676" w:type="pct"/>
            <w:vAlign w:val="center"/>
          </w:tcPr>
          <w:p w14:paraId="349E4092">
            <w:pPr>
              <w:pStyle w:val="1343"/>
            </w:pPr>
            <w:r>
              <w:rPr>
                <w:rFonts w:hint="eastAsia"/>
              </w:rPr>
              <w:t>1</w:t>
            </w:r>
            <w:r>
              <w:t>0m/</w:t>
            </w:r>
            <w:r>
              <w:rPr>
                <w:rFonts w:hint="eastAsia"/>
              </w:rPr>
              <w:t>1</w:t>
            </w:r>
            <w:r>
              <w:t>处</w:t>
            </w:r>
          </w:p>
        </w:tc>
        <w:tc>
          <w:tcPr>
            <w:tcW w:w="1022" w:type="pct"/>
            <w:vAlign w:val="center"/>
          </w:tcPr>
          <w:p w14:paraId="49F098BE">
            <w:pPr>
              <w:pStyle w:val="1343"/>
              <w:rPr>
                <w:lang w:bidi="zh-CN"/>
              </w:rPr>
            </w:pPr>
            <w:r>
              <w:rPr>
                <w:rFonts w:hint="eastAsia"/>
                <w:lang w:bidi="zh-CN"/>
              </w:rPr>
              <w:t>开挖加套管</w:t>
            </w:r>
          </w:p>
        </w:tc>
      </w:tr>
      <w:tr w14:paraId="64EC76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1AAB8E75">
            <w:pPr>
              <w:pStyle w:val="1343"/>
            </w:pPr>
          </w:p>
        </w:tc>
        <w:tc>
          <w:tcPr>
            <w:tcW w:w="601" w:type="pct"/>
            <w:gridSpan w:val="2"/>
            <w:vMerge w:val="continue"/>
            <w:vAlign w:val="center"/>
          </w:tcPr>
          <w:p w14:paraId="1BF4A36A">
            <w:pPr>
              <w:pStyle w:val="1343"/>
            </w:pPr>
          </w:p>
        </w:tc>
        <w:tc>
          <w:tcPr>
            <w:tcW w:w="1799" w:type="pct"/>
            <w:gridSpan w:val="2"/>
            <w:vAlign w:val="center"/>
          </w:tcPr>
          <w:p w14:paraId="45DF2737">
            <w:pPr>
              <w:pStyle w:val="1343"/>
            </w:pPr>
            <w:r>
              <w:rPr>
                <w:spacing w:val="-2"/>
              </w:rPr>
              <w:t>地下管道</w:t>
            </w:r>
            <w:r>
              <w:rPr>
                <w:rFonts w:hint="eastAsia"/>
                <w:spacing w:val="-2"/>
              </w:rPr>
              <w:t>（潜江—韶关输气管道）</w:t>
            </w:r>
          </w:p>
        </w:tc>
        <w:tc>
          <w:tcPr>
            <w:tcW w:w="601" w:type="pct"/>
            <w:vAlign w:val="center"/>
          </w:tcPr>
          <w:p w14:paraId="37838646">
            <w:pPr>
              <w:pStyle w:val="1343"/>
            </w:pPr>
            <w:r>
              <w:rPr>
                <w:spacing w:val="-1"/>
              </w:rPr>
              <w:t>m/</w:t>
            </w:r>
            <w:r>
              <w:t>处</w:t>
            </w:r>
          </w:p>
        </w:tc>
        <w:tc>
          <w:tcPr>
            <w:tcW w:w="676" w:type="pct"/>
            <w:vAlign w:val="center"/>
          </w:tcPr>
          <w:p w14:paraId="4624B8AE">
            <w:pPr>
              <w:pStyle w:val="1343"/>
            </w:pPr>
            <w:r>
              <w:t>30</w:t>
            </w:r>
            <w:r>
              <w:rPr>
                <w:rFonts w:hint="eastAsia"/>
              </w:rPr>
              <w:t>m</w:t>
            </w:r>
            <w:r>
              <w:t>/</w:t>
            </w:r>
            <w:r>
              <w:rPr>
                <w:rFonts w:hint="eastAsia"/>
              </w:rPr>
              <w:t>1处</w:t>
            </w:r>
          </w:p>
        </w:tc>
        <w:tc>
          <w:tcPr>
            <w:tcW w:w="1022" w:type="pct"/>
            <w:vAlign w:val="center"/>
          </w:tcPr>
          <w:p w14:paraId="773558F6">
            <w:pPr>
              <w:pStyle w:val="1343"/>
              <w:rPr>
                <w:lang w:bidi="zh-CN"/>
              </w:rPr>
            </w:pPr>
            <w:r>
              <w:rPr>
                <w:rFonts w:hint="eastAsia"/>
                <w:spacing w:val="-2"/>
              </w:rPr>
              <w:t>大</w:t>
            </w:r>
            <w:r>
              <w:rPr>
                <w:spacing w:val="-2"/>
              </w:rPr>
              <w:t>开挖</w:t>
            </w:r>
            <w:r>
              <w:rPr>
                <w:rFonts w:hint="eastAsia"/>
                <w:spacing w:val="-2"/>
              </w:rPr>
              <w:t>+套管</w:t>
            </w:r>
            <w:r>
              <w:rPr>
                <w:rFonts w:hint="eastAsia"/>
                <w:lang w:bidi="zh-CN"/>
              </w:rPr>
              <w:t>穿越</w:t>
            </w:r>
            <w:r>
              <w:rPr>
                <w:rFonts w:hint="eastAsia"/>
              </w:rPr>
              <w:t>，穿越位置在现有管道下方，净距不小于0.5m</w:t>
            </w:r>
          </w:p>
        </w:tc>
      </w:tr>
      <w:tr w14:paraId="43A354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763BF35F">
            <w:pPr>
              <w:pStyle w:val="1343"/>
            </w:pPr>
          </w:p>
        </w:tc>
        <w:tc>
          <w:tcPr>
            <w:tcW w:w="601" w:type="pct"/>
            <w:gridSpan w:val="2"/>
            <w:vMerge w:val="continue"/>
            <w:vAlign w:val="center"/>
          </w:tcPr>
          <w:p w14:paraId="1F6DBDB7">
            <w:pPr>
              <w:pStyle w:val="1343"/>
            </w:pPr>
          </w:p>
        </w:tc>
        <w:tc>
          <w:tcPr>
            <w:tcW w:w="1799" w:type="pct"/>
            <w:gridSpan w:val="2"/>
            <w:vAlign w:val="center"/>
          </w:tcPr>
          <w:p w14:paraId="5E05599C">
            <w:pPr>
              <w:pStyle w:val="1343"/>
            </w:pPr>
            <w:r>
              <w:rPr>
                <w:spacing w:val="-6"/>
              </w:rPr>
              <w:t>地下电（光）缆</w:t>
            </w:r>
          </w:p>
        </w:tc>
        <w:tc>
          <w:tcPr>
            <w:tcW w:w="601" w:type="pct"/>
            <w:vAlign w:val="center"/>
          </w:tcPr>
          <w:p w14:paraId="6B738FED">
            <w:pPr>
              <w:pStyle w:val="1343"/>
            </w:pPr>
            <w:r>
              <w:t>处</w:t>
            </w:r>
          </w:p>
        </w:tc>
        <w:tc>
          <w:tcPr>
            <w:tcW w:w="676" w:type="pct"/>
            <w:vAlign w:val="center"/>
          </w:tcPr>
          <w:p w14:paraId="08251996">
            <w:pPr>
              <w:pStyle w:val="1343"/>
            </w:pPr>
            <w:r>
              <w:rPr>
                <w:rFonts w:hint="eastAsia"/>
              </w:rPr>
              <w:t>1</w:t>
            </w:r>
          </w:p>
        </w:tc>
        <w:tc>
          <w:tcPr>
            <w:tcW w:w="1022" w:type="pct"/>
            <w:vAlign w:val="center"/>
          </w:tcPr>
          <w:p w14:paraId="18C6AF03">
            <w:pPr>
              <w:pStyle w:val="1343"/>
              <w:rPr>
                <w:lang w:bidi="zh-CN"/>
              </w:rPr>
            </w:pPr>
            <w:r>
              <w:rPr>
                <w:spacing w:val="-2"/>
              </w:rPr>
              <w:t>开挖</w:t>
            </w:r>
            <w:r>
              <w:rPr>
                <w:rFonts w:hint="eastAsia"/>
                <w:lang w:bidi="zh-CN"/>
              </w:rPr>
              <w:t>穿越</w:t>
            </w:r>
          </w:p>
        </w:tc>
      </w:tr>
      <w:tr w14:paraId="48169E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restart"/>
            <w:vAlign w:val="center"/>
          </w:tcPr>
          <w:p w14:paraId="7FF51288">
            <w:pPr>
              <w:pStyle w:val="1343"/>
            </w:pPr>
            <w:r>
              <w:t>公辅工程</w:t>
            </w:r>
          </w:p>
        </w:tc>
        <w:tc>
          <w:tcPr>
            <w:tcW w:w="601" w:type="pct"/>
            <w:gridSpan w:val="2"/>
            <w:vMerge w:val="restart"/>
            <w:vAlign w:val="center"/>
          </w:tcPr>
          <w:p w14:paraId="5FDDC3BE">
            <w:pPr>
              <w:pStyle w:val="1343"/>
            </w:pPr>
            <w:r>
              <w:t>道路工程</w:t>
            </w:r>
          </w:p>
        </w:tc>
        <w:tc>
          <w:tcPr>
            <w:tcW w:w="1799" w:type="pct"/>
            <w:gridSpan w:val="2"/>
            <w:vAlign w:val="center"/>
          </w:tcPr>
          <w:p w14:paraId="5359B1A2">
            <w:pPr>
              <w:pStyle w:val="1343"/>
            </w:pPr>
            <w:r>
              <w:rPr>
                <w:rFonts w:hint="eastAsia"/>
                <w:spacing w:val="-2"/>
              </w:rPr>
              <w:t>新建进站道路</w:t>
            </w:r>
          </w:p>
        </w:tc>
        <w:tc>
          <w:tcPr>
            <w:tcW w:w="601" w:type="pct"/>
            <w:vAlign w:val="center"/>
          </w:tcPr>
          <w:p w14:paraId="7D80C30C">
            <w:pPr>
              <w:pStyle w:val="1343"/>
            </w:pPr>
            <w:r>
              <w:t>km</w:t>
            </w:r>
          </w:p>
        </w:tc>
        <w:tc>
          <w:tcPr>
            <w:tcW w:w="676" w:type="pct"/>
            <w:vAlign w:val="center"/>
          </w:tcPr>
          <w:p w14:paraId="7FA55570">
            <w:pPr>
              <w:pStyle w:val="1343"/>
            </w:pPr>
            <w:r>
              <w:rPr>
                <w:rFonts w:hint="eastAsia"/>
              </w:rPr>
              <w:t>0.3656</w:t>
            </w:r>
          </w:p>
        </w:tc>
        <w:tc>
          <w:tcPr>
            <w:tcW w:w="1022" w:type="pct"/>
            <w:vAlign w:val="center"/>
          </w:tcPr>
          <w:p w14:paraId="544F2F2C">
            <w:pPr>
              <w:pStyle w:val="1343"/>
            </w:pPr>
            <w:r>
              <w:rPr>
                <w:rFonts w:hint="eastAsia"/>
                <w:spacing w:val="-2"/>
              </w:rPr>
              <w:t>路基</w:t>
            </w:r>
            <w:r>
              <w:rPr>
                <w:spacing w:val="-2"/>
              </w:rPr>
              <w:t>宽度</w:t>
            </w:r>
            <w:r>
              <w:rPr>
                <w:rFonts w:hint="eastAsia"/>
                <w:spacing w:val="-2"/>
              </w:rPr>
              <w:t>5</w:t>
            </w:r>
            <w:r>
              <w:rPr>
                <w:spacing w:val="-2"/>
              </w:rPr>
              <w:t>m</w:t>
            </w:r>
          </w:p>
        </w:tc>
      </w:tr>
      <w:tr w14:paraId="13981F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723D4E65">
            <w:pPr>
              <w:pStyle w:val="1343"/>
            </w:pPr>
          </w:p>
        </w:tc>
        <w:tc>
          <w:tcPr>
            <w:tcW w:w="601" w:type="pct"/>
            <w:gridSpan w:val="2"/>
            <w:vMerge w:val="continue"/>
            <w:vAlign w:val="center"/>
          </w:tcPr>
          <w:p w14:paraId="7DBEC42F">
            <w:pPr>
              <w:pStyle w:val="1343"/>
            </w:pPr>
          </w:p>
        </w:tc>
        <w:tc>
          <w:tcPr>
            <w:tcW w:w="1799" w:type="pct"/>
            <w:gridSpan w:val="2"/>
            <w:vAlign w:val="center"/>
          </w:tcPr>
          <w:p w14:paraId="0773E20F">
            <w:pPr>
              <w:pStyle w:val="1343"/>
              <w:rPr>
                <w:spacing w:val="-2"/>
              </w:rPr>
            </w:pPr>
            <w:r>
              <w:rPr>
                <w:rFonts w:hint="eastAsia"/>
                <w:spacing w:val="-2"/>
              </w:rPr>
              <w:t>修整施工便道</w:t>
            </w:r>
          </w:p>
        </w:tc>
        <w:tc>
          <w:tcPr>
            <w:tcW w:w="601" w:type="pct"/>
            <w:vAlign w:val="center"/>
          </w:tcPr>
          <w:p w14:paraId="572B78C9">
            <w:pPr>
              <w:pStyle w:val="1343"/>
              <w:rPr>
                <w:spacing w:val="-2"/>
              </w:rPr>
            </w:pPr>
            <w:r>
              <w:rPr>
                <w:rFonts w:hint="eastAsia"/>
                <w:spacing w:val="-2"/>
              </w:rPr>
              <w:t>km</w:t>
            </w:r>
          </w:p>
        </w:tc>
        <w:tc>
          <w:tcPr>
            <w:tcW w:w="676" w:type="pct"/>
            <w:vAlign w:val="center"/>
          </w:tcPr>
          <w:p w14:paraId="74DD6F10">
            <w:pPr>
              <w:pStyle w:val="1343"/>
              <w:rPr>
                <w:spacing w:val="-2"/>
              </w:rPr>
            </w:pPr>
            <w:r>
              <w:rPr>
                <w:spacing w:val="-2"/>
              </w:rPr>
              <w:t>0.</w:t>
            </w:r>
            <w:r>
              <w:rPr>
                <w:rFonts w:hint="eastAsia"/>
                <w:spacing w:val="-2"/>
              </w:rPr>
              <w:t>2</w:t>
            </w:r>
          </w:p>
        </w:tc>
        <w:tc>
          <w:tcPr>
            <w:tcW w:w="1022" w:type="pct"/>
            <w:vAlign w:val="center"/>
          </w:tcPr>
          <w:p w14:paraId="5165DABE">
            <w:pPr>
              <w:pStyle w:val="1343"/>
              <w:rPr>
                <w:spacing w:val="-2"/>
              </w:rPr>
            </w:pPr>
            <w:r>
              <w:rPr>
                <w:rFonts w:hint="eastAsia"/>
                <w:spacing w:val="-2"/>
              </w:rPr>
              <w:t>依托现有乡村道路修整施工便道</w:t>
            </w:r>
          </w:p>
        </w:tc>
      </w:tr>
      <w:tr w14:paraId="4CF5E8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5" w:hRule="atLeast"/>
          <w:jc w:val="center"/>
        </w:trPr>
        <w:tc>
          <w:tcPr>
            <w:tcW w:w="300" w:type="pct"/>
            <w:vMerge w:val="continue"/>
            <w:vAlign w:val="center"/>
          </w:tcPr>
          <w:p w14:paraId="1AF3AF4C">
            <w:pPr>
              <w:pStyle w:val="1343"/>
            </w:pPr>
          </w:p>
        </w:tc>
        <w:tc>
          <w:tcPr>
            <w:tcW w:w="601" w:type="pct"/>
            <w:gridSpan w:val="2"/>
            <w:vMerge w:val="restart"/>
            <w:vAlign w:val="center"/>
          </w:tcPr>
          <w:p w14:paraId="69AA1019">
            <w:pPr>
              <w:pStyle w:val="1343"/>
            </w:pPr>
            <w:r>
              <w:t>附属工程</w:t>
            </w:r>
          </w:p>
        </w:tc>
        <w:tc>
          <w:tcPr>
            <w:tcW w:w="599" w:type="pct"/>
            <w:vMerge w:val="restart"/>
            <w:vAlign w:val="center"/>
          </w:tcPr>
          <w:p w14:paraId="66F18980">
            <w:pPr>
              <w:pStyle w:val="1343"/>
            </w:pPr>
            <w:r>
              <w:t>防腐</w:t>
            </w:r>
          </w:p>
        </w:tc>
        <w:tc>
          <w:tcPr>
            <w:tcW w:w="1200" w:type="pct"/>
            <w:vAlign w:val="center"/>
          </w:tcPr>
          <w:p w14:paraId="78731715">
            <w:pPr>
              <w:pStyle w:val="1343"/>
            </w:pPr>
            <w:r>
              <w:t>常温型加强级</w:t>
            </w:r>
            <w:r>
              <w:rPr>
                <w:rFonts w:hint="eastAsia"/>
              </w:rPr>
              <w:t>三层</w:t>
            </w:r>
            <w:r>
              <w:t>PE防腐层</w:t>
            </w:r>
          </w:p>
        </w:tc>
        <w:tc>
          <w:tcPr>
            <w:tcW w:w="601" w:type="pct"/>
            <w:vAlign w:val="center"/>
          </w:tcPr>
          <w:p w14:paraId="7DF16DA8">
            <w:pPr>
              <w:pStyle w:val="1343"/>
            </w:pPr>
            <w:r>
              <w:t>km</w:t>
            </w:r>
          </w:p>
        </w:tc>
        <w:tc>
          <w:tcPr>
            <w:tcW w:w="676" w:type="pct"/>
            <w:vAlign w:val="center"/>
          </w:tcPr>
          <w:p w14:paraId="0685F35E">
            <w:pPr>
              <w:pStyle w:val="1343"/>
            </w:pPr>
            <w:r>
              <w:t>0.</w:t>
            </w:r>
            <w:r>
              <w:rPr>
                <w:rFonts w:hint="eastAsia"/>
              </w:rPr>
              <w:t>75</w:t>
            </w:r>
          </w:p>
        </w:tc>
        <w:tc>
          <w:tcPr>
            <w:tcW w:w="1022" w:type="pct"/>
            <w:vMerge w:val="restart"/>
            <w:vAlign w:val="center"/>
          </w:tcPr>
          <w:p w14:paraId="787C48B4">
            <w:pPr>
              <w:pStyle w:val="1343"/>
              <w:rPr>
                <w:color w:val="FF0000"/>
              </w:rPr>
            </w:pPr>
            <w:r>
              <w:rPr>
                <w:rFonts w:hint="eastAsia"/>
                <w:i/>
                <w:iCs/>
                <w:color w:val="auto"/>
                <w:highlight w:val="none"/>
                <w:u w:val="single"/>
              </w:rPr>
              <w:t>采用工厂预制件，施工现场不进行管道防腐</w:t>
            </w:r>
          </w:p>
        </w:tc>
      </w:tr>
      <w:tr w14:paraId="7E3B28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7ADD3170">
            <w:pPr>
              <w:pStyle w:val="1343"/>
            </w:pPr>
          </w:p>
        </w:tc>
        <w:tc>
          <w:tcPr>
            <w:tcW w:w="601" w:type="pct"/>
            <w:gridSpan w:val="2"/>
            <w:vMerge w:val="continue"/>
            <w:vAlign w:val="center"/>
          </w:tcPr>
          <w:p w14:paraId="7301DBF3">
            <w:pPr>
              <w:pStyle w:val="1343"/>
            </w:pPr>
          </w:p>
        </w:tc>
        <w:tc>
          <w:tcPr>
            <w:tcW w:w="599" w:type="pct"/>
            <w:vMerge w:val="continue"/>
            <w:vAlign w:val="center"/>
          </w:tcPr>
          <w:p w14:paraId="54DCE6E8">
            <w:pPr>
              <w:pStyle w:val="1343"/>
            </w:pPr>
          </w:p>
        </w:tc>
        <w:tc>
          <w:tcPr>
            <w:tcW w:w="1200" w:type="pct"/>
            <w:vAlign w:val="center"/>
          </w:tcPr>
          <w:p w14:paraId="51FB7FF2">
            <w:pPr>
              <w:pStyle w:val="1343"/>
            </w:pPr>
            <w:r>
              <w:t>双层熔结环氧粉末防腐</w:t>
            </w:r>
          </w:p>
        </w:tc>
        <w:tc>
          <w:tcPr>
            <w:tcW w:w="601" w:type="pct"/>
            <w:vAlign w:val="center"/>
          </w:tcPr>
          <w:p w14:paraId="50684131">
            <w:pPr>
              <w:pStyle w:val="1343"/>
            </w:pPr>
            <w:r>
              <w:t>m</w:t>
            </w:r>
            <w:r>
              <w:rPr>
                <w:vertAlign w:val="superscript"/>
              </w:rPr>
              <w:t>2</w:t>
            </w:r>
          </w:p>
        </w:tc>
        <w:tc>
          <w:tcPr>
            <w:tcW w:w="676" w:type="pct"/>
            <w:vAlign w:val="center"/>
          </w:tcPr>
          <w:p w14:paraId="36136641">
            <w:pPr>
              <w:pStyle w:val="1343"/>
            </w:pPr>
            <w:r>
              <w:rPr>
                <w:rFonts w:hint="eastAsia"/>
              </w:rPr>
              <w:t>17</w:t>
            </w:r>
          </w:p>
        </w:tc>
        <w:tc>
          <w:tcPr>
            <w:tcW w:w="1022" w:type="pct"/>
            <w:vMerge w:val="continue"/>
            <w:vAlign w:val="center"/>
          </w:tcPr>
          <w:p w14:paraId="5EE90E63">
            <w:pPr>
              <w:pStyle w:val="1343"/>
              <w:rPr>
                <w:color w:val="FF0000"/>
              </w:rPr>
            </w:pPr>
          </w:p>
        </w:tc>
      </w:tr>
      <w:tr w14:paraId="24791D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57A19AF6">
            <w:pPr>
              <w:pStyle w:val="1343"/>
            </w:pPr>
          </w:p>
        </w:tc>
        <w:tc>
          <w:tcPr>
            <w:tcW w:w="601" w:type="pct"/>
            <w:gridSpan w:val="2"/>
            <w:vMerge w:val="continue"/>
            <w:vAlign w:val="center"/>
          </w:tcPr>
          <w:p w14:paraId="3848F8A1">
            <w:pPr>
              <w:pStyle w:val="1343"/>
            </w:pPr>
          </w:p>
        </w:tc>
        <w:tc>
          <w:tcPr>
            <w:tcW w:w="599" w:type="pct"/>
            <w:vMerge w:val="continue"/>
            <w:vAlign w:val="center"/>
          </w:tcPr>
          <w:p w14:paraId="54E1EA88">
            <w:pPr>
              <w:pStyle w:val="1343"/>
            </w:pPr>
          </w:p>
        </w:tc>
        <w:tc>
          <w:tcPr>
            <w:tcW w:w="1200" w:type="pct"/>
            <w:vAlign w:val="center"/>
          </w:tcPr>
          <w:p w14:paraId="3FDA2D3F">
            <w:pPr>
              <w:pStyle w:val="1343"/>
            </w:pPr>
            <w:r>
              <w:rPr>
                <w:rFonts w:hint="eastAsia"/>
              </w:rPr>
              <w:t>聚乙烯热收缩补口带</w:t>
            </w:r>
          </w:p>
        </w:tc>
        <w:tc>
          <w:tcPr>
            <w:tcW w:w="601" w:type="pct"/>
            <w:vAlign w:val="center"/>
          </w:tcPr>
          <w:p w14:paraId="745FF9B5">
            <w:pPr>
              <w:pStyle w:val="1343"/>
            </w:pPr>
            <w:r>
              <w:rPr>
                <w:rFonts w:hint="eastAsia"/>
              </w:rPr>
              <w:t>个</w:t>
            </w:r>
          </w:p>
        </w:tc>
        <w:tc>
          <w:tcPr>
            <w:tcW w:w="676" w:type="pct"/>
            <w:vAlign w:val="center"/>
          </w:tcPr>
          <w:p w14:paraId="71B4FC85">
            <w:pPr>
              <w:pStyle w:val="1343"/>
            </w:pPr>
            <w:r>
              <w:rPr>
                <w:rFonts w:hint="eastAsia"/>
              </w:rPr>
              <w:t>112</w:t>
            </w:r>
          </w:p>
        </w:tc>
        <w:tc>
          <w:tcPr>
            <w:tcW w:w="1022" w:type="pct"/>
            <w:vAlign w:val="center"/>
          </w:tcPr>
          <w:p w14:paraId="3027D6CA">
            <w:pPr>
              <w:pStyle w:val="1343"/>
            </w:pPr>
            <w:r>
              <w:rPr>
                <w:rFonts w:hint="eastAsia"/>
              </w:rPr>
              <w:t>/</w:t>
            </w:r>
          </w:p>
        </w:tc>
      </w:tr>
      <w:tr w14:paraId="20A742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44FDD3B7">
            <w:pPr>
              <w:pStyle w:val="1343"/>
            </w:pPr>
          </w:p>
        </w:tc>
        <w:tc>
          <w:tcPr>
            <w:tcW w:w="601" w:type="pct"/>
            <w:gridSpan w:val="2"/>
            <w:vMerge w:val="continue"/>
            <w:vAlign w:val="center"/>
          </w:tcPr>
          <w:p w14:paraId="76300F3D">
            <w:pPr>
              <w:pStyle w:val="1343"/>
            </w:pPr>
          </w:p>
        </w:tc>
        <w:tc>
          <w:tcPr>
            <w:tcW w:w="599" w:type="pct"/>
            <w:vAlign w:val="center"/>
          </w:tcPr>
          <w:p w14:paraId="0A0ABE0D">
            <w:pPr>
              <w:pStyle w:val="1343"/>
            </w:pPr>
            <w:r>
              <w:rPr>
                <w:rFonts w:hint="eastAsia"/>
              </w:rPr>
              <w:t>阴极保护</w:t>
            </w:r>
          </w:p>
        </w:tc>
        <w:tc>
          <w:tcPr>
            <w:tcW w:w="1200" w:type="pct"/>
            <w:vAlign w:val="center"/>
          </w:tcPr>
          <w:p w14:paraId="0C53B53A">
            <w:pPr>
              <w:pStyle w:val="1343"/>
            </w:pPr>
            <w:r>
              <w:rPr>
                <w:rFonts w:hint="eastAsia"/>
              </w:rPr>
              <w:t>阴极保护站</w:t>
            </w:r>
          </w:p>
          <w:p w14:paraId="792E617C">
            <w:pPr>
              <w:pStyle w:val="1343"/>
            </w:pPr>
            <w:r>
              <w:rPr>
                <w:rFonts w:hint="eastAsia"/>
              </w:rPr>
              <w:t>（强制电流法）</w:t>
            </w:r>
          </w:p>
        </w:tc>
        <w:tc>
          <w:tcPr>
            <w:tcW w:w="601" w:type="pct"/>
            <w:vAlign w:val="center"/>
          </w:tcPr>
          <w:p w14:paraId="3D609F71">
            <w:pPr>
              <w:pStyle w:val="1343"/>
            </w:pPr>
            <w:r>
              <w:rPr>
                <w:rFonts w:hint="eastAsia"/>
              </w:rPr>
              <w:t>座</w:t>
            </w:r>
          </w:p>
        </w:tc>
        <w:tc>
          <w:tcPr>
            <w:tcW w:w="676" w:type="pct"/>
            <w:vAlign w:val="center"/>
          </w:tcPr>
          <w:p w14:paraId="08E9B0D4">
            <w:pPr>
              <w:pStyle w:val="1343"/>
            </w:pPr>
            <w:r>
              <w:rPr>
                <w:rFonts w:hint="eastAsia"/>
              </w:rPr>
              <w:t>1</w:t>
            </w:r>
          </w:p>
        </w:tc>
        <w:tc>
          <w:tcPr>
            <w:tcW w:w="1022" w:type="pct"/>
            <w:vAlign w:val="center"/>
          </w:tcPr>
          <w:p w14:paraId="16C9FF10">
            <w:pPr>
              <w:pStyle w:val="1343"/>
            </w:pPr>
            <w:r>
              <w:rPr>
                <w:rFonts w:hint="eastAsia"/>
              </w:rPr>
              <w:t>耒阳分输站内</w:t>
            </w:r>
          </w:p>
        </w:tc>
      </w:tr>
      <w:tr w14:paraId="0B892F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527AA750">
            <w:pPr>
              <w:pStyle w:val="1343"/>
            </w:pPr>
          </w:p>
        </w:tc>
        <w:tc>
          <w:tcPr>
            <w:tcW w:w="601" w:type="pct"/>
            <w:gridSpan w:val="2"/>
            <w:vMerge w:val="continue"/>
            <w:vAlign w:val="center"/>
          </w:tcPr>
          <w:p w14:paraId="0615FECF">
            <w:pPr>
              <w:pStyle w:val="1343"/>
            </w:pPr>
          </w:p>
        </w:tc>
        <w:tc>
          <w:tcPr>
            <w:tcW w:w="599" w:type="pct"/>
            <w:vMerge w:val="restart"/>
            <w:vAlign w:val="center"/>
          </w:tcPr>
          <w:p w14:paraId="7B98CB0E">
            <w:pPr>
              <w:pStyle w:val="1343"/>
            </w:pPr>
            <w:r>
              <w:rPr>
                <w:rFonts w:hint="eastAsia"/>
              </w:rPr>
              <w:t>标志桩、警示牌</w:t>
            </w:r>
          </w:p>
        </w:tc>
        <w:tc>
          <w:tcPr>
            <w:tcW w:w="1200" w:type="pct"/>
            <w:vAlign w:val="center"/>
          </w:tcPr>
          <w:p w14:paraId="4E82B9E7">
            <w:pPr>
              <w:pStyle w:val="1343"/>
            </w:pPr>
            <w:r>
              <w:rPr>
                <w:rFonts w:hint="eastAsia"/>
              </w:rPr>
              <w:t>转角桩</w:t>
            </w:r>
          </w:p>
        </w:tc>
        <w:tc>
          <w:tcPr>
            <w:tcW w:w="601" w:type="pct"/>
            <w:vAlign w:val="center"/>
          </w:tcPr>
          <w:p w14:paraId="6B9075B5">
            <w:pPr>
              <w:pStyle w:val="1343"/>
            </w:pPr>
            <w:r>
              <w:t>个</w:t>
            </w:r>
          </w:p>
        </w:tc>
        <w:tc>
          <w:tcPr>
            <w:tcW w:w="676" w:type="pct"/>
            <w:vAlign w:val="center"/>
          </w:tcPr>
          <w:p w14:paraId="63972549">
            <w:pPr>
              <w:pStyle w:val="1343"/>
            </w:pPr>
            <w:r>
              <w:rPr>
                <w:rFonts w:hint="eastAsia"/>
                <w:spacing w:val="-1"/>
              </w:rPr>
              <w:t>11</w:t>
            </w:r>
          </w:p>
        </w:tc>
        <w:tc>
          <w:tcPr>
            <w:tcW w:w="1022" w:type="pct"/>
            <w:vAlign w:val="center"/>
          </w:tcPr>
          <w:p w14:paraId="359CEEF5">
            <w:pPr>
              <w:pStyle w:val="1343"/>
            </w:pPr>
            <w:r>
              <w:rPr>
                <w:rFonts w:hint="eastAsia"/>
              </w:rPr>
              <w:t>/</w:t>
            </w:r>
          </w:p>
        </w:tc>
      </w:tr>
      <w:tr w14:paraId="4A7E72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423CAD51">
            <w:pPr>
              <w:pStyle w:val="1343"/>
            </w:pPr>
          </w:p>
        </w:tc>
        <w:tc>
          <w:tcPr>
            <w:tcW w:w="601" w:type="pct"/>
            <w:gridSpan w:val="2"/>
            <w:vMerge w:val="continue"/>
            <w:vAlign w:val="center"/>
          </w:tcPr>
          <w:p w14:paraId="0765E082">
            <w:pPr>
              <w:pStyle w:val="1343"/>
            </w:pPr>
          </w:p>
        </w:tc>
        <w:tc>
          <w:tcPr>
            <w:tcW w:w="599" w:type="pct"/>
            <w:vMerge w:val="continue"/>
            <w:vAlign w:val="center"/>
          </w:tcPr>
          <w:p w14:paraId="6CA6D3B8">
            <w:pPr>
              <w:pStyle w:val="1343"/>
            </w:pPr>
          </w:p>
        </w:tc>
        <w:tc>
          <w:tcPr>
            <w:tcW w:w="1200" w:type="pct"/>
            <w:vAlign w:val="center"/>
          </w:tcPr>
          <w:p w14:paraId="0B87BB46">
            <w:pPr>
              <w:pStyle w:val="1343"/>
            </w:pPr>
            <w:r>
              <w:rPr>
                <w:rFonts w:hint="eastAsia"/>
              </w:rPr>
              <w:t>标志桩</w:t>
            </w:r>
          </w:p>
        </w:tc>
        <w:tc>
          <w:tcPr>
            <w:tcW w:w="601" w:type="pct"/>
            <w:vAlign w:val="center"/>
          </w:tcPr>
          <w:p w14:paraId="0C4C9B5A">
            <w:pPr>
              <w:pStyle w:val="1343"/>
            </w:pPr>
            <w:r>
              <w:t>个</w:t>
            </w:r>
          </w:p>
        </w:tc>
        <w:tc>
          <w:tcPr>
            <w:tcW w:w="676" w:type="pct"/>
            <w:vAlign w:val="center"/>
          </w:tcPr>
          <w:p w14:paraId="50212D0A">
            <w:pPr>
              <w:pStyle w:val="1343"/>
            </w:pPr>
            <w:r>
              <w:rPr>
                <w:rFonts w:hint="eastAsia"/>
              </w:rPr>
              <w:t>9</w:t>
            </w:r>
          </w:p>
        </w:tc>
        <w:tc>
          <w:tcPr>
            <w:tcW w:w="1022" w:type="pct"/>
            <w:vAlign w:val="center"/>
          </w:tcPr>
          <w:p w14:paraId="2852F58E">
            <w:pPr>
              <w:pStyle w:val="1343"/>
            </w:pPr>
            <w:r>
              <w:rPr>
                <w:rFonts w:hint="eastAsia"/>
              </w:rPr>
              <w:t>/</w:t>
            </w:r>
          </w:p>
        </w:tc>
      </w:tr>
      <w:tr w14:paraId="1572B8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1B5C4629">
            <w:pPr>
              <w:pStyle w:val="1343"/>
            </w:pPr>
          </w:p>
        </w:tc>
        <w:tc>
          <w:tcPr>
            <w:tcW w:w="601" w:type="pct"/>
            <w:gridSpan w:val="2"/>
            <w:vMerge w:val="continue"/>
            <w:vAlign w:val="center"/>
          </w:tcPr>
          <w:p w14:paraId="6DC651FE">
            <w:pPr>
              <w:pStyle w:val="1343"/>
            </w:pPr>
          </w:p>
        </w:tc>
        <w:tc>
          <w:tcPr>
            <w:tcW w:w="599" w:type="pct"/>
            <w:vMerge w:val="continue"/>
            <w:vAlign w:val="center"/>
          </w:tcPr>
          <w:p w14:paraId="1B112430">
            <w:pPr>
              <w:pStyle w:val="1343"/>
            </w:pPr>
          </w:p>
        </w:tc>
        <w:tc>
          <w:tcPr>
            <w:tcW w:w="1200" w:type="pct"/>
            <w:vAlign w:val="center"/>
          </w:tcPr>
          <w:p w14:paraId="1F54AB46">
            <w:pPr>
              <w:pStyle w:val="1343"/>
              <w:rPr>
                <w:spacing w:val="-1"/>
              </w:rPr>
            </w:pPr>
            <w:r>
              <w:rPr>
                <w:rFonts w:hint="eastAsia"/>
                <w:spacing w:val="-1"/>
              </w:rPr>
              <w:t>加密桩</w:t>
            </w:r>
          </w:p>
        </w:tc>
        <w:tc>
          <w:tcPr>
            <w:tcW w:w="601" w:type="pct"/>
            <w:vAlign w:val="center"/>
          </w:tcPr>
          <w:p w14:paraId="476D8623">
            <w:pPr>
              <w:pStyle w:val="1343"/>
            </w:pPr>
            <w:r>
              <w:rPr>
                <w:rFonts w:hint="eastAsia"/>
              </w:rPr>
              <w:t>个</w:t>
            </w:r>
          </w:p>
        </w:tc>
        <w:tc>
          <w:tcPr>
            <w:tcW w:w="676" w:type="pct"/>
            <w:vAlign w:val="center"/>
          </w:tcPr>
          <w:p w14:paraId="68EAFDAA">
            <w:pPr>
              <w:pStyle w:val="1343"/>
              <w:rPr>
                <w:spacing w:val="-1"/>
              </w:rPr>
            </w:pPr>
            <w:r>
              <w:rPr>
                <w:rFonts w:hint="eastAsia"/>
                <w:spacing w:val="-1"/>
              </w:rPr>
              <w:t>7</w:t>
            </w:r>
          </w:p>
        </w:tc>
        <w:tc>
          <w:tcPr>
            <w:tcW w:w="1022" w:type="pct"/>
            <w:vAlign w:val="center"/>
          </w:tcPr>
          <w:p w14:paraId="11DF390E">
            <w:pPr>
              <w:pStyle w:val="1343"/>
            </w:pPr>
            <w:r>
              <w:rPr>
                <w:rFonts w:hint="eastAsia"/>
              </w:rPr>
              <w:t>/</w:t>
            </w:r>
          </w:p>
        </w:tc>
      </w:tr>
      <w:tr w14:paraId="253532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42CFA6B3">
            <w:pPr>
              <w:pStyle w:val="1343"/>
            </w:pPr>
          </w:p>
        </w:tc>
        <w:tc>
          <w:tcPr>
            <w:tcW w:w="601" w:type="pct"/>
            <w:gridSpan w:val="2"/>
            <w:vMerge w:val="continue"/>
            <w:vAlign w:val="center"/>
          </w:tcPr>
          <w:p w14:paraId="6204AE92">
            <w:pPr>
              <w:pStyle w:val="1343"/>
            </w:pPr>
          </w:p>
        </w:tc>
        <w:tc>
          <w:tcPr>
            <w:tcW w:w="599" w:type="pct"/>
            <w:vMerge w:val="continue"/>
            <w:vAlign w:val="center"/>
          </w:tcPr>
          <w:p w14:paraId="7562DA27">
            <w:pPr>
              <w:pStyle w:val="1343"/>
            </w:pPr>
          </w:p>
        </w:tc>
        <w:tc>
          <w:tcPr>
            <w:tcW w:w="1200" w:type="pct"/>
            <w:vAlign w:val="center"/>
          </w:tcPr>
          <w:p w14:paraId="1AE6FCCA">
            <w:pPr>
              <w:pStyle w:val="1343"/>
            </w:pPr>
            <w:r>
              <w:rPr>
                <w:spacing w:val="-1"/>
              </w:rPr>
              <w:t>警示牌</w:t>
            </w:r>
          </w:p>
        </w:tc>
        <w:tc>
          <w:tcPr>
            <w:tcW w:w="601" w:type="pct"/>
            <w:vAlign w:val="center"/>
          </w:tcPr>
          <w:p w14:paraId="043FCF95">
            <w:pPr>
              <w:pStyle w:val="1343"/>
            </w:pPr>
            <w:r>
              <w:rPr>
                <w:rFonts w:hint="eastAsia"/>
              </w:rPr>
              <w:t>个</w:t>
            </w:r>
          </w:p>
        </w:tc>
        <w:tc>
          <w:tcPr>
            <w:tcW w:w="676" w:type="pct"/>
            <w:vAlign w:val="center"/>
          </w:tcPr>
          <w:p w14:paraId="60AABE3A">
            <w:pPr>
              <w:pStyle w:val="1343"/>
            </w:pPr>
            <w:r>
              <w:rPr>
                <w:rFonts w:hint="eastAsia"/>
                <w:spacing w:val="-1"/>
              </w:rPr>
              <w:t>4</w:t>
            </w:r>
          </w:p>
        </w:tc>
        <w:tc>
          <w:tcPr>
            <w:tcW w:w="1022" w:type="pct"/>
            <w:vAlign w:val="center"/>
          </w:tcPr>
          <w:p w14:paraId="3FCF3BBB">
            <w:pPr>
              <w:pStyle w:val="1343"/>
            </w:pPr>
            <w:r>
              <w:rPr>
                <w:rFonts w:hint="eastAsia"/>
              </w:rPr>
              <w:t>/</w:t>
            </w:r>
          </w:p>
        </w:tc>
      </w:tr>
      <w:tr w14:paraId="40FB33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132A74B9">
            <w:pPr>
              <w:pStyle w:val="1343"/>
            </w:pPr>
          </w:p>
        </w:tc>
        <w:tc>
          <w:tcPr>
            <w:tcW w:w="601" w:type="pct"/>
            <w:gridSpan w:val="2"/>
            <w:vMerge w:val="continue"/>
            <w:vAlign w:val="center"/>
          </w:tcPr>
          <w:p w14:paraId="478C1A1F">
            <w:pPr>
              <w:pStyle w:val="1343"/>
            </w:pPr>
          </w:p>
        </w:tc>
        <w:tc>
          <w:tcPr>
            <w:tcW w:w="599" w:type="pct"/>
            <w:vMerge w:val="continue"/>
            <w:vAlign w:val="center"/>
          </w:tcPr>
          <w:p w14:paraId="2255D6AB">
            <w:pPr>
              <w:pStyle w:val="1343"/>
            </w:pPr>
          </w:p>
        </w:tc>
        <w:tc>
          <w:tcPr>
            <w:tcW w:w="1200" w:type="pct"/>
            <w:vAlign w:val="center"/>
          </w:tcPr>
          <w:p w14:paraId="00839C0D">
            <w:pPr>
              <w:pStyle w:val="1343"/>
            </w:pPr>
            <w:r>
              <w:rPr>
                <w:rFonts w:hint="eastAsia"/>
              </w:rPr>
              <w:t>警示带</w:t>
            </w:r>
          </w:p>
        </w:tc>
        <w:tc>
          <w:tcPr>
            <w:tcW w:w="601" w:type="pct"/>
            <w:vAlign w:val="center"/>
          </w:tcPr>
          <w:p w14:paraId="427ED23E">
            <w:pPr>
              <w:pStyle w:val="1343"/>
            </w:pPr>
            <w:r>
              <w:rPr>
                <w:rFonts w:hint="eastAsia"/>
              </w:rPr>
              <w:t>km</w:t>
            </w:r>
          </w:p>
        </w:tc>
        <w:tc>
          <w:tcPr>
            <w:tcW w:w="676" w:type="pct"/>
            <w:vAlign w:val="center"/>
          </w:tcPr>
          <w:p w14:paraId="58EBD18A">
            <w:pPr>
              <w:pStyle w:val="1343"/>
              <w:rPr>
                <w:rFonts w:hint="eastAsia" w:eastAsia="宋体"/>
                <w:lang w:eastAsia="zh-CN"/>
              </w:rPr>
            </w:pPr>
            <w:r>
              <w:rPr>
                <w:rFonts w:hint="eastAsia"/>
              </w:rPr>
              <w:t>0.</w:t>
            </w:r>
            <w:r>
              <w:rPr>
                <w:rFonts w:hint="eastAsia"/>
                <w:lang w:eastAsia="zh-CN"/>
              </w:rPr>
              <w:t>760</w:t>
            </w:r>
          </w:p>
        </w:tc>
        <w:tc>
          <w:tcPr>
            <w:tcW w:w="1022" w:type="pct"/>
            <w:vAlign w:val="center"/>
          </w:tcPr>
          <w:p w14:paraId="43EA4BD3">
            <w:pPr>
              <w:pStyle w:val="1343"/>
            </w:pPr>
            <w:r>
              <w:rPr>
                <w:rFonts w:hint="eastAsia"/>
              </w:rPr>
              <w:t>/</w:t>
            </w:r>
          </w:p>
        </w:tc>
      </w:tr>
      <w:tr w14:paraId="649CD5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21F1AF72">
            <w:pPr>
              <w:pStyle w:val="1343"/>
            </w:pPr>
          </w:p>
        </w:tc>
        <w:tc>
          <w:tcPr>
            <w:tcW w:w="601" w:type="pct"/>
            <w:gridSpan w:val="2"/>
            <w:vMerge w:val="restart"/>
            <w:vAlign w:val="center"/>
          </w:tcPr>
          <w:p w14:paraId="1D666AED">
            <w:pPr>
              <w:pStyle w:val="1343"/>
            </w:pPr>
            <w:r>
              <w:t>工程占地</w:t>
            </w:r>
          </w:p>
        </w:tc>
        <w:tc>
          <w:tcPr>
            <w:tcW w:w="1799" w:type="pct"/>
            <w:gridSpan w:val="2"/>
            <w:vAlign w:val="center"/>
          </w:tcPr>
          <w:p w14:paraId="48A4397D">
            <w:pPr>
              <w:pStyle w:val="1343"/>
            </w:pPr>
            <w:r>
              <w:t>永久占地</w:t>
            </w:r>
          </w:p>
        </w:tc>
        <w:tc>
          <w:tcPr>
            <w:tcW w:w="601" w:type="pct"/>
            <w:vAlign w:val="center"/>
          </w:tcPr>
          <w:p w14:paraId="1985863A">
            <w:pPr>
              <w:pStyle w:val="1343"/>
            </w:pPr>
            <w:r>
              <w:t>m</w:t>
            </w:r>
            <w:r>
              <w:rPr>
                <w:vertAlign w:val="superscript"/>
              </w:rPr>
              <w:t>2</w:t>
            </w:r>
          </w:p>
        </w:tc>
        <w:tc>
          <w:tcPr>
            <w:tcW w:w="676" w:type="pct"/>
            <w:vAlign w:val="center"/>
          </w:tcPr>
          <w:p w14:paraId="45A5DBF1">
            <w:pPr>
              <w:pStyle w:val="1343"/>
            </w:pPr>
            <w:r>
              <w:rPr>
                <w:rFonts w:hint="eastAsia"/>
              </w:rPr>
              <w:t>11294</w:t>
            </w:r>
          </w:p>
        </w:tc>
        <w:tc>
          <w:tcPr>
            <w:tcW w:w="1022" w:type="pct"/>
            <w:vAlign w:val="center"/>
          </w:tcPr>
          <w:p w14:paraId="759AEBC1">
            <w:pPr>
              <w:pStyle w:val="1343"/>
            </w:pPr>
            <w:r>
              <w:rPr>
                <w:rFonts w:hint="eastAsia"/>
              </w:rPr>
              <w:t>耒阳分输站、进站路及标志桩占地</w:t>
            </w:r>
          </w:p>
        </w:tc>
      </w:tr>
      <w:tr w14:paraId="414265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1DBF085E">
            <w:pPr>
              <w:pStyle w:val="1343"/>
            </w:pPr>
          </w:p>
        </w:tc>
        <w:tc>
          <w:tcPr>
            <w:tcW w:w="601" w:type="pct"/>
            <w:gridSpan w:val="2"/>
            <w:vMerge w:val="continue"/>
            <w:vAlign w:val="center"/>
          </w:tcPr>
          <w:p w14:paraId="65DBC021">
            <w:pPr>
              <w:pStyle w:val="1343"/>
            </w:pPr>
          </w:p>
        </w:tc>
        <w:tc>
          <w:tcPr>
            <w:tcW w:w="1799" w:type="pct"/>
            <w:gridSpan w:val="2"/>
            <w:vAlign w:val="center"/>
          </w:tcPr>
          <w:p w14:paraId="36C8C8D8">
            <w:pPr>
              <w:pStyle w:val="1343"/>
            </w:pPr>
            <w:r>
              <w:t>临时占地</w:t>
            </w:r>
          </w:p>
        </w:tc>
        <w:tc>
          <w:tcPr>
            <w:tcW w:w="601" w:type="pct"/>
            <w:vAlign w:val="center"/>
          </w:tcPr>
          <w:p w14:paraId="2D7FCDA9">
            <w:pPr>
              <w:pStyle w:val="1343"/>
            </w:pPr>
            <w:r>
              <w:t>m</w:t>
            </w:r>
            <w:r>
              <w:rPr>
                <w:vertAlign w:val="superscript"/>
              </w:rPr>
              <w:t>2</w:t>
            </w:r>
          </w:p>
        </w:tc>
        <w:tc>
          <w:tcPr>
            <w:tcW w:w="676" w:type="pct"/>
            <w:vAlign w:val="center"/>
          </w:tcPr>
          <w:p w14:paraId="7C4DFC05">
            <w:pPr>
              <w:pStyle w:val="1343"/>
            </w:pPr>
            <w:r>
              <w:rPr>
                <w:rFonts w:hint="eastAsia"/>
              </w:rPr>
              <w:t>9760</w:t>
            </w:r>
          </w:p>
        </w:tc>
        <w:tc>
          <w:tcPr>
            <w:tcW w:w="1022" w:type="pct"/>
            <w:vAlign w:val="center"/>
          </w:tcPr>
          <w:p w14:paraId="5A3D54D1">
            <w:pPr>
              <w:pStyle w:val="1343"/>
            </w:pPr>
            <w:r>
              <w:rPr>
                <w:rFonts w:hint="eastAsia"/>
              </w:rPr>
              <w:t>施工作业带、堆管场占地</w:t>
            </w:r>
          </w:p>
        </w:tc>
      </w:tr>
      <w:tr w14:paraId="5FCEA3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100D2F3A">
            <w:pPr>
              <w:pStyle w:val="1343"/>
            </w:pPr>
          </w:p>
        </w:tc>
        <w:tc>
          <w:tcPr>
            <w:tcW w:w="601" w:type="pct"/>
            <w:gridSpan w:val="2"/>
            <w:vAlign w:val="center"/>
          </w:tcPr>
          <w:p w14:paraId="5641E62F">
            <w:pPr>
              <w:pStyle w:val="1343"/>
            </w:pPr>
            <w:r>
              <w:rPr>
                <w:rFonts w:hint="eastAsia"/>
              </w:rPr>
              <w:t>自动控制</w:t>
            </w:r>
          </w:p>
        </w:tc>
        <w:tc>
          <w:tcPr>
            <w:tcW w:w="3076" w:type="pct"/>
            <w:gridSpan w:val="4"/>
            <w:vAlign w:val="center"/>
          </w:tcPr>
          <w:p w14:paraId="4B998851">
            <w:pPr>
              <w:pStyle w:val="1343"/>
              <w:jc w:val="both"/>
            </w:pPr>
            <w:r>
              <w:rPr>
                <w:rFonts w:hint="eastAsia"/>
              </w:rPr>
              <w:t>在耒阳分输站内设SCS系统，监控数据经上游已建光通信链路接入新建管道光通信网络，上传至北京调控中心和廊坊备用调控中心。SCADA系统对全线各站场及阀室进行监控、监视、调度和管理</w:t>
            </w:r>
          </w:p>
        </w:tc>
        <w:tc>
          <w:tcPr>
            <w:tcW w:w="1022" w:type="pct"/>
            <w:vAlign w:val="center"/>
          </w:tcPr>
          <w:p w14:paraId="66253D29">
            <w:pPr>
              <w:pStyle w:val="1343"/>
            </w:pPr>
            <w:r>
              <w:rPr>
                <w:rFonts w:hint="eastAsia"/>
              </w:rPr>
              <w:t>/</w:t>
            </w:r>
          </w:p>
        </w:tc>
      </w:tr>
      <w:tr w14:paraId="04912F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75667475">
            <w:pPr>
              <w:pStyle w:val="1343"/>
            </w:pPr>
          </w:p>
        </w:tc>
        <w:tc>
          <w:tcPr>
            <w:tcW w:w="601" w:type="pct"/>
            <w:gridSpan w:val="2"/>
            <w:vAlign w:val="center"/>
          </w:tcPr>
          <w:p w14:paraId="1979CF30">
            <w:pPr>
              <w:pStyle w:val="1343"/>
            </w:pPr>
            <w:r>
              <w:rPr>
                <w:rFonts w:hint="eastAsia"/>
              </w:rPr>
              <w:t>供配电</w:t>
            </w:r>
          </w:p>
        </w:tc>
        <w:tc>
          <w:tcPr>
            <w:tcW w:w="3076" w:type="pct"/>
            <w:gridSpan w:val="4"/>
            <w:vAlign w:val="center"/>
          </w:tcPr>
          <w:p w14:paraId="2F12012B">
            <w:pPr>
              <w:pStyle w:val="1343"/>
              <w:jc w:val="both"/>
            </w:pPr>
            <w:r>
              <w:t>28号阀室用电依托原有阀室PLC供电，不新增供配电设施。</w:t>
            </w:r>
          </w:p>
          <w:p w14:paraId="5D9FC857">
            <w:pPr>
              <w:pStyle w:val="1343"/>
              <w:jc w:val="both"/>
            </w:pPr>
            <w:r>
              <w:t>耒阳分输站采用一回10kV外电电源作为主电源（变压器容量及工程负荷容量为160kVA/97.9kW），建设2km架空线路和1台杆上变，自备一台柴油发电机组作为备用电源（容量及工程负荷为150kW/128.5kW）。</w:t>
            </w:r>
          </w:p>
        </w:tc>
        <w:tc>
          <w:tcPr>
            <w:tcW w:w="1022" w:type="pct"/>
            <w:vAlign w:val="center"/>
          </w:tcPr>
          <w:p w14:paraId="7C0F9EF9">
            <w:pPr>
              <w:pStyle w:val="1343"/>
            </w:pPr>
            <w:r>
              <w:rPr>
                <w:rFonts w:hint="eastAsia"/>
              </w:rPr>
              <w:t>/</w:t>
            </w:r>
          </w:p>
        </w:tc>
      </w:tr>
      <w:tr w14:paraId="013EA1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5AA062DD">
            <w:pPr>
              <w:pStyle w:val="1343"/>
            </w:pPr>
          </w:p>
        </w:tc>
        <w:tc>
          <w:tcPr>
            <w:tcW w:w="601" w:type="pct"/>
            <w:gridSpan w:val="2"/>
            <w:vAlign w:val="center"/>
          </w:tcPr>
          <w:p w14:paraId="6D5426D6">
            <w:pPr>
              <w:pStyle w:val="1343"/>
            </w:pPr>
            <w:r>
              <w:rPr>
                <w:rFonts w:hint="eastAsia"/>
              </w:rPr>
              <w:t>消防</w:t>
            </w:r>
          </w:p>
        </w:tc>
        <w:tc>
          <w:tcPr>
            <w:tcW w:w="3076" w:type="pct"/>
            <w:gridSpan w:val="4"/>
            <w:vAlign w:val="center"/>
          </w:tcPr>
          <w:p w14:paraId="1F6ABF7D">
            <w:pPr>
              <w:pStyle w:val="1343"/>
              <w:jc w:val="both"/>
            </w:pPr>
            <w:r>
              <w:t>28号阀室消防设施依托原有设施。新建得耒阳分输站配置磷酸铵盐干粉灭火器</w:t>
            </w:r>
            <w:r>
              <w:rPr>
                <w:rFonts w:hint="eastAsia"/>
              </w:rPr>
              <w:t>和二氧化碳灭火器26具</w:t>
            </w:r>
          </w:p>
        </w:tc>
        <w:tc>
          <w:tcPr>
            <w:tcW w:w="1022" w:type="pct"/>
            <w:vAlign w:val="center"/>
          </w:tcPr>
          <w:p w14:paraId="47DDE6E3">
            <w:pPr>
              <w:pStyle w:val="1343"/>
            </w:pPr>
            <w:r>
              <w:rPr>
                <w:rFonts w:hint="eastAsia"/>
              </w:rPr>
              <w:t>/</w:t>
            </w:r>
          </w:p>
        </w:tc>
      </w:tr>
      <w:tr w14:paraId="472B71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restart"/>
            <w:vAlign w:val="center"/>
          </w:tcPr>
          <w:p w14:paraId="32114753">
            <w:pPr>
              <w:pStyle w:val="1343"/>
            </w:pPr>
            <w:r>
              <w:t>环保工程</w:t>
            </w:r>
          </w:p>
        </w:tc>
        <w:tc>
          <w:tcPr>
            <w:tcW w:w="227" w:type="pct"/>
            <w:vMerge w:val="restart"/>
            <w:vAlign w:val="center"/>
          </w:tcPr>
          <w:p w14:paraId="0205BBA1">
            <w:pPr>
              <w:pStyle w:val="1343"/>
            </w:pPr>
            <w:r>
              <w:t>施工期</w:t>
            </w:r>
          </w:p>
        </w:tc>
        <w:tc>
          <w:tcPr>
            <w:tcW w:w="373" w:type="pct"/>
            <w:vMerge w:val="restart"/>
            <w:vAlign w:val="center"/>
          </w:tcPr>
          <w:p w14:paraId="7B463D6C">
            <w:pPr>
              <w:pStyle w:val="1343"/>
            </w:pPr>
            <w:r>
              <w:t>废水</w:t>
            </w:r>
          </w:p>
        </w:tc>
        <w:tc>
          <w:tcPr>
            <w:tcW w:w="3076" w:type="pct"/>
            <w:gridSpan w:val="4"/>
            <w:vAlign w:val="center"/>
          </w:tcPr>
          <w:p w14:paraId="2514AFBD">
            <w:pPr>
              <w:pStyle w:val="1343"/>
              <w:jc w:val="left"/>
            </w:pPr>
            <w:r>
              <w:rPr>
                <w:rFonts w:hint="eastAsia"/>
              </w:rPr>
              <w:t>不设施工营地，依托沿线民房，</w:t>
            </w:r>
            <w:r>
              <w:t>施工生活污水</w:t>
            </w:r>
            <w:r>
              <w:rPr>
                <w:rFonts w:hint="eastAsia"/>
              </w:rPr>
              <w:t>排入当地农村现有设施处理</w:t>
            </w:r>
          </w:p>
        </w:tc>
        <w:tc>
          <w:tcPr>
            <w:tcW w:w="1022" w:type="pct"/>
            <w:vAlign w:val="center"/>
          </w:tcPr>
          <w:p w14:paraId="77ABEBC5">
            <w:pPr>
              <w:pStyle w:val="1343"/>
            </w:pPr>
            <w:r>
              <w:rPr>
                <w:rFonts w:hint="eastAsia"/>
              </w:rPr>
              <w:t>/</w:t>
            </w:r>
          </w:p>
        </w:tc>
      </w:tr>
      <w:tr w14:paraId="4058EF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3F0189ED">
            <w:pPr>
              <w:pStyle w:val="1343"/>
            </w:pPr>
          </w:p>
        </w:tc>
        <w:tc>
          <w:tcPr>
            <w:tcW w:w="227" w:type="pct"/>
            <w:vMerge w:val="continue"/>
            <w:vAlign w:val="center"/>
          </w:tcPr>
          <w:p w14:paraId="718711E1">
            <w:pPr>
              <w:pStyle w:val="1343"/>
            </w:pPr>
          </w:p>
        </w:tc>
        <w:tc>
          <w:tcPr>
            <w:tcW w:w="373" w:type="pct"/>
            <w:vMerge w:val="continue"/>
            <w:vAlign w:val="center"/>
          </w:tcPr>
          <w:p w14:paraId="70BE29C4">
            <w:pPr>
              <w:pStyle w:val="1343"/>
            </w:pPr>
          </w:p>
        </w:tc>
        <w:tc>
          <w:tcPr>
            <w:tcW w:w="3076" w:type="pct"/>
            <w:gridSpan w:val="4"/>
            <w:vAlign w:val="center"/>
          </w:tcPr>
          <w:p w14:paraId="60C592D2">
            <w:pPr>
              <w:pStyle w:val="1343"/>
              <w:jc w:val="left"/>
            </w:pPr>
            <w:r>
              <w:rPr>
                <w:rFonts w:hint="eastAsia"/>
              </w:rPr>
              <w:t>清管</w:t>
            </w:r>
            <w:r>
              <w:t>试压排水</w:t>
            </w:r>
            <w:r>
              <w:rPr>
                <w:rFonts w:hint="eastAsia"/>
              </w:rPr>
              <w:t>经过滤</w:t>
            </w:r>
            <w:r>
              <w:t>处理后回用于农田灌溉或道路洒水等</w:t>
            </w:r>
          </w:p>
        </w:tc>
        <w:tc>
          <w:tcPr>
            <w:tcW w:w="1022" w:type="pct"/>
            <w:vAlign w:val="center"/>
          </w:tcPr>
          <w:p w14:paraId="70AFE8DF">
            <w:pPr>
              <w:pStyle w:val="1343"/>
            </w:pPr>
            <w:r>
              <w:rPr>
                <w:rFonts w:hint="eastAsia"/>
              </w:rPr>
              <w:t>/</w:t>
            </w:r>
          </w:p>
        </w:tc>
      </w:tr>
      <w:tr w14:paraId="23DDE1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508DCADF">
            <w:pPr>
              <w:pStyle w:val="1343"/>
            </w:pPr>
          </w:p>
        </w:tc>
        <w:tc>
          <w:tcPr>
            <w:tcW w:w="227" w:type="pct"/>
            <w:vMerge w:val="continue"/>
            <w:vAlign w:val="center"/>
          </w:tcPr>
          <w:p w14:paraId="57B4D892">
            <w:pPr>
              <w:pStyle w:val="1343"/>
            </w:pPr>
          </w:p>
        </w:tc>
        <w:tc>
          <w:tcPr>
            <w:tcW w:w="373" w:type="pct"/>
            <w:vMerge w:val="restart"/>
            <w:vAlign w:val="center"/>
          </w:tcPr>
          <w:p w14:paraId="7E48F994">
            <w:pPr>
              <w:pStyle w:val="1343"/>
            </w:pPr>
            <w:r>
              <w:t>废气</w:t>
            </w:r>
          </w:p>
        </w:tc>
        <w:tc>
          <w:tcPr>
            <w:tcW w:w="3076" w:type="pct"/>
            <w:gridSpan w:val="4"/>
            <w:vAlign w:val="center"/>
          </w:tcPr>
          <w:p w14:paraId="24884F24">
            <w:pPr>
              <w:pStyle w:val="1343"/>
              <w:jc w:val="left"/>
            </w:pPr>
            <w:r>
              <w:t>在管道沿线距离村庄较近的地段施工时，采取洒水、围挡等降尘措施</w:t>
            </w:r>
          </w:p>
        </w:tc>
        <w:tc>
          <w:tcPr>
            <w:tcW w:w="1022" w:type="pct"/>
            <w:vAlign w:val="center"/>
          </w:tcPr>
          <w:p w14:paraId="03EF3E5B">
            <w:pPr>
              <w:pStyle w:val="1343"/>
            </w:pPr>
            <w:r>
              <w:rPr>
                <w:rFonts w:hint="eastAsia"/>
              </w:rPr>
              <w:t>/</w:t>
            </w:r>
          </w:p>
        </w:tc>
      </w:tr>
      <w:tr w14:paraId="179265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3DA6AA60">
            <w:pPr>
              <w:pStyle w:val="1343"/>
            </w:pPr>
          </w:p>
        </w:tc>
        <w:tc>
          <w:tcPr>
            <w:tcW w:w="227" w:type="pct"/>
            <w:vMerge w:val="continue"/>
            <w:vAlign w:val="center"/>
          </w:tcPr>
          <w:p w14:paraId="7CCD7891">
            <w:pPr>
              <w:pStyle w:val="1343"/>
            </w:pPr>
          </w:p>
        </w:tc>
        <w:tc>
          <w:tcPr>
            <w:tcW w:w="373" w:type="pct"/>
            <w:vMerge w:val="continue"/>
            <w:vAlign w:val="center"/>
          </w:tcPr>
          <w:p w14:paraId="4DE4AF46">
            <w:pPr>
              <w:pStyle w:val="1343"/>
            </w:pPr>
          </w:p>
        </w:tc>
        <w:tc>
          <w:tcPr>
            <w:tcW w:w="3076" w:type="pct"/>
            <w:gridSpan w:val="4"/>
            <w:vAlign w:val="center"/>
          </w:tcPr>
          <w:p w14:paraId="6AF0F5B3">
            <w:pPr>
              <w:pStyle w:val="1343"/>
              <w:jc w:val="left"/>
            </w:pPr>
            <w:r>
              <w:t>施工机械采用合格优质油品，定期维护使机械处于良好运转状态</w:t>
            </w:r>
          </w:p>
        </w:tc>
        <w:tc>
          <w:tcPr>
            <w:tcW w:w="1022" w:type="pct"/>
            <w:vAlign w:val="center"/>
          </w:tcPr>
          <w:p w14:paraId="3A0E2639">
            <w:pPr>
              <w:pStyle w:val="1343"/>
            </w:pPr>
            <w:r>
              <w:rPr>
                <w:rFonts w:hint="eastAsia"/>
              </w:rPr>
              <w:t>/</w:t>
            </w:r>
          </w:p>
        </w:tc>
      </w:tr>
      <w:tr w14:paraId="7A1433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019C04A6">
            <w:pPr>
              <w:pStyle w:val="1343"/>
            </w:pPr>
          </w:p>
        </w:tc>
        <w:tc>
          <w:tcPr>
            <w:tcW w:w="227" w:type="pct"/>
            <w:vMerge w:val="continue"/>
            <w:vAlign w:val="center"/>
          </w:tcPr>
          <w:p w14:paraId="146E00FF">
            <w:pPr>
              <w:pStyle w:val="1343"/>
            </w:pPr>
          </w:p>
        </w:tc>
        <w:tc>
          <w:tcPr>
            <w:tcW w:w="373" w:type="pct"/>
            <w:vAlign w:val="center"/>
          </w:tcPr>
          <w:p w14:paraId="5622EA08">
            <w:pPr>
              <w:pStyle w:val="1343"/>
            </w:pPr>
            <w:r>
              <w:t>噪声</w:t>
            </w:r>
          </w:p>
        </w:tc>
        <w:tc>
          <w:tcPr>
            <w:tcW w:w="3076" w:type="pct"/>
            <w:gridSpan w:val="4"/>
            <w:vAlign w:val="center"/>
          </w:tcPr>
          <w:p w14:paraId="24F06728">
            <w:pPr>
              <w:pStyle w:val="1343"/>
              <w:jc w:val="left"/>
            </w:pPr>
            <w:r>
              <w:t>选用低噪声的施工机械和工艺，振动较大的固定机械设备加装减振机座，同时加强各类施工设备的维护和保养；尽量避免夜间作业，以防噪声扰民</w:t>
            </w:r>
          </w:p>
        </w:tc>
        <w:tc>
          <w:tcPr>
            <w:tcW w:w="1022" w:type="pct"/>
            <w:vAlign w:val="center"/>
          </w:tcPr>
          <w:p w14:paraId="5EAECAFA">
            <w:pPr>
              <w:pStyle w:val="1343"/>
            </w:pPr>
            <w:r>
              <w:rPr>
                <w:rFonts w:hint="eastAsia"/>
              </w:rPr>
              <w:t>/</w:t>
            </w:r>
          </w:p>
        </w:tc>
      </w:tr>
      <w:tr w14:paraId="7DC331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76439F96">
            <w:pPr>
              <w:pStyle w:val="1343"/>
            </w:pPr>
          </w:p>
        </w:tc>
        <w:tc>
          <w:tcPr>
            <w:tcW w:w="227" w:type="pct"/>
            <w:vMerge w:val="continue"/>
            <w:vAlign w:val="center"/>
          </w:tcPr>
          <w:p w14:paraId="2B2C3FAF">
            <w:pPr>
              <w:pStyle w:val="1343"/>
            </w:pPr>
          </w:p>
        </w:tc>
        <w:tc>
          <w:tcPr>
            <w:tcW w:w="373" w:type="pct"/>
            <w:vMerge w:val="restart"/>
            <w:vAlign w:val="center"/>
          </w:tcPr>
          <w:p w14:paraId="3CC89920">
            <w:pPr>
              <w:pStyle w:val="1343"/>
            </w:pPr>
            <w:r>
              <w:t>固体废物</w:t>
            </w:r>
          </w:p>
        </w:tc>
        <w:tc>
          <w:tcPr>
            <w:tcW w:w="3076" w:type="pct"/>
            <w:gridSpan w:val="4"/>
            <w:vAlign w:val="center"/>
          </w:tcPr>
          <w:p w14:paraId="709C7BC4">
            <w:pPr>
              <w:pStyle w:val="1343"/>
              <w:jc w:val="left"/>
            </w:pPr>
            <w:r>
              <w:t>施工废料部分回收利用，剩余废料交由工业废物回收单位处置</w:t>
            </w:r>
          </w:p>
        </w:tc>
        <w:tc>
          <w:tcPr>
            <w:tcW w:w="1022" w:type="pct"/>
            <w:vAlign w:val="center"/>
          </w:tcPr>
          <w:p w14:paraId="73C5C49B">
            <w:pPr>
              <w:pStyle w:val="1343"/>
            </w:pPr>
            <w:r>
              <w:rPr>
                <w:rFonts w:hint="eastAsia"/>
              </w:rPr>
              <w:t>/</w:t>
            </w:r>
          </w:p>
        </w:tc>
      </w:tr>
      <w:tr w14:paraId="6B3AAD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3056BBD1">
            <w:pPr>
              <w:pStyle w:val="1343"/>
            </w:pPr>
          </w:p>
        </w:tc>
        <w:tc>
          <w:tcPr>
            <w:tcW w:w="227" w:type="pct"/>
            <w:vMerge w:val="continue"/>
            <w:vAlign w:val="center"/>
          </w:tcPr>
          <w:p w14:paraId="1F4ED9B3">
            <w:pPr>
              <w:pStyle w:val="1343"/>
            </w:pPr>
          </w:p>
        </w:tc>
        <w:tc>
          <w:tcPr>
            <w:tcW w:w="373" w:type="pct"/>
            <w:vMerge w:val="continue"/>
            <w:vAlign w:val="center"/>
          </w:tcPr>
          <w:p w14:paraId="72DC63E8">
            <w:pPr>
              <w:pStyle w:val="1343"/>
            </w:pPr>
          </w:p>
        </w:tc>
        <w:tc>
          <w:tcPr>
            <w:tcW w:w="3076" w:type="pct"/>
            <w:gridSpan w:val="4"/>
            <w:vAlign w:val="center"/>
          </w:tcPr>
          <w:p w14:paraId="0C935C13">
            <w:pPr>
              <w:pStyle w:val="1343"/>
              <w:jc w:val="left"/>
            </w:pPr>
            <w:r>
              <w:rPr>
                <w:rFonts w:hint="eastAsia"/>
              </w:rPr>
              <w:t>清管废渣产生量较少，</w:t>
            </w:r>
            <w:r>
              <w:t>委托环卫部门处理</w:t>
            </w:r>
          </w:p>
        </w:tc>
        <w:tc>
          <w:tcPr>
            <w:tcW w:w="1022" w:type="pct"/>
            <w:vAlign w:val="center"/>
          </w:tcPr>
          <w:p w14:paraId="22174875">
            <w:pPr>
              <w:pStyle w:val="1343"/>
            </w:pPr>
            <w:r>
              <w:rPr>
                <w:rFonts w:hint="eastAsia"/>
              </w:rPr>
              <w:t>/</w:t>
            </w:r>
          </w:p>
        </w:tc>
      </w:tr>
      <w:tr w14:paraId="3BD283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278FC2FE">
            <w:pPr>
              <w:pStyle w:val="1343"/>
            </w:pPr>
          </w:p>
        </w:tc>
        <w:tc>
          <w:tcPr>
            <w:tcW w:w="227" w:type="pct"/>
            <w:vMerge w:val="continue"/>
            <w:vAlign w:val="center"/>
          </w:tcPr>
          <w:p w14:paraId="5E548797">
            <w:pPr>
              <w:pStyle w:val="1343"/>
            </w:pPr>
          </w:p>
        </w:tc>
        <w:tc>
          <w:tcPr>
            <w:tcW w:w="373" w:type="pct"/>
            <w:vMerge w:val="continue"/>
            <w:vAlign w:val="center"/>
          </w:tcPr>
          <w:p w14:paraId="50217995">
            <w:pPr>
              <w:pStyle w:val="1343"/>
            </w:pPr>
          </w:p>
        </w:tc>
        <w:tc>
          <w:tcPr>
            <w:tcW w:w="3076" w:type="pct"/>
            <w:gridSpan w:val="4"/>
            <w:vAlign w:val="center"/>
          </w:tcPr>
          <w:p w14:paraId="249F4613">
            <w:pPr>
              <w:pStyle w:val="1343"/>
              <w:jc w:val="left"/>
            </w:pPr>
            <w:r>
              <w:rPr>
                <w:rFonts w:hint="eastAsia"/>
              </w:rPr>
              <w:t>建筑垃圾清运至当地政府指定建筑垃圾消纳场进行处理</w:t>
            </w:r>
          </w:p>
        </w:tc>
        <w:tc>
          <w:tcPr>
            <w:tcW w:w="1022" w:type="pct"/>
            <w:vAlign w:val="center"/>
          </w:tcPr>
          <w:p w14:paraId="79453966">
            <w:pPr>
              <w:pStyle w:val="1343"/>
            </w:pPr>
            <w:r>
              <w:rPr>
                <w:rFonts w:hint="eastAsia"/>
              </w:rPr>
              <w:t>/</w:t>
            </w:r>
          </w:p>
        </w:tc>
      </w:tr>
      <w:tr w14:paraId="3AD86F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3A3E595F">
            <w:pPr>
              <w:pStyle w:val="1343"/>
            </w:pPr>
          </w:p>
        </w:tc>
        <w:tc>
          <w:tcPr>
            <w:tcW w:w="227" w:type="pct"/>
            <w:vMerge w:val="continue"/>
            <w:vAlign w:val="center"/>
          </w:tcPr>
          <w:p w14:paraId="386BC5C8">
            <w:pPr>
              <w:pStyle w:val="1343"/>
            </w:pPr>
          </w:p>
        </w:tc>
        <w:tc>
          <w:tcPr>
            <w:tcW w:w="373" w:type="pct"/>
            <w:vMerge w:val="continue"/>
            <w:vAlign w:val="center"/>
          </w:tcPr>
          <w:p w14:paraId="03BBE734">
            <w:pPr>
              <w:pStyle w:val="1343"/>
            </w:pPr>
          </w:p>
        </w:tc>
        <w:tc>
          <w:tcPr>
            <w:tcW w:w="3076" w:type="pct"/>
            <w:gridSpan w:val="4"/>
            <w:vAlign w:val="center"/>
          </w:tcPr>
          <w:p w14:paraId="7FE433CE">
            <w:pPr>
              <w:pStyle w:val="1343"/>
              <w:jc w:val="left"/>
            </w:pPr>
            <w:r>
              <w:rPr>
                <w:rFonts w:hint="eastAsia"/>
              </w:rPr>
              <w:t>场站涂装产生的废油漆桶委托有资质单位处置</w:t>
            </w:r>
          </w:p>
        </w:tc>
        <w:tc>
          <w:tcPr>
            <w:tcW w:w="1022" w:type="pct"/>
            <w:vAlign w:val="center"/>
          </w:tcPr>
          <w:p w14:paraId="2074B47F">
            <w:pPr>
              <w:pStyle w:val="1343"/>
            </w:pPr>
            <w:r>
              <w:rPr>
                <w:rFonts w:hint="eastAsia"/>
              </w:rPr>
              <w:t>/</w:t>
            </w:r>
          </w:p>
        </w:tc>
      </w:tr>
      <w:tr w14:paraId="6E5168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50BE29FA">
            <w:pPr>
              <w:pStyle w:val="1343"/>
            </w:pPr>
          </w:p>
        </w:tc>
        <w:tc>
          <w:tcPr>
            <w:tcW w:w="227" w:type="pct"/>
            <w:vMerge w:val="continue"/>
            <w:vAlign w:val="center"/>
          </w:tcPr>
          <w:p w14:paraId="36868577">
            <w:pPr>
              <w:pStyle w:val="1343"/>
            </w:pPr>
          </w:p>
        </w:tc>
        <w:tc>
          <w:tcPr>
            <w:tcW w:w="373" w:type="pct"/>
            <w:vMerge w:val="continue"/>
            <w:vAlign w:val="center"/>
          </w:tcPr>
          <w:p w14:paraId="0A9E922C">
            <w:pPr>
              <w:pStyle w:val="1343"/>
            </w:pPr>
          </w:p>
        </w:tc>
        <w:tc>
          <w:tcPr>
            <w:tcW w:w="3076" w:type="pct"/>
            <w:gridSpan w:val="4"/>
            <w:vAlign w:val="center"/>
          </w:tcPr>
          <w:p w14:paraId="5E257D2E">
            <w:pPr>
              <w:pStyle w:val="1343"/>
              <w:jc w:val="left"/>
            </w:pPr>
            <w:r>
              <w:t>生活垃圾分类收集后，委托环卫部门处理</w:t>
            </w:r>
          </w:p>
        </w:tc>
        <w:tc>
          <w:tcPr>
            <w:tcW w:w="1022" w:type="pct"/>
            <w:vAlign w:val="center"/>
          </w:tcPr>
          <w:p w14:paraId="22ED931B">
            <w:pPr>
              <w:pStyle w:val="1343"/>
            </w:pPr>
            <w:r>
              <w:rPr>
                <w:rFonts w:hint="eastAsia"/>
              </w:rPr>
              <w:t>/</w:t>
            </w:r>
          </w:p>
        </w:tc>
      </w:tr>
      <w:tr w14:paraId="0EDE49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36304F3B">
            <w:pPr>
              <w:pStyle w:val="1343"/>
            </w:pPr>
          </w:p>
        </w:tc>
        <w:tc>
          <w:tcPr>
            <w:tcW w:w="227" w:type="pct"/>
            <w:vMerge w:val="continue"/>
            <w:vAlign w:val="center"/>
          </w:tcPr>
          <w:p w14:paraId="3D768680">
            <w:pPr>
              <w:pStyle w:val="1343"/>
            </w:pPr>
          </w:p>
        </w:tc>
        <w:tc>
          <w:tcPr>
            <w:tcW w:w="373" w:type="pct"/>
            <w:vAlign w:val="center"/>
          </w:tcPr>
          <w:p w14:paraId="00514B43">
            <w:pPr>
              <w:pStyle w:val="1343"/>
            </w:pPr>
            <w:r>
              <w:t>水工保护</w:t>
            </w:r>
          </w:p>
        </w:tc>
        <w:tc>
          <w:tcPr>
            <w:tcW w:w="3076" w:type="pct"/>
            <w:gridSpan w:val="4"/>
            <w:vAlign w:val="center"/>
          </w:tcPr>
          <w:p w14:paraId="50A9B8C4">
            <w:pPr>
              <w:pStyle w:val="1343"/>
              <w:jc w:val="left"/>
            </w:pPr>
            <w:r>
              <w:rPr>
                <w:rFonts w:hint="eastAsia"/>
              </w:rPr>
              <w:t>临时挡土坎690m、临时排水沟690m</w:t>
            </w:r>
          </w:p>
        </w:tc>
        <w:tc>
          <w:tcPr>
            <w:tcW w:w="1022" w:type="pct"/>
            <w:vAlign w:val="center"/>
          </w:tcPr>
          <w:p w14:paraId="03C3E20E">
            <w:pPr>
              <w:pStyle w:val="1343"/>
            </w:pPr>
            <w:r>
              <w:rPr>
                <w:rFonts w:hint="eastAsia"/>
              </w:rPr>
              <w:t>/</w:t>
            </w:r>
          </w:p>
        </w:tc>
      </w:tr>
      <w:tr w14:paraId="781FC2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72987CC8">
            <w:pPr>
              <w:pStyle w:val="1343"/>
            </w:pPr>
          </w:p>
        </w:tc>
        <w:tc>
          <w:tcPr>
            <w:tcW w:w="227" w:type="pct"/>
            <w:vMerge w:val="continue"/>
            <w:vAlign w:val="center"/>
          </w:tcPr>
          <w:p w14:paraId="28FFA374">
            <w:pPr>
              <w:pStyle w:val="1343"/>
            </w:pPr>
          </w:p>
        </w:tc>
        <w:tc>
          <w:tcPr>
            <w:tcW w:w="373" w:type="pct"/>
            <w:vAlign w:val="center"/>
          </w:tcPr>
          <w:p w14:paraId="188C8D25">
            <w:pPr>
              <w:pStyle w:val="1343"/>
            </w:pPr>
            <w:r>
              <w:t>生态</w:t>
            </w:r>
          </w:p>
        </w:tc>
        <w:tc>
          <w:tcPr>
            <w:tcW w:w="3076" w:type="pct"/>
            <w:gridSpan w:val="4"/>
            <w:tcBorders>
              <w:right w:val="single" w:color="auto" w:sz="4" w:space="0"/>
            </w:tcBorders>
            <w:vAlign w:val="center"/>
          </w:tcPr>
          <w:p w14:paraId="4B2EBC83">
            <w:pPr>
              <w:pStyle w:val="1343"/>
              <w:jc w:val="left"/>
            </w:pPr>
            <w:r>
              <w:t>施工便道尽量利用既有道路；施工时应尽量缩小施工作业带的宽度；管沟开挖采取分层开挖、分层堆放，分层回填措施；对施工人员开展生态保护宣传教育工作；施工结束后对施工现场进行清理；施工结束后进行植被恢复，预留植被恢复费，专款专用</w:t>
            </w:r>
          </w:p>
        </w:tc>
        <w:tc>
          <w:tcPr>
            <w:tcW w:w="1022" w:type="pct"/>
            <w:tcBorders>
              <w:left w:val="single" w:color="auto" w:sz="4" w:space="0"/>
            </w:tcBorders>
            <w:vAlign w:val="center"/>
          </w:tcPr>
          <w:p w14:paraId="3DAECFEB">
            <w:pPr>
              <w:pStyle w:val="1343"/>
            </w:pPr>
            <w:r>
              <w:rPr>
                <w:rFonts w:hint="eastAsia"/>
              </w:rPr>
              <w:t>/</w:t>
            </w:r>
          </w:p>
        </w:tc>
      </w:tr>
      <w:tr w14:paraId="49B774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3E98335D">
            <w:pPr>
              <w:pStyle w:val="1343"/>
            </w:pPr>
          </w:p>
        </w:tc>
        <w:tc>
          <w:tcPr>
            <w:tcW w:w="227" w:type="pct"/>
            <w:vMerge w:val="restart"/>
            <w:vAlign w:val="center"/>
          </w:tcPr>
          <w:p w14:paraId="1087CF7F">
            <w:pPr>
              <w:pStyle w:val="1343"/>
            </w:pPr>
            <w:r>
              <w:t>运营期</w:t>
            </w:r>
          </w:p>
        </w:tc>
        <w:tc>
          <w:tcPr>
            <w:tcW w:w="373" w:type="pct"/>
            <w:vAlign w:val="center"/>
          </w:tcPr>
          <w:p w14:paraId="3CE17EF4">
            <w:pPr>
              <w:pStyle w:val="1343"/>
            </w:pPr>
            <w:r>
              <w:rPr>
                <w:rFonts w:hint="eastAsia"/>
              </w:rPr>
              <w:t>废水</w:t>
            </w:r>
          </w:p>
        </w:tc>
        <w:tc>
          <w:tcPr>
            <w:tcW w:w="3076" w:type="pct"/>
            <w:gridSpan w:val="4"/>
            <w:vAlign w:val="center"/>
          </w:tcPr>
          <w:p w14:paraId="7F839B2E">
            <w:pPr>
              <w:pStyle w:val="1343"/>
              <w:jc w:val="left"/>
            </w:pPr>
            <w:r>
              <w:rPr>
                <w:rFonts w:hint="eastAsia"/>
              </w:rPr>
              <w:t>本工程改造的28号阀室及新建的耒阳分输站均为无人值守站，耒阳分输站巡检人员会产生少量生活污水，定期委托拉运处理</w:t>
            </w:r>
          </w:p>
        </w:tc>
        <w:tc>
          <w:tcPr>
            <w:tcW w:w="1022" w:type="pct"/>
            <w:vAlign w:val="center"/>
          </w:tcPr>
          <w:p w14:paraId="34826C15">
            <w:pPr>
              <w:pStyle w:val="1343"/>
            </w:pPr>
            <w:r>
              <w:rPr>
                <w:rFonts w:hint="eastAsia"/>
              </w:rPr>
              <w:t>/</w:t>
            </w:r>
          </w:p>
        </w:tc>
      </w:tr>
      <w:tr w14:paraId="3C62F0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2AC680B9">
            <w:pPr>
              <w:pStyle w:val="1343"/>
            </w:pPr>
          </w:p>
        </w:tc>
        <w:tc>
          <w:tcPr>
            <w:tcW w:w="227" w:type="pct"/>
            <w:vMerge w:val="continue"/>
            <w:vAlign w:val="center"/>
          </w:tcPr>
          <w:p w14:paraId="49FF5711">
            <w:pPr>
              <w:pStyle w:val="1343"/>
            </w:pPr>
          </w:p>
        </w:tc>
        <w:tc>
          <w:tcPr>
            <w:tcW w:w="373" w:type="pct"/>
            <w:vAlign w:val="center"/>
          </w:tcPr>
          <w:p w14:paraId="7723828D">
            <w:pPr>
              <w:pStyle w:val="1343"/>
            </w:pPr>
            <w:r>
              <w:t>废气</w:t>
            </w:r>
          </w:p>
        </w:tc>
        <w:tc>
          <w:tcPr>
            <w:tcW w:w="3076" w:type="pct"/>
            <w:gridSpan w:val="4"/>
            <w:vAlign w:val="center"/>
          </w:tcPr>
          <w:p w14:paraId="03035160">
            <w:pPr>
              <w:pStyle w:val="1343"/>
              <w:jc w:val="left"/>
              <w:rPr>
                <w:spacing w:val="-4"/>
              </w:rPr>
            </w:pPr>
            <w:r>
              <w:rPr>
                <w:spacing w:val="-4"/>
              </w:rPr>
              <w:t>在</w:t>
            </w:r>
            <w:r>
              <w:rPr>
                <w:rFonts w:hint="eastAsia"/>
                <w:spacing w:val="-4"/>
              </w:rPr>
              <w:t>天然</w:t>
            </w:r>
            <w:r>
              <w:rPr>
                <w:spacing w:val="-4"/>
              </w:rPr>
              <w:t>气集输过程中，采用密闭流程，减少烃类气体排放；</w:t>
            </w:r>
          </w:p>
          <w:p w14:paraId="2BB49AA4">
            <w:pPr>
              <w:pStyle w:val="1343"/>
              <w:jc w:val="left"/>
            </w:pPr>
            <w:r>
              <w:rPr>
                <w:spacing w:val="-4"/>
              </w:rPr>
              <w:t>对泵、阀门、法兰等易发生泄漏的设备与管线组件，</w:t>
            </w:r>
            <w:r>
              <w:rPr>
                <w:spacing w:val="-5"/>
              </w:rPr>
              <w:t>定期检测、及时修复，防止或减少跑、冒、滴、</w:t>
            </w:r>
            <w:r>
              <w:rPr>
                <w:spacing w:val="-4"/>
              </w:rPr>
              <w:t>漏现象</w:t>
            </w:r>
            <w:r>
              <w:rPr>
                <w:rFonts w:hint="eastAsia"/>
              </w:rPr>
              <w:t>；放空按计划进行，尽量减少放空量</w:t>
            </w:r>
          </w:p>
        </w:tc>
        <w:tc>
          <w:tcPr>
            <w:tcW w:w="1022" w:type="pct"/>
            <w:vAlign w:val="center"/>
          </w:tcPr>
          <w:p w14:paraId="708CAB89">
            <w:pPr>
              <w:pStyle w:val="1343"/>
            </w:pPr>
            <w:r>
              <w:rPr>
                <w:rFonts w:hint="eastAsia"/>
              </w:rPr>
              <w:t>/</w:t>
            </w:r>
          </w:p>
        </w:tc>
      </w:tr>
      <w:tr w14:paraId="222DEC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37A08677">
            <w:pPr>
              <w:pStyle w:val="1343"/>
            </w:pPr>
          </w:p>
        </w:tc>
        <w:tc>
          <w:tcPr>
            <w:tcW w:w="227" w:type="pct"/>
            <w:vMerge w:val="continue"/>
            <w:vAlign w:val="center"/>
          </w:tcPr>
          <w:p w14:paraId="4598A053">
            <w:pPr>
              <w:pStyle w:val="1343"/>
            </w:pPr>
          </w:p>
        </w:tc>
        <w:tc>
          <w:tcPr>
            <w:tcW w:w="373" w:type="pct"/>
            <w:vAlign w:val="center"/>
          </w:tcPr>
          <w:p w14:paraId="099C1287">
            <w:pPr>
              <w:pStyle w:val="1343"/>
            </w:pPr>
            <w:r>
              <w:t>噪声</w:t>
            </w:r>
          </w:p>
        </w:tc>
        <w:tc>
          <w:tcPr>
            <w:tcW w:w="3076" w:type="pct"/>
            <w:gridSpan w:val="4"/>
            <w:vAlign w:val="center"/>
          </w:tcPr>
          <w:p w14:paraId="6F4A34DE">
            <w:pPr>
              <w:pStyle w:val="1343"/>
              <w:jc w:val="left"/>
            </w:pPr>
            <w:r>
              <w:t>设备选型优先选择低噪声设备</w:t>
            </w:r>
            <w:r>
              <w:rPr>
                <w:rFonts w:hint="eastAsia"/>
              </w:rPr>
              <w:t>、</w:t>
            </w:r>
            <w:r>
              <w:rPr>
                <w:spacing w:val="-2"/>
              </w:rPr>
              <w:t>采用</w:t>
            </w:r>
            <w:r>
              <w:rPr>
                <w:rFonts w:hint="eastAsia"/>
                <w:spacing w:val="-2"/>
              </w:rPr>
              <w:t>减振</w:t>
            </w:r>
            <w:r>
              <w:rPr>
                <w:spacing w:val="-2"/>
              </w:rPr>
              <w:t>装置</w:t>
            </w:r>
            <w:r>
              <w:rPr>
                <w:rFonts w:hint="eastAsia"/>
                <w:spacing w:val="-2"/>
              </w:rPr>
              <w:t>等措施</w:t>
            </w:r>
          </w:p>
        </w:tc>
        <w:tc>
          <w:tcPr>
            <w:tcW w:w="1022" w:type="pct"/>
            <w:vAlign w:val="center"/>
          </w:tcPr>
          <w:p w14:paraId="162B5834">
            <w:pPr>
              <w:pStyle w:val="1343"/>
            </w:pPr>
            <w:r>
              <w:rPr>
                <w:rFonts w:hint="eastAsia"/>
              </w:rPr>
              <w:t>/</w:t>
            </w:r>
          </w:p>
        </w:tc>
      </w:tr>
      <w:tr w14:paraId="2711EC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4A4BFC7B">
            <w:pPr>
              <w:pStyle w:val="1343"/>
            </w:pPr>
          </w:p>
        </w:tc>
        <w:tc>
          <w:tcPr>
            <w:tcW w:w="227" w:type="pct"/>
            <w:vMerge w:val="continue"/>
            <w:vAlign w:val="center"/>
          </w:tcPr>
          <w:p w14:paraId="4037B909">
            <w:pPr>
              <w:pStyle w:val="1343"/>
            </w:pPr>
          </w:p>
        </w:tc>
        <w:tc>
          <w:tcPr>
            <w:tcW w:w="373" w:type="pct"/>
            <w:vAlign w:val="center"/>
          </w:tcPr>
          <w:p w14:paraId="1B5FE607">
            <w:pPr>
              <w:pStyle w:val="1343"/>
            </w:pPr>
            <w:r>
              <w:t>固体废物</w:t>
            </w:r>
          </w:p>
        </w:tc>
        <w:tc>
          <w:tcPr>
            <w:tcW w:w="3076" w:type="pct"/>
            <w:gridSpan w:val="4"/>
            <w:vAlign w:val="center"/>
          </w:tcPr>
          <w:p w14:paraId="3AC38932">
            <w:pPr>
              <w:pStyle w:val="1343"/>
              <w:jc w:val="left"/>
            </w:pPr>
            <w:r>
              <w:rPr>
                <w:rFonts w:hint="eastAsia"/>
              </w:rPr>
              <w:t>分离器检修废渣排至站内排污池（容积18m</w:t>
            </w:r>
            <w:r>
              <w:rPr>
                <w:rFonts w:hint="eastAsia"/>
                <w:vertAlign w:val="superscript"/>
              </w:rPr>
              <w:t>3</w:t>
            </w:r>
            <w:r>
              <w:rPr>
                <w:rFonts w:hint="eastAsia"/>
              </w:rPr>
              <w:t>），定期委托有资质单位处理；废滤芯及废铅酸蓄电池暂存于耒阳分输站内危废暂存间（面积11m</w:t>
            </w:r>
            <w:r>
              <w:rPr>
                <w:rFonts w:hint="eastAsia"/>
                <w:vertAlign w:val="superscript"/>
              </w:rPr>
              <w:t>2</w:t>
            </w:r>
            <w:r>
              <w:rPr>
                <w:rFonts w:hint="eastAsia"/>
              </w:rPr>
              <w:t>），委托有资质单位处置</w:t>
            </w:r>
          </w:p>
        </w:tc>
        <w:tc>
          <w:tcPr>
            <w:tcW w:w="1022" w:type="pct"/>
            <w:vAlign w:val="center"/>
          </w:tcPr>
          <w:p w14:paraId="3B2E0EB0">
            <w:pPr>
              <w:pStyle w:val="1343"/>
            </w:pPr>
            <w:r>
              <w:rPr>
                <w:rFonts w:hint="eastAsia"/>
              </w:rPr>
              <w:t>/</w:t>
            </w:r>
          </w:p>
        </w:tc>
      </w:tr>
      <w:tr w14:paraId="7A1791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00" w:type="pct"/>
            <w:vMerge w:val="continue"/>
            <w:vAlign w:val="center"/>
          </w:tcPr>
          <w:p w14:paraId="3D32F3CD">
            <w:pPr>
              <w:pStyle w:val="1343"/>
            </w:pPr>
          </w:p>
        </w:tc>
        <w:tc>
          <w:tcPr>
            <w:tcW w:w="227" w:type="pct"/>
            <w:vMerge w:val="continue"/>
            <w:vAlign w:val="center"/>
          </w:tcPr>
          <w:p w14:paraId="693BBE58">
            <w:pPr>
              <w:pStyle w:val="1343"/>
            </w:pPr>
          </w:p>
        </w:tc>
        <w:tc>
          <w:tcPr>
            <w:tcW w:w="373" w:type="pct"/>
            <w:vAlign w:val="center"/>
          </w:tcPr>
          <w:p w14:paraId="23ACBC51">
            <w:pPr>
              <w:pStyle w:val="1343"/>
            </w:pPr>
            <w:r>
              <w:t>环境风险</w:t>
            </w:r>
          </w:p>
        </w:tc>
        <w:tc>
          <w:tcPr>
            <w:tcW w:w="3076" w:type="pct"/>
            <w:gridSpan w:val="4"/>
            <w:tcBorders>
              <w:right w:val="single" w:color="auto" w:sz="4" w:space="0"/>
            </w:tcBorders>
            <w:vAlign w:val="center"/>
          </w:tcPr>
          <w:p w14:paraId="64A0D92A">
            <w:pPr>
              <w:pStyle w:val="1343"/>
              <w:jc w:val="left"/>
              <w:rPr>
                <w:lang w:bidi="zh-CN"/>
              </w:rPr>
            </w:pPr>
            <w:r>
              <w:rPr>
                <w:lang w:bidi="zh-CN"/>
              </w:rPr>
              <w:t>线路沿线设置标志桩、警示牌，管道上方埋设警示带；采用三层PE防腐和阴极保护联合保护的方案对管道进行保护；选择有丰富经验的施工队伍和优秀的第三方（工程监理）对其施工质量进行监督，减少施工误操作；建立施工质量保证体系，提高施工检验人员的水平，加强检验手段；加强施工人员安全培训，制定施工应急防范措施；进行水压试验，排除更多的存在于焊缝和母材的缺陷，从而增加管道的安全性。</w:t>
            </w:r>
          </w:p>
          <w:p w14:paraId="76D4ECC2">
            <w:pPr>
              <w:pStyle w:val="1343"/>
              <w:jc w:val="left"/>
            </w:pPr>
            <w:r>
              <w:t>严格控制天然气的气质；每3年进行管道壁厚的测量，每半年检查管道安全保护系统；在管道中心线两侧各5m范围内，禁止种植深根植物；定期对管</w:t>
            </w:r>
            <w:r>
              <w:rPr>
                <w:rFonts w:hint="eastAsia"/>
              </w:rPr>
              <w:t>线</w:t>
            </w:r>
            <w:r>
              <w:t>进行维修保养。定期进行埋地管网的检漏工作；定期巡线，提高巡线的有效性；定期对职工开展环境风险和以及环境应急管理宣传和培训；定期组织员工进行专题性培训和应急演练；</w:t>
            </w:r>
            <w:r>
              <w:rPr>
                <w:rFonts w:hint="eastAsia"/>
              </w:rPr>
              <w:t>本工程维修依托湖广输气分公司衡阳维修队；</w:t>
            </w:r>
            <w:r>
              <w:t>建立健全监测制度；对管道附近的居民加强教育，制定宣教方案，宣传贯彻、落实《中华人民共和国石油天然气管道保护法》，防止公众对管道有意或无意的破坏，并随时协助通报沿线有关挖掘作业或意外事故。</w:t>
            </w:r>
          </w:p>
        </w:tc>
        <w:tc>
          <w:tcPr>
            <w:tcW w:w="1022" w:type="pct"/>
            <w:tcBorders>
              <w:left w:val="single" w:color="auto" w:sz="4" w:space="0"/>
            </w:tcBorders>
            <w:vAlign w:val="center"/>
          </w:tcPr>
          <w:p w14:paraId="7813DC7D">
            <w:pPr>
              <w:pStyle w:val="1343"/>
            </w:pPr>
            <w:r>
              <w:rPr>
                <w:rFonts w:hint="eastAsia"/>
              </w:rPr>
              <w:t>/</w:t>
            </w:r>
          </w:p>
        </w:tc>
      </w:tr>
    </w:tbl>
    <w:p w14:paraId="5C31A3ED">
      <w:pPr>
        <w:pStyle w:val="904"/>
        <w:spacing w:before="120" w:beforeLines="50"/>
      </w:pPr>
      <w:bookmarkStart w:id="145" w:name="_Ref74904753"/>
      <w:r>
        <w:t xml:space="preserve">表 </w:t>
      </w:r>
      <w:r>
        <w:fldChar w:fldCharType="begin"/>
      </w:r>
      <w:r>
        <w:instrText xml:space="preserve"> STYLEREF 2 \s </w:instrText>
      </w:r>
      <w:r>
        <w:fldChar w:fldCharType="separate"/>
      </w:r>
      <w:r>
        <w:t>3.</w:t>
      </w:r>
      <w:r>
        <w:rPr>
          <w:rFonts w:hint="eastAsia"/>
        </w:rPr>
        <w:t>3</w:t>
      </w:r>
      <w:r>
        <w:fldChar w:fldCharType="end"/>
      </w:r>
      <w:r>
        <w:noBreakHyphen/>
      </w:r>
      <w:bookmarkEnd w:id="145"/>
      <w:r>
        <w:t>2主要技术经济指标表</w:t>
      </w:r>
    </w:p>
    <w:tbl>
      <w:tblPr>
        <w:tblStyle w:val="139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1652"/>
        <w:gridCol w:w="1489"/>
        <w:gridCol w:w="1801"/>
        <w:gridCol w:w="1437"/>
        <w:gridCol w:w="2573"/>
      </w:tblGrid>
      <w:tr w14:paraId="7A70F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9" w:type="pct"/>
            <w:vAlign w:val="center"/>
          </w:tcPr>
          <w:p w14:paraId="74CF4CAC">
            <w:pPr>
              <w:pStyle w:val="1343"/>
            </w:pPr>
            <w:r>
              <w:t>序号</w:t>
            </w:r>
          </w:p>
        </w:tc>
        <w:tc>
          <w:tcPr>
            <w:tcW w:w="1624" w:type="pct"/>
            <w:gridSpan w:val="2"/>
            <w:vAlign w:val="center"/>
          </w:tcPr>
          <w:p w14:paraId="4EE3B337">
            <w:pPr>
              <w:pStyle w:val="1343"/>
            </w:pPr>
            <w:r>
              <w:t>项  目</w:t>
            </w:r>
          </w:p>
        </w:tc>
        <w:tc>
          <w:tcPr>
            <w:tcW w:w="931" w:type="pct"/>
            <w:vAlign w:val="center"/>
          </w:tcPr>
          <w:p w14:paraId="026F7979">
            <w:pPr>
              <w:pStyle w:val="1343"/>
            </w:pPr>
            <w:r>
              <w:t>单位</w:t>
            </w:r>
          </w:p>
        </w:tc>
        <w:tc>
          <w:tcPr>
            <w:tcW w:w="743" w:type="pct"/>
            <w:vAlign w:val="center"/>
          </w:tcPr>
          <w:p w14:paraId="573711D0">
            <w:pPr>
              <w:pStyle w:val="1343"/>
            </w:pPr>
            <w:r>
              <w:t>数量</w:t>
            </w:r>
          </w:p>
        </w:tc>
        <w:tc>
          <w:tcPr>
            <w:tcW w:w="1330" w:type="pct"/>
            <w:vAlign w:val="center"/>
          </w:tcPr>
          <w:p w14:paraId="4DC4D538">
            <w:pPr>
              <w:pStyle w:val="1343"/>
            </w:pPr>
            <w:r>
              <w:t>备注</w:t>
            </w:r>
          </w:p>
        </w:tc>
      </w:tr>
      <w:tr w14:paraId="1E2AC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9" w:type="pct"/>
            <w:vAlign w:val="center"/>
          </w:tcPr>
          <w:p w14:paraId="65E42EE7">
            <w:pPr>
              <w:pStyle w:val="1343"/>
              <w:rPr>
                <w:rFonts w:eastAsia="Times New Roman"/>
              </w:rPr>
            </w:pPr>
            <w:r>
              <w:t>1</w:t>
            </w:r>
          </w:p>
        </w:tc>
        <w:tc>
          <w:tcPr>
            <w:tcW w:w="1624" w:type="pct"/>
            <w:gridSpan w:val="2"/>
            <w:vAlign w:val="center"/>
          </w:tcPr>
          <w:p w14:paraId="01B26BBD">
            <w:pPr>
              <w:pStyle w:val="1343"/>
            </w:pPr>
            <w:r>
              <w:rPr>
                <w:spacing w:val="-1"/>
              </w:rPr>
              <w:t>设计输量</w:t>
            </w:r>
          </w:p>
        </w:tc>
        <w:tc>
          <w:tcPr>
            <w:tcW w:w="931" w:type="pct"/>
            <w:vAlign w:val="center"/>
          </w:tcPr>
          <w:p w14:paraId="73A28BEA">
            <w:pPr>
              <w:pStyle w:val="1343"/>
              <w:rPr>
                <w:rFonts w:eastAsia="Times New Roman"/>
              </w:rPr>
            </w:pPr>
            <w:r>
              <w:t>10</w:t>
            </w:r>
            <w:r>
              <w:rPr>
                <w:position w:val="7"/>
                <w:sz w:val="14"/>
              </w:rPr>
              <w:t>8</w:t>
            </w:r>
            <w:r>
              <w:rPr>
                <w:spacing w:val="-2"/>
              </w:rPr>
              <w:t>m</w:t>
            </w:r>
            <w:r>
              <w:rPr>
                <w:spacing w:val="-2"/>
                <w:position w:val="7"/>
                <w:sz w:val="14"/>
              </w:rPr>
              <w:t>3</w:t>
            </w:r>
            <w:r>
              <w:rPr>
                <w:spacing w:val="-1"/>
              </w:rPr>
              <w:t>/a</w:t>
            </w:r>
          </w:p>
        </w:tc>
        <w:tc>
          <w:tcPr>
            <w:tcW w:w="743" w:type="pct"/>
            <w:vAlign w:val="center"/>
          </w:tcPr>
          <w:p w14:paraId="16A6CA17">
            <w:pPr>
              <w:pStyle w:val="1343"/>
            </w:pPr>
            <w:r>
              <w:rPr>
                <w:rFonts w:hint="eastAsia"/>
              </w:rPr>
              <w:t>4.2</w:t>
            </w:r>
          </w:p>
        </w:tc>
        <w:tc>
          <w:tcPr>
            <w:tcW w:w="1330" w:type="pct"/>
            <w:vAlign w:val="center"/>
          </w:tcPr>
          <w:p w14:paraId="372836E8">
            <w:pPr>
              <w:pStyle w:val="1343"/>
            </w:pPr>
            <w:r>
              <w:rPr>
                <w:rFonts w:hint="eastAsia"/>
              </w:rPr>
              <w:t>/</w:t>
            </w:r>
          </w:p>
        </w:tc>
      </w:tr>
      <w:tr w14:paraId="308E4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9" w:type="pct"/>
            <w:vAlign w:val="center"/>
          </w:tcPr>
          <w:p w14:paraId="310B3667">
            <w:pPr>
              <w:pStyle w:val="1343"/>
              <w:rPr>
                <w:rFonts w:eastAsia="Times New Roman"/>
              </w:rPr>
            </w:pPr>
            <w:r>
              <w:t>2</w:t>
            </w:r>
          </w:p>
        </w:tc>
        <w:tc>
          <w:tcPr>
            <w:tcW w:w="1624" w:type="pct"/>
            <w:gridSpan w:val="2"/>
            <w:vAlign w:val="center"/>
          </w:tcPr>
          <w:p w14:paraId="5AAF2D8D">
            <w:pPr>
              <w:pStyle w:val="1343"/>
            </w:pPr>
            <w:r>
              <w:rPr>
                <w:spacing w:val="-1"/>
              </w:rPr>
              <w:t>设计压力</w:t>
            </w:r>
          </w:p>
        </w:tc>
        <w:tc>
          <w:tcPr>
            <w:tcW w:w="931" w:type="pct"/>
            <w:vAlign w:val="center"/>
          </w:tcPr>
          <w:p w14:paraId="31470A56">
            <w:pPr>
              <w:pStyle w:val="1343"/>
              <w:rPr>
                <w:rFonts w:eastAsia="Times New Roman"/>
              </w:rPr>
            </w:pPr>
            <w:r>
              <w:rPr>
                <w:spacing w:val="-1"/>
              </w:rPr>
              <w:t>MPa</w:t>
            </w:r>
          </w:p>
        </w:tc>
        <w:tc>
          <w:tcPr>
            <w:tcW w:w="743" w:type="pct"/>
            <w:vAlign w:val="center"/>
          </w:tcPr>
          <w:p w14:paraId="23042BDF">
            <w:pPr>
              <w:pStyle w:val="1343"/>
              <w:rPr>
                <w:rFonts w:eastAsia="Times New Roman"/>
              </w:rPr>
            </w:pPr>
            <w:r>
              <w:t>10</w:t>
            </w:r>
          </w:p>
        </w:tc>
        <w:tc>
          <w:tcPr>
            <w:tcW w:w="1330" w:type="pct"/>
            <w:vAlign w:val="center"/>
          </w:tcPr>
          <w:p w14:paraId="482287DE">
            <w:pPr>
              <w:pStyle w:val="1343"/>
            </w:pPr>
            <w:r>
              <w:rPr>
                <w:rFonts w:hint="eastAsia"/>
              </w:rPr>
              <w:t>/</w:t>
            </w:r>
          </w:p>
        </w:tc>
      </w:tr>
      <w:tr w14:paraId="6A87D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9" w:type="pct"/>
            <w:vAlign w:val="center"/>
          </w:tcPr>
          <w:p w14:paraId="5FA50D03">
            <w:pPr>
              <w:pStyle w:val="1343"/>
              <w:rPr>
                <w:rFonts w:eastAsia="Times New Roman"/>
              </w:rPr>
            </w:pPr>
            <w:r>
              <w:t>3</w:t>
            </w:r>
          </w:p>
        </w:tc>
        <w:tc>
          <w:tcPr>
            <w:tcW w:w="1624" w:type="pct"/>
            <w:gridSpan w:val="2"/>
            <w:vAlign w:val="center"/>
          </w:tcPr>
          <w:p w14:paraId="66B7245A">
            <w:pPr>
              <w:pStyle w:val="1343"/>
            </w:pPr>
            <w:r>
              <w:rPr>
                <w:spacing w:val="-1"/>
              </w:rPr>
              <w:t>钢材用量</w:t>
            </w:r>
          </w:p>
        </w:tc>
        <w:tc>
          <w:tcPr>
            <w:tcW w:w="931" w:type="pct"/>
            <w:vAlign w:val="center"/>
          </w:tcPr>
          <w:p w14:paraId="03E2BB02">
            <w:pPr>
              <w:pStyle w:val="1343"/>
              <w:rPr>
                <w:rFonts w:eastAsia="Times New Roman"/>
              </w:rPr>
            </w:pPr>
            <w:r>
              <w:t>t</w:t>
            </w:r>
          </w:p>
        </w:tc>
        <w:tc>
          <w:tcPr>
            <w:tcW w:w="743" w:type="pct"/>
            <w:vAlign w:val="center"/>
          </w:tcPr>
          <w:p w14:paraId="5028D7C8">
            <w:pPr>
              <w:pStyle w:val="1343"/>
            </w:pPr>
            <w:r>
              <w:rPr>
                <w:rFonts w:hint="eastAsia"/>
              </w:rPr>
              <w:t>73.52</w:t>
            </w:r>
          </w:p>
        </w:tc>
        <w:tc>
          <w:tcPr>
            <w:tcW w:w="1330" w:type="pct"/>
            <w:vAlign w:val="center"/>
          </w:tcPr>
          <w:p w14:paraId="510C3D09">
            <w:pPr>
              <w:pStyle w:val="1343"/>
              <w:rPr>
                <w:rFonts w:hint="eastAsia" w:ascii="宋体" w:hAnsi="宋体" w:cs="宋体"/>
              </w:rPr>
            </w:pPr>
            <w:r>
              <w:rPr>
                <w:rFonts w:hint="eastAsia"/>
              </w:rPr>
              <w:t>L415钢级，</w:t>
            </w:r>
            <w:r>
              <w:t>Φ</w:t>
            </w:r>
            <w:r>
              <w:rPr>
                <w:rFonts w:hint="eastAsia"/>
              </w:rPr>
              <w:t>323.9×12.5</w:t>
            </w:r>
          </w:p>
        </w:tc>
      </w:tr>
      <w:tr w14:paraId="1A0FB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9" w:type="pct"/>
            <w:vAlign w:val="center"/>
          </w:tcPr>
          <w:p w14:paraId="10957F45">
            <w:pPr>
              <w:pStyle w:val="1343"/>
            </w:pPr>
            <w:r>
              <w:rPr>
                <w:rFonts w:hint="eastAsia"/>
                <w:spacing w:val="-1"/>
              </w:rPr>
              <w:t>4</w:t>
            </w:r>
          </w:p>
        </w:tc>
        <w:tc>
          <w:tcPr>
            <w:tcW w:w="854" w:type="pct"/>
            <w:vAlign w:val="center"/>
          </w:tcPr>
          <w:p w14:paraId="03E82307">
            <w:pPr>
              <w:pStyle w:val="1343"/>
            </w:pPr>
            <w:r>
              <w:rPr>
                <w:spacing w:val="-1"/>
              </w:rPr>
              <w:t>电力燃料消耗</w:t>
            </w:r>
          </w:p>
        </w:tc>
        <w:tc>
          <w:tcPr>
            <w:tcW w:w="770" w:type="pct"/>
            <w:vAlign w:val="center"/>
          </w:tcPr>
          <w:p w14:paraId="6D937935">
            <w:pPr>
              <w:pStyle w:val="1343"/>
            </w:pPr>
            <w:r>
              <w:t>电力</w:t>
            </w:r>
          </w:p>
        </w:tc>
        <w:tc>
          <w:tcPr>
            <w:tcW w:w="931" w:type="pct"/>
            <w:vAlign w:val="center"/>
          </w:tcPr>
          <w:p w14:paraId="00F35F35">
            <w:pPr>
              <w:pStyle w:val="1343"/>
              <w:rPr>
                <w:rFonts w:eastAsia="Times New Roman"/>
              </w:rPr>
            </w:pPr>
            <w:r>
              <w:rPr>
                <w:spacing w:val="-1"/>
              </w:rPr>
              <w:t>(10</w:t>
            </w:r>
            <w:r>
              <w:rPr>
                <w:spacing w:val="-1"/>
                <w:position w:val="7"/>
                <w:sz w:val="14"/>
              </w:rPr>
              <w:t>4</w:t>
            </w:r>
            <w:r>
              <w:rPr>
                <w:spacing w:val="16"/>
                <w:position w:val="7"/>
                <w:sz w:val="14"/>
              </w:rPr>
              <w:t xml:space="preserve"> </w:t>
            </w:r>
            <w:r>
              <w:rPr>
                <w:spacing w:val="-1"/>
              </w:rPr>
              <w:t>kW·h)/a</w:t>
            </w:r>
          </w:p>
        </w:tc>
        <w:tc>
          <w:tcPr>
            <w:tcW w:w="743" w:type="pct"/>
            <w:vAlign w:val="center"/>
          </w:tcPr>
          <w:p w14:paraId="65913E8A">
            <w:pPr>
              <w:pStyle w:val="1343"/>
            </w:pPr>
            <w:r>
              <w:rPr>
                <w:rFonts w:hint="eastAsia"/>
              </w:rPr>
              <w:t>126.24</w:t>
            </w:r>
          </w:p>
        </w:tc>
        <w:tc>
          <w:tcPr>
            <w:tcW w:w="1330" w:type="pct"/>
            <w:vAlign w:val="center"/>
          </w:tcPr>
          <w:p w14:paraId="33740B50">
            <w:pPr>
              <w:pStyle w:val="1343"/>
            </w:pPr>
            <w:r>
              <w:rPr>
                <w:rFonts w:hint="eastAsia"/>
              </w:rPr>
              <w:t>/</w:t>
            </w:r>
          </w:p>
        </w:tc>
      </w:tr>
      <w:tr w14:paraId="0AA91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9" w:type="pct"/>
            <w:vMerge w:val="restart"/>
            <w:vAlign w:val="center"/>
          </w:tcPr>
          <w:p w14:paraId="58D5B240">
            <w:pPr>
              <w:pStyle w:val="1343"/>
            </w:pPr>
            <w:r>
              <w:rPr>
                <w:rFonts w:hint="eastAsia"/>
                <w:spacing w:val="-1"/>
              </w:rPr>
              <w:t>5</w:t>
            </w:r>
          </w:p>
        </w:tc>
        <w:tc>
          <w:tcPr>
            <w:tcW w:w="854" w:type="pct"/>
            <w:vMerge w:val="restart"/>
            <w:vAlign w:val="center"/>
          </w:tcPr>
          <w:p w14:paraId="1E977284">
            <w:pPr>
              <w:pStyle w:val="1343"/>
            </w:pPr>
            <w:r>
              <w:rPr>
                <w:spacing w:val="-1"/>
              </w:rPr>
              <w:t>用地面积</w:t>
            </w:r>
          </w:p>
        </w:tc>
        <w:tc>
          <w:tcPr>
            <w:tcW w:w="770" w:type="pct"/>
            <w:vAlign w:val="center"/>
          </w:tcPr>
          <w:p w14:paraId="414D33CF">
            <w:pPr>
              <w:pStyle w:val="1343"/>
            </w:pPr>
            <w:r>
              <w:rPr>
                <w:spacing w:val="-1"/>
              </w:rPr>
              <w:t>永久性征地</w:t>
            </w:r>
          </w:p>
        </w:tc>
        <w:tc>
          <w:tcPr>
            <w:tcW w:w="931" w:type="pct"/>
            <w:vAlign w:val="center"/>
          </w:tcPr>
          <w:p w14:paraId="684558CE">
            <w:pPr>
              <w:pStyle w:val="1343"/>
            </w:pPr>
            <w:r>
              <w:rPr>
                <w:spacing w:val="-2"/>
                <w:position w:val="-6"/>
              </w:rPr>
              <w:t>m</w:t>
            </w:r>
            <w:r>
              <w:rPr>
                <w:spacing w:val="-2"/>
                <w:sz w:val="14"/>
              </w:rPr>
              <w:t>2</w:t>
            </w:r>
          </w:p>
        </w:tc>
        <w:tc>
          <w:tcPr>
            <w:tcW w:w="743" w:type="pct"/>
            <w:vAlign w:val="center"/>
          </w:tcPr>
          <w:p w14:paraId="2CAB2EB5">
            <w:pPr>
              <w:pStyle w:val="1343"/>
            </w:pPr>
            <w:r>
              <w:rPr>
                <w:rFonts w:hint="eastAsia"/>
                <w:spacing w:val="-1"/>
              </w:rPr>
              <w:t>11294</w:t>
            </w:r>
          </w:p>
        </w:tc>
        <w:tc>
          <w:tcPr>
            <w:tcW w:w="1330" w:type="pct"/>
            <w:vAlign w:val="center"/>
          </w:tcPr>
          <w:p w14:paraId="5E49FADB">
            <w:pPr>
              <w:pStyle w:val="1343"/>
              <w:rPr>
                <w:spacing w:val="-1"/>
              </w:rPr>
            </w:pPr>
            <w:r>
              <w:rPr>
                <w:spacing w:val="-1"/>
              </w:rPr>
              <w:t>约合</w:t>
            </w:r>
            <w:r>
              <w:rPr>
                <w:rFonts w:hint="eastAsia"/>
                <w:spacing w:val="-1"/>
              </w:rPr>
              <w:t>16.94</w:t>
            </w:r>
            <w:r>
              <w:rPr>
                <w:spacing w:val="-1"/>
              </w:rPr>
              <w:t>亩</w:t>
            </w:r>
          </w:p>
        </w:tc>
      </w:tr>
      <w:tr w14:paraId="23755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9" w:type="pct"/>
            <w:vMerge w:val="continue"/>
            <w:vAlign w:val="center"/>
          </w:tcPr>
          <w:p w14:paraId="54F7A1E6">
            <w:pPr>
              <w:pStyle w:val="1343"/>
              <w:rPr>
                <w:rFonts w:eastAsia="Times New Roman"/>
              </w:rPr>
            </w:pPr>
          </w:p>
        </w:tc>
        <w:tc>
          <w:tcPr>
            <w:tcW w:w="854" w:type="pct"/>
            <w:vMerge w:val="continue"/>
            <w:vAlign w:val="center"/>
          </w:tcPr>
          <w:p w14:paraId="0AFFDAE8">
            <w:pPr>
              <w:pStyle w:val="1343"/>
            </w:pPr>
          </w:p>
        </w:tc>
        <w:tc>
          <w:tcPr>
            <w:tcW w:w="770" w:type="pct"/>
            <w:vAlign w:val="center"/>
          </w:tcPr>
          <w:p w14:paraId="18F5568C">
            <w:pPr>
              <w:pStyle w:val="1343"/>
            </w:pPr>
            <w:r>
              <w:rPr>
                <w:spacing w:val="-1"/>
              </w:rPr>
              <w:t>临时用地</w:t>
            </w:r>
          </w:p>
        </w:tc>
        <w:tc>
          <w:tcPr>
            <w:tcW w:w="931" w:type="pct"/>
            <w:vAlign w:val="center"/>
          </w:tcPr>
          <w:p w14:paraId="0A295945">
            <w:pPr>
              <w:pStyle w:val="1343"/>
              <w:rPr>
                <w:rFonts w:eastAsia="Times New Roman"/>
                <w:sz w:val="14"/>
                <w:szCs w:val="14"/>
              </w:rPr>
            </w:pPr>
            <w:r>
              <w:rPr>
                <w:spacing w:val="-2"/>
                <w:position w:val="-6"/>
              </w:rPr>
              <w:t>m</w:t>
            </w:r>
            <w:r>
              <w:rPr>
                <w:spacing w:val="-2"/>
                <w:sz w:val="14"/>
              </w:rPr>
              <w:t>2</w:t>
            </w:r>
          </w:p>
        </w:tc>
        <w:tc>
          <w:tcPr>
            <w:tcW w:w="743" w:type="pct"/>
            <w:vAlign w:val="center"/>
          </w:tcPr>
          <w:p w14:paraId="6AF6DF7A">
            <w:pPr>
              <w:pStyle w:val="1343"/>
            </w:pPr>
            <w:r>
              <w:rPr>
                <w:rFonts w:hint="eastAsia"/>
              </w:rPr>
              <w:t>9760</w:t>
            </w:r>
          </w:p>
        </w:tc>
        <w:tc>
          <w:tcPr>
            <w:tcW w:w="1330" w:type="pct"/>
            <w:vAlign w:val="center"/>
          </w:tcPr>
          <w:p w14:paraId="5EEFEC40">
            <w:pPr>
              <w:pStyle w:val="1343"/>
              <w:rPr>
                <w:spacing w:val="-1"/>
              </w:rPr>
            </w:pPr>
            <w:r>
              <w:rPr>
                <w:spacing w:val="-1"/>
              </w:rPr>
              <w:t>约合</w:t>
            </w:r>
            <w:r>
              <w:rPr>
                <w:rFonts w:hint="eastAsia"/>
                <w:spacing w:val="-1"/>
              </w:rPr>
              <w:t>14.64</w:t>
            </w:r>
            <w:r>
              <w:rPr>
                <w:spacing w:val="-1"/>
              </w:rPr>
              <w:t>亩</w:t>
            </w:r>
          </w:p>
        </w:tc>
      </w:tr>
      <w:tr w14:paraId="54E6F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9" w:type="pct"/>
            <w:vAlign w:val="center"/>
          </w:tcPr>
          <w:p w14:paraId="7FDA69BD">
            <w:pPr>
              <w:pStyle w:val="1343"/>
            </w:pPr>
            <w:r>
              <w:rPr>
                <w:rFonts w:hint="eastAsia"/>
              </w:rPr>
              <w:t>6</w:t>
            </w:r>
          </w:p>
        </w:tc>
        <w:tc>
          <w:tcPr>
            <w:tcW w:w="1624" w:type="pct"/>
            <w:gridSpan w:val="2"/>
            <w:vAlign w:val="center"/>
          </w:tcPr>
          <w:p w14:paraId="3157FE8C">
            <w:pPr>
              <w:pStyle w:val="1343"/>
            </w:pPr>
            <w:r>
              <w:t>定员</w:t>
            </w:r>
          </w:p>
        </w:tc>
        <w:tc>
          <w:tcPr>
            <w:tcW w:w="931" w:type="pct"/>
            <w:vAlign w:val="center"/>
          </w:tcPr>
          <w:p w14:paraId="7FD7C0FF">
            <w:pPr>
              <w:pStyle w:val="1343"/>
              <w:rPr>
                <w:rFonts w:eastAsia="Times New Roman"/>
                <w:sz w:val="14"/>
                <w:szCs w:val="14"/>
              </w:rPr>
            </w:pPr>
            <w:r>
              <w:t>人</w:t>
            </w:r>
          </w:p>
        </w:tc>
        <w:tc>
          <w:tcPr>
            <w:tcW w:w="743" w:type="pct"/>
            <w:vAlign w:val="center"/>
          </w:tcPr>
          <w:p w14:paraId="5BBB1123">
            <w:pPr>
              <w:pStyle w:val="1343"/>
            </w:pPr>
            <w:r>
              <w:rPr>
                <w:rFonts w:hint="eastAsia" w:eastAsiaTheme="minorEastAsia"/>
              </w:rPr>
              <w:t>0</w:t>
            </w:r>
          </w:p>
        </w:tc>
        <w:tc>
          <w:tcPr>
            <w:tcW w:w="1330" w:type="pct"/>
            <w:vAlign w:val="center"/>
          </w:tcPr>
          <w:p w14:paraId="57F5A615">
            <w:pPr>
              <w:pStyle w:val="1343"/>
              <w:rPr>
                <w:spacing w:val="-1"/>
              </w:rPr>
            </w:pPr>
            <w:r>
              <w:rPr>
                <w:rFonts w:hint="eastAsia"/>
                <w:spacing w:val="-1"/>
              </w:rPr>
              <w:t>无人值守，</w:t>
            </w:r>
            <w:r>
              <w:rPr>
                <w:spacing w:val="-1"/>
              </w:rPr>
              <w:t>不新增定员</w:t>
            </w:r>
          </w:p>
        </w:tc>
      </w:tr>
      <w:tr w14:paraId="39FE6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9" w:type="pct"/>
            <w:vAlign w:val="center"/>
          </w:tcPr>
          <w:p w14:paraId="775E2D10">
            <w:pPr>
              <w:pStyle w:val="1343"/>
            </w:pPr>
            <w:r>
              <w:rPr>
                <w:rFonts w:hint="eastAsia"/>
              </w:rPr>
              <w:t>7</w:t>
            </w:r>
          </w:p>
        </w:tc>
        <w:tc>
          <w:tcPr>
            <w:tcW w:w="1624" w:type="pct"/>
            <w:gridSpan w:val="2"/>
            <w:vAlign w:val="center"/>
          </w:tcPr>
          <w:p w14:paraId="4CC28364">
            <w:pPr>
              <w:pStyle w:val="1343"/>
            </w:pPr>
            <w:r>
              <w:rPr>
                <w:spacing w:val="-1"/>
              </w:rPr>
              <w:t>工程总投资</w:t>
            </w:r>
          </w:p>
        </w:tc>
        <w:tc>
          <w:tcPr>
            <w:tcW w:w="931" w:type="pct"/>
            <w:vAlign w:val="center"/>
          </w:tcPr>
          <w:p w14:paraId="1F11AD36">
            <w:pPr>
              <w:pStyle w:val="1343"/>
            </w:pPr>
            <w:r>
              <w:t>万元</w:t>
            </w:r>
          </w:p>
        </w:tc>
        <w:tc>
          <w:tcPr>
            <w:tcW w:w="743" w:type="pct"/>
            <w:vAlign w:val="center"/>
          </w:tcPr>
          <w:p w14:paraId="07BB790F">
            <w:pPr>
              <w:pStyle w:val="1343"/>
              <w:rPr>
                <w:rFonts w:eastAsiaTheme="minorEastAsia"/>
              </w:rPr>
            </w:pPr>
            <w:r>
              <w:rPr>
                <w:rFonts w:hint="eastAsia" w:eastAsiaTheme="minorEastAsia"/>
              </w:rPr>
              <w:t>4327.91</w:t>
            </w:r>
          </w:p>
        </w:tc>
        <w:tc>
          <w:tcPr>
            <w:tcW w:w="1330" w:type="pct"/>
            <w:vAlign w:val="center"/>
          </w:tcPr>
          <w:p w14:paraId="433A9D35">
            <w:pPr>
              <w:pStyle w:val="1343"/>
            </w:pPr>
            <w:r>
              <w:rPr>
                <w:rFonts w:hint="eastAsia"/>
              </w:rPr>
              <w:t>/</w:t>
            </w:r>
          </w:p>
        </w:tc>
      </w:tr>
    </w:tbl>
    <w:p w14:paraId="4EB52FA3">
      <w:pPr>
        <w:pStyle w:val="5"/>
        <w:spacing w:before="120" w:beforeLines="50"/>
        <w:rPr>
          <w:color w:val="auto"/>
        </w:rPr>
      </w:pPr>
      <w:r>
        <w:rPr>
          <w:color w:val="auto"/>
        </w:rPr>
        <w:t>天然气来源</w:t>
      </w:r>
    </w:p>
    <w:p w14:paraId="76340536">
      <w:pPr>
        <w:pStyle w:val="7"/>
      </w:pPr>
      <w:r>
        <w:t>气源</w:t>
      </w:r>
    </w:p>
    <w:p w14:paraId="26613589">
      <w:pPr>
        <w:pStyle w:val="234"/>
      </w:pPr>
      <w:r>
        <w:t>本工程</w:t>
      </w:r>
      <w:r>
        <w:rPr>
          <w:rFonts w:hint="eastAsia"/>
        </w:rPr>
        <w:t>接自国家管网“潜江—韶关输气管道”的28号阀室，其可利用资源主要为川气东送管输天然气、西二线管输天然气、</w:t>
      </w:r>
      <w:r>
        <w:rPr>
          <w:rFonts w:hint="eastAsia" w:asciiTheme="minorEastAsia" w:hAnsiTheme="minorEastAsia"/>
        </w:rPr>
        <w:t>中缅管道</w:t>
      </w:r>
      <w:r>
        <w:rPr>
          <w:rFonts w:hint="eastAsia"/>
        </w:rPr>
        <w:t>天然气，以及广东省管网天然气（包括深圳LNG、迭福LNG、珠海LNG、阳江LNG、粤西LNG、惠州 LNG、华丰华瀛LNG、粤东LNG、漳州 LNG等海上来气气源）。</w:t>
      </w:r>
    </w:p>
    <w:p w14:paraId="5CD62241">
      <w:pPr>
        <w:pStyle w:val="7"/>
      </w:pPr>
      <w:r>
        <w:t>天然气组分</w:t>
      </w:r>
    </w:p>
    <w:p w14:paraId="53E7AF66">
      <w:pPr>
        <w:spacing w:line="360" w:lineRule="auto"/>
        <w:ind w:firstLine="480" w:firstLineChars="200"/>
        <w:rPr>
          <w:sz w:val="24"/>
        </w:rPr>
      </w:pPr>
      <w:r>
        <w:rPr>
          <w:rFonts w:hint="eastAsia"/>
          <w:sz w:val="24"/>
        </w:rPr>
        <w:t>（1）川气东送管输天然气气质组分见表3.3-3。</w:t>
      </w:r>
    </w:p>
    <w:p w14:paraId="32EDBA92">
      <w:pPr>
        <w:pStyle w:val="904"/>
      </w:pPr>
      <w:r>
        <w:t>表3.</w:t>
      </w:r>
      <w:r>
        <w:rPr>
          <w:rFonts w:hint="eastAsia"/>
        </w:rPr>
        <w:t>3</w:t>
      </w:r>
      <w:r>
        <w:t xml:space="preserve">-3 </w:t>
      </w:r>
      <w:r>
        <w:rPr>
          <w:rFonts w:hint="eastAsia"/>
        </w:rPr>
        <w:t xml:space="preserve"> 川气东送管输天然气</w:t>
      </w:r>
      <w:r>
        <w:t>气质组分</w:t>
      </w:r>
      <w:r>
        <w:rPr>
          <w:rFonts w:hint="eastAsia"/>
        </w:rPr>
        <w:t>表</w:t>
      </w:r>
    </w:p>
    <w:tbl>
      <w:tblPr>
        <w:tblStyle w:val="8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336"/>
        <w:gridCol w:w="2495"/>
        <w:gridCol w:w="2468"/>
        <w:gridCol w:w="2367"/>
      </w:tblGrid>
      <w:tr w14:paraId="4089AD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19C4E14F">
            <w:pPr>
              <w:jc w:val="center"/>
              <w:rPr>
                <w:szCs w:val="21"/>
              </w:rPr>
            </w:pPr>
            <w:r>
              <w:rPr>
                <w:szCs w:val="21"/>
              </w:rPr>
              <w:t>序号</w:t>
            </w:r>
          </w:p>
        </w:tc>
        <w:tc>
          <w:tcPr>
            <w:tcW w:w="1290" w:type="pct"/>
            <w:vAlign w:val="center"/>
          </w:tcPr>
          <w:p w14:paraId="5C4D018D">
            <w:pPr>
              <w:jc w:val="center"/>
              <w:rPr>
                <w:szCs w:val="21"/>
              </w:rPr>
            </w:pPr>
            <w:r>
              <w:rPr>
                <w:szCs w:val="21"/>
              </w:rPr>
              <w:t>组分</w:t>
            </w:r>
          </w:p>
        </w:tc>
        <w:tc>
          <w:tcPr>
            <w:tcW w:w="1276" w:type="pct"/>
            <w:vAlign w:val="center"/>
          </w:tcPr>
          <w:p w14:paraId="133A4CC2">
            <w:pPr>
              <w:jc w:val="center"/>
              <w:rPr>
                <w:szCs w:val="21"/>
              </w:rPr>
            </w:pPr>
            <w:r>
              <w:rPr>
                <w:szCs w:val="21"/>
              </w:rPr>
              <w:t>单位</w:t>
            </w:r>
          </w:p>
        </w:tc>
        <w:tc>
          <w:tcPr>
            <w:tcW w:w="1224" w:type="pct"/>
            <w:vAlign w:val="center"/>
          </w:tcPr>
          <w:p w14:paraId="2487609C">
            <w:pPr>
              <w:jc w:val="center"/>
              <w:rPr>
                <w:szCs w:val="21"/>
              </w:rPr>
            </w:pPr>
            <w:r>
              <w:rPr>
                <w:szCs w:val="21"/>
              </w:rPr>
              <w:t>平均值</w:t>
            </w:r>
          </w:p>
        </w:tc>
      </w:tr>
      <w:tr w14:paraId="2805D5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773177F0">
            <w:pPr>
              <w:jc w:val="center"/>
              <w:rPr>
                <w:szCs w:val="21"/>
              </w:rPr>
            </w:pPr>
            <w:r>
              <w:rPr>
                <w:szCs w:val="21"/>
              </w:rPr>
              <w:t>1</w:t>
            </w:r>
          </w:p>
        </w:tc>
        <w:tc>
          <w:tcPr>
            <w:tcW w:w="1290" w:type="pct"/>
            <w:vAlign w:val="center"/>
          </w:tcPr>
          <w:p w14:paraId="0CEFCBE3">
            <w:pPr>
              <w:jc w:val="center"/>
              <w:rPr>
                <w:szCs w:val="21"/>
              </w:rPr>
            </w:pPr>
            <w:r>
              <w:rPr>
                <w:szCs w:val="21"/>
              </w:rPr>
              <w:t>甲烷（CH</w:t>
            </w:r>
            <w:r>
              <w:rPr>
                <w:szCs w:val="21"/>
                <w:vertAlign w:val="subscript"/>
              </w:rPr>
              <w:t>4</w:t>
            </w:r>
            <w:r>
              <w:rPr>
                <w:szCs w:val="21"/>
              </w:rPr>
              <w:t>）</w:t>
            </w:r>
          </w:p>
        </w:tc>
        <w:tc>
          <w:tcPr>
            <w:tcW w:w="1276" w:type="pct"/>
            <w:vAlign w:val="center"/>
          </w:tcPr>
          <w:p w14:paraId="455FCE3A">
            <w:pPr>
              <w:jc w:val="center"/>
              <w:rPr>
                <w:szCs w:val="21"/>
              </w:rPr>
            </w:pPr>
            <w:r>
              <w:rPr>
                <w:szCs w:val="21"/>
              </w:rPr>
              <w:t>mol%</w:t>
            </w:r>
          </w:p>
        </w:tc>
        <w:tc>
          <w:tcPr>
            <w:tcW w:w="1224" w:type="pct"/>
            <w:vAlign w:val="center"/>
          </w:tcPr>
          <w:p w14:paraId="016624B7">
            <w:pPr>
              <w:jc w:val="center"/>
              <w:rPr>
                <w:szCs w:val="21"/>
              </w:rPr>
            </w:pPr>
            <w:r>
              <w:rPr>
                <w:rFonts w:hint="eastAsia"/>
                <w:szCs w:val="21"/>
              </w:rPr>
              <w:t>98.1</w:t>
            </w:r>
          </w:p>
        </w:tc>
      </w:tr>
      <w:tr w14:paraId="7A42FC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040DF313">
            <w:pPr>
              <w:jc w:val="center"/>
              <w:rPr>
                <w:szCs w:val="21"/>
              </w:rPr>
            </w:pPr>
            <w:r>
              <w:rPr>
                <w:szCs w:val="21"/>
              </w:rPr>
              <w:t>2</w:t>
            </w:r>
          </w:p>
        </w:tc>
        <w:tc>
          <w:tcPr>
            <w:tcW w:w="1290" w:type="pct"/>
            <w:vAlign w:val="center"/>
          </w:tcPr>
          <w:p w14:paraId="2DC62EE5">
            <w:pPr>
              <w:jc w:val="center"/>
              <w:rPr>
                <w:szCs w:val="21"/>
              </w:rPr>
            </w:pPr>
            <w:r>
              <w:rPr>
                <w:szCs w:val="21"/>
              </w:rPr>
              <w:t>乙烷（C</w:t>
            </w:r>
            <w:r>
              <w:rPr>
                <w:szCs w:val="21"/>
                <w:vertAlign w:val="subscript"/>
              </w:rPr>
              <w:t>2</w:t>
            </w:r>
            <w:r>
              <w:rPr>
                <w:szCs w:val="21"/>
              </w:rPr>
              <w:t>H</w:t>
            </w:r>
            <w:r>
              <w:rPr>
                <w:szCs w:val="21"/>
                <w:vertAlign w:val="subscript"/>
              </w:rPr>
              <w:t>6</w:t>
            </w:r>
            <w:r>
              <w:rPr>
                <w:szCs w:val="21"/>
              </w:rPr>
              <w:t>）</w:t>
            </w:r>
          </w:p>
        </w:tc>
        <w:tc>
          <w:tcPr>
            <w:tcW w:w="1276" w:type="pct"/>
            <w:vAlign w:val="center"/>
          </w:tcPr>
          <w:p w14:paraId="3F41B34A">
            <w:pPr>
              <w:jc w:val="center"/>
              <w:rPr>
                <w:szCs w:val="21"/>
              </w:rPr>
            </w:pPr>
            <w:r>
              <w:rPr>
                <w:szCs w:val="21"/>
              </w:rPr>
              <w:t>mol%</w:t>
            </w:r>
          </w:p>
        </w:tc>
        <w:tc>
          <w:tcPr>
            <w:tcW w:w="1224" w:type="pct"/>
            <w:vAlign w:val="center"/>
          </w:tcPr>
          <w:p w14:paraId="3191B5C8">
            <w:pPr>
              <w:jc w:val="center"/>
              <w:rPr>
                <w:szCs w:val="21"/>
              </w:rPr>
            </w:pPr>
            <w:r>
              <w:rPr>
                <w:rFonts w:hint="eastAsia"/>
                <w:szCs w:val="21"/>
              </w:rPr>
              <w:t>0.260</w:t>
            </w:r>
          </w:p>
        </w:tc>
      </w:tr>
      <w:tr w14:paraId="72E5C7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2C78B97B">
            <w:pPr>
              <w:jc w:val="center"/>
              <w:rPr>
                <w:szCs w:val="21"/>
              </w:rPr>
            </w:pPr>
            <w:r>
              <w:rPr>
                <w:szCs w:val="21"/>
              </w:rPr>
              <w:t>3</w:t>
            </w:r>
          </w:p>
        </w:tc>
        <w:tc>
          <w:tcPr>
            <w:tcW w:w="1290" w:type="pct"/>
            <w:vAlign w:val="center"/>
          </w:tcPr>
          <w:p w14:paraId="254AE98A">
            <w:pPr>
              <w:jc w:val="center"/>
              <w:rPr>
                <w:szCs w:val="21"/>
              </w:rPr>
            </w:pPr>
            <w:r>
              <w:rPr>
                <w:szCs w:val="21"/>
              </w:rPr>
              <w:t>丙烷（C</w:t>
            </w:r>
            <w:r>
              <w:rPr>
                <w:szCs w:val="21"/>
                <w:vertAlign w:val="subscript"/>
              </w:rPr>
              <w:t>3</w:t>
            </w:r>
            <w:r>
              <w:rPr>
                <w:szCs w:val="21"/>
              </w:rPr>
              <w:t>H</w:t>
            </w:r>
            <w:r>
              <w:rPr>
                <w:szCs w:val="21"/>
                <w:vertAlign w:val="subscript"/>
              </w:rPr>
              <w:t>8</w:t>
            </w:r>
            <w:r>
              <w:rPr>
                <w:szCs w:val="21"/>
              </w:rPr>
              <w:t>）</w:t>
            </w:r>
          </w:p>
        </w:tc>
        <w:tc>
          <w:tcPr>
            <w:tcW w:w="1276" w:type="pct"/>
            <w:vAlign w:val="center"/>
          </w:tcPr>
          <w:p w14:paraId="4EFEE54B">
            <w:pPr>
              <w:jc w:val="center"/>
              <w:rPr>
                <w:szCs w:val="21"/>
              </w:rPr>
            </w:pPr>
            <w:r>
              <w:rPr>
                <w:szCs w:val="21"/>
              </w:rPr>
              <w:t>mol%</w:t>
            </w:r>
          </w:p>
        </w:tc>
        <w:tc>
          <w:tcPr>
            <w:tcW w:w="1224" w:type="pct"/>
            <w:vAlign w:val="center"/>
          </w:tcPr>
          <w:p w14:paraId="3FB16522">
            <w:pPr>
              <w:jc w:val="center"/>
              <w:rPr>
                <w:szCs w:val="21"/>
              </w:rPr>
            </w:pPr>
            <w:r>
              <w:rPr>
                <w:rFonts w:hint="eastAsia"/>
                <w:szCs w:val="21"/>
              </w:rPr>
              <w:t>＜0.01</w:t>
            </w:r>
          </w:p>
        </w:tc>
      </w:tr>
      <w:tr w14:paraId="39E9F4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1D29AD97">
            <w:pPr>
              <w:jc w:val="center"/>
              <w:rPr>
                <w:szCs w:val="21"/>
              </w:rPr>
            </w:pPr>
            <w:r>
              <w:rPr>
                <w:szCs w:val="21"/>
              </w:rPr>
              <w:t>4</w:t>
            </w:r>
          </w:p>
        </w:tc>
        <w:tc>
          <w:tcPr>
            <w:tcW w:w="1290" w:type="pct"/>
            <w:vAlign w:val="center"/>
          </w:tcPr>
          <w:p w14:paraId="216E0C83">
            <w:pPr>
              <w:jc w:val="center"/>
              <w:rPr>
                <w:szCs w:val="21"/>
              </w:rPr>
            </w:pPr>
            <w:r>
              <w:rPr>
                <w:rFonts w:hint="eastAsia"/>
                <w:szCs w:val="21"/>
              </w:rPr>
              <w:t>iC</w:t>
            </w:r>
            <w:r>
              <w:rPr>
                <w:rFonts w:hint="eastAsia"/>
                <w:szCs w:val="21"/>
                <w:vertAlign w:val="subscript"/>
              </w:rPr>
              <w:t>4</w:t>
            </w:r>
            <w:r>
              <w:rPr>
                <w:rFonts w:hint="eastAsia"/>
                <w:szCs w:val="21"/>
              </w:rPr>
              <w:t>H</w:t>
            </w:r>
            <w:r>
              <w:rPr>
                <w:rFonts w:hint="eastAsia"/>
                <w:szCs w:val="21"/>
                <w:vertAlign w:val="subscript"/>
              </w:rPr>
              <w:t>10</w:t>
            </w:r>
          </w:p>
        </w:tc>
        <w:tc>
          <w:tcPr>
            <w:tcW w:w="1276" w:type="pct"/>
            <w:vAlign w:val="center"/>
          </w:tcPr>
          <w:p w14:paraId="359E5668">
            <w:pPr>
              <w:jc w:val="center"/>
              <w:rPr>
                <w:szCs w:val="21"/>
              </w:rPr>
            </w:pPr>
            <w:r>
              <w:rPr>
                <w:szCs w:val="21"/>
              </w:rPr>
              <w:t>mol%</w:t>
            </w:r>
          </w:p>
        </w:tc>
        <w:tc>
          <w:tcPr>
            <w:tcW w:w="1224" w:type="pct"/>
            <w:vAlign w:val="center"/>
          </w:tcPr>
          <w:p w14:paraId="3EA2E7FA">
            <w:pPr>
              <w:jc w:val="center"/>
              <w:rPr>
                <w:szCs w:val="21"/>
              </w:rPr>
            </w:pPr>
            <w:r>
              <w:rPr>
                <w:rFonts w:hint="eastAsia"/>
                <w:szCs w:val="21"/>
              </w:rPr>
              <w:t>＜0.01</w:t>
            </w:r>
          </w:p>
        </w:tc>
      </w:tr>
      <w:tr w14:paraId="24ECCC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5C731C84">
            <w:pPr>
              <w:jc w:val="center"/>
              <w:rPr>
                <w:szCs w:val="21"/>
              </w:rPr>
            </w:pPr>
            <w:r>
              <w:rPr>
                <w:szCs w:val="21"/>
              </w:rPr>
              <w:t>5</w:t>
            </w:r>
          </w:p>
        </w:tc>
        <w:tc>
          <w:tcPr>
            <w:tcW w:w="1290" w:type="pct"/>
            <w:vAlign w:val="center"/>
          </w:tcPr>
          <w:p w14:paraId="223CE2FE">
            <w:pPr>
              <w:jc w:val="center"/>
              <w:rPr>
                <w:szCs w:val="21"/>
              </w:rPr>
            </w:pPr>
            <w:r>
              <w:rPr>
                <w:rFonts w:hint="eastAsia"/>
                <w:szCs w:val="21"/>
              </w:rPr>
              <w:t>nC</w:t>
            </w:r>
            <w:r>
              <w:rPr>
                <w:rFonts w:hint="eastAsia"/>
                <w:szCs w:val="21"/>
                <w:vertAlign w:val="subscript"/>
              </w:rPr>
              <w:t>4</w:t>
            </w:r>
            <w:r>
              <w:rPr>
                <w:rFonts w:hint="eastAsia"/>
                <w:szCs w:val="21"/>
              </w:rPr>
              <w:t>H</w:t>
            </w:r>
            <w:r>
              <w:rPr>
                <w:rFonts w:hint="eastAsia"/>
                <w:szCs w:val="21"/>
                <w:vertAlign w:val="subscript"/>
              </w:rPr>
              <w:t>10</w:t>
            </w:r>
          </w:p>
        </w:tc>
        <w:tc>
          <w:tcPr>
            <w:tcW w:w="1276" w:type="pct"/>
            <w:vAlign w:val="center"/>
          </w:tcPr>
          <w:p w14:paraId="23C5998E">
            <w:pPr>
              <w:jc w:val="center"/>
              <w:rPr>
                <w:szCs w:val="21"/>
              </w:rPr>
            </w:pPr>
            <w:r>
              <w:rPr>
                <w:szCs w:val="21"/>
              </w:rPr>
              <w:t>mol%</w:t>
            </w:r>
          </w:p>
        </w:tc>
        <w:tc>
          <w:tcPr>
            <w:tcW w:w="1224" w:type="pct"/>
            <w:vAlign w:val="center"/>
          </w:tcPr>
          <w:p w14:paraId="31AB65A7">
            <w:pPr>
              <w:jc w:val="center"/>
              <w:rPr>
                <w:szCs w:val="21"/>
              </w:rPr>
            </w:pPr>
            <w:r>
              <w:rPr>
                <w:rFonts w:hint="eastAsia"/>
                <w:szCs w:val="21"/>
              </w:rPr>
              <w:t>＜0.01</w:t>
            </w:r>
          </w:p>
        </w:tc>
      </w:tr>
      <w:tr w14:paraId="09CF1B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69346F0F">
            <w:pPr>
              <w:jc w:val="center"/>
              <w:rPr>
                <w:szCs w:val="21"/>
              </w:rPr>
            </w:pPr>
            <w:r>
              <w:rPr>
                <w:szCs w:val="21"/>
              </w:rPr>
              <w:t>6</w:t>
            </w:r>
          </w:p>
        </w:tc>
        <w:tc>
          <w:tcPr>
            <w:tcW w:w="1290" w:type="pct"/>
            <w:vAlign w:val="center"/>
          </w:tcPr>
          <w:p w14:paraId="46DE09B1">
            <w:pPr>
              <w:jc w:val="center"/>
              <w:rPr>
                <w:szCs w:val="21"/>
              </w:rPr>
            </w:pPr>
            <w:r>
              <w:rPr>
                <w:rFonts w:hint="eastAsia"/>
                <w:szCs w:val="21"/>
              </w:rPr>
              <w:t>iC</w:t>
            </w:r>
            <w:r>
              <w:rPr>
                <w:rFonts w:hint="eastAsia"/>
                <w:szCs w:val="21"/>
                <w:vertAlign w:val="subscript"/>
              </w:rPr>
              <w:t>5</w:t>
            </w:r>
            <w:r>
              <w:rPr>
                <w:rFonts w:hint="eastAsia"/>
                <w:szCs w:val="21"/>
              </w:rPr>
              <w:t>H</w:t>
            </w:r>
            <w:r>
              <w:rPr>
                <w:rFonts w:hint="eastAsia"/>
                <w:szCs w:val="21"/>
                <w:vertAlign w:val="subscript"/>
              </w:rPr>
              <w:t>12</w:t>
            </w:r>
          </w:p>
        </w:tc>
        <w:tc>
          <w:tcPr>
            <w:tcW w:w="1276" w:type="pct"/>
            <w:vAlign w:val="center"/>
          </w:tcPr>
          <w:p w14:paraId="6D00384F">
            <w:pPr>
              <w:jc w:val="center"/>
              <w:rPr>
                <w:szCs w:val="21"/>
              </w:rPr>
            </w:pPr>
            <w:r>
              <w:rPr>
                <w:szCs w:val="21"/>
              </w:rPr>
              <w:t>mol%</w:t>
            </w:r>
          </w:p>
        </w:tc>
        <w:tc>
          <w:tcPr>
            <w:tcW w:w="1224" w:type="pct"/>
            <w:vAlign w:val="center"/>
          </w:tcPr>
          <w:p w14:paraId="569A500C">
            <w:pPr>
              <w:jc w:val="center"/>
              <w:rPr>
                <w:szCs w:val="21"/>
              </w:rPr>
            </w:pPr>
            <w:r>
              <w:rPr>
                <w:rFonts w:hint="eastAsia"/>
                <w:szCs w:val="21"/>
              </w:rPr>
              <w:t>＜0.01</w:t>
            </w:r>
          </w:p>
        </w:tc>
      </w:tr>
      <w:tr w14:paraId="7F9D6C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trPr>
        <w:tc>
          <w:tcPr>
            <w:tcW w:w="1208" w:type="pct"/>
            <w:vAlign w:val="center"/>
          </w:tcPr>
          <w:p w14:paraId="51CFC6E1">
            <w:pPr>
              <w:jc w:val="center"/>
              <w:rPr>
                <w:szCs w:val="21"/>
              </w:rPr>
            </w:pPr>
            <w:r>
              <w:rPr>
                <w:rFonts w:hint="eastAsia"/>
                <w:szCs w:val="21"/>
              </w:rPr>
              <w:t>7</w:t>
            </w:r>
          </w:p>
        </w:tc>
        <w:tc>
          <w:tcPr>
            <w:tcW w:w="1290" w:type="pct"/>
            <w:vAlign w:val="center"/>
          </w:tcPr>
          <w:p w14:paraId="60C6DB4B">
            <w:pPr>
              <w:jc w:val="center"/>
              <w:rPr>
                <w:szCs w:val="21"/>
              </w:rPr>
            </w:pPr>
            <w:r>
              <w:rPr>
                <w:rFonts w:hint="eastAsia"/>
                <w:szCs w:val="21"/>
              </w:rPr>
              <w:t>nC</w:t>
            </w:r>
            <w:r>
              <w:rPr>
                <w:rFonts w:hint="eastAsia"/>
                <w:szCs w:val="21"/>
                <w:vertAlign w:val="subscript"/>
              </w:rPr>
              <w:t>5</w:t>
            </w:r>
            <w:r>
              <w:rPr>
                <w:rFonts w:hint="eastAsia"/>
                <w:szCs w:val="21"/>
              </w:rPr>
              <w:t>H</w:t>
            </w:r>
            <w:r>
              <w:rPr>
                <w:rFonts w:hint="eastAsia"/>
                <w:szCs w:val="21"/>
                <w:vertAlign w:val="subscript"/>
              </w:rPr>
              <w:t>12</w:t>
            </w:r>
          </w:p>
        </w:tc>
        <w:tc>
          <w:tcPr>
            <w:tcW w:w="1276" w:type="pct"/>
            <w:vAlign w:val="center"/>
          </w:tcPr>
          <w:p w14:paraId="1BA6EC2C">
            <w:pPr>
              <w:jc w:val="center"/>
              <w:rPr>
                <w:szCs w:val="21"/>
              </w:rPr>
            </w:pPr>
            <w:r>
              <w:rPr>
                <w:szCs w:val="21"/>
              </w:rPr>
              <w:t>mol%</w:t>
            </w:r>
          </w:p>
        </w:tc>
        <w:tc>
          <w:tcPr>
            <w:tcW w:w="1224" w:type="pct"/>
            <w:vAlign w:val="center"/>
          </w:tcPr>
          <w:p w14:paraId="3F0F0AC8">
            <w:pPr>
              <w:jc w:val="center"/>
              <w:rPr>
                <w:szCs w:val="21"/>
              </w:rPr>
            </w:pPr>
            <w:r>
              <w:rPr>
                <w:rFonts w:hint="eastAsia"/>
                <w:szCs w:val="21"/>
              </w:rPr>
              <w:t>＜0.01</w:t>
            </w:r>
          </w:p>
        </w:tc>
      </w:tr>
      <w:tr w14:paraId="18F780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3B223423">
            <w:pPr>
              <w:jc w:val="center"/>
              <w:rPr>
                <w:szCs w:val="21"/>
              </w:rPr>
            </w:pPr>
            <w:r>
              <w:rPr>
                <w:rFonts w:hint="eastAsia"/>
                <w:szCs w:val="21"/>
              </w:rPr>
              <w:t>8</w:t>
            </w:r>
          </w:p>
        </w:tc>
        <w:tc>
          <w:tcPr>
            <w:tcW w:w="1290" w:type="pct"/>
            <w:vAlign w:val="center"/>
          </w:tcPr>
          <w:p w14:paraId="014BECBA">
            <w:pPr>
              <w:jc w:val="center"/>
              <w:rPr>
                <w:szCs w:val="21"/>
              </w:rPr>
            </w:pPr>
            <w:r>
              <w:rPr>
                <w:rFonts w:hint="eastAsia"/>
                <w:szCs w:val="21"/>
              </w:rPr>
              <w:t>C</w:t>
            </w:r>
            <w:r>
              <w:rPr>
                <w:rFonts w:hint="eastAsia"/>
                <w:szCs w:val="21"/>
                <w:vertAlign w:val="subscript"/>
              </w:rPr>
              <w:t>6</w:t>
            </w:r>
            <w:r>
              <w:rPr>
                <w:rFonts w:hint="eastAsia"/>
                <w:szCs w:val="21"/>
              </w:rPr>
              <w:t>H</w:t>
            </w:r>
            <w:r>
              <w:rPr>
                <w:rFonts w:hint="eastAsia"/>
                <w:szCs w:val="21"/>
                <w:vertAlign w:val="subscript"/>
              </w:rPr>
              <w:t>14</w:t>
            </w:r>
          </w:p>
        </w:tc>
        <w:tc>
          <w:tcPr>
            <w:tcW w:w="1276" w:type="pct"/>
            <w:vAlign w:val="center"/>
          </w:tcPr>
          <w:p w14:paraId="5DFFD82D">
            <w:pPr>
              <w:jc w:val="center"/>
              <w:rPr>
                <w:szCs w:val="21"/>
              </w:rPr>
            </w:pPr>
            <w:r>
              <w:rPr>
                <w:szCs w:val="21"/>
              </w:rPr>
              <w:t>mol%</w:t>
            </w:r>
          </w:p>
        </w:tc>
        <w:tc>
          <w:tcPr>
            <w:tcW w:w="1224" w:type="pct"/>
            <w:vAlign w:val="center"/>
          </w:tcPr>
          <w:p w14:paraId="15D883BB">
            <w:pPr>
              <w:jc w:val="center"/>
              <w:rPr>
                <w:szCs w:val="21"/>
              </w:rPr>
            </w:pPr>
            <w:r>
              <w:rPr>
                <w:rFonts w:hint="eastAsia"/>
                <w:szCs w:val="21"/>
              </w:rPr>
              <w:t>＜0.01</w:t>
            </w:r>
          </w:p>
        </w:tc>
      </w:tr>
      <w:tr w14:paraId="101D46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5D911E05">
            <w:pPr>
              <w:jc w:val="center"/>
              <w:rPr>
                <w:szCs w:val="21"/>
              </w:rPr>
            </w:pPr>
            <w:r>
              <w:rPr>
                <w:rFonts w:hint="eastAsia"/>
                <w:szCs w:val="21"/>
              </w:rPr>
              <w:t>9</w:t>
            </w:r>
          </w:p>
        </w:tc>
        <w:tc>
          <w:tcPr>
            <w:tcW w:w="1290" w:type="pct"/>
            <w:vAlign w:val="center"/>
          </w:tcPr>
          <w:p w14:paraId="5C11B237">
            <w:pPr>
              <w:jc w:val="center"/>
              <w:rPr>
                <w:szCs w:val="21"/>
              </w:rPr>
            </w:pPr>
            <w:r>
              <w:rPr>
                <w:rFonts w:hint="eastAsia"/>
                <w:szCs w:val="21"/>
              </w:rPr>
              <w:t>CO</w:t>
            </w:r>
            <w:r>
              <w:rPr>
                <w:rFonts w:hint="eastAsia"/>
                <w:szCs w:val="21"/>
                <w:vertAlign w:val="subscript"/>
              </w:rPr>
              <w:t>2</w:t>
            </w:r>
          </w:p>
        </w:tc>
        <w:tc>
          <w:tcPr>
            <w:tcW w:w="1276" w:type="pct"/>
            <w:vAlign w:val="center"/>
          </w:tcPr>
          <w:p w14:paraId="08C68456">
            <w:pPr>
              <w:jc w:val="center"/>
              <w:rPr>
                <w:szCs w:val="21"/>
              </w:rPr>
            </w:pPr>
            <w:r>
              <w:rPr>
                <w:szCs w:val="21"/>
              </w:rPr>
              <w:t>mol%</w:t>
            </w:r>
          </w:p>
        </w:tc>
        <w:tc>
          <w:tcPr>
            <w:tcW w:w="1224" w:type="pct"/>
            <w:vAlign w:val="center"/>
          </w:tcPr>
          <w:p w14:paraId="0D88C3D7">
            <w:pPr>
              <w:jc w:val="center"/>
              <w:rPr>
                <w:szCs w:val="21"/>
              </w:rPr>
            </w:pPr>
            <w:r>
              <w:rPr>
                <w:rFonts w:hint="eastAsia"/>
                <w:szCs w:val="21"/>
              </w:rPr>
              <w:t>0.909</w:t>
            </w:r>
          </w:p>
        </w:tc>
      </w:tr>
      <w:tr w14:paraId="497CBA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56D5422E">
            <w:pPr>
              <w:jc w:val="center"/>
              <w:rPr>
                <w:szCs w:val="21"/>
              </w:rPr>
            </w:pPr>
            <w:r>
              <w:rPr>
                <w:rFonts w:hint="eastAsia"/>
                <w:szCs w:val="21"/>
              </w:rPr>
              <w:t>10</w:t>
            </w:r>
          </w:p>
        </w:tc>
        <w:tc>
          <w:tcPr>
            <w:tcW w:w="1290" w:type="pct"/>
            <w:vAlign w:val="center"/>
          </w:tcPr>
          <w:p w14:paraId="75D90333">
            <w:pPr>
              <w:jc w:val="center"/>
              <w:rPr>
                <w:szCs w:val="21"/>
              </w:rPr>
            </w:pPr>
            <w:r>
              <w:rPr>
                <w:rFonts w:hint="eastAsia"/>
                <w:szCs w:val="21"/>
              </w:rPr>
              <w:t>N</w:t>
            </w:r>
            <w:r>
              <w:rPr>
                <w:rFonts w:hint="eastAsia"/>
                <w:szCs w:val="21"/>
                <w:vertAlign w:val="subscript"/>
              </w:rPr>
              <w:t>2</w:t>
            </w:r>
          </w:p>
        </w:tc>
        <w:tc>
          <w:tcPr>
            <w:tcW w:w="1276" w:type="pct"/>
            <w:vAlign w:val="center"/>
          </w:tcPr>
          <w:p w14:paraId="5529020F">
            <w:pPr>
              <w:jc w:val="center"/>
              <w:rPr>
                <w:szCs w:val="21"/>
              </w:rPr>
            </w:pPr>
            <w:r>
              <w:rPr>
                <w:szCs w:val="21"/>
              </w:rPr>
              <w:t>mol%</w:t>
            </w:r>
          </w:p>
        </w:tc>
        <w:tc>
          <w:tcPr>
            <w:tcW w:w="1224" w:type="pct"/>
            <w:vAlign w:val="center"/>
          </w:tcPr>
          <w:p w14:paraId="5264539E">
            <w:pPr>
              <w:jc w:val="center"/>
              <w:rPr>
                <w:szCs w:val="21"/>
              </w:rPr>
            </w:pPr>
            <w:r>
              <w:rPr>
                <w:rFonts w:hint="eastAsia"/>
                <w:szCs w:val="21"/>
              </w:rPr>
              <w:t>0.741</w:t>
            </w:r>
          </w:p>
        </w:tc>
      </w:tr>
      <w:tr w14:paraId="5D8715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05A667BA">
            <w:pPr>
              <w:jc w:val="center"/>
              <w:rPr>
                <w:szCs w:val="21"/>
              </w:rPr>
            </w:pPr>
            <w:r>
              <w:rPr>
                <w:rFonts w:hint="eastAsia"/>
                <w:szCs w:val="21"/>
              </w:rPr>
              <w:t>11</w:t>
            </w:r>
          </w:p>
        </w:tc>
        <w:tc>
          <w:tcPr>
            <w:tcW w:w="1290" w:type="pct"/>
            <w:vAlign w:val="center"/>
          </w:tcPr>
          <w:p w14:paraId="2AF1E4DC">
            <w:pPr>
              <w:jc w:val="center"/>
              <w:rPr>
                <w:szCs w:val="21"/>
              </w:rPr>
            </w:pPr>
            <w:r>
              <w:rPr>
                <w:rFonts w:hint="eastAsia"/>
                <w:szCs w:val="21"/>
              </w:rPr>
              <w:t>He</w:t>
            </w:r>
          </w:p>
        </w:tc>
        <w:tc>
          <w:tcPr>
            <w:tcW w:w="1276" w:type="pct"/>
            <w:vAlign w:val="center"/>
          </w:tcPr>
          <w:p w14:paraId="70DA79F7">
            <w:pPr>
              <w:jc w:val="center"/>
              <w:rPr>
                <w:szCs w:val="21"/>
              </w:rPr>
            </w:pPr>
            <w:r>
              <w:rPr>
                <w:szCs w:val="21"/>
              </w:rPr>
              <w:t>mol%</w:t>
            </w:r>
          </w:p>
        </w:tc>
        <w:tc>
          <w:tcPr>
            <w:tcW w:w="1224" w:type="pct"/>
            <w:vAlign w:val="center"/>
          </w:tcPr>
          <w:p w14:paraId="1E2AD7AB">
            <w:pPr>
              <w:jc w:val="center"/>
              <w:rPr>
                <w:szCs w:val="21"/>
              </w:rPr>
            </w:pPr>
            <w:r>
              <w:rPr>
                <w:rFonts w:hint="eastAsia"/>
                <w:szCs w:val="21"/>
              </w:rPr>
              <w:t>0.0243</w:t>
            </w:r>
          </w:p>
        </w:tc>
      </w:tr>
      <w:tr w14:paraId="513549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1A8968E5">
            <w:pPr>
              <w:jc w:val="center"/>
              <w:rPr>
                <w:szCs w:val="21"/>
              </w:rPr>
            </w:pPr>
            <w:r>
              <w:rPr>
                <w:rFonts w:hint="eastAsia"/>
                <w:szCs w:val="21"/>
              </w:rPr>
              <w:t>12</w:t>
            </w:r>
          </w:p>
        </w:tc>
        <w:tc>
          <w:tcPr>
            <w:tcW w:w="1290" w:type="pct"/>
            <w:vAlign w:val="center"/>
          </w:tcPr>
          <w:p w14:paraId="2B716FFE">
            <w:pPr>
              <w:jc w:val="center"/>
              <w:rPr>
                <w:szCs w:val="21"/>
              </w:rPr>
            </w:pPr>
            <w:r>
              <w:rPr>
                <w:rFonts w:hint="eastAsia"/>
                <w:szCs w:val="21"/>
              </w:rPr>
              <w:t>H</w:t>
            </w:r>
          </w:p>
        </w:tc>
        <w:tc>
          <w:tcPr>
            <w:tcW w:w="1276" w:type="pct"/>
            <w:vAlign w:val="center"/>
          </w:tcPr>
          <w:p w14:paraId="6C8B8D2D">
            <w:pPr>
              <w:jc w:val="center"/>
              <w:rPr>
                <w:szCs w:val="21"/>
              </w:rPr>
            </w:pPr>
            <w:r>
              <w:rPr>
                <w:szCs w:val="21"/>
              </w:rPr>
              <w:t>mol%</w:t>
            </w:r>
          </w:p>
        </w:tc>
        <w:tc>
          <w:tcPr>
            <w:tcW w:w="1224" w:type="pct"/>
            <w:vAlign w:val="center"/>
          </w:tcPr>
          <w:p w14:paraId="1C299C1B">
            <w:pPr>
              <w:jc w:val="center"/>
              <w:rPr>
                <w:szCs w:val="21"/>
              </w:rPr>
            </w:pPr>
            <w:r>
              <w:rPr>
                <w:rFonts w:hint="eastAsia"/>
                <w:szCs w:val="21"/>
              </w:rPr>
              <w:t>＜0.01</w:t>
            </w:r>
          </w:p>
        </w:tc>
      </w:tr>
    </w:tbl>
    <w:p w14:paraId="72606C27">
      <w:pPr>
        <w:pStyle w:val="234"/>
        <w:spacing w:before="120" w:beforeLines="50"/>
      </w:pPr>
      <w:r>
        <w:rPr>
          <w:rFonts w:hint="eastAsia"/>
        </w:rPr>
        <w:t>（2）西二线管输天然气组分气质见表3</w:t>
      </w:r>
      <w:r>
        <w:t>.</w:t>
      </w:r>
      <w:r>
        <w:rPr>
          <w:rFonts w:hint="eastAsia"/>
        </w:rPr>
        <w:t>3-</w:t>
      </w:r>
      <w:r>
        <w:t>4</w:t>
      </w:r>
      <w:r>
        <w:rPr>
          <w:rFonts w:hint="eastAsia"/>
        </w:rPr>
        <w:t>。</w:t>
      </w:r>
    </w:p>
    <w:p w14:paraId="55709B58">
      <w:pPr>
        <w:pStyle w:val="904"/>
      </w:pPr>
      <w:r>
        <w:rPr>
          <w:rFonts w:hint="eastAsia"/>
        </w:rPr>
        <w:t>表3</w:t>
      </w:r>
      <w:r>
        <w:t>.</w:t>
      </w:r>
      <w:r>
        <w:rPr>
          <w:rFonts w:hint="eastAsia"/>
        </w:rPr>
        <w:t>3-</w:t>
      </w:r>
      <w:r>
        <w:t xml:space="preserve">4 </w:t>
      </w:r>
      <w:r>
        <w:rPr>
          <w:rFonts w:hint="eastAsia"/>
        </w:rPr>
        <w:t>西二线管输天然气气质组分表</w:t>
      </w:r>
    </w:p>
    <w:tbl>
      <w:tblPr>
        <w:tblStyle w:val="8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336"/>
        <w:gridCol w:w="2495"/>
        <w:gridCol w:w="2468"/>
        <w:gridCol w:w="2367"/>
      </w:tblGrid>
      <w:tr w14:paraId="547A3B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14B3F5D5">
            <w:pPr>
              <w:jc w:val="center"/>
              <w:rPr>
                <w:szCs w:val="21"/>
              </w:rPr>
            </w:pPr>
            <w:r>
              <w:rPr>
                <w:szCs w:val="21"/>
              </w:rPr>
              <w:t>序号</w:t>
            </w:r>
          </w:p>
        </w:tc>
        <w:tc>
          <w:tcPr>
            <w:tcW w:w="1290" w:type="pct"/>
            <w:vAlign w:val="center"/>
          </w:tcPr>
          <w:p w14:paraId="2AF08A46">
            <w:pPr>
              <w:jc w:val="center"/>
              <w:rPr>
                <w:szCs w:val="21"/>
              </w:rPr>
            </w:pPr>
            <w:r>
              <w:rPr>
                <w:szCs w:val="21"/>
              </w:rPr>
              <w:t>组分</w:t>
            </w:r>
          </w:p>
        </w:tc>
        <w:tc>
          <w:tcPr>
            <w:tcW w:w="1276" w:type="pct"/>
            <w:vAlign w:val="center"/>
          </w:tcPr>
          <w:p w14:paraId="28B0D9B6">
            <w:pPr>
              <w:jc w:val="center"/>
              <w:rPr>
                <w:szCs w:val="21"/>
              </w:rPr>
            </w:pPr>
            <w:r>
              <w:rPr>
                <w:szCs w:val="21"/>
              </w:rPr>
              <w:t>单位</w:t>
            </w:r>
          </w:p>
        </w:tc>
        <w:tc>
          <w:tcPr>
            <w:tcW w:w="1224" w:type="pct"/>
            <w:vAlign w:val="center"/>
          </w:tcPr>
          <w:p w14:paraId="021E4EB3">
            <w:pPr>
              <w:jc w:val="center"/>
              <w:rPr>
                <w:szCs w:val="21"/>
              </w:rPr>
            </w:pPr>
            <w:r>
              <w:rPr>
                <w:szCs w:val="21"/>
              </w:rPr>
              <w:t>平均值</w:t>
            </w:r>
          </w:p>
        </w:tc>
      </w:tr>
      <w:tr w14:paraId="3B9336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4285D0ED">
            <w:pPr>
              <w:jc w:val="center"/>
              <w:rPr>
                <w:szCs w:val="21"/>
              </w:rPr>
            </w:pPr>
            <w:r>
              <w:rPr>
                <w:szCs w:val="21"/>
              </w:rPr>
              <w:t>1</w:t>
            </w:r>
          </w:p>
        </w:tc>
        <w:tc>
          <w:tcPr>
            <w:tcW w:w="1290" w:type="pct"/>
            <w:vAlign w:val="center"/>
          </w:tcPr>
          <w:p w14:paraId="56F5CDC3">
            <w:pPr>
              <w:jc w:val="center"/>
              <w:rPr>
                <w:szCs w:val="21"/>
              </w:rPr>
            </w:pPr>
            <w:r>
              <w:rPr>
                <w:szCs w:val="21"/>
              </w:rPr>
              <w:t>甲烷（CH</w:t>
            </w:r>
            <w:r>
              <w:rPr>
                <w:szCs w:val="21"/>
                <w:vertAlign w:val="subscript"/>
              </w:rPr>
              <w:t>4</w:t>
            </w:r>
            <w:r>
              <w:rPr>
                <w:szCs w:val="21"/>
              </w:rPr>
              <w:t>）</w:t>
            </w:r>
          </w:p>
        </w:tc>
        <w:tc>
          <w:tcPr>
            <w:tcW w:w="1276" w:type="pct"/>
            <w:vAlign w:val="center"/>
          </w:tcPr>
          <w:p w14:paraId="78E35918">
            <w:pPr>
              <w:jc w:val="center"/>
              <w:rPr>
                <w:szCs w:val="21"/>
              </w:rPr>
            </w:pPr>
            <w:r>
              <w:rPr>
                <w:szCs w:val="21"/>
              </w:rPr>
              <w:t>mol%</w:t>
            </w:r>
          </w:p>
        </w:tc>
        <w:tc>
          <w:tcPr>
            <w:tcW w:w="1224" w:type="pct"/>
            <w:vAlign w:val="center"/>
          </w:tcPr>
          <w:p w14:paraId="156B09CB">
            <w:pPr>
              <w:jc w:val="center"/>
              <w:rPr>
                <w:szCs w:val="21"/>
              </w:rPr>
            </w:pPr>
            <w:r>
              <w:rPr>
                <w:rFonts w:hint="eastAsia"/>
                <w:szCs w:val="21"/>
              </w:rPr>
              <w:t>95.837</w:t>
            </w:r>
          </w:p>
        </w:tc>
      </w:tr>
      <w:tr w14:paraId="776E46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4B399D86">
            <w:pPr>
              <w:jc w:val="center"/>
              <w:rPr>
                <w:szCs w:val="21"/>
              </w:rPr>
            </w:pPr>
            <w:r>
              <w:rPr>
                <w:szCs w:val="21"/>
              </w:rPr>
              <w:t>2</w:t>
            </w:r>
          </w:p>
        </w:tc>
        <w:tc>
          <w:tcPr>
            <w:tcW w:w="1290" w:type="pct"/>
            <w:vAlign w:val="center"/>
          </w:tcPr>
          <w:p w14:paraId="7BACAA7C">
            <w:pPr>
              <w:jc w:val="center"/>
              <w:rPr>
                <w:szCs w:val="21"/>
              </w:rPr>
            </w:pPr>
            <w:r>
              <w:rPr>
                <w:szCs w:val="21"/>
              </w:rPr>
              <w:t>乙烷（C</w:t>
            </w:r>
            <w:r>
              <w:rPr>
                <w:szCs w:val="21"/>
                <w:vertAlign w:val="subscript"/>
              </w:rPr>
              <w:t>2</w:t>
            </w:r>
            <w:r>
              <w:rPr>
                <w:szCs w:val="21"/>
              </w:rPr>
              <w:t>H</w:t>
            </w:r>
            <w:r>
              <w:rPr>
                <w:szCs w:val="21"/>
                <w:vertAlign w:val="subscript"/>
              </w:rPr>
              <w:t>6</w:t>
            </w:r>
            <w:r>
              <w:rPr>
                <w:szCs w:val="21"/>
              </w:rPr>
              <w:t>）</w:t>
            </w:r>
          </w:p>
        </w:tc>
        <w:tc>
          <w:tcPr>
            <w:tcW w:w="1276" w:type="pct"/>
            <w:vAlign w:val="center"/>
          </w:tcPr>
          <w:p w14:paraId="0FD5020E">
            <w:pPr>
              <w:jc w:val="center"/>
              <w:rPr>
                <w:szCs w:val="21"/>
              </w:rPr>
            </w:pPr>
            <w:r>
              <w:rPr>
                <w:szCs w:val="21"/>
              </w:rPr>
              <w:t>mol%</w:t>
            </w:r>
          </w:p>
        </w:tc>
        <w:tc>
          <w:tcPr>
            <w:tcW w:w="1224" w:type="pct"/>
            <w:vAlign w:val="center"/>
          </w:tcPr>
          <w:p w14:paraId="0D46E534">
            <w:pPr>
              <w:jc w:val="center"/>
              <w:rPr>
                <w:szCs w:val="21"/>
              </w:rPr>
            </w:pPr>
            <w:r>
              <w:rPr>
                <w:rFonts w:hint="eastAsia"/>
                <w:szCs w:val="21"/>
              </w:rPr>
              <w:t>2.5671</w:t>
            </w:r>
          </w:p>
        </w:tc>
      </w:tr>
      <w:tr w14:paraId="6CEE33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5FD14683">
            <w:pPr>
              <w:jc w:val="center"/>
              <w:rPr>
                <w:szCs w:val="21"/>
              </w:rPr>
            </w:pPr>
            <w:r>
              <w:rPr>
                <w:szCs w:val="21"/>
              </w:rPr>
              <w:t>3</w:t>
            </w:r>
          </w:p>
        </w:tc>
        <w:tc>
          <w:tcPr>
            <w:tcW w:w="1290" w:type="pct"/>
            <w:vAlign w:val="center"/>
          </w:tcPr>
          <w:p w14:paraId="089EDF3B">
            <w:pPr>
              <w:jc w:val="center"/>
              <w:rPr>
                <w:szCs w:val="21"/>
              </w:rPr>
            </w:pPr>
            <w:r>
              <w:rPr>
                <w:szCs w:val="21"/>
              </w:rPr>
              <w:t>C</w:t>
            </w:r>
            <w:r>
              <w:rPr>
                <w:rFonts w:hint="eastAsia"/>
                <w:szCs w:val="21"/>
                <w:vertAlign w:val="subscript"/>
              </w:rPr>
              <w:t>3</w:t>
            </w:r>
            <w:r>
              <w:rPr>
                <w:szCs w:val="21"/>
              </w:rPr>
              <w:t>H</w:t>
            </w:r>
            <w:r>
              <w:rPr>
                <w:rFonts w:hint="eastAsia"/>
                <w:szCs w:val="21"/>
                <w:vertAlign w:val="subscript"/>
              </w:rPr>
              <w:t>8</w:t>
            </w:r>
          </w:p>
        </w:tc>
        <w:tc>
          <w:tcPr>
            <w:tcW w:w="1276" w:type="pct"/>
            <w:vAlign w:val="center"/>
          </w:tcPr>
          <w:p w14:paraId="7BFBBA98">
            <w:pPr>
              <w:jc w:val="center"/>
              <w:rPr>
                <w:szCs w:val="21"/>
              </w:rPr>
            </w:pPr>
            <w:r>
              <w:rPr>
                <w:szCs w:val="21"/>
              </w:rPr>
              <w:t>mol%</w:t>
            </w:r>
          </w:p>
        </w:tc>
        <w:tc>
          <w:tcPr>
            <w:tcW w:w="1224" w:type="pct"/>
            <w:vAlign w:val="center"/>
          </w:tcPr>
          <w:p w14:paraId="40C5936B">
            <w:pPr>
              <w:jc w:val="center"/>
              <w:rPr>
                <w:szCs w:val="21"/>
              </w:rPr>
            </w:pPr>
            <w:r>
              <w:rPr>
                <w:rFonts w:hint="eastAsia"/>
                <w:szCs w:val="21"/>
              </w:rPr>
              <w:t>0.731</w:t>
            </w:r>
          </w:p>
        </w:tc>
      </w:tr>
      <w:tr w14:paraId="204ADB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23F42C98">
            <w:pPr>
              <w:jc w:val="center"/>
              <w:rPr>
                <w:szCs w:val="21"/>
              </w:rPr>
            </w:pPr>
            <w:r>
              <w:rPr>
                <w:szCs w:val="21"/>
              </w:rPr>
              <w:t>4</w:t>
            </w:r>
          </w:p>
        </w:tc>
        <w:tc>
          <w:tcPr>
            <w:tcW w:w="1290" w:type="pct"/>
            <w:vAlign w:val="center"/>
          </w:tcPr>
          <w:p w14:paraId="11B10FF3">
            <w:pPr>
              <w:jc w:val="center"/>
              <w:rPr>
                <w:szCs w:val="21"/>
              </w:rPr>
            </w:pPr>
            <w:r>
              <w:rPr>
                <w:rFonts w:hint="eastAsia"/>
                <w:szCs w:val="21"/>
              </w:rPr>
              <w:t>iC</w:t>
            </w:r>
            <w:r>
              <w:rPr>
                <w:rFonts w:hint="eastAsia"/>
                <w:szCs w:val="21"/>
                <w:vertAlign w:val="subscript"/>
              </w:rPr>
              <w:t>4</w:t>
            </w:r>
            <w:r>
              <w:rPr>
                <w:rFonts w:hint="eastAsia"/>
                <w:szCs w:val="21"/>
              </w:rPr>
              <w:t>H</w:t>
            </w:r>
            <w:r>
              <w:rPr>
                <w:rFonts w:hint="eastAsia"/>
                <w:szCs w:val="21"/>
                <w:vertAlign w:val="subscript"/>
              </w:rPr>
              <w:t>10</w:t>
            </w:r>
          </w:p>
        </w:tc>
        <w:tc>
          <w:tcPr>
            <w:tcW w:w="1276" w:type="pct"/>
            <w:vAlign w:val="center"/>
          </w:tcPr>
          <w:p w14:paraId="30379B04">
            <w:pPr>
              <w:jc w:val="center"/>
              <w:rPr>
                <w:szCs w:val="21"/>
              </w:rPr>
            </w:pPr>
            <w:r>
              <w:rPr>
                <w:szCs w:val="21"/>
              </w:rPr>
              <w:t>mol%</w:t>
            </w:r>
          </w:p>
        </w:tc>
        <w:tc>
          <w:tcPr>
            <w:tcW w:w="1224" w:type="pct"/>
            <w:vAlign w:val="center"/>
          </w:tcPr>
          <w:p w14:paraId="74CAE281">
            <w:pPr>
              <w:jc w:val="center"/>
              <w:rPr>
                <w:szCs w:val="21"/>
              </w:rPr>
            </w:pPr>
            <w:r>
              <w:rPr>
                <w:rFonts w:hint="eastAsia"/>
                <w:szCs w:val="21"/>
              </w:rPr>
              <w:t>0.1574</w:t>
            </w:r>
          </w:p>
        </w:tc>
      </w:tr>
      <w:tr w14:paraId="3C8CEA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750DFEF3">
            <w:pPr>
              <w:jc w:val="center"/>
              <w:rPr>
                <w:szCs w:val="21"/>
              </w:rPr>
            </w:pPr>
            <w:r>
              <w:rPr>
                <w:szCs w:val="21"/>
              </w:rPr>
              <w:t>5</w:t>
            </w:r>
          </w:p>
        </w:tc>
        <w:tc>
          <w:tcPr>
            <w:tcW w:w="1290" w:type="pct"/>
            <w:vAlign w:val="center"/>
          </w:tcPr>
          <w:p w14:paraId="5EC2320B">
            <w:pPr>
              <w:jc w:val="center"/>
              <w:rPr>
                <w:szCs w:val="21"/>
              </w:rPr>
            </w:pPr>
            <w:r>
              <w:rPr>
                <w:rFonts w:hint="eastAsia"/>
                <w:szCs w:val="21"/>
              </w:rPr>
              <w:t>nC</w:t>
            </w:r>
            <w:r>
              <w:rPr>
                <w:rFonts w:hint="eastAsia"/>
                <w:szCs w:val="21"/>
                <w:vertAlign w:val="subscript"/>
              </w:rPr>
              <w:t>4</w:t>
            </w:r>
            <w:r>
              <w:rPr>
                <w:rFonts w:hint="eastAsia"/>
                <w:szCs w:val="21"/>
              </w:rPr>
              <w:t>H</w:t>
            </w:r>
            <w:r>
              <w:rPr>
                <w:rFonts w:hint="eastAsia"/>
                <w:szCs w:val="21"/>
                <w:vertAlign w:val="subscript"/>
              </w:rPr>
              <w:t>10</w:t>
            </w:r>
          </w:p>
        </w:tc>
        <w:tc>
          <w:tcPr>
            <w:tcW w:w="1276" w:type="pct"/>
            <w:vAlign w:val="center"/>
          </w:tcPr>
          <w:p w14:paraId="4F06B4C4">
            <w:pPr>
              <w:jc w:val="center"/>
              <w:rPr>
                <w:szCs w:val="21"/>
              </w:rPr>
            </w:pPr>
            <w:r>
              <w:rPr>
                <w:szCs w:val="21"/>
              </w:rPr>
              <w:t>mol%</w:t>
            </w:r>
          </w:p>
        </w:tc>
        <w:tc>
          <w:tcPr>
            <w:tcW w:w="1224" w:type="pct"/>
            <w:vAlign w:val="center"/>
          </w:tcPr>
          <w:p w14:paraId="092067F3">
            <w:pPr>
              <w:jc w:val="center"/>
              <w:rPr>
                <w:szCs w:val="21"/>
              </w:rPr>
            </w:pPr>
            <w:r>
              <w:rPr>
                <w:rFonts w:hint="eastAsia"/>
                <w:szCs w:val="21"/>
              </w:rPr>
              <w:t>0.1672</w:t>
            </w:r>
          </w:p>
        </w:tc>
      </w:tr>
      <w:tr w14:paraId="7FCFAA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4D539837">
            <w:pPr>
              <w:jc w:val="center"/>
              <w:rPr>
                <w:szCs w:val="21"/>
              </w:rPr>
            </w:pPr>
            <w:r>
              <w:rPr>
                <w:szCs w:val="21"/>
              </w:rPr>
              <w:t>6</w:t>
            </w:r>
          </w:p>
        </w:tc>
        <w:tc>
          <w:tcPr>
            <w:tcW w:w="1290" w:type="pct"/>
            <w:vAlign w:val="center"/>
          </w:tcPr>
          <w:p w14:paraId="6A40D985">
            <w:pPr>
              <w:jc w:val="center"/>
              <w:rPr>
                <w:szCs w:val="21"/>
              </w:rPr>
            </w:pPr>
            <w:r>
              <w:rPr>
                <w:rFonts w:hint="eastAsia"/>
                <w:szCs w:val="21"/>
              </w:rPr>
              <w:t>iC</w:t>
            </w:r>
            <w:r>
              <w:rPr>
                <w:rFonts w:hint="eastAsia"/>
                <w:szCs w:val="21"/>
                <w:vertAlign w:val="subscript"/>
              </w:rPr>
              <w:t>5</w:t>
            </w:r>
          </w:p>
        </w:tc>
        <w:tc>
          <w:tcPr>
            <w:tcW w:w="1276" w:type="pct"/>
            <w:vAlign w:val="center"/>
          </w:tcPr>
          <w:p w14:paraId="36C9B7C9">
            <w:pPr>
              <w:jc w:val="center"/>
              <w:rPr>
                <w:szCs w:val="21"/>
              </w:rPr>
            </w:pPr>
            <w:r>
              <w:rPr>
                <w:szCs w:val="21"/>
              </w:rPr>
              <w:t>mol%</w:t>
            </w:r>
          </w:p>
        </w:tc>
        <w:tc>
          <w:tcPr>
            <w:tcW w:w="1224" w:type="pct"/>
            <w:vAlign w:val="center"/>
          </w:tcPr>
          <w:p w14:paraId="0C4BAFF6">
            <w:pPr>
              <w:jc w:val="center"/>
              <w:rPr>
                <w:szCs w:val="21"/>
              </w:rPr>
            </w:pPr>
            <w:r>
              <w:rPr>
                <w:rFonts w:hint="eastAsia"/>
                <w:szCs w:val="21"/>
              </w:rPr>
              <w:t>0.0208</w:t>
            </w:r>
          </w:p>
        </w:tc>
      </w:tr>
      <w:tr w14:paraId="076B6B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1E8984F1">
            <w:pPr>
              <w:jc w:val="center"/>
              <w:rPr>
                <w:szCs w:val="21"/>
              </w:rPr>
            </w:pPr>
            <w:r>
              <w:rPr>
                <w:rFonts w:hint="eastAsia"/>
                <w:szCs w:val="21"/>
              </w:rPr>
              <w:t>7</w:t>
            </w:r>
          </w:p>
        </w:tc>
        <w:tc>
          <w:tcPr>
            <w:tcW w:w="1290" w:type="pct"/>
            <w:vAlign w:val="center"/>
          </w:tcPr>
          <w:p w14:paraId="2E9C9B0A">
            <w:pPr>
              <w:jc w:val="center"/>
              <w:rPr>
                <w:szCs w:val="21"/>
              </w:rPr>
            </w:pPr>
            <w:r>
              <w:rPr>
                <w:rFonts w:hint="eastAsia"/>
                <w:szCs w:val="21"/>
              </w:rPr>
              <w:t>nC</w:t>
            </w:r>
            <w:r>
              <w:rPr>
                <w:rFonts w:hint="eastAsia"/>
                <w:szCs w:val="21"/>
                <w:vertAlign w:val="subscript"/>
              </w:rPr>
              <w:t>5</w:t>
            </w:r>
          </w:p>
        </w:tc>
        <w:tc>
          <w:tcPr>
            <w:tcW w:w="1276" w:type="pct"/>
            <w:vAlign w:val="center"/>
          </w:tcPr>
          <w:p w14:paraId="00C28D6D">
            <w:pPr>
              <w:jc w:val="center"/>
              <w:rPr>
                <w:szCs w:val="21"/>
              </w:rPr>
            </w:pPr>
            <w:r>
              <w:rPr>
                <w:szCs w:val="21"/>
              </w:rPr>
              <w:t>mol%</w:t>
            </w:r>
          </w:p>
        </w:tc>
        <w:tc>
          <w:tcPr>
            <w:tcW w:w="1224" w:type="pct"/>
            <w:vAlign w:val="center"/>
          </w:tcPr>
          <w:p w14:paraId="4496BF6C">
            <w:pPr>
              <w:jc w:val="center"/>
              <w:rPr>
                <w:szCs w:val="21"/>
              </w:rPr>
            </w:pPr>
            <w:r>
              <w:rPr>
                <w:rFonts w:hint="eastAsia"/>
                <w:szCs w:val="21"/>
              </w:rPr>
              <w:t>0.0054</w:t>
            </w:r>
          </w:p>
        </w:tc>
      </w:tr>
      <w:tr w14:paraId="2B92DE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53155590">
            <w:pPr>
              <w:jc w:val="center"/>
              <w:rPr>
                <w:szCs w:val="21"/>
              </w:rPr>
            </w:pPr>
            <w:r>
              <w:rPr>
                <w:rFonts w:hint="eastAsia"/>
                <w:szCs w:val="21"/>
              </w:rPr>
              <w:t>8</w:t>
            </w:r>
          </w:p>
        </w:tc>
        <w:tc>
          <w:tcPr>
            <w:tcW w:w="1290" w:type="pct"/>
            <w:vAlign w:val="center"/>
          </w:tcPr>
          <w:p w14:paraId="21814D41">
            <w:pPr>
              <w:jc w:val="center"/>
              <w:rPr>
                <w:szCs w:val="21"/>
              </w:rPr>
            </w:pPr>
            <w:r>
              <w:rPr>
                <w:rFonts w:hint="eastAsia"/>
                <w:szCs w:val="21"/>
              </w:rPr>
              <w:t>nC</w:t>
            </w:r>
            <w:r>
              <w:rPr>
                <w:rFonts w:hint="eastAsia"/>
                <w:szCs w:val="21"/>
                <w:vertAlign w:val="subscript"/>
              </w:rPr>
              <w:t>6</w:t>
            </w:r>
          </w:p>
        </w:tc>
        <w:tc>
          <w:tcPr>
            <w:tcW w:w="1276" w:type="pct"/>
            <w:vAlign w:val="center"/>
          </w:tcPr>
          <w:p w14:paraId="7575C70B">
            <w:pPr>
              <w:jc w:val="center"/>
              <w:rPr>
                <w:szCs w:val="21"/>
              </w:rPr>
            </w:pPr>
            <w:r>
              <w:rPr>
                <w:szCs w:val="21"/>
              </w:rPr>
              <w:t>mol%</w:t>
            </w:r>
          </w:p>
        </w:tc>
        <w:tc>
          <w:tcPr>
            <w:tcW w:w="1224" w:type="pct"/>
            <w:vAlign w:val="center"/>
          </w:tcPr>
          <w:p w14:paraId="1C432EAD">
            <w:pPr>
              <w:jc w:val="center"/>
              <w:rPr>
                <w:szCs w:val="21"/>
              </w:rPr>
            </w:pPr>
            <w:r>
              <w:rPr>
                <w:rFonts w:hint="eastAsia"/>
                <w:szCs w:val="21"/>
              </w:rPr>
              <w:t>0.0103</w:t>
            </w:r>
          </w:p>
        </w:tc>
      </w:tr>
      <w:tr w14:paraId="4A905F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077F4FA1">
            <w:pPr>
              <w:jc w:val="center"/>
              <w:rPr>
                <w:szCs w:val="21"/>
              </w:rPr>
            </w:pPr>
            <w:r>
              <w:rPr>
                <w:rFonts w:hint="eastAsia"/>
                <w:szCs w:val="21"/>
              </w:rPr>
              <w:t>9</w:t>
            </w:r>
          </w:p>
        </w:tc>
        <w:tc>
          <w:tcPr>
            <w:tcW w:w="1290" w:type="pct"/>
            <w:vAlign w:val="center"/>
          </w:tcPr>
          <w:p w14:paraId="4144BD6F">
            <w:pPr>
              <w:jc w:val="center"/>
              <w:rPr>
                <w:szCs w:val="21"/>
              </w:rPr>
            </w:pPr>
            <w:r>
              <w:rPr>
                <w:szCs w:val="21"/>
              </w:rPr>
              <w:t>N</w:t>
            </w:r>
            <w:r>
              <w:rPr>
                <w:szCs w:val="21"/>
                <w:vertAlign w:val="subscript"/>
              </w:rPr>
              <w:t>2</w:t>
            </w:r>
          </w:p>
        </w:tc>
        <w:tc>
          <w:tcPr>
            <w:tcW w:w="1276" w:type="pct"/>
            <w:vAlign w:val="center"/>
          </w:tcPr>
          <w:p w14:paraId="6F7FD1D4">
            <w:pPr>
              <w:jc w:val="center"/>
              <w:rPr>
                <w:szCs w:val="21"/>
              </w:rPr>
            </w:pPr>
            <w:r>
              <w:rPr>
                <w:szCs w:val="21"/>
              </w:rPr>
              <w:t>mol%</w:t>
            </w:r>
          </w:p>
        </w:tc>
        <w:tc>
          <w:tcPr>
            <w:tcW w:w="1224" w:type="pct"/>
            <w:vAlign w:val="center"/>
          </w:tcPr>
          <w:p w14:paraId="3A2B7D20">
            <w:pPr>
              <w:jc w:val="center"/>
              <w:rPr>
                <w:szCs w:val="21"/>
              </w:rPr>
            </w:pPr>
            <w:r>
              <w:rPr>
                <w:rFonts w:hint="eastAsia"/>
                <w:szCs w:val="21"/>
              </w:rPr>
              <w:t>0.2352</w:t>
            </w:r>
          </w:p>
        </w:tc>
      </w:tr>
      <w:tr w14:paraId="3854D0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2A10656B">
            <w:pPr>
              <w:jc w:val="center"/>
              <w:rPr>
                <w:szCs w:val="21"/>
              </w:rPr>
            </w:pPr>
            <w:r>
              <w:rPr>
                <w:rFonts w:hint="eastAsia"/>
                <w:szCs w:val="21"/>
              </w:rPr>
              <w:t>10</w:t>
            </w:r>
          </w:p>
        </w:tc>
        <w:tc>
          <w:tcPr>
            <w:tcW w:w="1290" w:type="pct"/>
            <w:vAlign w:val="center"/>
          </w:tcPr>
          <w:p w14:paraId="7C4E8B52">
            <w:pPr>
              <w:jc w:val="center"/>
              <w:rPr>
                <w:szCs w:val="21"/>
              </w:rPr>
            </w:pPr>
            <w:r>
              <w:rPr>
                <w:szCs w:val="21"/>
              </w:rPr>
              <w:t>CO</w:t>
            </w:r>
            <w:r>
              <w:rPr>
                <w:szCs w:val="21"/>
                <w:vertAlign w:val="subscript"/>
              </w:rPr>
              <w:t>2</w:t>
            </w:r>
          </w:p>
        </w:tc>
        <w:tc>
          <w:tcPr>
            <w:tcW w:w="1276" w:type="pct"/>
            <w:vAlign w:val="center"/>
          </w:tcPr>
          <w:p w14:paraId="61D732F0">
            <w:pPr>
              <w:jc w:val="center"/>
              <w:rPr>
                <w:szCs w:val="21"/>
              </w:rPr>
            </w:pPr>
            <w:r>
              <w:rPr>
                <w:szCs w:val="21"/>
              </w:rPr>
              <w:t>mol%</w:t>
            </w:r>
          </w:p>
        </w:tc>
        <w:tc>
          <w:tcPr>
            <w:tcW w:w="1224" w:type="pct"/>
            <w:vAlign w:val="center"/>
          </w:tcPr>
          <w:p w14:paraId="7D276CD1">
            <w:pPr>
              <w:jc w:val="center"/>
              <w:rPr>
                <w:szCs w:val="21"/>
              </w:rPr>
            </w:pPr>
            <w:r>
              <w:rPr>
                <w:rFonts w:hint="eastAsia"/>
                <w:szCs w:val="21"/>
              </w:rPr>
              <w:t>0.2686</w:t>
            </w:r>
          </w:p>
        </w:tc>
      </w:tr>
      <w:tr w14:paraId="5F3888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52BF3D43">
            <w:pPr>
              <w:jc w:val="center"/>
              <w:rPr>
                <w:szCs w:val="21"/>
              </w:rPr>
            </w:pPr>
            <w:r>
              <w:rPr>
                <w:rFonts w:hint="eastAsia"/>
                <w:szCs w:val="21"/>
              </w:rPr>
              <w:t>11</w:t>
            </w:r>
          </w:p>
        </w:tc>
        <w:tc>
          <w:tcPr>
            <w:tcW w:w="1290" w:type="pct"/>
            <w:vAlign w:val="center"/>
          </w:tcPr>
          <w:p w14:paraId="17743F7F">
            <w:pPr>
              <w:jc w:val="center"/>
              <w:rPr>
                <w:szCs w:val="21"/>
              </w:rPr>
            </w:pPr>
            <w:r>
              <w:rPr>
                <w:rFonts w:hint="eastAsia"/>
                <w:szCs w:val="21"/>
              </w:rPr>
              <w:t>绝对密度</w:t>
            </w:r>
          </w:p>
        </w:tc>
        <w:tc>
          <w:tcPr>
            <w:tcW w:w="1276" w:type="pct"/>
            <w:vAlign w:val="center"/>
          </w:tcPr>
          <w:p w14:paraId="4DE3F086">
            <w:pPr>
              <w:jc w:val="center"/>
              <w:rPr>
                <w:szCs w:val="21"/>
              </w:rPr>
            </w:pPr>
            <w:r>
              <w:rPr>
                <w:rFonts w:hint="eastAsia"/>
                <w:szCs w:val="21"/>
              </w:rPr>
              <w:t>/</w:t>
            </w:r>
          </w:p>
        </w:tc>
        <w:tc>
          <w:tcPr>
            <w:tcW w:w="1224" w:type="pct"/>
            <w:vAlign w:val="center"/>
          </w:tcPr>
          <w:p w14:paraId="2798F524">
            <w:pPr>
              <w:jc w:val="center"/>
              <w:rPr>
                <w:szCs w:val="21"/>
              </w:rPr>
            </w:pPr>
            <w:r>
              <w:rPr>
                <w:rFonts w:hint="eastAsia"/>
                <w:szCs w:val="21"/>
              </w:rPr>
              <w:t>0.7031</w:t>
            </w:r>
          </w:p>
        </w:tc>
      </w:tr>
      <w:tr w14:paraId="697B4A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7DA3C8B4">
            <w:pPr>
              <w:jc w:val="center"/>
              <w:rPr>
                <w:szCs w:val="21"/>
              </w:rPr>
            </w:pPr>
            <w:r>
              <w:rPr>
                <w:rFonts w:hint="eastAsia"/>
                <w:szCs w:val="21"/>
              </w:rPr>
              <w:t>12</w:t>
            </w:r>
          </w:p>
        </w:tc>
        <w:tc>
          <w:tcPr>
            <w:tcW w:w="1290" w:type="pct"/>
            <w:vAlign w:val="center"/>
          </w:tcPr>
          <w:p w14:paraId="68EAB296">
            <w:pPr>
              <w:jc w:val="center"/>
              <w:rPr>
                <w:szCs w:val="21"/>
              </w:rPr>
            </w:pPr>
            <w:r>
              <w:rPr>
                <w:rFonts w:hint="eastAsia"/>
                <w:szCs w:val="21"/>
              </w:rPr>
              <w:t>高位发热值</w:t>
            </w:r>
          </w:p>
        </w:tc>
        <w:tc>
          <w:tcPr>
            <w:tcW w:w="1276" w:type="pct"/>
            <w:vAlign w:val="center"/>
          </w:tcPr>
          <w:p w14:paraId="7C83BAA1">
            <w:pPr>
              <w:jc w:val="center"/>
              <w:rPr>
                <w:szCs w:val="21"/>
              </w:rPr>
            </w:pPr>
            <w:r>
              <w:rPr>
                <w:rFonts w:hint="eastAsia"/>
                <w:szCs w:val="21"/>
              </w:rPr>
              <w:t>M</w:t>
            </w:r>
            <w:r>
              <w:rPr>
                <w:szCs w:val="21"/>
              </w:rPr>
              <w:t>J</w:t>
            </w:r>
            <w:r>
              <w:rPr>
                <w:rFonts w:hint="eastAsia"/>
                <w:szCs w:val="21"/>
              </w:rPr>
              <w:t>/</w:t>
            </w:r>
            <w:r>
              <w:rPr>
                <w:szCs w:val="21"/>
              </w:rPr>
              <w:t>m</w:t>
            </w:r>
            <w:r>
              <w:rPr>
                <w:szCs w:val="21"/>
                <w:vertAlign w:val="superscript"/>
              </w:rPr>
              <w:t>3</w:t>
            </w:r>
          </w:p>
        </w:tc>
        <w:tc>
          <w:tcPr>
            <w:tcW w:w="1224" w:type="pct"/>
            <w:vAlign w:val="center"/>
          </w:tcPr>
          <w:p w14:paraId="5D96CAB8">
            <w:pPr>
              <w:jc w:val="center"/>
              <w:rPr>
                <w:szCs w:val="21"/>
              </w:rPr>
            </w:pPr>
            <w:r>
              <w:rPr>
                <w:rFonts w:hint="eastAsia"/>
                <w:szCs w:val="21"/>
              </w:rPr>
              <w:t>38.3676</w:t>
            </w:r>
          </w:p>
        </w:tc>
      </w:tr>
      <w:tr w14:paraId="052336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3D960E2E">
            <w:pPr>
              <w:jc w:val="center"/>
              <w:rPr>
                <w:szCs w:val="21"/>
              </w:rPr>
            </w:pPr>
            <w:r>
              <w:rPr>
                <w:rFonts w:hint="eastAsia"/>
                <w:szCs w:val="21"/>
              </w:rPr>
              <w:t>13</w:t>
            </w:r>
          </w:p>
        </w:tc>
        <w:tc>
          <w:tcPr>
            <w:tcW w:w="1290" w:type="pct"/>
            <w:vAlign w:val="center"/>
          </w:tcPr>
          <w:p w14:paraId="7E5D85F8">
            <w:pPr>
              <w:jc w:val="center"/>
              <w:rPr>
                <w:szCs w:val="21"/>
              </w:rPr>
            </w:pPr>
            <w:r>
              <w:rPr>
                <w:rFonts w:hint="eastAsia"/>
                <w:szCs w:val="21"/>
              </w:rPr>
              <w:t>水露点</w:t>
            </w:r>
          </w:p>
        </w:tc>
        <w:tc>
          <w:tcPr>
            <w:tcW w:w="1276" w:type="pct"/>
            <w:vAlign w:val="center"/>
          </w:tcPr>
          <w:p w14:paraId="43667CBF">
            <w:pPr>
              <w:jc w:val="center"/>
              <w:rPr>
                <w:szCs w:val="21"/>
              </w:rPr>
            </w:pPr>
            <w:r>
              <w:rPr>
                <w:rFonts w:hint="eastAsia"/>
                <w:szCs w:val="21"/>
              </w:rPr>
              <w:t>℃</w:t>
            </w:r>
          </w:p>
        </w:tc>
        <w:tc>
          <w:tcPr>
            <w:tcW w:w="1224" w:type="pct"/>
            <w:vAlign w:val="center"/>
          </w:tcPr>
          <w:p w14:paraId="57EFC61A">
            <w:pPr>
              <w:jc w:val="center"/>
              <w:rPr>
                <w:szCs w:val="21"/>
              </w:rPr>
            </w:pPr>
            <w:r>
              <w:rPr>
                <w:rFonts w:hint="eastAsia"/>
                <w:szCs w:val="21"/>
              </w:rPr>
              <w:t>-32.4801</w:t>
            </w:r>
          </w:p>
        </w:tc>
      </w:tr>
    </w:tbl>
    <w:p w14:paraId="1E590475">
      <w:pPr>
        <w:pStyle w:val="234"/>
        <w:spacing w:before="120" w:beforeLines="50"/>
        <w:rPr>
          <w:color w:val="FF0000"/>
        </w:rPr>
      </w:pPr>
      <w:r>
        <w:rPr>
          <w:rFonts w:hint="eastAsia"/>
        </w:rPr>
        <w:t>（3）中缅管道天然气组分气质见表3</w:t>
      </w:r>
      <w:r>
        <w:t>.</w:t>
      </w:r>
      <w:r>
        <w:rPr>
          <w:rFonts w:hint="eastAsia"/>
        </w:rPr>
        <w:t>3-5。</w:t>
      </w:r>
    </w:p>
    <w:p w14:paraId="5F279AB6">
      <w:pPr>
        <w:pStyle w:val="904"/>
      </w:pPr>
      <w:r>
        <w:rPr>
          <w:rFonts w:hint="eastAsia"/>
        </w:rPr>
        <w:t>表3</w:t>
      </w:r>
      <w:r>
        <w:t>.</w:t>
      </w:r>
      <w:r>
        <w:rPr>
          <w:rFonts w:hint="eastAsia"/>
        </w:rPr>
        <w:t>3-5</w:t>
      </w:r>
      <w:r>
        <w:t xml:space="preserve"> </w:t>
      </w:r>
      <w:r>
        <w:rPr>
          <w:rFonts w:hint="eastAsia"/>
        </w:rPr>
        <w:t>中缅管道天然气气质组分表</w:t>
      </w:r>
    </w:p>
    <w:tbl>
      <w:tblPr>
        <w:tblStyle w:val="8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336"/>
        <w:gridCol w:w="2495"/>
        <w:gridCol w:w="2468"/>
        <w:gridCol w:w="2367"/>
      </w:tblGrid>
      <w:tr w14:paraId="5031B8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04287FBB">
            <w:pPr>
              <w:jc w:val="center"/>
              <w:rPr>
                <w:szCs w:val="21"/>
              </w:rPr>
            </w:pPr>
            <w:r>
              <w:rPr>
                <w:szCs w:val="21"/>
              </w:rPr>
              <w:t>序号</w:t>
            </w:r>
          </w:p>
        </w:tc>
        <w:tc>
          <w:tcPr>
            <w:tcW w:w="1290" w:type="pct"/>
            <w:vAlign w:val="center"/>
          </w:tcPr>
          <w:p w14:paraId="0F7C5E42">
            <w:pPr>
              <w:jc w:val="center"/>
              <w:rPr>
                <w:szCs w:val="21"/>
              </w:rPr>
            </w:pPr>
            <w:r>
              <w:rPr>
                <w:szCs w:val="21"/>
              </w:rPr>
              <w:t>组分</w:t>
            </w:r>
          </w:p>
        </w:tc>
        <w:tc>
          <w:tcPr>
            <w:tcW w:w="1276" w:type="pct"/>
            <w:vAlign w:val="center"/>
          </w:tcPr>
          <w:p w14:paraId="6006E3E9">
            <w:pPr>
              <w:jc w:val="center"/>
              <w:rPr>
                <w:szCs w:val="21"/>
              </w:rPr>
            </w:pPr>
            <w:r>
              <w:rPr>
                <w:szCs w:val="21"/>
              </w:rPr>
              <w:t>单位</w:t>
            </w:r>
          </w:p>
        </w:tc>
        <w:tc>
          <w:tcPr>
            <w:tcW w:w="1224" w:type="pct"/>
            <w:vAlign w:val="center"/>
          </w:tcPr>
          <w:p w14:paraId="703DA1AD">
            <w:pPr>
              <w:jc w:val="center"/>
              <w:rPr>
                <w:szCs w:val="21"/>
              </w:rPr>
            </w:pPr>
            <w:r>
              <w:rPr>
                <w:szCs w:val="21"/>
              </w:rPr>
              <w:t>平均值</w:t>
            </w:r>
          </w:p>
        </w:tc>
      </w:tr>
      <w:tr w14:paraId="4446E5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13468729">
            <w:pPr>
              <w:jc w:val="center"/>
              <w:rPr>
                <w:szCs w:val="21"/>
              </w:rPr>
            </w:pPr>
            <w:r>
              <w:rPr>
                <w:szCs w:val="21"/>
              </w:rPr>
              <w:t>1</w:t>
            </w:r>
          </w:p>
        </w:tc>
        <w:tc>
          <w:tcPr>
            <w:tcW w:w="1290" w:type="pct"/>
            <w:vAlign w:val="center"/>
          </w:tcPr>
          <w:p w14:paraId="1980690A">
            <w:pPr>
              <w:jc w:val="center"/>
              <w:rPr>
                <w:szCs w:val="21"/>
              </w:rPr>
            </w:pPr>
            <w:r>
              <w:rPr>
                <w:szCs w:val="21"/>
              </w:rPr>
              <w:t>甲烷（CH</w:t>
            </w:r>
            <w:r>
              <w:rPr>
                <w:szCs w:val="21"/>
                <w:vertAlign w:val="subscript"/>
              </w:rPr>
              <w:t>4</w:t>
            </w:r>
            <w:r>
              <w:rPr>
                <w:szCs w:val="21"/>
              </w:rPr>
              <w:t>）</w:t>
            </w:r>
          </w:p>
        </w:tc>
        <w:tc>
          <w:tcPr>
            <w:tcW w:w="1276" w:type="pct"/>
            <w:vAlign w:val="center"/>
          </w:tcPr>
          <w:p w14:paraId="578A85D7">
            <w:pPr>
              <w:jc w:val="center"/>
              <w:rPr>
                <w:szCs w:val="21"/>
              </w:rPr>
            </w:pPr>
            <w:r>
              <w:rPr>
                <w:szCs w:val="21"/>
              </w:rPr>
              <w:t>mol%</w:t>
            </w:r>
          </w:p>
        </w:tc>
        <w:tc>
          <w:tcPr>
            <w:tcW w:w="1224" w:type="pct"/>
            <w:vAlign w:val="center"/>
          </w:tcPr>
          <w:p w14:paraId="7EB1B8AC">
            <w:pPr>
              <w:jc w:val="center"/>
              <w:rPr>
                <w:szCs w:val="21"/>
              </w:rPr>
            </w:pPr>
            <w:r>
              <w:rPr>
                <w:rFonts w:hint="eastAsia"/>
                <w:szCs w:val="21"/>
              </w:rPr>
              <w:t>99.07</w:t>
            </w:r>
          </w:p>
        </w:tc>
      </w:tr>
      <w:tr w14:paraId="6A61B8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37D7D17E">
            <w:pPr>
              <w:jc w:val="center"/>
              <w:rPr>
                <w:szCs w:val="21"/>
              </w:rPr>
            </w:pPr>
            <w:r>
              <w:rPr>
                <w:szCs w:val="21"/>
              </w:rPr>
              <w:t>2</w:t>
            </w:r>
          </w:p>
        </w:tc>
        <w:tc>
          <w:tcPr>
            <w:tcW w:w="1290" w:type="pct"/>
            <w:vAlign w:val="center"/>
          </w:tcPr>
          <w:p w14:paraId="21FA4FAA">
            <w:pPr>
              <w:jc w:val="center"/>
              <w:rPr>
                <w:szCs w:val="21"/>
              </w:rPr>
            </w:pPr>
            <w:r>
              <w:rPr>
                <w:szCs w:val="21"/>
              </w:rPr>
              <w:t>乙烷（C</w:t>
            </w:r>
            <w:r>
              <w:rPr>
                <w:szCs w:val="21"/>
                <w:vertAlign w:val="subscript"/>
              </w:rPr>
              <w:t>2</w:t>
            </w:r>
            <w:r>
              <w:rPr>
                <w:szCs w:val="21"/>
              </w:rPr>
              <w:t>H</w:t>
            </w:r>
            <w:r>
              <w:rPr>
                <w:szCs w:val="21"/>
                <w:vertAlign w:val="subscript"/>
              </w:rPr>
              <w:t>6</w:t>
            </w:r>
            <w:r>
              <w:rPr>
                <w:szCs w:val="21"/>
              </w:rPr>
              <w:t>）</w:t>
            </w:r>
          </w:p>
        </w:tc>
        <w:tc>
          <w:tcPr>
            <w:tcW w:w="1276" w:type="pct"/>
            <w:vAlign w:val="center"/>
          </w:tcPr>
          <w:p w14:paraId="085321F6">
            <w:pPr>
              <w:jc w:val="center"/>
              <w:rPr>
                <w:szCs w:val="21"/>
              </w:rPr>
            </w:pPr>
            <w:r>
              <w:rPr>
                <w:szCs w:val="21"/>
              </w:rPr>
              <w:t>mol%</w:t>
            </w:r>
          </w:p>
        </w:tc>
        <w:tc>
          <w:tcPr>
            <w:tcW w:w="1224" w:type="pct"/>
            <w:vAlign w:val="center"/>
          </w:tcPr>
          <w:p w14:paraId="4E1FF62D">
            <w:pPr>
              <w:jc w:val="center"/>
              <w:rPr>
                <w:szCs w:val="21"/>
              </w:rPr>
            </w:pPr>
            <w:r>
              <w:rPr>
                <w:rFonts w:hint="eastAsia"/>
                <w:szCs w:val="21"/>
              </w:rPr>
              <w:t>0.12</w:t>
            </w:r>
          </w:p>
        </w:tc>
      </w:tr>
      <w:tr w14:paraId="521E45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3EB01ACD">
            <w:pPr>
              <w:jc w:val="center"/>
              <w:rPr>
                <w:szCs w:val="21"/>
              </w:rPr>
            </w:pPr>
            <w:r>
              <w:rPr>
                <w:szCs w:val="21"/>
              </w:rPr>
              <w:t>3</w:t>
            </w:r>
          </w:p>
        </w:tc>
        <w:tc>
          <w:tcPr>
            <w:tcW w:w="1290" w:type="pct"/>
            <w:vAlign w:val="center"/>
          </w:tcPr>
          <w:p w14:paraId="4F57D8AD">
            <w:pPr>
              <w:jc w:val="center"/>
              <w:rPr>
                <w:szCs w:val="21"/>
              </w:rPr>
            </w:pPr>
            <w:r>
              <w:rPr>
                <w:szCs w:val="21"/>
              </w:rPr>
              <w:t>丙烷（C</w:t>
            </w:r>
            <w:r>
              <w:rPr>
                <w:szCs w:val="21"/>
                <w:vertAlign w:val="subscript"/>
              </w:rPr>
              <w:t>3</w:t>
            </w:r>
            <w:r>
              <w:rPr>
                <w:szCs w:val="21"/>
              </w:rPr>
              <w:t>H</w:t>
            </w:r>
            <w:r>
              <w:rPr>
                <w:szCs w:val="21"/>
                <w:vertAlign w:val="subscript"/>
              </w:rPr>
              <w:t>8</w:t>
            </w:r>
            <w:r>
              <w:rPr>
                <w:szCs w:val="21"/>
              </w:rPr>
              <w:t>）</w:t>
            </w:r>
          </w:p>
        </w:tc>
        <w:tc>
          <w:tcPr>
            <w:tcW w:w="1276" w:type="pct"/>
            <w:vAlign w:val="center"/>
          </w:tcPr>
          <w:p w14:paraId="504F9523">
            <w:pPr>
              <w:jc w:val="center"/>
              <w:rPr>
                <w:szCs w:val="21"/>
              </w:rPr>
            </w:pPr>
            <w:r>
              <w:rPr>
                <w:szCs w:val="21"/>
              </w:rPr>
              <w:t>mol%</w:t>
            </w:r>
          </w:p>
        </w:tc>
        <w:tc>
          <w:tcPr>
            <w:tcW w:w="1224" w:type="pct"/>
            <w:vAlign w:val="center"/>
          </w:tcPr>
          <w:p w14:paraId="355526CD">
            <w:pPr>
              <w:jc w:val="center"/>
              <w:rPr>
                <w:szCs w:val="21"/>
              </w:rPr>
            </w:pPr>
            <w:r>
              <w:rPr>
                <w:rFonts w:hint="eastAsia"/>
                <w:szCs w:val="21"/>
              </w:rPr>
              <w:t>0.03</w:t>
            </w:r>
          </w:p>
        </w:tc>
      </w:tr>
      <w:tr w14:paraId="489109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61688196">
            <w:pPr>
              <w:jc w:val="center"/>
              <w:rPr>
                <w:szCs w:val="21"/>
              </w:rPr>
            </w:pPr>
            <w:r>
              <w:rPr>
                <w:szCs w:val="21"/>
              </w:rPr>
              <w:t>4</w:t>
            </w:r>
          </w:p>
        </w:tc>
        <w:tc>
          <w:tcPr>
            <w:tcW w:w="1290" w:type="pct"/>
            <w:vAlign w:val="center"/>
          </w:tcPr>
          <w:p w14:paraId="3B61B4EB">
            <w:pPr>
              <w:jc w:val="center"/>
              <w:rPr>
                <w:szCs w:val="21"/>
              </w:rPr>
            </w:pPr>
            <w:r>
              <w:rPr>
                <w:rFonts w:hint="eastAsia"/>
                <w:szCs w:val="21"/>
              </w:rPr>
              <w:t>iC</w:t>
            </w:r>
            <w:r>
              <w:rPr>
                <w:rFonts w:hint="eastAsia"/>
                <w:szCs w:val="21"/>
                <w:vertAlign w:val="subscript"/>
              </w:rPr>
              <w:t>4</w:t>
            </w:r>
            <w:r>
              <w:rPr>
                <w:rFonts w:hint="eastAsia"/>
                <w:szCs w:val="21"/>
              </w:rPr>
              <w:t>H</w:t>
            </w:r>
            <w:r>
              <w:rPr>
                <w:rFonts w:hint="eastAsia"/>
                <w:szCs w:val="21"/>
                <w:vertAlign w:val="subscript"/>
              </w:rPr>
              <w:t>10</w:t>
            </w:r>
          </w:p>
        </w:tc>
        <w:tc>
          <w:tcPr>
            <w:tcW w:w="1276" w:type="pct"/>
            <w:vAlign w:val="center"/>
          </w:tcPr>
          <w:p w14:paraId="6DD4C4F7">
            <w:pPr>
              <w:jc w:val="center"/>
              <w:rPr>
                <w:szCs w:val="21"/>
              </w:rPr>
            </w:pPr>
            <w:r>
              <w:rPr>
                <w:szCs w:val="21"/>
              </w:rPr>
              <w:t>mol%</w:t>
            </w:r>
          </w:p>
        </w:tc>
        <w:tc>
          <w:tcPr>
            <w:tcW w:w="1224" w:type="pct"/>
            <w:vAlign w:val="center"/>
          </w:tcPr>
          <w:p w14:paraId="59E5A11A">
            <w:pPr>
              <w:jc w:val="center"/>
              <w:rPr>
                <w:szCs w:val="21"/>
              </w:rPr>
            </w:pPr>
            <w:r>
              <w:rPr>
                <w:rFonts w:hint="eastAsia"/>
                <w:szCs w:val="21"/>
              </w:rPr>
              <w:t>0.01</w:t>
            </w:r>
          </w:p>
        </w:tc>
      </w:tr>
      <w:tr w14:paraId="1820B5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039F93EF">
            <w:pPr>
              <w:jc w:val="center"/>
              <w:rPr>
                <w:szCs w:val="21"/>
              </w:rPr>
            </w:pPr>
            <w:r>
              <w:rPr>
                <w:szCs w:val="21"/>
              </w:rPr>
              <w:t>5</w:t>
            </w:r>
          </w:p>
        </w:tc>
        <w:tc>
          <w:tcPr>
            <w:tcW w:w="1290" w:type="pct"/>
            <w:vAlign w:val="center"/>
          </w:tcPr>
          <w:p w14:paraId="25099B43">
            <w:pPr>
              <w:jc w:val="center"/>
              <w:rPr>
                <w:szCs w:val="21"/>
              </w:rPr>
            </w:pPr>
            <w:r>
              <w:rPr>
                <w:rFonts w:hint="eastAsia"/>
                <w:szCs w:val="21"/>
              </w:rPr>
              <w:t>C</w:t>
            </w:r>
            <w:r>
              <w:rPr>
                <w:rFonts w:hint="eastAsia"/>
                <w:szCs w:val="21"/>
                <w:vertAlign w:val="subscript"/>
              </w:rPr>
              <w:t>9+</w:t>
            </w:r>
          </w:p>
        </w:tc>
        <w:tc>
          <w:tcPr>
            <w:tcW w:w="1276" w:type="pct"/>
            <w:vAlign w:val="center"/>
          </w:tcPr>
          <w:p w14:paraId="54B18C5A">
            <w:pPr>
              <w:jc w:val="center"/>
              <w:rPr>
                <w:szCs w:val="21"/>
              </w:rPr>
            </w:pPr>
            <w:r>
              <w:rPr>
                <w:szCs w:val="21"/>
              </w:rPr>
              <w:t>mol%</w:t>
            </w:r>
          </w:p>
        </w:tc>
        <w:tc>
          <w:tcPr>
            <w:tcW w:w="1224" w:type="pct"/>
            <w:vAlign w:val="center"/>
          </w:tcPr>
          <w:p w14:paraId="2A9551DD">
            <w:pPr>
              <w:jc w:val="center"/>
              <w:rPr>
                <w:szCs w:val="21"/>
              </w:rPr>
            </w:pPr>
            <w:r>
              <w:rPr>
                <w:rFonts w:hint="eastAsia"/>
                <w:szCs w:val="21"/>
              </w:rPr>
              <w:t>0.08</w:t>
            </w:r>
          </w:p>
        </w:tc>
      </w:tr>
      <w:tr w14:paraId="156366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0D3D69EA">
            <w:pPr>
              <w:jc w:val="center"/>
              <w:rPr>
                <w:szCs w:val="21"/>
              </w:rPr>
            </w:pPr>
            <w:r>
              <w:rPr>
                <w:szCs w:val="21"/>
              </w:rPr>
              <w:t>6</w:t>
            </w:r>
          </w:p>
        </w:tc>
        <w:tc>
          <w:tcPr>
            <w:tcW w:w="1290" w:type="pct"/>
            <w:vAlign w:val="center"/>
          </w:tcPr>
          <w:p w14:paraId="5017FE5F">
            <w:pPr>
              <w:jc w:val="center"/>
              <w:rPr>
                <w:szCs w:val="21"/>
              </w:rPr>
            </w:pPr>
            <w:r>
              <w:rPr>
                <w:rFonts w:hint="eastAsia"/>
                <w:szCs w:val="21"/>
              </w:rPr>
              <w:t>H</w:t>
            </w:r>
            <w:r>
              <w:rPr>
                <w:rFonts w:hint="eastAsia"/>
                <w:szCs w:val="21"/>
                <w:vertAlign w:val="subscript"/>
              </w:rPr>
              <w:t>2</w:t>
            </w:r>
            <w:r>
              <w:rPr>
                <w:rFonts w:hint="eastAsia"/>
                <w:szCs w:val="21"/>
              </w:rPr>
              <w:t>O</w:t>
            </w:r>
          </w:p>
        </w:tc>
        <w:tc>
          <w:tcPr>
            <w:tcW w:w="1276" w:type="pct"/>
            <w:vAlign w:val="center"/>
          </w:tcPr>
          <w:p w14:paraId="294C60B1">
            <w:pPr>
              <w:jc w:val="center"/>
              <w:rPr>
                <w:szCs w:val="21"/>
              </w:rPr>
            </w:pPr>
            <w:r>
              <w:rPr>
                <w:szCs w:val="21"/>
              </w:rPr>
              <w:t>mol%</w:t>
            </w:r>
          </w:p>
        </w:tc>
        <w:tc>
          <w:tcPr>
            <w:tcW w:w="1224" w:type="pct"/>
            <w:vAlign w:val="center"/>
          </w:tcPr>
          <w:p w14:paraId="52FB60E0">
            <w:pPr>
              <w:jc w:val="center"/>
              <w:rPr>
                <w:szCs w:val="21"/>
              </w:rPr>
            </w:pPr>
            <w:r>
              <w:rPr>
                <w:rFonts w:hint="eastAsia"/>
                <w:szCs w:val="21"/>
              </w:rPr>
              <w:t>0.01</w:t>
            </w:r>
          </w:p>
        </w:tc>
      </w:tr>
      <w:tr w14:paraId="3023AD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5C2990B3">
            <w:pPr>
              <w:jc w:val="center"/>
              <w:rPr>
                <w:szCs w:val="21"/>
              </w:rPr>
            </w:pPr>
            <w:r>
              <w:rPr>
                <w:rFonts w:hint="eastAsia"/>
                <w:szCs w:val="21"/>
              </w:rPr>
              <w:t>7</w:t>
            </w:r>
          </w:p>
        </w:tc>
        <w:tc>
          <w:tcPr>
            <w:tcW w:w="1290" w:type="pct"/>
            <w:vAlign w:val="center"/>
          </w:tcPr>
          <w:p w14:paraId="0D44E0C6">
            <w:pPr>
              <w:jc w:val="center"/>
              <w:rPr>
                <w:szCs w:val="21"/>
              </w:rPr>
            </w:pPr>
            <w:r>
              <w:rPr>
                <w:szCs w:val="21"/>
              </w:rPr>
              <w:t>CO</w:t>
            </w:r>
            <w:r>
              <w:rPr>
                <w:szCs w:val="21"/>
                <w:vertAlign w:val="subscript"/>
              </w:rPr>
              <w:t>2</w:t>
            </w:r>
          </w:p>
        </w:tc>
        <w:tc>
          <w:tcPr>
            <w:tcW w:w="1276" w:type="pct"/>
            <w:vAlign w:val="center"/>
          </w:tcPr>
          <w:p w14:paraId="7E018FB4">
            <w:pPr>
              <w:jc w:val="center"/>
              <w:rPr>
                <w:szCs w:val="21"/>
              </w:rPr>
            </w:pPr>
            <w:r>
              <w:rPr>
                <w:szCs w:val="21"/>
              </w:rPr>
              <w:t>mol%</w:t>
            </w:r>
          </w:p>
        </w:tc>
        <w:tc>
          <w:tcPr>
            <w:tcW w:w="1224" w:type="pct"/>
            <w:vAlign w:val="center"/>
          </w:tcPr>
          <w:p w14:paraId="66B78FEE">
            <w:pPr>
              <w:jc w:val="center"/>
              <w:rPr>
                <w:szCs w:val="21"/>
              </w:rPr>
            </w:pPr>
            <w:r>
              <w:rPr>
                <w:rFonts w:hint="eastAsia"/>
                <w:szCs w:val="21"/>
              </w:rPr>
              <w:t>0.50</w:t>
            </w:r>
          </w:p>
        </w:tc>
      </w:tr>
      <w:tr w14:paraId="747B0E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63BA36B8">
            <w:pPr>
              <w:jc w:val="center"/>
              <w:rPr>
                <w:szCs w:val="21"/>
              </w:rPr>
            </w:pPr>
            <w:r>
              <w:rPr>
                <w:rFonts w:hint="eastAsia"/>
                <w:szCs w:val="21"/>
              </w:rPr>
              <w:t>8</w:t>
            </w:r>
          </w:p>
        </w:tc>
        <w:tc>
          <w:tcPr>
            <w:tcW w:w="1290" w:type="pct"/>
            <w:vAlign w:val="center"/>
          </w:tcPr>
          <w:p w14:paraId="66585A1D">
            <w:pPr>
              <w:jc w:val="center"/>
              <w:rPr>
                <w:szCs w:val="21"/>
              </w:rPr>
            </w:pPr>
            <w:r>
              <w:rPr>
                <w:rFonts w:hint="eastAsia"/>
                <w:szCs w:val="21"/>
              </w:rPr>
              <w:t>N</w:t>
            </w:r>
            <w:r>
              <w:rPr>
                <w:szCs w:val="21"/>
                <w:vertAlign w:val="subscript"/>
              </w:rPr>
              <w:t>2</w:t>
            </w:r>
          </w:p>
        </w:tc>
        <w:tc>
          <w:tcPr>
            <w:tcW w:w="1276" w:type="pct"/>
            <w:vAlign w:val="center"/>
          </w:tcPr>
          <w:p w14:paraId="62AEC445">
            <w:pPr>
              <w:jc w:val="center"/>
              <w:rPr>
                <w:szCs w:val="21"/>
              </w:rPr>
            </w:pPr>
            <w:r>
              <w:rPr>
                <w:szCs w:val="21"/>
              </w:rPr>
              <w:t>mol%</w:t>
            </w:r>
          </w:p>
        </w:tc>
        <w:tc>
          <w:tcPr>
            <w:tcW w:w="1224" w:type="pct"/>
            <w:vAlign w:val="center"/>
          </w:tcPr>
          <w:p w14:paraId="7385BED6">
            <w:pPr>
              <w:jc w:val="center"/>
              <w:rPr>
                <w:szCs w:val="21"/>
              </w:rPr>
            </w:pPr>
            <w:r>
              <w:rPr>
                <w:rFonts w:hint="eastAsia"/>
                <w:szCs w:val="21"/>
              </w:rPr>
              <w:t>0.18</w:t>
            </w:r>
          </w:p>
        </w:tc>
      </w:tr>
    </w:tbl>
    <w:p w14:paraId="49AB543A">
      <w:pPr>
        <w:pStyle w:val="234"/>
        <w:spacing w:before="120" w:beforeLines="50"/>
      </w:pPr>
      <w:r>
        <w:rPr>
          <w:rFonts w:hint="eastAsia"/>
        </w:rPr>
        <w:t>（4）广东管网天然气组分气质见表3.3-6。</w:t>
      </w:r>
    </w:p>
    <w:p w14:paraId="1A5596E9">
      <w:pPr>
        <w:pStyle w:val="904"/>
        <w:spacing w:before="120" w:beforeLines="50"/>
      </w:pPr>
      <w:r>
        <w:rPr>
          <w:rFonts w:hint="eastAsia"/>
        </w:rPr>
        <w:t>表3</w:t>
      </w:r>
      <w:r>
        <w:t>.</w:t>
      </w:r>
      <w:r>
        <w:rPr>
          <w:rFonts w:hint="eastAsia"/>
        </w:rPr>
        <w:t>3-6</w:t>
      </w:r>
      <w:r>
        <w:t xml:space="preserve"> </w:t>
      </w:r>
      <w:r>
        <w:rPr>
          <w:rFonts w:hint="eastAsia"/>
        </w:rPr>
        <w:t>广东管网天然气气质组分表</w:t>
      </w:r>
    </w:p>
    <w:tbl>
      <w:tblPr>
        <w:tblStyle w:val="8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336"/>
        <w:gridCol w:w="2495"/>
        <w:gridCol w:w="2468"/>
        <w:gridCol w:w="2367"/>
      </w:tblGrid>
      <w:tr w14:paraId="491183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7FCF593A">
            <w:pPr>
              <w:jc w:val="center"/>
              <w:rPr>
                <w:szCs w:val="21"/>
              </w:rPr>
            </w:pPr>
            <w:r>
              <w:rPr>
                <w:szCs w:val="21"/>
              </w:rPr>
              <w:t>序号</w:t>
            </w:r>
          </w:p>
        </w:tc>
        <w:tc>
          <w:tcPr>
            <w:tcW w:w="1290" w:type="pct"/>
            <w:vAlign w:val="center"/>
          </w:tcPr>
          <w:p w14:paraId="5F1A05DF">
            <w:pPr>
              <w:jc w:val="center"/>
              <w:rPr>
                <w:szCs w:val="21"/>
              </w:rPr>
            </w:pPr>
            <w:r>
              <w:rPr>
                <w:szCs w:val="21"/>
              </w:rPr>
              <w:t>组分</w:t>
            </w:r>
          </w:p>
        </w:tc>
        <w:tc>
          <w:tcPr>
            <w:tcW w:w="1276" w:type="pct"/>
            <w:vAlign w:val="center"/>
          </w:tcPr>
          <w:p w14:paraId="0A6F6711">
            <w:pPr>
              <w:jc w:val="center"/>
              <w:rPr>
                <w:szCs w:val="21"/>
              </w:rPr>
            </w:pPr>
            <w:r>
              <w:rPr>
                <w:szCs w:val="21"/>
              </w:rPr>
              <w:t>单位</w:t>
            </w:r>
          </w:p>
        </w:tc>
        <w:tc>
          <w:tcPr>
            <w:tcW w:w="1224" w:type="pct"/>
            <w:vAlign w:val="center"/>
          </w:tcPr>
          <w:p w14:paraId="26074BA6">
            <w:pPr>
              <w:jc w:val="center"/>
              <w:rPr>
                <w:szCs w:val="21"/>
              </w:rPr>
            </w:pPr>
            <w:r>
              <w:rPr>
                <w:szCs w:val="21"/>
              </w:rPr>
              <w:t>平均值</w:t>
            </w:r>
          </w:p>
        </w:tc>
      </w:tr>
      <w:tr w14:paraId="6A32F3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088FAD94">
            <w:pPr>
              <w:jc w:val="center"/>
              <w:rPr>
                <w:szCs w:val="21"/>
              </w:rPr>
            </w:pPr>
            <w:r>
              <w:rPr>
                <w:szCs w:val="21"/>
              </w:rPr>
              <w:t>1</w:t>
            </w:r>
          </w:p>
        </w:tc>
        <w:tc>
          <w:tcPr>
            <w:tcW w:w="1290" w:type="pct"/>
            <w:vAlign w:val="center"/>
          </w:tcPr>
          <w:p w14:paraId="006A66DA">
            <w:pPr>
              <w:jc w:val="center"/>
              <w:rPr>
                <w:szCs w:val="21"/>
              </w:rPr>
            </w:pPr>
            <w:r>
              <w:rPr>
                <w:szCs w:val="21"/>
              </w:rPr>
              <w:t>甲烷（CH</w:t>
            </w:r>
            <w:r>
              <w:rPr>
                <w:szCs w:val="21"/>
                <w:vertAlign w:val="subscript"/>
              </w:rPr>
              <w:t>4</w:t>
            </w:r>
            <w:r>
              <w:rPr>
                <w:szCs w:val="21"/>
              </w:rPr>
              <w:t>）</w:t>
            </w:r>
          </w:p>
        </w:tc>
        <w:tc>
          <w:tcPr>
            <w:tcW w:w="1276" w:type="pct"/>
            <w:vAlign w:val="center"/>
          </w:tcPr>
          <w:p w14:paraId="3C22AD3C">
            <w:pPr>
              <w:jc w:val="center"/>
              <w:rPr>
                <w:szCs w:val="21"/>
              </w:rPr>
            </w:pPr>
            <w:r>
              <w:rPr>
                <w:szCs w:val="21"/>
              </w:rPr>
              <w:t>mol%</w:t>
            </w:r>
          </w:p>
        </w:tc>
        <w:tc>
          <w:tcPr>
            <w:tcW w:w="1224" w:type="pct"/>
            <w:vAlign w:val="center"/>
          </w:tcPr>
          <w:p w14:paraId="795892F2">
            <w:pPr>
              <w:jc w:val="center"/>
              <w:rPr>
                <w:szCs w:val="21"/>
              </w:rPr>
            </w:pPr>
            <w:r>
              <w:rPr>
                <w:rFonts w:hint="eastAsia"/>
                <w:szCs w:val="21"/>
              </w:rPr>
              <w:t>91~99.9</w:t>
            </w:r>
          </w:p>
        </w:tc>
      </w:tr>
      <w:tr w14:paraId="31529B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338CD2E3">
            <w:pPr>
              <w:jc w:val="center"/>
              <w:rPr>
                <w:szCs w:val="21"/>
              </w:rPr>
            </w:pPr>
            <w:r>
              <w:rPr>
                <w:szCs w:val="21"/>
              </w:rPr>
              <w:t>2</w:t>
            </w:r>
          </w:p>
        </w:tc>
        <w:tc>
          <w:tcPr>
            <w:tcW w:w="1290" w:type="pct"/>
            <w:vAlign w:val="center"/>
          </w:tcPr>
          <w:p w14:paraId="31A39D54">
            <w:pPr>
              <w:jc w:val="center"/>
              <w:rPr>
                <w:szCs w:val="21"/>
              </w:rPr>
            </w:pPr>
            <w:r>
              <w:rPr>
                <w:szCs w:val="21"/>
              </w:rPr>
              <w:t>乙烷（C</w:t>
            </w:r>
            <w:r>
              <w:rPr>
                <w:szCs w:val="21"/>
                <w:vertAlign w:val="subscript"/>
              </w:rPr>
              <w:t>2</w:t>
            </w:r>
            <w:r>
              <w:rPr>
                <w:szCs w:val="21"/>
              </w:rPr>
              <w:t>H</w:t>
            </w:r>
            <w:r>
              <w:rPr>
                <w:szCs w:val="21"/>
                <w:vertAlign w:val="subscript"/>
              </w:rPr>
              <w:t>6</w:t>
            </w:r>
            <w:r>
              <w:rPr>
                <w:szCs w:val="21"/>
              </w:rPr>
              <w:t>）</w:t>
            </w:r>
          </w:p>
        </w:tc>
        <w:tc>
          <w:tcPr>
            <w:tcW w:w="1276" w:type="pct"/>
            <w:vAlign w:val="center"/>
          </w:tcPr>
          <w:p w14:paraId="3D362EED">
            <w:pPr>
              <w:jc w:val="center"/>
              <w:rPr>
                <w:szCs w:val="21"/>
              </w:rPr>
            </w:pPr>
            <w:r>
              <w:rPr>
                <w:szCs w:val="21"/>
              </w:rPr>
              <w:t>mol%</w:t>
            </w:r>
          </w:p>
        </w:tc>
        <w:tc>
          <w:tcPr>
            <w:tcW w:w="1224" w:type="pct"/>
            <w:vAlign w:val="center"/>
          </w:tcPr>
          <w:p w14:paraId="75D2D73F">
            <w:pPr>
              <w:jc w:val="center"/>
              <w:rPr>
                <w:szCs w:val="21"/>
              </w:rPr>
            </w:pPr>
            <w:r>
              <w:rPr>
                <w:rFonts w:hint="eastAsia"/>
                <w:szCs w:val="21"/>
              </w:rPr>
              <w:t>0.1~5</w:t>
            </w:r>
          </w:p>
        </w:tc>
      </w:tr>
      <w:tr w14:paraId="1AA6AE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47CA8807">
            <w:pPr>
              <w:jc w:val="center"/>
              <w:rPr>
                <w:szCs w:val="21"/>
              </w:rPr>
            </w:pPr>
            <w:r>
              <w:rPr>
                <w:szCs w:val="21"/>
              </w:rPr>
              <w:t>3</w:t>
            </w:r>
          </w:p>
        </w:tc>
        <w:tc>
          <w:tcPr>
            <w:tcW w:w="1290" w:type="pct"/>
            <w:vAlign w:val="center"/>
          </w:tcPr>
          <w:p w14:paraId="20587BDB">
            <w:pPr>
              <w:jc w:val="center"/>
              <w:rPr>
                <w:szCs w:val="21"/>
              </w:rPr>
            </w:pPr>
            <w:r>
              <w:rPr>
                <w:szCs w:val="21"/>
              </w:rPr>
              <w:t>丙烷（C</w:t>
            </w:r>
            <w:r>
              <w:rPr>
                <w:szCs w:val="21"/>
                <w:vertAlign w:val="subscript"/>
              </w:rPr>
              <w:t>3</w:t>
            </w:r>
            <w:r>
              <w:rPr>
                <w:szCs w:val="21"/>
              </w:rPr>
              <w:t>H</w:t>
            </w:r>
            <w:r>
              <w:rPr>
                <w:szCs w:val="21"/>
                <w:vertAlign w:val="subscript"/>
              </w:rPr>
              <w:t>8</w:t>
            </w:r>
            <w:r>
              <w:rPr>
                <w:szCs w:val="21"/>
              </w:rPr>
              <w:t>）</w:t>
            </w:r>
          </w:p>
        </w:tc>
        <w:tc>
          <w:tcPr>
            <w:tcW w:w="1276" w:type="pct"/>
            <w:vAlign w:val="center"/>
          </w:tcPr>
          <w:p w14:paraId="3CD57E41">
            <w:pPr>
              <w:jc w:val="center"/>
              <w:rPr>
                <w:szCs w:val="21"/>
              </w:rPr>
            </w:pPr>
            <w:r>
              <w:rPr>
                <w:szCs w:val="21"/>
              </w:rPr>
              <w:t>mol%</w:t>
            </w:r>
          </w:p>
        </w:tc>
        <w:tc>
          <w:tcPr>
            <w:tcW w:w="1224" w:type="pct"/>
            <w:vAlign w:val="center"/>
          </w:tcPr>
          <w:p w14:paraId="631B6B34">
            <w:pPr>
              <w:jc w:val="center"/>
              <w:rPr>
                <w:szCs w:val="21"/>
              </w:rPr>
            </w:pPr>
            <w:r>
              <w:rPr>
                <w:rFonts w:hint="eastAsia"/>
                <w:szCs w:val="21"/>
              </w:rPr>
              <w:t>0~2.5</w:t>
            </w:r>
          </w:p>
        </w:tc>
      </w:tr>
      <w:tr w14:paraId="516B29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110D6D0A">
            <w:pPr>
              <w:jc w:val="center"/>
              <w:rPr>
                <w:szCs w:val="21"/>
              </w:rPr>
            </w:pPr>
            <w:r>
              <w:rPr>
                <w:szCs w:val="21"/>
              </w:rPr>
              <w:t>4</w:t>
            </w:r>
          </w:p>
        </w:tc>
        <w:tc>
          <w:tcPr>
            <w:tcW w:w="1290" w:type="pct"/>
            <w:vAlign w:val="center"/>
          </w:tcPr>
          <w:p w14:paraId="6B02D126">
            <w:pPr>
              <w:jc w:val="center"/>
              <w:rPr>
                <w:szCs w:val="21"/>
              </w:rPr>
            </w:pPr>
            <w:r>
              <w:rPr>
                <w:rFonts w:hint="eastAsia"/>
                <w:szCs w:val="21"/>
              </w:rPr>
              <w:t>iC</w:t>
            </w:r>
            <w:r>
              <w:rPr>
                <w:rFonts w:hint="eastAsia"/>
                <w:szCs w:val="21"/>
                <w:vertAlign w:val="subscript"/>
              </w:rPr>
              <w:t>4</w:t>
            </w:r>
            <w:r>
              <w:rPr>
                <w:rFonts w:hint="eastAsia"/>
                <w:szCs w:val="21"/>
              </w:rPr>
              <w:t>H</w:t>
            </w:r>
            <w:r>
              <w:rPr>
                <w:rFonts w:hint="eastAsia"/>
                <w:szCs w:val="21"/>
                <w:vertAlign w:val="subscript"/>
              </w:rPr>
              <w:t>10</w:t>
            </w:r>
          </w:p>
        </w:tc>
        <w:tc>
          <w:tcPr>
            <w:tcW w:w="1276" w:type="pct"/>
            <w:vAlign w:val="center"/>
          </w:tcPr>
          <w:p w14:paraId="7AE3B071">
            <w:pPr>
              <w:jc w:val="center"/>
              <w:rPr>
                <w:szCs w:val="21"/>
              </w:rPr>
            </w:pPr>
            <w:r>
              <w:rPr>
                <w:szCs w:val="21"/>
              </w:rPr>
              <w:t>mol%</w:t>
            </w:r>
          </w:p>
        </w:tc>
        <w:tc>
          <w:tcPr>
            <w:tcW w:w="1224" w:type="pct"/>
            <w:vAlign w:val="center"/>
          </w:tcPr>
          <w:p w14:paraId="3263877B">
            <w:pPr>
              <w:jc w:val="center"/>
              <w:rPr>
                <w:szCs w:val="21"/>
              </w:rPr>
            </w:pPr>
            <w:r>
              <w:rPr>
                <w:rFonts w:hint="eastAsia"/>
                <w:szCs w:val="21"/>
              </w:rPr>
              <w:t>0~1</w:t>
            </w:r>
          </w:p>
        </w:tc>
      </w:tr>
      <w:tr w14:paraId="6547CD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384EEA70">
            <w:pPr>
              <w:jc w:val="center"/>
              <w:rPr>
                <w:szCs w:val="21"/>
              </w:rPr>
            </w:pPr>
            <w:r>
              <w:rPr>
                <w:szCs w:val="21"/>
              </w:rPr>
              <w:t>5</w:t>
            </w:r>
          </w:p>
        </w:tc>
        <w:tc>
          <w:tcPr>
            <w:tcW w:w="1290" w:type="pct"/>
            <w:vAlign w:val="center"/>
          </w:tcPr>
          <w:p w14:paraId="24EEC97B">
            <w:pPr>
              <w:jc w:val="center"/>
              <w:rPr>
                <w:szCs w:val="21"/>
              </w:rPr>
            </w:pPr>
            <w:r>
              <w:rPr>
                <w:rFonts w:hint="eastAsia"/>
                <w:szCs w:val="21"/>
              </w:rPr>
              <w:t>iC</w:t>
            </w:r>
            <w:r>
              <w:rPr>
                <w:rFonts w:hint="eastAsia"/>
                <w:szCs w:val="21"/>
                <w:vertAlign w:val="subscript"/>
              </w:rPr>
              <w:t>5</w:t>
            </w:r>
            <w:r>
              <w:rPr>
                <w:rFonts w:hint="eastAsia"/>
                <w:szCs w:val="21"/>
              </w:rPr>
              <w:t>H</w:t>
            </w:r>
            <w:r>
              <w:rPr>
                <w:rFonts w:hint="eastAsia"/>
                <w:szCs w:val="21"/>
                <w:vertAlign w:val="subscript"/>
              </w:rPr>
              <w:t>12</w:t>
            </w:r>
          </w:p>
        </w:tc>
        <w:tc>
          <w:tcPr>
            <w:tcW w:w="1276" w:type="pct"/>
            <w:vAlign w:val="center"/>
          </w:tcPr>
          <w:p w14:paraId="195484D9">
            <w:pPr>
              <w:jc w:val="center"/>
              <w:rPr>
                <w:szCs w:val="21"/>
              </w:rPr>
            </w:pPr>
            <w:r>
              <w:rPr>
                <w:szCs w:val="21"/>
              </w:rPr>
              <w:t>mol%</w:t>
            </w:r>
          </w:p>
        </w:tc>
        <w:tc>
          <w:tcPr>
            <w:tcW w:w="1224" w:type="pct"/>
            <w:vAlign w:val="center"/>
          </w:tcPr>
          <w:p w14:paraId="4824AB38">
            <w:pPr>
              <w:jc w:val="center"/>
              <w:rPr>
                <w:szCs w:val="21"/>
              </w:rPr>
            </w:pPr>
            <w:r>
              <w:rPr>
                <w:rFonts w:hint="eastAsia"/>
                <w:szCs w:val="21"/>
              </w:rPr>
              <w:t>0~0.1</w:t>
            </w:r>
          </w:p>
        </w:tc>
      </w:tr>
      <w:tr w14:paraId="1DFFF3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208" w:type="pct"/>
            <w:vAlign w:val="center"/>
          </w:tcPr>
          <w:p w14:paraId="3C5195F4">
            <w:pPr>
              <w:jc w:val="center"/>
              <w:rPr>
                <w:szCs w:val="21"/>
              </w:rPr>
            </w:pPr>
            <w:r>
              <w:rPr>
                <w:szCs w:val="21"/>
              </w:rPr>
              <w:t>6</w:t>
            </w:r>
          </w:p>
        </w:tc>
        <w:tc>
          <w:tcPr>
            <w:tcW w:w="1290" w:type="pct"/>
            <w:vAlign w:val="center"/>
          </w:tcPr>
          <w:p w14:paraId="3EF10AFC">
            <w:pPr>
              <w:jc w:val="center"/>
              <w:rPr>
                <w:szCs w:val="21"/>
              </w:rPr>
            </w:pPr>
            <w:r>
              <w:rPr>
                <w:rFonts w:hint="eastAsia"/>
                <w:szCs w:val="21"/>
              </w:rPr>
              <w:t>N</w:t>
            </w:r>
            <w:r>
              <w:rPr>
                <w:rFonts w:hint="eastAsia"/>
                <w:szCs w:val="21"/>
                <w:vertAlign w:val="subscript"/>
              </w:rPr>
              <w:t>2</w:t>
            </w:r>
          </w:p>
        </w:tc>
        <w:tc>
          <w:tcPr>
            <w:tcW w:w="1276" w:type="pct"/>
            <w:vAlign w:val="center"/>
          </w:tcPr>
          <w:p w14:paraId="3415A004">
            <w:pPr>
              <w:jc w:val="center"/>
              <w:rPr>
                <w:szCs w:val="21"/>
              </w:rPr>
            </w:pPr>
            <w:r>
              <w:rPr>
                <w:szCs w:val="21"/>
              </w:rPr>
              <w:t>mol%</w:t>
            </w:r>
          </w:p>
        </w:tc>
        <w:tc>
          <w:tcPr>
            <w:tcW w:w="1224" w:type="pct"/>
            <w:vAlign w:val="center"/>
          </w:tcPr>
          <w:p w14:paraId="2F155611">
            <w:pPr>
              <w:jc w:val="center"/>
              <w:rPr>
                <w:szCs w:val="21"/>
              </w:rPr>
            </w:pPr>
            <w:r>
              <w:rPr>
                <w:rFonts w:hint="eastAsia"/>
                <w:szCs w:val="21"/>
              </w:rPr>
              <w:t>0~0.5</w:t>
            </w:r>
          </w:p>
        </w:tc>
      </w:tr>
    </w:tbl>
    <w:p w14:paraId="1A88492B">
      <w:pPr>
        <w:pStyle w:val="234"/>
        <w:spacing w:before="120" w:beforeLines="50"/>
      </w:pPr>
      <w:r>
        <w:t>由表3.</w:t>
      </w:r>
      <w:r>
        <w:rPr>
          <w:rFonts w:hint="eastAsia"/>
        </w:rPr>
        <w:t>3</w:t>
      </w:r>
      <w:r>
        <w:t>-3</w:t>
      </w:r>
      <w:r>
        <w:rPr>
          <w:rFonts w:hint="eastAsia"/>
        </w:rPr>
        <w:t>至表3</w:t>
      </w:r>
      <w:r>
        <w:t>.</w:t>
      </w:r>
      <w:r>
        <w:rPr>
          <w:rFonts w:hint="eastAsia"/>
        </w:rPr>
        <w:t>3-6</w:t>
      </w:r>
      <w:r>
        <w:t>可知，本工程气源满足《天然气》（GB</w:t>
      </w:r>
      <w:r>
        <w:rPr>
          <w:rStyle w:val="1345"/>
        </w:rPr>
        <w:t xml:space="preserve"> </w:t>
      </w:r>
      <w:r>
        <w:t>17820-2018）</w:t>
      </w:r>
      <w:r>
        <w:rPr>
          <w:rFonts w:hint="eastAsia"/>
        </w:rPr>
        <w:t>一</w:t>
      </w:r>
      <w:r>
        <w:t>类气标准</w:t>
      </w:r>
      <w:r>
        <w:rPr>
          <w:rFonts w:hint="eastAsia"/>
        </w:rPr>
        <w:t>要求和《进入天然气长输管道的气体质量要求》（G</w:t>
      </w:r>
      <w:r>
        <w:t>B/T37124-2018</w:t>
      </w:r>
      <w:r>
        <w:rPr>
          <w:rFonts w:hint="eastAsia"/>
        </w:rPr>
        <w:t>）</w:t>
      </w:r>
      <w:r>
        <w:t>中的规定。天然气理化性质见表3.</w:t>
      </w:r>
      <w:r>
        <w:rPr>
          <w:rFonts w:hint="eastAsia"/>
        </w:rPr>
        <w:t>3-7</w:t>
      </w:r>
      <w:r>
        <w:t>。</w:t>
      </w:r>
    </w:p>
    <w:p w14:paraId="7BFA6F9C">
      <w:pPr>
        <w:pStyle w:val="904"/>
      </w:pPr>
      <w:r>
        <w:rPr>
          <w:rFonts w:hint="eastAsia"/>
        </w:rPr>
        <w:t>表3.3-7天然气理化特性</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54"/>
        <w:gridCol w:w="687"/>
        <w:gridCol w:w="3846"/>
        <w:gridCol w:w="2062"/>
        <w:gridCol w:w="2311"/>
      </w:tblGrid>
      <w:tr w14:paraId="647F9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3" w:type="pct"/>
            <w:vAlign w:val="center"/>
          </w:tcPr>
          <w:p w14:paraId="577C9BCE">
            <w:pPr>
              <w:jc w:val="center"/>
              <w:rPr>
                <w:bCs/>
                <w:szCs w:val="21"/>
              </w:rPr>
            </w:pPr>
            <w:r>
              <w:rPr>
                <w:bCs/>
                <w:szCs w:val="21"/>
              </w:rPr>
              <w:t>名称</w:t>
            </w:r>
          </w:p>
        </w:tc>
        <w:tc>
          <w:tcPr>
            <w:tcW w:w="363" w:type="pct"/>
            <w:vAlign w:val="center"/>
          </w:tcPr>
          <w:p w14:paraId="721622F0">
            <w:pPr>
              <w:jc w:val="center"/>
              <w:rPr>
                <w:bCs/>
                <w:szCs w:val="21"/>
              </w:rPr>
            </w:pPr>
            <w:r>
              <w:rPr>
                <w:bCs/>
                <w:szCs w:val="21"/>
              </w:rPr>
              <w:t>分子式</w:t>
            </w:r>
          </w:p>
        </w:tc>
        <w:tc>
          <w:tcPr>
            <w:tcW w:w="2033" w:type="pct"/>
            <w:vAlign w:val="center"/>
          </w:tcPr>
          <w:p w14:paraId="79AA38D9">
            <w:pPr>
              <w:jc w:val="center"/>
              <w:rPr>
                <w:bCs/>
                <w:szCs w:val="21"/>
              </w:rPr>
            </w:pPr>
            <w:r>
              <w:rPr>
                <w:bCs/>
                <w:szCs w:val="21"/>
              </w:rPr>
              <w:t>理化特性</w:t>
            </w:r>
          </w:p>
        </w:tc>
        <w:tc>
          <w:tcPr>
            <w:tcW w:w="1090" w:type="pct"/>
            <w:vAlign w:val="center"/>
          </w:tcPr>
          <w:p w14:paraId="5618AA18">
            <w:pPr>
              <w:jc w:val="center"/>
              <w:rPr>
                <w:bCs/>
                <w:szCs w:val="21"/>
              </w:rPr>
            </w:pPr>
            <w:r>
              <w:rPr>
                <w:bCs/>
                <w:szCs w:val="21"/>
              </w:rPr>
              <w:t>燃烧爆炸性</w:t>
            </w:r>
          </w:p>
        </w:tc>
        <w:tc>
          <w:tcPr>
            <w:tcW w:w="1221" w:type="pct"/>
            <w:vAlign w:val="center"/>
          </w:tcPr>
          <w:p w14:paraId="2FC57693">
            <w:pPr>
              <w:jc w:val="center"/>
              <w:rPr>
                <w:bCs/>
                <w:szCs w:val="21"/>
              </w:rPr>
            </w:pPr>
            <w:r>
              <w:rPr>
                <w:bCs/>
                <w:szCs w:val="21"/>
              </w:rPr>
              <w:t>毒性毒理</w:t>
            </w:r>
          </w:p>
        </w:tc>
      </w:tr>
      <w:tr w14:paraId="30B49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3" w:type="pct"/>
            <w:vAlign w:val="center"/>
          </w:tcPr>
          <w:p w14:paraId="11447304">
            <w:pPr>
              <w:jc w:val="center"/>
              <w:rPr>
                <w:szCs w:val="21"/>
              </w:rPr>
            </w:pPr>
            <w:r>
              <w:rPr>
                <w:szCs w:val="21"/>
              </w:rPr>
              <w:t>甲烷</w:t>
            </w:r>
          </w:p>
        </w:tc>
        <w:tc>
          <w:tcPr>
            <w:tcW w:w="363" w:type="pct"/>
            <w:vAlign w:val="center"/>
          </w:tcPr>
          <w:p w14:paraId="0F512C46">
            <w:pPr>
              <w:jc w:val="center"/>
              <w:rPr>
                <w:szCs w:val="21"/>
              </w:rPr>
            </w:pPr>
            <w:r>
              <w:rPr>
                <w:szCs w:val="21"/>
              </w:rPr>
              <w:t>CH</w:t>
            </w:r>
            <w:r>
              <w:rPr>
                <w:szCs w:val="21"/>
                <w:vertAlign w:val="subscript"/>
              </w:rPr>
              <w:t>4</w:t>
            </w:r>
          </w:p>
        </w:tc>
        <w:tc>
          <w:tcPr>
            <w:tcW w:w="2033" w:type="pct"/>
            <w:vAlign w:val="center"/>
          </w:tcPr>
          <w:p w14:paraId="19C6BCE1">
            <w:pPr>
              <w:rPr>
                <w:szCs w:val="21"/>
              </w:rPr>
            </w:pPr>
            <w:r>
              <w:rPr>
                <w:szCs w:val="21"/>
              </w:rPr>
              <w:t>分子量：16.04，无色、无味、可燃和微毒的气体。熔点：-182.5℃，沸点：-161.5℃，蒸汽压53.32kPa/-168.8℃，饱和蒸气压(kPa)：53.32(-168.8℃)，相对密度(水=1)0.42(-164℃)，相对蒸气密度(空气=1)：0.55，闪点(℃)：-188，燃烧热：890.31KJ/mol，临界温度(℃)：-82.6，临界压力(MPa)：4.5。甲烷是天然气、沼气、坑气及煤气的主要成分之一。它可用作燃料及制造氢、一氧化碳、炭黑、乙炔、氢氰酸及甲醛等物质的原料。</w:t>
            </w:r>
          </w:p>
        </w:tc>
        <w:tc>
          <w:tcPr>
            <w:tcW w:w="1090" w:type="pct"/>
            <w:vAlign w:val="center"/>
          </w:tcPr>
          <w:p w14:paraId="59F162E0">
            <w:pPr>
              <w:rPr>
                <w:szCs w:val="21"/>
              </w:rPr>
            </w:pPr>
            <w:r>
              <w:rPr>
                <w:szCs w:val="21"/>
              </w:rPr>
              <w:t>爆炸上限%(V/V)：15，爆炸下限%(V/V)：5.3，易燃，与空气混合能形成爆炸性混合物，遇热源和明火有燃烧爆炸的危险。与五氧化溴、氯气、次氯酸、三氟化氮、液氧、二氟化氧及其它强氧化剂接触反应剧烈。</w:t>
            </w:r>
          </w:p>
        </w:tc>
        <w:tc>
          <w:tcPr>
            <w:tcW w:w="1221" w:type="pct"/>
            <w:vAlign w:val="center"/>
          </w:tcPr>
          <w:p w14:paraId="140BA709">
            <w:pPr>
              <w:rPr>
                <w:szCs w:val="21"/>
              </w:rPr>
            </w:pPr>
            <w:r>
              <w:rPr>
                <w:szCs w:val="21"/>
              </w:rPr>
              <w:t>属微毒类。允许气体安全地扩散到大气中或当作燃料使用。有单纯性窒息作用，在高浓度时因缺氧窒息而引起中毒。空气中达到25～30%出现头昏、呼吸加速、运动失调。小鼠吸入42%浓度×60分钟，麻醉作用；兔吸入42%浓度×60分钟，麻醉作用。</w:t>
            </w:r>
          </w:p>
        </w:tc>
      </w:tr>
    </w:tbl>
    <w:p w14:paraId="20727D26">
      <w:pPr>
        <w:pStyle w:val="5"/>
        <w:spacing w:before="120" w:beforeLines="50"/>
        <w:rPr>
          <w:i/>
          <w:iCs/>
          <w:color w:val="auto"/>
          <w:u w:val="single"/>
        </w:rPr>
      </w:pPr>
      <w:r>
        <w:rPr>
          <w:rFonts w:hint="eastAsia"/>
          <w:i/>
          <w:iCs/>
          <w:color w:val="auto"/>
          <w:u w:val="single"/>
        </w:rPr>
        <w:t>天然气服务范围</w:t>
      </w:r>
    </w:p>
    <w:p w14:paraId="0BB26A21">
      <w:pPr>
        <w:spacing w:line="360" w:lineRule="auto"/>
        <w:ind w:firstLine="480" w:firstLineChars="200"/>
        <w:rPr>
          <w:i/>
          <w:iCs/>
          <w:color w:val="auto"/>
          <w:sz w:val="24"/>
          <w:u w:val="single"/>
        </w:rPr>
      </w:pPr>
      <w:r>
        <w:rPr>
          <w:rFonts w:hint="eastAsia"/>
          <w:i/>
          <w:iCs/>
          <w:color w:val="auto"/>
          <w:sz w:val="24"/>
          <w:u w:val="single"/>
        </w:rPr>
        <w:t>本项目</w:t>
      </w:r>
      <w:r>
        <w:rPr>
          <w:i/>
          <w:iCs/>
          <w:color w:val="auto"/>
          <w:sz w:val="24"/>
          <w:u w:val="single"/>
        </w:rPr>
        <w:t>主要供气对象为耒阳市居民用户、商业用户和工业天然气用户</w:t>
      </w:r>
      <w:r>
        <w:rPr>
          <w:rFonts w:hint="eastAsia"/>
          <w:i/>
          <w:iCs/>
          <w:color w:val="auto"/>
          <w:sz w:val="24"/>
          <w:u w:val="single"/>
        </w:rPr>
        <w:t>。</w:t>
      </w:r>
      <w:r>
        <w:rPr>
          <w:i/>
          <w:iCs/>
          <w:color w:val="auto"/>
          <w:sz w:val="24"/>
          <w:u w:val="single"/>
        </w:rPr>
        <w:t>根据市场调研情况，远期预测耒阳市主要需求分布为耒阳市城区及乡镇居民、工商业用户、大市循环产业园及其他工业园区</w:t>
      </w:r>
      <w:r>
        <w:rPr>
          <w:rFonts w:hint="eastAsia"/>
          <w:i/>
          <w:iCs/>
          <w:color w:val="auto"/>
          <w:sz w:val="24"/>
          <w:u w:val="single"/>
        </w:rPr>
        <w:t>。</w:t>
      </w:r>
    </w:p>
    <w:p w14:paraId="33B75E0C">
      <w:pPr>
        <w:pStyle w:val="5"/>
        <w:spacing w:before="120" w:beforeLines="50"/>
        <w:rPr>
          <w:color w:val="auto"/>
        </w:rPr>
      </w:pPr>
      <w:r>
        <w:rPr>
          <w:color w:val="auto"/>
        </w:rPr>
        <w:t>管道线路工程</w:t>
      </w:r>
    </w:p>
    <w:p w14:paraId="0F1C4706">
      <w:pPr>
        <w:pStyle w:val="7"/>
      </w:pPr>
      <w:r>
        <w:t>线路走向方案和施工方法</w:t>
      </w:r>
    </w:p>
    <w:p w14:paraId="4FA9407C">
      <w:pPr>
        <w:spacing w:line="360" w:lineRule="auto"/>
        <w:ind w:firstLine="480" w:firstLineChars="200"/>
        <w:rPr>
          <w:sz w:val="24"/>
        </w:rPr>
      </w:pPr>
      <w:r>
        <w:rPr>
          <w:sz w:val="24"/>
        </w:rPr>
        <w:t>（1）线路总体走向</w:t>
      </w:r>
    </w:p>
    <w:p w14:paraId="06E29BF7">
      <w:pPr>
        <w:spacing w:line="360" w:lineRule="auto"/>
        <w:ind w:firstLine="480" w:firstLineChars="200"/>
        <w:rPr>
          <w:sz w:val="24"/>
        </w:rPr>
      </w:pPr>
      <w:r>
        <w:rPr>
          <w:rFonts w:hint="eastAsia"/>
          <w:sz w:val="24"/>
        </w:rPr>
        <w:t>管道自28号阀室（已建）向南敷设至G356，过G356后向东南方向经过耒阳门站至本项目新建耒阳分输站。</w:t>
      </w:r>
    </w:p>
    <w:p w14:paraId="1B1821F7">
      <w:pPr>
        <w:pStyle w:val="46"/>
        <w:spacing w:line="360" w:lineRule="auto"/>
        <w:ind w:firstLine="480" w:firstLineChars="200"/>
        <w:rPr>
          <w:rFonts w:ascii="Times New Roman" w:hAnsi="Times New Roman" w:cs="Times New Roman"/>
          <w:sz w:val="24"/>
        </w:rPr>
      </w:pPr>
      <w:r>
        <w:rPr>
          <w:rFonts w:ascii="Times New Roman" w:hAnsi="Times New Roman" w:cs="Times New Roman"/>
          <w:sz w:val="24"/>
        </w:rPr>
        <w:t>本工程</w:t>
      </w:r>
      <w:r>
        <w:rPr>
          <w:rFonts w:hint="eastAsia" w:ascii="Times New Roman" w:hAnsi="Times New Roman" w:cs="Times New Roman"/>
          <w:sz w:val="24"/>
        </w:rPr>
        <w:t>共新建</w:t>
      </w:r>
      <w:r>
        <w:rPr>
          <w:rFonts w:ascii="Times New Roman" w:hAnsi="Times New Roman" w:cs="Times New Roman"/>
          <w:sz w:val="24"/>
        </w:rPr>
        <w:t>1座</w:t>
      </w:r>
      <w:r>
        <w:rPr>
          <w:rFonts w:hint="eastAsia" w:ascii="Times New Roman" w:hAnsi="Times New Roman" w:cs="Times New Roman"/>
          <w:sz w:val="24"/>
        </w:rPr>
        <w:t>耒阳分输站</w:t>
      </w:r>
      <w:r>
        <w:rPr>
          <w:rFonts w:ascii="Times New Roman" w:hAnsi="Times New Roman" w:cs="Times New Roman"/>
          <w:sz w:val="24"/>
        </w:rPr>
        <w:t>，在已建的</w:t>
      </w:r>
      <w:r>
        <w:rPr>
          <w:rFonts w:hint="eastAsia" w:ascii="Times New Roman" w:hAnsi="Times New Roman" w:cs="Times New Roman"/>
          <w:sz w:val="24"/>
        </w:rPr>
        <w:t>潜江—韶关输气管道28号阀室</w:t>
      </w:r>
      <w:r>
        <w:rPr>
          <w:rFonts w:ascii="Times New Roman" w:hAnsi="Times New Roman" w:cs="Times New Roman"/>
          <w:sz w:val="24"/>
        </w:rPr>
        <w:t>内进行改造，</w:t>
      </w:r>
      <w:r>
        <w:rPr>
          <w:rFonts w:hint="eastAsia" w:ascii="Times New Roman" w:hAnsi="Times New Roman" w:cs="Times New Roman"/>
          <w:sz w:val="24"/>
        </w:rPr>
        <w:t>新增分输阀组一套</w:t>
      </w:r>
      <w:r>
        <w:rPr>
          <w:rFonts w:ascii="Times New Roman" w:hAnsi="Times New Roman" w:cs="Times New Roman"/>
          <w:sz w:val="24"/>
        </w:rPr>
        <w:t>。</w:t>
      </w:r>
    </w:p>
    <w:p w14:paraId="1A99121B">
      <w:pPr>
        <w:spacing w:line="360" w:lineRule="auto"/>
        <w:ind w:firstLine="480" w:firstLineChars="200"/>
      </w:pPr>
      <w:r>
        <w:rPr>
          <w:sz w:val="24"/>
        </w:rPr>
        <w:t>本工程</w:t>
      </w:r>
      <w:r>
        <w:rPr>
          <w:rFonts w:hint="eastAsia"/>
          <w:sz w:val="24"/>
        </w:rPr>
        <w:t>全线位于湖南省耒阳市境内，管线路由详见图3.3-1。</w:t>
      </w:r>
    </w:p>
    <w:p w14:paraId="43D4AFFE">
      <w:pPr>
        <w:pStyle w:val="234"/>
        <w:adjustRightInd w:val="0"/>
        <w:ind w:firstLine="0" w:firstLineChars="0"/>
        <w:jc w:val="center"/>
      </w:pPr>
      <w:r>
        <w:rPr>
          <w:rFonts w:hint="eastAsia"/>
        </w:rPr>
        <w:drawing>
          <wp:inline distT="0" distB="0" distL="114300" distR="114300">
            <wp:extent cx="5092065" cy="8561705"/>
            <wp:effectExtent l="0" t="0" r="13335" b="10795"/>
            <wp:docPr id="36" name="图片 36" descr="bddb116281fb2006cdb3bccd760d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bddb116281fb2006cdb3bccd760d323"/>
                    <pic:cNvPicPr>
                      <a:picLocks noChangeAspect="1"/>
                    </pic:cNvPicPr>
                  </pic:nvPicPr>
                  <pic:blipFill>
                    <a:blip r:embed="rId41"/>
                    <a:stretch>
                      <a:fillRect/>
                    </a:stretch>
                  </pic:blipFill>
                  <pic:spPr>
                    <a:xfrm>
                      <a:off x="0" y="0"/>
                      <a:ext cx="5092065" cy="8561705"/>
                    </a:xfrm>
                    <a:prstGeom prst="rect">
                      <a:avLst/>
                    </a:prstGeom>
                  </pic:spPr>
                </pic:pic>
              </a:graphicData>
            </a:graphic>
          </wp:inline>
        </w:drawing>
      </w:r>
    </w:p>
    <w:p w14:paraId="69B90A3F">
      <w:pPr>
        <w:pStyle w:val="904"/>
        <w:spacing w:line="360" w:lineRule="auto"/>
      </w:pPr>
      <w:r>
        <w:rPr>
          <w:rFonts w:hint="eastAsia"/>
        </w:rPr>
        <w:t>图3.3-1  本工程管线路由图</w:t>
      </w:r>
    </w:p>
    <w:p w14:paraId="20DD735A">
      <w:pPr>
        <w:pStyle w:val="234"/>
        <w:adjustRightInd w:val="0"/>
      </w:pPr>
      <w:r>
        <w:t>（2）线路施工方法</w:t>
      </w:r>
    </w:p>
    <w:p w14:paraId="0691777D">
      <w:pPr>
        <w:pStyle w:val="234"/>
        <w:adjustRightInd w:val="0"/>
      </w:pPr>
      <w:r>
        <w:t>本工程新建约</w:t>
      </w:r>
      <w:r>
        <w:rPr>
          <w:rFonts w:hint="eastAsia"/>
        </w:rPr>
        <w:t>0.</w:t>
      </w:r>
      <w:r>
        <w:rPr>
          <w:rFonts w:hint="eastAsia"/>
          <w:lang w:eastAsia="zh-CN"/>
        </w:rPr>
        <w:t>760</w:t>
      </w:r>
      <w:r>
        <w:t>km管道，沿线地貌以</w:t>
      </w:r>
      <w:r>
        <w:rPr>
          <w:rFonts w:hint="eastAsia"/>
        </w:rPr>
        <w:t>平原和丘陵</w:t>
      </w:r>
      <w:r>
        <w:t>为主，管道采用沟埋敷设，管顶埋深不少于1.</w:t>
      </w:r>
      <w:r>
        <w:rPr>
          <w:rFonts w:hint="eastAsia"/>
        </w:rPr>
        <w:t>5</w:t>
      </w:r>
      <w:r>
        <w:t>m，管沟尺寸应符合《输气管道工程设计规范》（GB 50251-2015）及《油气长输管道工程施工及验收规范》（GB50369-2014）的要求。管沟内全线设置管道警示带，警示带用于警示下方敷设有管道，其敷设位置宜在管道上方0.5m处的同一管沟内。</w:t>
      </w:r>
      <w:r>
        <w:rPr>
          <w:rFonts w:hint="eastAsia"/>
        </w:rPr>
        <w:t>G356国道穿越采用顶管+套管方式，严格执行</w:t>
      </w:r>
      <w:r>
        <w:t>《油气输送管道穿越工程设计规范》（GB 50423-2013）的有关规定</w:t>
      </w:r>
      <w:r>
        <w:rPr>
          <w:rFonts w:hint="eastAsia"/>
        </w:rPr>
        <w:t>。</w:t>
      </w:r>
    </w:p>
    <w:p w14:paraId="51E1F75B">
      <w:pPr>
        <w:pStyle w:val="7"/>
      </w:pPr>
      <w:r>
        <w:t>管道敷设工程</w:t>
      </w:r>
    </w:p>
    <w:p w14:paraId="41A217E9">
      <w:pPr>
        <w:spacing w:line="360" w:lineRule="auto"/>
        <w:ind w:firstLine="480" w:firstLineChars="200"/>
        <w:rPr>
          <w:sz w:val="24"/>
        </w:rPr>
      </w:pPr>
      <w:r>
        <w:rPr>
          <w:sz w:val="24"/>
        </w:rPr>
        <w:t>本管道工程全线采用埋地方式敷设。</w:t>
      </w:r>
    </w:p>
    <w:p w14:paraId="4D006112">
      <w:pPr>
        <w:spacing w:line="360" w:lineRule="auto"/>
        <w:ind w:firstLine="480" w:firstLineChars="200"/>
        <w:rPr>
          <w:sz w:val="24"/>
        </w:rPr>
      </w:pPr>
      <w:r>
        <w:rPr>
          <w:sz w:val="24"/>
        </w:rPr>
        <w:t>（1）开挖过程</w:t>
      </w:r>
    </w:p>
    <w:p w14:paraId="272E923F">
      <w:pPr>
        <w:spacing w:line="360" w:lineRule="auto"/>
        <w:ind w:firstLine="480" w:firstLineChars="200"/>
        <w:rPr>
          <w:sz w:val="24"/>
        </w:rPr>
      </w:pPr>
      <w:r>
        <w:rPr>
          <w:sz w:val="24"/>
        </w:rPr>
        <w:t>一般地段管沟采取机械开挖，局部特殊地段采用人工开挖。管沟开挖前应先确定地下设施分布情况，经确认无其他地下设施，且有足够的操作空间的地段可采用机械方式开挖；在能够确定地下设施准确位置的地方，地下设施两侧各5m范围内应采用人工方式开挖管沟，并对开挖出来的地下设施给予必要的保护；对于重要地下设施，开挖前应征得其产权部门同意，必要时应在其监督下开挖。</w:t>
      </w:r>
    </w:p>
    <w:p w14:paraId="204137F0">
      <w:pPr>
        <w:spacing w:line="360" w:lineRule="auto"/>
        <w:ind w:firstLine="480" w:firstLineChars="200"/>
        <w:rPr>
          <w:sz w:val="24"/>
        </w:rPr>
      </w:pPr>
      <w:r>
        <w:rPr>
          <w:sz w:val="24"/>
        </w:rPr>
        <w:t>在</w:t>
      </w:r>
      <w:r>
        <w:rPr>
          <w:rFonts w:hint="eastAsia"/>
          <w:sz w:val="24"/>
        </w:rPr>
        <w:t>农田</w:t>
      </w:r>
      <w:r>
        <w:rPr>
          <w:sz w:val="24"/>
        </w:rPr>
        <w:t>开挖管沟时，应将表层耕植土与下层土分开堆放，下层土放在靠近管沟一侧，回填时，先用下层土回填，最后再回填耕植土。</w:t>
      </w:r>
    </w:p>
    <w:p w14:paraId="0ECF7853">
      <w:pPr>
        <w:spacing w:line="360" w:lineRule="auto"/>
        <w:ind w:firstLine="480" w:firstLineChars="200"/>
        <w:rPr>
          <w:sz w:val="24"/>
        </w:rPr>
      </w:pPr>
      <w:r>
        <w:rPr>
          <w:sz w:val="24"/>
        </w:rPr>
        <w:t>若是在春季融雪或雨季施工，应对开挖出来的土方进行保护，防止水土流失。每段管沟的开挖应和管道焊接、下沟回填紧密结合，施工完一段开挖一段。</w:t>
      </w:r>
    </w:p>
    <w:p w14:paraId="438FE434">
      <w:pPr>
        <w:spacing w:line="360" w:lineRule="auto"/>
        <w:ind w:firstLine="480" w:firstLineChars="200"/>
        <w:rPr>
          <w:sz w:val="24"/>
        </w:rPr>
      </w:pPr>
      <w:r>
        <w:rPr>
          <w:sz w:val="24"/>
        </w:rPr>
        <w:t>管沟回填土应分层压实，分层厚度不大于0.3m，避免土层沉降后形成沟槽。管沟回填后应立即进行恢复地貌，并采取措施保护耕植层，防止水土流失。</w:t>
      </w:r>
    </w:p>
    <w:p w14:paraId="615606D4">
      <w:pPr>
        <w:spacing w:line="360" w:lineRule="auto"/>
        <w:ind w:firstLine="480" w:firstLineChars="200"/>
        <w:rPr>
          <w:sz w:val="24"/>
        </w:rPr>
      </w:pPr>
      <w:r>
        <w:rPr>
          <w:sz w:val="24"/>
        </w:rPr>
        <w:t>（2）管沟埋深</w:t>
      </w:r>
    </w:p>
    <w:p w14:paraId="6027BCF0">
      <w:pPr>
        <w:spacing w:line="360" w:lineRule="auto"/>
        <w:ind w:firstLine="480" w:firstLineChars="200"/>
        <w:rPr>
          <w:sz w:val="24"/>
        </w:rPr>
      </w:pPr>
      <w:r>
        <w:rPr>
          <w:sz w:val="24"/>
        </w:rPr>
        <w:t>一般地段管顶埋深不小于1.</w:t>
      </w:r>
      <w:r>
        <w:rPr>
          <w:rFonts w:hint="eastAsia"/>
          <w:sz w:val="24"/>
        </w:rPr>
        <w:t>5</w:t>
      </w:r>
      <w:r>
        <w:rPr>
          <w:sz w:val="24"/>
        </w:rPr>
        <w:t>m，</w:t>
      </w:r>
      <w:r>
        <w:rPr>
          <w:rFonts w:hint="eastAsia"/>
          <w:sz w:val="24"/>
        </w:rPr>
        <w:t>顶管</w:t>
      </w:r>
      <w:r>
        <w:rPr>
          <w:rFonts w:hint="eastAsia"/>
          <w:i/>
          <w:iCs/>
          <w:color w:val="auto"/>
          <w:sz w:val="24"/>
          <w:u w:val="single"/>
        </w:rPr>
        <w:t>穿越国道</w:t>
      </w:r>
      <w:r>
        <w:rPr>
          <w:rFonts w:hint="eastAsia"/>
          <w:sz w:val="24"/>
        </w:rPr>
        <w:t>套管顶埋深不小于1.5m</w:t>
      </w:r>
      <w:r>
        <w:rPr>
          <w:sz w:val="24"/>
        </w:rPr>
        <w:t>。</w:t>
      </w:r>
    </w:p>
    <w:p w14:paraId="36415321">
      <w:pPr>
        <w:pStyle w:val="234"/>
      </w:pPr>
      <w:r>
        <w:t>（3）施工作业带设置</w:t>
      </w:r>
    </w:p>
    <w:p w14:paraId="1C1AE830">
      <w:pPr>
        <w:spacing w:line="360" w:lineRule="auto"/>
        <w:ind w:firstLine="480" w:firstLineChars="200"/>
        <w:rPr>
          <w:sz w:val="24"/>
        </w:rPr>
      </w:pPr>
      <w:r>
        <w:rPr>
          <w:sz w:val="24"/>
        </w:rPr>
        <w:t>根据国家有关规定，为保护耕地和土地资源，一般管道线路段不考虑永久征地。输气管道</w:t>
      </w:r>
      <w:r>
        <w:rPr>
          <w:rFonts w:hint="eastAsia"/>
          <w:sz w:val="24"/>
        </w:rPr>
        <w:t>新建耒阳分输站</w:t>
      </w:r>
      <w:r>
        <w:rPr>
          <w:sz w:val="24"/>
        </w:rPr>
        <w:t>按永久征地，其余线路段为临时占地。为了合理利用土地资源，根据管径、地形地貌、地表植被等情况确定管道沿线施工作业带临时占地宽度如下：</w:t>
      </w:r>
    </w:p>
    <w:p w14:paraId="6F56959C">
      <w:pPr>
        <w:spacing w:line="360" w:lineRule="auto"/>
        <w:ind w:firstLine="480" w:firstLineChars="200"/>
        <w:rPr>
          <w:sz w:val="24"/>
        </w:rPr>
      </w:pPr>
      <w:r>
        <w:rPr>
          <w:sz w:val="24"/>
        </w:rPr>
        <w:t>本工程管径为</w:t>
      </w:r>
      <w:r>
        <w:rPr>
          <w:rFonts w:hint="eastAsia"/>
          <w:sz w:val="24"/>
        </w:rPr>
        <w:t>DN300</w:t>
      </w:r>
      <w:r>
        <w:rPr>
          <w:sz w:val="24"/>
        </w:rPr>
        <w:t>，</w:t>
      </w:r>
      <w:r>
        <w:rPr>
          <w:rFonts w:hint="eastAsia"/>
          <w:sz w:val="24"/>
        </w:rPr>
        <w:t>在</w:t>
      </w:r>
      <w:r>
        <w:rPr>
          <w:sz w:val="24"/>
        </w:rPr>
        <w:t>一般地区</w:t>
      </w:r>
      <w:r>
        <w:rPr>
          <w:rFonts w:hint="eastAsia"/>
          <w:sz w:val="24"/>
        </w:rPr>
        <w:t>段</w:t>
      </w:r>
      <w:r>
        <w:rPr>
          <w:sz w:val="24"/>
        </w:rPr>
        <w:t>作业带宽度按</w:t>
      </w:r>
      <w:r>
        <w:rPr>
          <w:rFonts w:hint="eastAsia"/>
          <w:sz w:val="24"/>
        </w:rPr>
        <w:t>12</w:t>
      </w:r>
      <w:r>
        <w:rPr>
          <w:sz w:val="24"/>
        </w:rPr>
        <w:t>m考虑</w:t>
      </w:r>
      <w:r>
        <w:rPr>
          <w:rFonts w:hint="eastAsia"/>
          <w:sz w:val="24"/>
        </w:rPr>
        <w:t>；在浅丘</w:t>
      </w:r>
      <w:r>
        <w:rPr>
          <w:sz w:val="24"/>
        </w:rPr>
        <w:t>林</w:t>
      </w:r>
      <w:r>
        <w:rPr>
          <w:rFonts w:hint="eastAsia"/>
          <w:sz w:val="24"/>
        </w:rPr>
        <w:t>区段</w:t>
      </w:r>
      <w:r>
        <w:rPr>
          <w:sz w:val="24"/>
        </w:rPr>
        <w:t>作业带宽度</w:t>
      </w:r>
      <w:r>
        <w:rPr>
          <w:rFonts w:hint="eastAsia"/>
          <w:sz w:val="24"/>
        </w:rPr>
        <w:t>12</w:t>
      </w:r>
      <w:r>
        <w:rPr>
          <w:sz w:val="24"/>
        </w:rPr>
        <w:t>m</w:t>
      </w:r>
      <w:r>
        <w:rPr>
          <w:rFonts w:hint="eastAsia"/>
          <w:sz w:val="24"/>
        </w:rPr>
        <w:t>；部分管线缩小作业带宽度；顶管作业施工位于耕地内，顶进坑长度6.3m、宽3.2m，接收坑长3.2m、宽3m</w:t>
      </w:r>
      <w:r>
        <w:rPr>
          <w:sz w:val="24"/>
        </w:rPr>
        <w:t>。</w:t>
      </w:r>
    </w:p>
    <w:p w14:paraId="31FB9188">
      <w:pPr>
        <w:spacing w:line="360" w:lineRule="auto"/>
        <w:ind w:firstLine="480" w:firstLineChars="200"/>
        <w:rPr>
          <w:sz w:val="24"/>
        </w:rPr>
      </w:pPr>
      <w:r>
        <w:rPr>
          <w:sz w:val="24"/>
        </w:rPr>
        <w:t>管道施工前，应组织对施工作业带内地上、地下各种建（构）筑物和植（作）物、林木等进行清点造册。施工作业带清理应在放线并办理好征（占）地手续后进行。</w:t>
      </w:r>
    </w:p>
    <w:p w14:paraId="01D72343">
      <w:pPr>
        <w:spacing w:line="360" w:lineRule="auto"/>
        <w:ind w:firstLine="480" w:firstLineChars="200"/>
        <w:rPr>
          <w:sz w:val="24"/>
        </w:rPr>
      </w:pPr>
      <w:r>
        <w:rPr>
          <w:sz w:val="24"/>
        </w:rPr>
        <w:t>施工作业带清理、平整应遵循保护农田、植被及配套设施，减少或防止产生水土流失的原则。清理和平整施工作业带时，应注意保护线路控制桩，如有损坏应立即补桩恢复。</w:t>
      </w:r>
    </w:p>
    <w:p w14:paraId="592E07B4">
      <w:pPr>
        <w:spacing w:line="360" w:lineRule="auto"/>
        <w:ind w:firstLine="480" w:firstLineChars="200"/>
        <w:rPr>
          <w:sz w:val="24"/>
        </w:rPr>
      </w:pPr>
      <w:r>
        <w:rPr>
          <w:sz w:val="24"/>
        </w:rPr>
        <w:t>施工作业带范围内，对于影响施工机具通行或施工作业的石块、杂草、树木、构筑物等应适当清理，沟、坎应予平整，有积水的地势低洼地段应排水填平。</w:t>
      </w:r>
    </w:p>
    <w:p w14:paraId="74A8C4AB">
      <w:pPr>
        <w:spacing w:line="360" w:lineRule="auto"/>
        <w:ind w:firstLine="480" w:firstLineChars="200"/>
        <w:rPr>
          <w:sz w:val="24"/>
        </w:rPr>
      </w:pPr>
      <w:r>
        <w:rPr>
          <w:sz w:val="24"/>
        </w:rPr>
        <w:t>尽量减少农田占地，并应注意对农田的保护。施工完毕之后，要注意施工作业带的复耕工作，使土地回到原有状态。</w:t>
      </w:r>
    </w:p>
    <w:p w14:paraId="0CDC0AD3">
      <w:pPr>
        <w:pStyle w:val="234"/>
      </w:pPr>
      <w:r>
        <w:rPr>
          <w:rFonts w:hint="eastAsia"/>
        </w:rPr>
        <w:t>（4）</w:t>
      </w:r>
      <w:r>
        <w:t>管沟回填</w:t>
      </w:r>
    </w:p>
    <w:p w14:paraId="3A2E0649">
      <w:pPr>
        <w:pStyle w:val="234"/>
      </w:pPr>
      <w:r>
        <w:rPr>
          <w:rFonts w:hint="eastAsia" w:ascii="宋体" w:hAnsi="宋体" w:cs="宋体"/>
        </w:rPr>
        <w:t>①</w:t>
      </w:r>
      <w:r>
        <w:t>管道下沟后应及时进行管沟回填，管沟回填前，应清除管沟内积水并立即回填，如沟内积水无法完全排除，应制定保证管道埋深的稳管措施；</w:t>
      </w:r>
    </w:p>
    <w:p w14:paraId="7BF43CBF">
      <w:pPr>
        <w:pStyle w:val="234"/>
      </w:pPr>
      <w:r>
        <w:rPr>
          <w:rFonts w:hint="eastAsia" w:ascii="宋体" w:hAnsi="宋体" w:cs="宋体"/>
        </w:rPr>
        <w:t>②</w:t>
      </w:r>
      <w:r>
        <w:t>农耕区及其他植被区的的管沟应将表层耕</w:t>
      </w:r>
      <w:r>
        <w:rPr>
          <w:rFonts w:ascii="宋体" w:hAnsi="宋体"/>
        </w:rPr>
        <w:t>(腐)</w:t>
      </w:r>
      <w:r>
        <w:t>质土和下层土分别堆放，管沟回填时应将耕</w:t>
      </w:r>
      <w:r>
        <w:rPr>
          <w:rFonts w:ascii="宋体" w:hAnsi="宋体"/>
        </w:rPr>
        <w:t>(腐)质</w:t>
      </w:r>
      <w:r>
        <w:t>土回填到表层；</w:t>
      </w:r>
    </w:p>
    <w:p w14:paraId="54B482EC">
      <w:pPr>
        <w:pStyle w:val="234"/>
      </w:pPr>
      <w:r>
        <w:rPr>
          <w:rFonts w:hint="eastAsia" w:ascii="宋体" w:hAnsi="宋体" w:cs="宋体"/>
        </w:rPr>
        <w:t>③对于卵石、碎石地段和石方段，管沟超挖不小</w:t>
      </w:r>
      <w:r>
        <w:t>于0.2m，</w:t>
      </w:r>
      <w:r>
        <w:rPr>
          <w:rFonts w:hint="eastAsia" w:ascii="宋体" w:hAnsi="宋体" w:cs="宋体"/>
        </w:rPr>
        <w:t>超挖部分先用细土回填至管底设计标高，以免防腐层受损</w:t>
      </w:r>
      <w:r>
        <w:t>；</w:t>
      </w:r>
    </w:p>
    <w:p w14:paraId="1AF67996">
      <w:pPr>
        <w:pStyle w:val="234"/>
      </w:pPr>
      <w:r>
        <w:rPr>
          <w:rFonts w:hint="eastAsia" w:ascii="宋体" w:hAnsi="宋体" w:cs="宋体"/>
        </w:rPr>
        <w:t>④</w:t>
      </w:r>
      <w:r>
        <w:t>管沟回填土在不影响土地复耕或水土保持的情况下宜高出地面0.3m，管沟挖出土应全部回填于沟上。在管道出土端和弯头两侧，回填土应分层夯实。</w:t>
      </w:r>
    </w:p>
    <w:p w14:paraId="57191073">
      <w:pPr>
        <w:pStyle w:val="234"/>
      </w:pPr>
      <w:r>
        <w:rPr>
          <w:rFonts w:hint="eastAsia" w:ascii="宋体" w:hAnsi="宋体" w:cs="宋体"/>
        </w:rPr>
        <w:t>⑤</w:t>
      </w:r>
      <w:r>
        <w:t>当管沟纵向坡度较大时，应采取防止回填土下滑措施，并预防暴雨毁沟。</w:t>
      </w:r>
    </w:p>
    <w:p w14:paraId="0AFA1DDE">
      <w:pPr>
        <w:pStyle w:val="234"/>
      </w:pPr>
      <w:r>
        <w:rPr>
          <w:rFonts w:hint="eastAsia" w:ascii="宋体" w:hAnsi="宋体" w:cs="宋体"/>
        </w:rPr>
        <w:t>⑥</w:t>
      </w:r>
      <w:r>
        <w:t>特殊地质地段管沟回填时，应考虑采取防止管道或管沟沉降的措施。</w:t>
      </w:r>
    </w:p>
    <w:p w14:paraId="5315BF1D">
      <w:pPr>
        <w:pStyle w:val="234"/>
      </w:pPr>
      <w:r>
        <w:rPr>
          <w:rFonts w:hint="eastAsia"/>
        </w:rPr>
        <w:t>（5）</w:t>
      </w:r>
      <w:r>
        <w:t>管道转角</w:t>
      </w:r>
    </w:p>
    <w:p w14:paraId="3DB7C4A8">
      <w:pPr>
        <w:pStyle w:val="234"/>
      </w:pPr>
      <w:r>
        <w:rPr>
          <w:rFonts w:hint="eastAsia" w:ascii="宋体" w:hAnsi="宋体" w:cs="宋体"/>
        </w:rPr>
        <w:t>①</w:t>
      </w:r>
      <w:r>
        <w:rPr>
          <w:rFonts w:hint="eastAsia"/>
        </w:rPr>
        <w:t>当管道水平转角或竖向转角较小时（一般为1</w:t>
      </w:r>
      <w:r>
        <w:rPr>
          <w:rFonts w:hint="eastAsia"/>
        </w:rPr>
        <w:sym w:font="Symbol" w:char="00B0"/>
      </w:r>
      <w:r>
        <w:rPr>
          <w:rFonts w:hint="eastAsia"/>
        </w:rPr>
        <w:t>～4</w:t>
      </w:r>
      <w:r>
        <w:rPr>
          <w:rFonts w:hint="eastAsia"/>
        </w:rPr>
        <w:sym w:font="Symbol" w:char="00B0"/>
      </w:r>
      <w:r>
        <w:rPr>
          <w:rFonts w:hint="eastAsia"/>
        </w:rPr>
        <w:t>左右）</w:t>
      </w:r>
      <w:r>
        <w:t>，设计中应优先采用弹性敷设，弹性敷设曲率半径大于1</w:t>
      </w:r>
      <w:r>
        <w:rPr>
          <w:rFonts w:hint="eastAsia"/>
        </w:rPr>
        <w:t>5</w:t>
      </w:r>
      <w:r>
        <w:t>00D；弹性敷设无法满足时优先采用冷弯弯管，曲率半径为R≥</w:t>
      </w:r>
      <w:r>
        <w:rPr>
          <w:rFonts w:hint="eastAsia"/>
        </w:rPr>
        <w:t>4</w:t>
      </w:r>
      <w:r>
        <w:t>0D；冷弯管无法满足时采用热煨弯头，热煨弯头曲率半径为R=</w:t>
      </w:r>
      <w:r>
        <w:rPr>
          <w:rFonts w:hint="eastAsia"/>
        </w:rPr>
        <w:t>6</w:t>
      </w:r>
      <w:r>
        <w:t>D</w:t>
      </w:r>
      <w:r>
        <w:rPr>
          <w:rFonts w:hint="eastAsia"/>
        </w:rPr>
        <w:t>（</w:t>
      </w:r>
      <w:r>
        <w:t>尽量避免80°以上热煨弯管的使用</w:t>
      </w:r>
      <w:r>
        <w:rPr>
          <w:rFonts w:hint="eastAsia"/>
        </w:rPr>
        <w:t>）</w:t>
      </w:r>
      <w:r>
        <w:t>。</w:t>
      </w:r>
    </w:p>
    <w:p w14:paraId="149004C5">
      <w:pPr>
        <w:pStyle w:val="234"/>
      </w:pPr>
      <w:r>
        <w:rPr>
          <w:rFonts w:hint="eastAsia" w:ascii="宋体" w:hAnsi="宋体" w:cs="宋体"/>
        </w:rPr>
        <w:t>②</w:t>
      </w:r>
      <w:r>
        <w:t>弹性敷设管道与相邻的反向弹性弯曲管段之间及弹性弯曲管段和人工弯管之间，应采用直管段连接，直管段长度不应小于</w:t>
      </w:r>
      <w:r>
        <w:rPr>
          <w:rFonts w:hint="eastAsia"/>
        </w:rPr>
        <w:t>管道</w:t>
      </w:r>
      <w:r>
        <w:t>外直径</w:t>
      </w:r>
      <w:r>
        <w:rPr>
          <w:rFonts w:hint="eastAsia"/>
        </w:rPr>
        <w:t>，且不小于500mm</w:t>
      </w:r>
      <w:r>
        <w:t>。</w:t>
      </w:r>
      <w:r>
        <w:rPr>
          <w:rFonts w:hint="eastAsia"/>
        </w:rPr>
        <w:t>当平面和纵向同时发生转角时，不宜采用弹性弯曲</w:t>
      </w:r>
      <w:r>
        <w:t>。</w:t>
      </w:r>
    </w:p>
    <w:p w14:paraId="40CA1E89">
      <w:pPr>
        <w:pStyle w:val="234"/>
        <w:ind w:firstLineChars="0"/>
      </w:pPr>
      <w:r>
        <w:rPr>
          <w:rFonts w:hint="eastAsia"/>
        </w:rPr>
        <w:t>（6）地质灾害和矿产压覆情况</w:t>
      </w:r>
    </w:p>
    <w:p w14:paraId="302C1B75">
      <w:pPr>
        <w:pStyle w:val="234"/>
      </w:pPr>
      <w:r>
        <w:rPr>
          <w:rFonts w:hint="eastAsia"/>
        </w:rPr>
        <w:t>根据《潜江—韶关输气管道28#阀室开口分输工程建设场地地质灾害危险性评估报告》，本工程建设场地区域地质背景条件简单，地形与地貌类型条件中等；地质构造条件简单；岩性岩相变化较大，岩土体结构较复杂，岩土体工程地质性质类别为中等，工程地质性质较差；水文地质条件较差；地质灾害发育弱；人类活动一般，对地质环境的影响和破坏小。未发生垮塌、滑坡、泥石流等地质灾害，地质灾害危害程度小。</w:t>
      </w:r>
    </w:p>
    <w:p w14:paraId="0211F4E9">
      <w:pPr>
        <w:pStyle w:val="234"/>
      </w:pPr>
      <w:r>
        <w:rPr>
          <w:rFonts w:hint="eastAsia"/>
        </w:rPr>
        <w:t>根据湖南省自然资源厅批复的《关于&lt;潜江—韶关输气管道28号阀室新增下载点项目&gt;建设项目压覆重要矿产资源查询情况的说明》，建设项目外扩500m范围与矿产资源总体规划区块、矿业权、矿产地无重叠，未压覆重要矿产资源。</w:t>
      </w:r>
    </w:p>
    <w:p w14:paraId="171BABDD">
      <w:pPr>
        <w:pStyle w:val="7"/>
      </w:pPr>
      <w:r>
        <w:t>管道穿越工程</w:t>
      </w:r>
    </w:p>
    <w:p w14:paraId="51FE011E">
      <w:pPr>
        <w:adjustRightInd w:val="0"/>
        <w:snapToGrid w:val="0"/>
        <w:spacing w:line="360" w:lineRule="auto"/>
        <w:ind w:firstLine="480" w:firstLineChars="200"/>
        <w:rPr>
          <w:sz w:val="24"/>
        </w:rPr>
      </w:pPr>
      <w:r>
        <w:rPr>
          <w:sz w:val="24"/>
        </w:rPr>
        <w:t>（</w:t>
      </w:r>
      <w:r>
        <w:rPr>
          <w:rFonts w:hint="eastAsia"/>
          <w:sz w:val="24"/>
        </w:rPr>
        <w:t>1</w:t>
      </w:r>
      <w:r>
        <w:rPr>
          <w:sz w:val="24"/>
        </w:rPr>
        <w:t>）公路穿越工程</w:t>
      </w:r>
    </w:p>
    <w:p w14:paraId="5FCFCD8C">
      <w:pPr>
        <w:adjustRightInd w:val="0"/>
        <w:snapToGrid w:val="0"/>
        <w:spacing w:line="360" w:lineRule="auto"/>
        <w:ind w:firstLine="480" w:firstLineChars="200"/>
        <w:rPr>
          <w:sz w:val="24"/>
        </w:rPr>
      </w:pPr>
      <w:r>
        <w:rPr>
          <w:sz w:val="24"/>
        </w:rPr>
        <w:t>本工程</w:t>
      </w:r>
      <w:r>
        <w:rPr>
          <w:rFonts w:hint="eastAsia"/>
          <w:sz w:val="24"/>
        </w:rPr>
        <w:t>顶管穿越G356国道</w:t>
      </w:r>
      <w:r>
        <w:rPr>
          <w:sz w:val="24"/>
        </w:rPr>
        <w:t>1处，</w:t>
      </w:r>
      <w:r>
        <w:rPr>
          <w:rFonts w:hint="eastAsia"/>
          <w:sz w:val="24"/>
        </w:rPr>
        <w:t>穿越长度4</w:t>
      </w:r>
      <w:r>
        <w:rPr>
          <w:sz w:val="24"/>
        </w:rPr>
        <w:t>0</w:t>
      </w:r>
      <w:r>
        <w:rPr>
          <w:rFonts w:hint="eastAsia"/>
          <w:sz w:val="24"/>
        </w:rPr>
        <w:t>m；穿越其他道路2处，详见表3.3-8</w:t>
      </w:r>
      <w:r>
        <w:rPr>
          <w:sz w:val="24"/>
        </w:rPr>
        <w:t>。</w:t>
      </w:r>
    </w:p>
    <w:p w14:paraId="12F4B0D0">
      <w:pPr>
        <w:pStyle w:val="904"/>
      </w:pPr>
      <w:r>
        <w:t>表3.</w:t>
      </w:r>
      <w:r>
        <w:rPr>
          <w:rFonts w:hint="eastAsia"/>
        </w:rPr>
        <w:t>3-8</w:t>
      </w:r>
      <w:r>
        <w:t xml:space="preserve"> 沿线主要公路穿越统计情况表</w:t>
      </w:r>
    </w:p>
    <w:tbl>
      <w:tblPr>
        <w:tblStyle w:val="88"/>
        <w:tblW w:w="5003" w:type="pct"/>
        <w:tblInd w:w="0" w:type="dxa"/>
        <w:tblLayout w:type="autofit"/>
        <w:tblCellMar>
          <w:top w:w="0" w:type="dxa"/>
          <w:left w:w="0" w:type="dxa"/>
          <w:bottom w:w="0" w:type="dxa"/>
          <w:right w:w="0" w:type="dxa"/>
        </w:tblCellMar>
      </w:tblPr>
      <w:tblGrid>
        <w:gridCol w:w="789"/>
        <w:gridCol w:w="2135"/>
        <w:gridCol w:w="2143"/>
        <w:gridCol w:w="1946"/>
        <w:gridCol w:w="2449"/>
      </w:tblGrid>
      <w:tr w14:paraId="055489A2">
        <w:tblPrEx>
          <w:tblCellMar>
            <w:top w:w="0" w:type="dxa"/>
            <w:left w:w="0" w:type="dxa"/>
            <w:bottom w:w="0" w:type="dxa"/>
            <w:right w:w="0" w:type="dxa"/>
          </w:tblCellMar>
        </w:tblPrEx>
        <w:trPr>
          <w:trHeight w:val="340" w:hRule="atLeast"/>
        </w:trPr>
        <w:tc>
          <w:tcPr>
            <w:tcW w:w="417" w:type="pct"/>
            <w:tcBorders>
              <w:top w:val="single" w:color="000000" w:sz="2" w:space="0"/>
              <w:left w:val="single" w:color="000000" w:sz="2" w:space="0"/>
              <w:bottom w:val="single" w:color="000000" w:sz="2" w:space="0"/>
              <w:right w:val="single" w:color="000000" w:sz="2" w:space="0"/>
            </w:tcBorders>
            <w:shd w:val="clear" w:color="auto" w:fill="auto"/>
            <w:vAlign w:val="center"/>
          </w:tcPr>
          <w:p w14:paraId="45C1BCC9">
            <w:pPr>
              <w:pStyle w:val="1343"/>
            </w:pPr>
            <w:r>
              <w:t>序号</w:t>
            </w:r>
          </w:p>
        </w:tc>
        <w:tc>
          <w:tcPr>
            <w:tcW w:w="1128" w:type="pct"/>
            <w:tcBorders>
              <w:top w:val="single" w:color="000000" w:sz="2" w:space="0"/>
              <w:left w:val="single" w:color="000000" w:sz="2" w:space="0"/>
              <w:bottom w:val="single" w:color="000000" w:sz="2" w:space="0"/>
              <w:right w:val="single" w:color="000000" w:sz="2" w:space="0"/>
            </w:tcBorders>
            <w:vAlign w:val="center"/>
          </w:tcPr>
          <w:p w14:paraId="45273535">
            <w:pPr>
              <w:pStyle w:val="1343"/>
            </w:pPr>
            <w:r>
              <w:rPr>
                <w:rFonts w:hint="eastAsia"/>
              </w:rPr>
              <w:t>穿越地理位置</w:t>
            </w:r>
          </w:p>
        </w:tc>
        <w:tc>
          <w:tcPr>
            <w:tcW w:w="1131" w:type="pct"/>
            <w:tcBorders>
              <w:top w:val="single" w:color="000000" w:sz="2" w:space="0"/>
              <w:left w:val="single" w:color="000000" w:sz="2" w:space="0"/>
              <w:bottom w:val="single" w:color="000000" w:sz="2" w:space="0"/>
              <w:right w:val="single" w:color="000000" w:sz="2" w:space="0"/>
            </w:tcBorders>
            <w:shd w:val="clear" w:color="auto" w:fill="auto"/>
            <w:vAlign w:val="center"/>
          </w:tcPr>
          <w:p w14:paraId="0A0BC5BF">
            <w:pPr>
              <w:pStyle w:val="1343"/>
            </w:pPr>
            <w:r>
              <w:t>公路名称</w:t>
            </w:r>
          </w:p>
        </w:tc>
        <w:tc>
          <w:tcPr>
            <w:tcW w:w="1028" w:type="pct"/>
            <w:tcBorders>
              <w:top w:val="single" w:color="000000" w:sz="2" w:space="0"/>
              <w:left w:val="single" w:color="000000" w:sz="2" w:space="0"/>
              <w:bottom w:val="single" w:color="000000" w:sz="2" w:space="0"/>
              <w:right w:val="single" w:color="000000" w:sz="2" w:space="0"/>
            </w:tcBorders>
            <w:shd w:val="clear" w:color="auto" w:fill="auto"/>
            <w:vAlign w:val="center"/>
          </w:tcPr>
          <w:p w14:paraId="5C19EA55">
            <w:pPr>
              <w:pStyle w:val="1343"/>
            </w:pPr>
            <w:r>
              <w:t>穿越长度(m)</w:t>
            </w:r>
          </w:p>
        </w:tc>
        <w:tc>
          <w:tcPr>
            <w:tcW w:w="1294" w:type="pct"/>
            <w:tcBorders>
              <w:top w:val="single" w:color="000000" w:sz="2" w:space="0"/>
              <w:left w:val="single" w:color="000000" w:sz="2" w:space="0"/>
              <w:bottom w:val="single" w:color="000000" w:sz="2" w:space="0"/>
              <w:right w:val="single" w:color="000000" w:sz="2" w:space="0"/>
            </w:tcBorders>
            <w:shd w:val="clear" w:color="auto" w:fill="auto"/>
            <w:vAlign w:val="center"/>
          </w:tcPr>
          <w:p w14:paraId="1FA45638">
            <w:pPr>
              <w:pStyle w:val="1343"/>
            </w:pPr>
            <w:r>
              <w:t>穿越方式</w:t>
            </w:r>
          </w:p>
        </w:tc>
      </w:tr>
      <w:tr w14:paraId="0518EB5A">
        <w:tblPrEx>
          <w:tblCellMar>
            <w:top w:w="0" w:type="dxa"/>
            <w:left w:w="0" w:type="dxa"/>
            <w:bottom w:w="0" w:type="dxa"/>
            <w:right w:w="0" w:type="dxa"/>
          </w:tblCellMar>
        </w:tblPrEx>
        <w:trPr>
          <w:trHeight w:val="340" w:hRule="atLeast"/>
        </w:trPr>
        <w:tc>
          <w:tcPr>
            <w:tcW w:w="417" w:type="pct"/>
            <w:tcBorders>
              <w:top w:val="single" w:color="000000" w:sz="2" w:space="0"/>
              <w:left w:val="single" w:color="000000" w:sz="2" w:space="0"/>
              <w:bottom w:val="single" w:color="000000" w:sz="2" w:space="0"/>
              <w:right w:val="single" w:color="000000" w:sz="2" w:space="0"/>
            </w:tcBorders>
            <w:shd w:val="clear" w:color="auto" w:fill="auto"/>
            <w:vAlign w:val="center"/>
          </w:tcPr>
          <w:p w14:paraId="601AE1EA">
            <w:pPr>
              <w:pStyle w:val="1343"/>
            </w:pPr>
            <w:r>
              <w:t>1</w:t>
            </w:r>
          </w:p>
        </w:tc>
        <w:tc>
          <w:tcPr>
            <w:tcW w:w="1128" w:type="pct"/>
            <w:tcBorders>
              <w:top w:val="single" w:color="000000" w:sz="2" w:space="0"/>
              <w:left w:val="single" w:color="000000" w:sz="2" w:space="0"/>
              <w:bottom w:val="single" w:color="000000" w:sz="2" w:space="0"/>
              <w:right w:val="single" w:color="000000" w:sz="2" w:space="0"/>
            </w:tcBorders>
            <w:vAlign w:val="center"/>
          </w:tcPr>
          <w:p w14:paraId="6DB39592">
            <w:pPr>
              <w:pStyle w:val="1343"/>
              <w:rPr>
                <w:rFonts w:eastAsiaTheme="minorEastAsia"/>
              </w:rPr>
            </w:pPr>
            <w:r>
              <w:rPr>
                <w:rFonts w:hint="eastAsia"/>
              </w:rPr>
              <w:t>耒阳市竹市镇</w:t>
            </w:r>
          </w:p>
        </w:tc>
        <w:tc>
          <w:tcPr>
            <w:tcW w:w="1131" w:type="pct"/>
            <w:tcBorders>
              <w:top w:val="single" w:color="000000" w:sz="2" w:space="0"/>
              <w:left w:val="single" w:color="000000" w:sz="2" w:space="0"/>
              <w:bottom w:val="single" w:color="000000" w:sz="2" w:space="0"/>
              <w:right w:val="single" w:color="000000" w:sz="2" w:space="0"/>
            </w:tcBorders>
            <w:shd w:val="clear" w:color="auto" w:fill="auto"/>
            <w:vAlign w:val="center"/>
          </w:tcPr>
          <w:p w14:paraId="7F320E70">
            <w:pPr>
              <w:pStyle w:val="1343"/>
            </w:pPr>
            <w:r>
              <w:rPr>
                <w:rFonts w:hint="eastAsia"/>
              </w:rPr>
              <w:t>G356国道</w:t>
            </w:r>
          </w:p>
        </w:tc>
        <w:tc>
          <w:tcPr>
            <w:tcW w:w="1028" w:type="pct"/>
            <w:tcBorders>
              <w:top w:val="single" w:color="000000" w:sz="2" w:space="0"/>
              <w:left w:val="single" w:color="000000" w:sz="2" w:space="0"/>
              <w:bottom w:val="single" w:color="000000" w:sz="2" w:space="0"/>
              <w:right w:val="single" w:color="000000" w:sz="2" w:space="0"/>
            </w:tcBorders>
            <w:shd w:val="clear" w:color="auto" w:fill="auto"/>
            <w:vAlign w:val="center"/>
          </w:tcPr>
          <w:p w14:paraId="7F9C1FAD">
            <w:pPr>
              <w:pStyle w:val="1343"/>
            </w:pPr>
            <w:r>
              <w:rPr>
                <w:rFonts w:hint="eastAsia"/>
              </w:rPr>
              <w:t>40</w:t>
            </w:r>
          </w:p>
        </w:tc>
        <w:tc>
          <w:tcPr>
            <w:tcW w:w="1294" w:type="pct"/>
            <w:tcBorders>
              <w:top w:val="single" w:color="000000" w:sz="2" w:space="0"/>
              <w:left w:val="single" w:color="000000" w:sz="2" w:space="0"/>
              <w:bottom w:val="single" w:color="000000" w:sz="2" w:space="0"/>
              <w:right w:val="single" w:color="000000" w:sz="2" w:space="0"/>
            </w:tcBorders>
            <w:shd w:val="clear" w:color="auto" w:fill="auto"/>
            <w:vAlign w:val="center"/>
          </w:tcPr>
          <w:p w14:paraId="08C06136">
            <w:pPr>
              <w:pStyle w:val="1343"/>
            </w:pPr>
            <w:r>
              <w:t>顶管</w:t>
            </w:r>
            <w:r>
              <w:rPr>
                <w:rFonts w:hint="eastAsia"/>
              </w:rPr>
              <w:t>+钢筋混凝土套管</w:t>
            </w:r>
          </w:p>
        </w:tc>
      </w:tr>
      <w:tr w14:paraId="60A4DC34">
        <w:tblPrEx>
          <w:tblCellMar>
            <w:top w:w="0" w:type="dxa"/>
            <w:left w:w="0" w:type="dxa"/>
            <w:bottom w:w="0" w:type="dxa"/>
            <w:right w:w="0" w:type="dxa"/>
          </w:tblCellMar>
        </w:tblPrEx>
        <w:trPr>
          <w:trHeight w:val="340" w:hRule="atLeast"/>
        </w:trPr>
        <w:tc>
          <w:tcPr>
            <w:tcW w:w="417" w:type="pct"/>
            <w:tcBorders>
              <w:top w:val="single" w:color="000000" w:sz="2" w:space="0"/>
              <w:left w:val="single" w:color="000000" w:sz="2" w:space="0"/>
              <w:bottom w:val="single" w:color="000000" w:sz="2" w:space="0"/>
              <w:right w:val="single" w:color="000000" w:sz="2" w:space="0"/>
            </w:tcBorders>
            <w:shd w:val="clear" w:color="auto" w:fill="auto"/>
            <w:vAlign w:val="center"/>
          </w:tcPr>
          <w:p w14:paraId="1A7CCDD0">
            <w:pPr>
              <w:pStyle w:val="1343"/>
            </w:pPr>
            <w:r>
              <w:t>2</w:t>
            </w:r>
          </w:p>
        </w:tc>
        <w:tc>
          <w:tcPr>
            <w:tcW w:w="1128" w:type="pct"/>
            <w:tcBorders>
              <w:top w:val="single" w:color="000000" w:sz="2" w:space="0"/>
              <w:left w:val="single" w:color="000000" w:sz="2" w:space="0"/>
              <w:bottom w:val="single" w:color="000000" w:sz="2" w:space="0"/>
              <w:right w:val="single" w:color="000000" w:sz="2" w:space="0"/>
            </w:tcBorders>
            <w:vAlign w:val="center"/>
          </w:tcPr>
          <w:p w14:paraId="380AF588">
            <w:pPr>
              <w:pStyle w:val="1343"/>
            </w:pPr>
            <w:r>
              <w:rPr>
                <w:rFonts w:hint="eastAsia"/>
              </w:rPr>
              <w:t>耒阳市竹市镇</w:t>
            </w:r>
          </w:p>
        </w:tc>
        <w:tc>
          <w:tcPr>
            <w:tcW w:w="1131" w:type="pct"/>
            <w:tcBorders>
              <w:top w:val="single" w:color="000000" w:sz="2" w:space="0"/>
              <w:left w:val="single" w:color="000000" w:sz="2" w:space="0"/>
              <w:bottom w:val="single" w:color="000000" w:sz="2" w:space="0"/>
              <w:right w:val="single" w:color="000000" w:sz="2" w:space="0"/>
            </w:tcBorders>
            <w:shd w:val="clear" w:color="auto" w:fill="auto"/>
            <w:vAlign w:val="center"/>
          </w:tcPr>
          <w:p w14:paraId="5291B92F">
            <w:pPr>
              <w:pStyle w:val="1343"/>
            </w:pPr>
            <w:r>
              <w:rPr>
                <w:rFonts w:hint="eastAsia"/>
              </w:rPr>
              <w:t>无名乡道（碎石路）</w:t>
            </w:r>
          </w:p>
        </w:tc>
        <w:tc>
          <w:tcPr>
            <w:tcW w:w="1028" w:type="pct"/>
            <w:tcBorders>
              <w:top w:val="single" w:color="000000" w:sz="2" w:space="0"/>
              <w:left w:val="single" w:color="000000" w:sz="2" w:space="0"/>
              <w:bottom w:val="single" w:color="000000" w:sz="2" w:space="0"/>
              <w:right w:val="single" w:color="000000" w:sz="2" w:space="0"/>
            </w:tcBorders>
            <w:shd w:val="clear" w:color="auto" w:fill="auto"/>
            <w:vAlign w:val="center"/>
          </w:tcPr>
          <w:p w14:paraId="66ABC829">
            <w:pPr>
              <w:pStyle w:val="1343"/>
            </w:pPr>
            <w:r>
              <w:rPr>
                <w:rFonts w:hint="eastAsia"/>
              </w:rPr>
              <w:t>12</w:t>
            </w:r>
          </w:p>
        </w:tc>
        <w:tc>
          <w:tcPr>
            <w:tcW w:w="1294" w:type="pct"/>
            <w:tcBorders>
              <w:top w:val="single" w:color="000000" w:sz="2" w:space="0"/>
              <w:left w:val="single" w:color="000000" w:sz="2" w:space="0"/>
              <w:bottom w:val="single" w:color="000000" w:sz="2" w:space="0"/>
              <w:right w:val="single" w:color="000000" w:sz="2" w:space="0"/>
            </w:tcBorders>
            <w:shd w:val="clear" w:color="auto" w:fill="auto"/>
            <w:vAlign w:val="center"/>
          </w:tcPr>
          <w:p w14:paraId="3FFF55EF">
            <w:pPr>
              <w:pStyle w:val="1343"/>
            </w:pPr>
            <w:r>
              <w:rPr>
                <w:rFonts w:hint="eastAsia"/>
              </w:rPr>
              <w:t>开挖+盖板</w:t>
            </w:r>
          </w:p>
        </w:tc>
      </w:tr>
      <w:tr w14:paraId="321F065B">
        <w:tblPrEx>
          <w:tblCellMar>
            <w:top w:w="0" w:type="dxa"/>
            <w:left w:w="0" w:type="dxa"/>
            <w:bottom w:w="0" w:type="dxa"/>
            <w:right w:w="0" w:type="dxa"/>
          </w:tblCellMar>
        </w:tblPrEx>
        <w:trPr>
          <w:trHeight w:val="340" w:hRule="atLeast"/>
        </w:trPr>
        <w:tc>
          <w:tcPr>
            <w:tcW w:w="417" w:type="pct"/>
            <w:tcBorders>
              <w:top w:val="single" w:color="000000" w:sz="2" w:space="0"/>
              <w:left w:val="single" w:color="000000" w:sz="2" w:space="0"/>
              <w:bottom w:val="single" w:color="000000" w:sz="2" w:space="0"/>
              <w:right w:val="single" w:color="000000" w:sz="2" w:space="0"/>
            </w:tcBorders>
            <w:shd w:val="clear" w:color="auto" w:fill="auto"/>
            <w:vAlign w:val="center"/>
          </w:tcPr>
          <w:p w14:paraId="76C17771">
            <w:pPr>
              <w:pStyle w:val="1343"/>
            </w:pPr>
            <w:r>
              <w:rPr>
                <w:rFonts w:hint="eastAsia"/>
              </w:rPr>
              <w:t>3</w:t>
            </w:r>
          </w:p>
        </w:tc>
        <w:tc>
          <w:tcPr>
            <w:tcW w:w="1128" w:type="pct"/>
            <w:tcBorders>
              <w:top w:val="single" w:color="000000" w:sz="2" w:space="0"/>
              <w:left w:val="single" w:color="000000" w:sz="2" w:space="0"/>
              <w:bottom w:val="single" w:color="000000" w:sz="2" w:space="0"/>
              <w:right w:val="single" w:color="000000" w:sz="2" w:space="0"/>
            </w:tcBorders>
            <w:vAlign w:val="center"/>
          </w:tcPr>
          <w:p w14:paraId="1C47AA57">
            <w:pPr>
              <w:pStyle w:val="1343"/>
            </w:pPr>
            <w:r>
              <w:rPr>
                <w:rFonts w:hint="eastAsia"/>
              </w:rPr>
              <w:t>耒阳市竹市镇</w:t>
            </w:r>
          </w:p>
        </w:tc>
        <w:tc>
          <w:tcPr>
            <w:tcW w:w="1131" w:type="pct"/>
            <w:tcBorders>
              <w:top w:val="single" w:color="000000" w:sz="2" w:space="0"/>
              <w:left w:val="single" w:color="000000" w:sz="2" w:space="0"/>
              <w:bottom w:val="single" w:color="000000" w:sz="2" w:space="0"/>
              <w:right w:val="single" w:color="000000" w:sz="2" w:space="0"/>
            </w:tcBorders>
            <w:shd w:val="clear" w:color="auto" w:fill="auto"/>
            <w:vAlign w:val="center"/>
          </w:tcPr>
          <w:p w14:paraId="2EB94F30">
            <w:pPr>
              <w:pStyle w:val="1343"/>
            </w:pPr>
            <w:r>
              <w:rPr>
                <w:rFonts w:hint="eastAsia"/>
              </w:rPr>
              <w:t>耒阳门站进站路</w:t>
            </w:r>
          </w:p>
        </w:tc>
        <w:tc>
          <w:tcPr>
            <w:tcW w:w="1028" w:type="pct"/>
            <w:tcBorders>
              <w:top w:val="single" w:color="000000" w:sz="2" w:space="0"/>
              <w:left w:val="single" w:color="000000" w:sz="2" w:space="0"/>
              <w:bottom w:val="single" w:color="000000" w:sz="2" w:space="0"/>
              <w:right w:val="single" w:color="000000" w:sz="2" w:space="0"/>
            </w:tcBorders>
            <w:shd w:val="clear" w:color="auto" w:fill="auto"/>
            <w:vAlign w:val="center"/>
          </w:tcPr>
          <w:p w14:paraId="145410B0">
            <w:pPr>
              <w:pStyle w:val="1343"/>
            </w:pPr>
            <w:r>
              <w:rPr>
                <w:rFonts w:hint="eastAsia"/>
              </w:rPr>
              <w:t>10</w:t>
            </w:r>
          </w:p>
        </w:tc>
        <w:tc>
          <w:tcPr>
            <w:tcW w:w="1294" w:type="pct"/>
            <w:tcBorders>
              <w:top w:val="single" w:color="000000" w:sz="2" w:space="0"/>
              <w:left w:val="single" w:color="000000" w:sz="2" w:space="0"/>
              <w:bottom w:val="single" w:color="000000" w:sz="2" w:space="0"/>
              <w:right w:val="single" w:color="000000" w:sz="2" w:space="0"/>
            </w:tcBorders>
            <w:shd w:val="clear" w:color="auto" w:fill="auto"/>
            <w:vAlign w:val="center"/>
          </w:tcPr>
          <w:p w14:paraId="68858AB7">
            <w:pPr>
              <w:pStyle w:val="1343"/>
            </w:pPr>
            <w:r>
              <w:rPr>
                <w:rFonts w:hint="eastAsia"/>
              </w:rPr>
              <w:t>开挖+套管</w:t>
            </w:r>
          </w:p>
        </w:tc>
      </w:tr>
      <w:tr w14:paraId="5DFFA26F">
        <w:tblPrEx>
          <w:tblCellMar>
            <w:top w:w="0" w:type="dxa"/>
            <w:left w:w="0" w:type="dxa"/>
            <w:bottom w:w="0" w:type="dxa"/>
            <w:right w:w="0" w:type="dxa"/>
          </w:tblCellMar>
        </w:tblPrEx>
        <w:trPr>
          <w:trHeight w:val="340" w:hRule="atLeast"/>
        </w:trPr>
        <w:tc>
          <w:tcPr>
            <w:tcW w:w="2677" w:type="pct"/>
            <w:gridSpan w:val="3"/>
            <w:tcBorders>
              <w:top w:val="single" w:color="000000" w:sz="2" w:space="0"/>
              <w:left w:val="single" w:color="000000" w:sz="2" w:space="0"/>
              <w:bottom w:val="single" w:color="000000" w:sz="2" w:space="0"/>
              <w:right w:val="single" w:color="auto" w:sz="4" w:space="0"/>
            </w:tcBorders>
            <w:vAlign w:val="center"/>
          </w:tcPr>
          <w:p w14:paraId="686394F1">
            <w:pPr>
              <w:pStyle w:val="1343"/>
              <w:rPr>
                <w:b/>
                <w:bCs/>
              </w:rPr>
            </w:pPr>
            <w:r>
              <w:rPr>
                <w:b/>
                <w:bCs/>
              </w:rPr>
              <w:t>合计</w:t>
            </w:r>
          </w:p>
        </w:tc>
        <w:tc>
          <w:tcPr>
            <w:tcW w:w="2322" w:type="pct"/>
            <w:gridSpan w:val="2"/>
            <w:tcBorders>
              <w:top w:val="single" w:color="000000" w:sz="2" w:space="0"/>
              <w:left w:val="single" w:color="000000" w:sz="2" w:space="0"/>
              <w:bottom w:val="single" w:color="000000" w:sz="2" w:space="0"/>
              <w:right w:val="single" w:color="000000" w:sz="2" w:space="0"/>
            </w:tcBorders>
            <w:shd w:val="clear" w:color="auto" w:fill="auto"/>
            <w:vAlign w:val="center"/>
          </w:tcPr>
          <w:p w14:paraId="47675E0E">
            <w:pPr>
              <w:pStyle w:val="1343"/>
            </w:pPr>
            <w:r>
              <w:rPr>
                <w:rFonts w:hint="eastAsia"/>
              </w:rPr>
              <w:t>62</w:t>
            </w:r>
            <w:r>
              <w:t>m/</w:t>
            </w:r>
            <w:r>
              <w:rPr>
                <w:rFonts w:hint="eastAsia"/>
              </w:rPr>
              <w:t>3</w:t>
            </w:r>
            <w:r>
              <w:t>处</w:t>
            </w:r>
          </w:p>
        </w:tc>
      </w:tr>
    </w:tbl>
    <w:p w14:paraId="6FE52449">
      <w:pPr>
        <w:pStyle w:val="1343"/>
      </w:pPr>
    </w:p>
    <w:tbl>
      <w:tblPr>
        <w:tblStyle w:val="139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44"/>
      </w:tblGrid>
      <w:tr w14:paraId="1BF3D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44" w:type="dxa"/>
            <w:tcBorders>
              <w:top w:val="nil"/>
              <w:left w:val="nil"/>
              <w:bottom w:val="nil"/>
              <w:right w:val="nil"/>
            </w:tcBorders>
            <w:vAlign w:val="center"/>
          </w:tcPr>
          <w:p w14:paraId="3E03CF27">
            <w:pPr>
              <w:pStyle w:val="1343"/>
              <w:rPr>
                <w:sz w:val="24"/>
              </w:rPr>
            </w:pPr>
            <w:r>
              <w:rPr>
                <w:sz w:val="24"/>
              </w:rPr>
              <mc:AlternateContent>
                <mc:Choice Requires="wps">
                  <w:drawing>
                    <wp:anchor distT="0" distB="0" distL="114300" distR="114300" simplePos="0" relativeHeight="251660288" behindDoc="0" locked="0" layoutInCell="1" allowOverlap="1">
                      <wp:simplePos x="0" y="0"/>
                      <wp:positionH relativeFrom="column">
                        <wp:posOffset>2300605</wp:posOffset>
                      </wp:positionH>
                      <wp:positionV relativeFrom="paragraph">
                        <wp:posOffset>1017905</wp:posOffset>
                      </wp:positionV>
                      <wp:extent cx="1636395" cy="1168400"/>
                      <wp:effectExtent l="8255" t="11430" r="12700" b="20320"/>
                      <wp:wrapNone/>
                      <wp:docPr id="3" name="直接连接符 3"/>
                      <wp:cNvGraphicFramePr/>
                      <a:graphic xmlns:a="http://schemas.openxmlformats.org/drawingml/2006/main">
                        <a:graphicData uri="http://schemas.microsoft.com/office/word/2010/wordprocessingShape">
                          <wps:wsp>
                            <wps:cNvCnPr/>
                            <wps:spPr>
                              <a:xfrm flipV="1">
                                <a:off x="3183890" y="5656580"/>
                                <a:ext cx="1636395" cy="1168400"/>
                              </a:xfrm>
                              <a:prstGeom prst="line">
                                <a:avLst/>
                              </a:prstGeom>
                              <a:ln w="28575">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181.15pt;margin-top:80.15pt;height:92pt;width:128.85pt;z-index:251660288;mso-width-relative:page;mso-height-relative:page;" filled="f" stroked="t" coordsize="21600,21600" o:gfxdata="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cT7ts2QAAAAsBAAAPAAAAAAAAAAEAIAAAACIAAABkcnMv&#10;ZG93bnJldi54bWxQSwECFAAUAAAACACHTuJADZkAxgICAADOAwAADgAAAAAAAAABACAAAAAoAQAA&#10;ZHJzL2Uyb0RvYy54bWxQSwUGAAAAAAYABgBZAQAAnAUAAAAA&#10;">
                      <v:fill on="f" focussize="0,0"/>
                      <v:stroke weight="2.25pt" color="#FF0000 [3204]" miterlimit="8" joinstyle="miter"/>
                      <v:imagedata o:title=""/>
                      <o:lock v:ext="edit" aspectratio="f"/>
                    </v:line>
                  </w:pict>
                </mc:Fallback>
              </mc:AlternateContent>
            </w:r>
            <w:r>
              <w:rPr>
                <w:rFonts w:hint="eastAsia"/>
                <w:sz w:val="24"/>
              </w:rPr>
              <w:drawing>
                <wp:inline distT="0" distB="0" distL="114300" distR="114300">
                  <wp:extent cx="3028950" cy="2272665"/>
                  <wp:effectExtent l="0" t="0" r="3810" b="13335"/>
                  <wp:docPr id="22" name="图片 22" descr="6587fa32b56fd722cc7d9b4057889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6587fa32b56fd722cc7d9b4057889a5"/>
                          <pic:cNvPicPr>
                            <a:picLocks noChangeAspect="1"/>
                          </pic:cNvPicPr>
                        </pic:nvPicPr>
                        <pic:blipFill>
                          <a:blip r:embed="rId42"/>
                          <a:stretch>
                            <a:fillRect/>
                          </a:stretch>
                        </pic:blipFill>
                        <pic:spPr>
                          <a:xfrm>
                            <a:off x="0" y="0"/>
                            <a:ext cx="3028950" cy="2272665"/>
                          </a:xfrm>
                          <a:prstGeom prst="rect">
                            <a:avLst/>
                          </a:prstGeom>
                        </pic:spPr>
                      </pic:pic>
                    </a:graphicData>
                  </a:graphic>
                </wp:inline>
              </w:drawing>
            </w:r>
          </w:p>
        </w:tc>
      </w:tr>
    </w:tbl>
    <w:p w14:paraId="0E335B47">
      <w:pPr>
        <w:pStyle w:val="904"/>
        <w:spacing w:line="360" w:lineRule="auto"/>
      </w:pPr>
      <w:r>
        <w:rPr>
          <w:rFonts w:hint="eastAsia"/>
        </w:rPr>
        <w:t>图3</w:t>
      </w:r>
      <w:r>
        <w:t>.</w:t>
      </w:r>
      <w:r>
        <w:rPr>
          <w:rFonts w:hint="eastAsia"/>
        </w:rPr>
        <w:t>3-2</w:t>
      </w:r>
      <w:r>
        <w:t xml:space="preserve">  </w:t>
      </w:r>
      <w:r>
        <w:rPr>
          <w:rFonts w:hint="eastAsia"/>
        </w:rPr>
        <w:t>G356国道穿越处现状</w:t>
      </w:r>
    </w:p>
    <w:p w14:paraId="09DCDC0E">
      <w:pPr>
        <w:spacing w:line="360" w:lineRule="auto"/>
        <w:ind w:firstLine="480" w:firstLineChars="200"/>
        <w:rPr>
          <w:sz w:val="24"/>
        </w:rPr>
      </w:pPr>
      <w:r>
        <w:rPr>
          <w:sz w:val="24"/>
        </w:rPr>
        <w:t>管道穿越公路严格执行《输气管道工程设计规范》（GB 50251-2015）、《油气输送管道穿越工程设计规范》（GB 50423-2013）的有关规定。</w:t>
      </w:r>
      <w:r>
        <w:rPr>
          <w:rFonts w:hint="eastAsia"/>
          <w:sz w:val="24"/>
        </w:rPr>
        <w:t>必须斜交时，斜交角度应大于60°</w:t>
      </w:r>
      <w:r>
        <w:rPr>
          <w:sz w:val="24"/>
        </w:rPr>
        <w:t>。</w:t>
      </w:r>
      <w:r>
        <w:rPr>
          <w:rFonts w:hint="eastAsia"/>
          <w:sz w:val="24"/>
        </w:rPr>
        <w:t>路基下面的管段不允许出现转角或进行平、竖面曲线敷设，公路穿越段两侧设置管道公路穿越标志桩</w:t>
      </w:r>
      <w:r>
        <w:rPr>
          <w:sz w:val="24"/>
        </w:rPr>
        <w:t>。</w:t>
      </w:r>
    </w:p>
    <w:p w14:paraId="34D99490">
      <w:pPr>
        <w:adjustRightInd w:val="0"/>
        <w:snapToGrid w:val="0"/>
        <w:spacing w:line="360" w:lineRule="auto"/>
        <w:ind w:firstLine="480" w:firstLineChars="200"/>
        <w:rPr>
          <w:sz w:val="24"/>
        </w:rPr>
      </w:pPr>
      <w:r>
        <w:rPr>
          <w:sz w:val="24"/>
        </w:rPr>
        <w:t>（</w:t>
      </w:r>
      <w:r>
        <w:rPr>
          <w:rFonts w:hint="eastAsia"/>
          <w:sz w:val="24"/>
        </w:rPr>
        <w:t>2</w:t>
      </w:r>
      <w:r>
        <w:rPr>
          <w:sz w:val="24"/>
        </w:rPr>
        <w:t>）穿越埋地管道</w:t>
      </w:r>
      <w:r>
        <w:rPr>
          <w:rFonts w:hint="eastAsia"/>
          <w:sz w:val="24"/>
        </w:rPr>
        <w:t>、地下电（光）缆</w:t>
      </w:r>
    </w:p>
    <w:p w14:paraId="4AAC719E">
      <w:pPr>
        <w:adjustRightInd w:val="0"/>
        <w:snapToGrid w:val="0"/>
        <w:spacing w:line="360" w:lineRule="auto"/>
        <w:ind w:firstLine="480" w:firstLineChars="200"/>
        <w:rPr>
          <w:rStyle w:val="238"/>
        </w:rPr>
      </w:pPr>
      <w:r>
        <w:rPr>
          <w:sz w:val="24"/>
        </w:rPr>
        <w:t>本</w:t>
      </w:r>
      <w:r>
        <w:rPr>
          <w:rStyle w:val="238"/>
        </w:rPr>
        <w:t>工程穿越</w:t>
      </w:r>
      <w:r>
        <w:rPr>
          <w:rStyle w:val="238"/>
          <w:rFonts w:hint="eastAsia"/>
        </w:rPr>
        <w:t>潜江－韶关输气管道</w:t>
      </w:r>
      <w:r>
        <w:rPr>
          <w:rStyle w:val="238"/>
        </w:rPr>
        <w:t>1处</w:t>
      </w:r>
      <w:r>
        <w:rPr>
          <w:rStyle w:val="238"/>
          <w:rFonts w:hint="eastAsia"/>
        </w:rPr>
        <w:t>，与</w:t>
      </w:r>
      <w:r>
        <w:rPr>
          <w:rFonts w:hint="eastAsia"/>
          <w:sz w:val="24"/>
        </w:rPr>
        <w:t>地下电（光）缆</w:t>
      </w:r>
      <w:r>
        <w:rPr>
          <w:rStyle w:val="238"/>
          <w:rFonts w:hint="eastAsia"/>
        </w:rPr>
        <w:t>交叉1处</w:t>
      </w:r>
      <w:r>
        <w:rPr>
          <w:rStyle w:val="238"/>
        </w:rPr>
        <w:t>。</w:t>
      </w:r>
    </w:p>
    <w:p w14:paraId="7112E831">
      <w:pPr>
        <w:adjustRightInd w:val="0"/>
        <w:snapToGrid w:val="0"/>
        <w:spacing w:line="360" w:lineRule="auto"/>
        <w:ind w:firstLine="480" w:firstLineChars="200"/>
        <w:rPr>
          <w:sz w:val="24"/>
        </w:rPr>
      </w:pPr>
      <w:r>
        <w:rPr>
          <w:rFonts w:hint="eastAsia"/>
          <w:sz w:val="24"/>
        </w:rPr>
        <w:t>一般情况下，管道与其他埋地构筑物交叉，原则上在其下方通过。与电（光）缆交叉时，管道与电（光）缆净距不小于0.5m，还要对电（光）缆采取保护措施。与其他管道交叉时，两管间净距不小于0.3m，本项目管道应位于被穿越管道下方，并在交叉位置将管道隔离。</w:t>
      </w:r>
    </w:p>
    <w:p w14:paraId="04E9CD7B">
      <w:pPr>
        <w:adjustRightInd w:val="0"/>
        <w:snapToGrid w:val="0"/>
        <w:spacing w:line="360" w:lineRule="auto"/>
        <w:ind w:firstLine="480" w:firstLineChars="200"/>
        <w:rPr>
          <w:sz w:val="24"/>
        </w:rPr>
      </w:pPr>
      <w:r>
        <w:rPr>
          <w:rFonts w:hint="eastAsia"/>
          <w:sz w:val="24"/>
        </w:rPr>
        <w:t>本项目穿越已建潜江－韶关输气管道，交叉角度不宜小于60°，交叉处垂直间距不小于0.5m，穿越处设置标志桩（警示牌），标明管道埋深。</w:t>
      </w:r>
    </w:p>
    <w:p w14:paraId="3A5BABD1">
      <w:pPr>
        <w:adjustRightInd w:val="0"/>
        <w:snapToGrid w:val="0"/>
        <w:spacing w:line="360" w:lineRule="auto"/>
        <w:ind w:firstLine="480" w:firstLineChars="200"/>
        <w:rPr>
          <w:b/>
          <w:bCs/>
          <w:sz w:val="24"/>
        </w:rPr>
      </w:pPr>
      <w:r>
        <w:rPr>
          <w:rFonts w:hint="eastAsia"/>
          <w:sz w:val="24"/>
        </w:rPr>
        <w:t>根据现场踏勘情况，本工程与其他管道、地下电（光）缆交叉详见表</w:t>
      </w:r>
      <w:r>
        <w:rPr>
          <w:sz w:val="24"/>
        </w:rPr>
        <w:t>3.</w:t>
      </w:r>
      <w:r>
        <w:rPr>
          <w:rFonts w:hint="eastAsia"/>
          <w:sz w:val="24"/>
        </w:rPr>
        <w:t>3-9~表3</w:t>
      </w:r>
      <w:r>
        <w:rPr>
          <w:sz w:val="24"/>
        </w:rPr>
        <w:t>.</w:t>
      </w:r>
      <w:r>
        <w:rPr>
          <w:rFonts w:hint="eastAsia"/>
          <w:sz w:val="24"/>
        </w:rPr>
        <w:t>3-10。</w:t>
      </w:r>
    </w:p>
    <w:p w14:paraId="70FBD89C">
      <w:pPr>
        <w:pStyle w:val="904"/>
      </w:pPr>
      <w:r>
        <w:rPr>
          <w:rFonts w:hint="eastAsia"/>
        </w:rPr>
        <w:t>表3</w:t>
      </w:r>
      <w:r>
        <w:t>.</w:t>
      </w:r>
      <w:r>
        <w:rPr>
          <w:rFonts w:hint="eastAsia"/>
        </w:rPr>
        <w:t>3-9</w:t>
      </w:r>
      <w:r>
        <w:t xml:space="preserve">  </w:t>
      </w:r>
      <w:r>
        <w:rPr>
          <w:rFonts w:hint="eastAsia"/>
        </w:rPr>
        <w:t>与其他管道交叉明细表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2"/>
        <w:gridCol w:w="2225"/>
        <w:gridCol w:w="1916"/>
        <w:gridCol w:w="1659"/>
        <w:gridCol w:w="1934"/>
      </w:tblGrid>
      <w:tr w14:paraId="4A30D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3" w:type="dxa"/>
            <w:vAlign w:val="center"/>
          </w:tcPr>
          <w:p w14:paraId="75032669">
            <w:pPr>
              <w:pStyle w:val="1343"/>
            </w:pPr>
            <w:r>
              <w:rPr>
                <w:rFonts w:hint="eastAsia"/>
              </w:rPr>
              <w:t>序号</w:t>
            </w:r>
          </w:p>
        </w:tc>
        <w:tc>
          <w:tcPr>
            <w:tcW w:w="1811" w:type="dxa"/>
            <w:vAlign w:val="center"/>
          </w:tcPr>
          <w:p w14:paraId="220D38FC">
            <w:pPr>
              <w:pStyle w:val="1343"/>
            </w:pPr>
            <w:r>
              <w:rPr>
                <w:rFonts w:hint="eastAsia"/>
              </w:rPr>
              <w:t>管道名称</w:t>
            </w:r>
          </w:p>
        </w:tc>
        <w:tc>
          <w:tcPr>
            <w:tcW w:w="1559" w:type="dxa"/>
            <w:vAlign w:val="center"/>
          </w:tcPr>
          <w:p w14:paraId="6EA18F95">
            <w:pPr>
              <w:pStyle w:val="1343"/>
            </w:pPr>
            <w:r>
              <w:rPr>
                <w:rFonts w:hint="eastAsia"/>
              </w:rPr>
              <w:t>管径/</w:t>
            </w:r>
            <w:r>
              <w:t>mm</w:t>
            </w:r>
          </w:p>
        </w:tc>
        <w:tc>
          <w:tcPr>
            <w:tcW w:w="1350" w:type="dxa"/>
            <w:vAlign w:val="center"/>
          </w:tcPr>
          <w:p w14:paraId="40816545">
            <w:pPr>
              <w:pStyle w:val="1343"/>
            </w:pPr>
            <w:r>
              <w:rPr>
                <w:rFonts w:hint="eastAsia"/>
              </w:rPr>
              <w:t>交叉角度</w:t>
            </w:r>
          </w:p>
        </w:tc>
        <w:tc>
          <w:tcPr>
            <w:tcW w:w="1574" w:type="dxa"/>
            <w:vAlign w:val="center"/>
          </w:tcPr>
          <w:p w14:paraId="6D4568F6">
            <w:pPr>
              <w:pStyle w:val="1343"/>
            </w:pPr>
            <w:r>
              <w:rPr>
                <w:rFonts w:hint="eastAsia"/>
              </w:rPr>
              <w:t>备注</w:t>
            </w:r>
          </w:p>
        </w:tc>
      </w:tr>
      <w:tr w14:paraId="517DF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3" w:type="dxa"/>
            <w:vAlign w:val="center"/>
          </w:tcPr>
          <w:p w14:paraId="7528E932">
            <w:pPr>
              <w:pStyle w:val="1343"/>
            </w:pPr>
            <w:r>
              <w:rPr>
                <w:rFonts w:hint="eastAsia"/>
              </w:rPr>
              <w:t>1</w:t>
            </w:r>
          </w:p>
        </w:tc>
        <w:tc>
          <w:tcPr>
            <w:tcW w:w="1811" w:type="dxa"/>
            <w:vAlign w:val="center"/>
          </w:tcPr>
          <w:p w14:paraId="04B4D1CC">
            <w:pPr>
              <w:pStyle w:val="1343"/>
            </w:pPr>
            <w:r>
              <w:rPr>
                <w:rFonts w:hint="eastAsia"/>
              </w:rPr>
              <w:t>潜江－韶关输气管道</w:t>
            </w:r>
          </w:p>
        </w:tc>
        <w:tc>
          <w:tcPr>
            <w:tcW w:w="1559" w:type="dxa"/>
            <w:vAlign w:val="center"/>
          </w:tcPr>
          <w:p w14:paraId="2F14447E">
            <w:pPr>
              <w:pStyle w:val="1343"/>
            </w:pPr>
            <w:r>
              <w:rPr>
                <w:rFonts w:hint="eastAsia"/>
              </w:rPr>
              <w:t>D1000</w:t>
            </w:r>
          </w:p>
        </w:tc>
        <w:tc>
          <w:tcPr>
            <w:tcW w:w="1350" w:type="dxa"/>
            <w:vAlign w:val="center"/>
          </w:tcPr>
          <w:p w14:paraId="2B9F6FA2">
            <w:pPr>
              <w:pStyle w:val="1343"/>
            </w:pPr>
            <w:r>
              <w:rPr>
                <w:rFonts w:hint="eastAsia"/>
              </w:rPr>
              <w:t>60°</w:t>
            </w:r>
          </w:p>
        </w:tc>
        <w:tc>
          <w:tcPr>
            <w:tcW w:w="1574" w:type="dxa"/>
            <w:vAlign w:val="center"/>
          </w:tcPr>
          <w:p w14:paraId="66F69613">
            <w:pPr>
              <w:pStyle w:val="1343"/>
            </w:pPr>
            <w:r>
              <w:rPr>
                <w:rFonts w:hint="eastAsia"/>
              </w:rPr>
              <w:t>/</w:t>
            </w:r>
          </w:p>
        </w:tc>
      </w:tr>
    </w:tbl>
    <w:p w14:paraId="4A6E8836">
      <w:pPr>
        <w:pStyle w:val="904"/>
        <w:spacing w:before="120" w:beforeLines="50"/>
      </w:pPr>
      <w:r>
        <w:rPr>
          <w:rFonts w:hint="eastAsia"/>
        </w:rPr>
        <w:t>表3</w:t>
      </w:r>
      <w:r>
        <w:t>.</w:t>
      </w:r>
      <w:r>
        <w:rPr>
          <w:rFonts w:hint="eastAsia"/>
        </w:rPr>
        <w:t>3-10</w:t>
      </w:r>
      <w:r>
        <w:t xml:space="preserve">  </w:t>
      </w:r>
      <w:r>
        <w:rPr>
          <w:rFonts w:hint="eastAsia"/>
        </w:rPr>
        <w:t>与地下电（光）缆交叉明细表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1"/>
        <w:gridCol w:w="2770"/>
        <w:gridCol w:w="1953"/>
        <w:gridCol w:w="1953"/>
        <w:gridCol w:w="1959"/>
      </w:tblGrid>
      <w:tr w14:paraId="191C9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1" w:type="dxa"/>
            <w:vAlign w:val="center"/>
          </w:tcPr>
          <w:p w14:paraId="027A26D6">
            <w:pPr>
              <w:pStyle w:val="1343"/>
            </w:pPr>
            <w:r>
              <w:rPr>
                <w:rFonts w:hint="eastAsia"/>
              </w:rPr>
              <w:t>序号</w:t>
            </w:r>
          </w:p>
        </w:tc>
        <w:tc>
          <w:tcPr>
            <w:tcW w:w="2770" w:type="dxa"/>
            <w:vAlign w:val="center"/>
          </w:tcPr>
          <w:p w14:paraId="7D528635">
            <w:pPr>
              <w:pStyle w:val="1343"/>
            </w:pPr>
            <w:r>
              <w:rPr>
                <w:rFonts w:hint="eastAsia"/>
              </w:rPr>
              <w:t>名称</w:t>
            </w:r>
          </w:p>
        </w:tc>
        <w:tc>
          <w:tcPr>
            <w:tcW w:w="1953" w:type="dxa"/>
            <w:vAlign w:val="center"/>
          </w:tcPr>
          <w:p w14:paraId="4776D379">
            <w:pPr>
              <w:pStyle w:val="1343"/>
            </w:pPr>
            <w:r>
              <w:rPr>
                <w:rFonts w:hint="eastAsia"/>
              </w:rPr>
              <w:t>交叉角度</w:t>
            </w:r>
          </w:p>
        </w:tc>
        <w:tc>
          <w:tcPr>
            <w:tcW w:w="1953" w:type="dxa"/>
            <w:vAlign w:val="center"/>
          </w:tcPr>
          <w:p w14:paraId="1415B800">
            <w:pPr>
              <w:pStyle w:val="1343"/>
            </w:pPr>
            <w:r>
              <w:rPr>
                <w:rFonts w:hint="eastAsia"/>
              </w:rPr>
              <w:t>净距离</w:t>
            </w:r>
          </w:p>
        </w:tc>
        <w:tc>
          <w:tcPr>
            <w:tcW w:w="1959" w:type="dxa"/>
            <w:vAlign w:val="center"/>
          </w:tcPr>
          <w:p w14:paraId="7FBB4218">
            <w:pPr>
              <w:pStyle w:val="1343"/>
            </w:pPr>
            <w:r>
              <w:rPr>
                <w:rFonts w:hint="eastAsia"/>
              </w:rPr>
              <w:t>备注</w:t>
            </w:r>
          </w:p>
        </w:tc>
      </w:tr>
      <w:tr w14:paraId="044E8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31" w:type="dxa"/>
            <w:vAlign w:val="center"/>
          </w:tcPr>
          <w:p w14:paraId="5645DFAD">
            <w:pPr>
              <w:pStyle w:val="1343"/>
            </w:pPr>
            <w:r>
              <w:rPr>
                <w:rFonts w:hint="eastAsia"/>
              </w:rPr>
              <w:t>1</w:t>
            </w:r>
          </w:p>
        </w:tc>
        <w:tc>
          <w:tcPr>
            <w:tcW w:w="2770" w:type="dxa"/>
            <w:vAlign w:val="center"/>
          </w:tcPr>
          <w:p w14:paraId="05504ECE">
            <w:pPr>
              <w:pStyle w:val="1343"/>
            </w:pPr>
            <w:r>
              <w:rPr>
                <w:rFonts w:hint="eastAsia"/>
              </w:rPr>
              <w:t>地下电（光）缆</w:t>
            </w:r>
          </w:p>
        </w:tc>
        <w:tc>
          <w:tcPr>
            <w:tcW w:w="1953" w:type="dxa"/>
            <w:vAlign w:val="center"/>
          </w:tcPr>
          <w:p w14:paraId="1EC8676D">
            <w:pPr>
              <w:pStyle w:val="1343"/>
            </w:pPr>
            <w:r>
              <w:rPr>
                <w:rFonts w:hint="eastAsia"/>
              </w:rPr>
              <w:t>6</w:t>
            </w:r>
            <w:r>
              <w:t>0</w:t>
            </w:r>
            <w:r>
              <w:rPr>
                <w:rFonts w:hint="eastAsia"/>
              </w:rPr>
              <w:t>°</w:t>
            </w:r>
          </w:p>
        </w:tc>
        <w:tc>
          <w:tcPr>
            <w:tcW w:w="1953" w:type="dxa"/>
            <w:vAlign w:val="center"/>
          </w:tcPr>
          <w:p w14:paraId="387125E8">
            <w:pPr>
              <w:pStyle w:val="1343"/>
            </w:pPr>
            <w:r>
              <w:rPr>
                <w:rFonts w:hint="eastAsia"/>
              </w:rPr>
              <w:t>0.5m</w:t>
            </w:r>
          </w:p>
        </w:tc>
        <w:tc>
          <w:tcPr>
            <w:tcW w:w="1959" w:type="dxa"/>
            <w:vAlign w:val="center"/>
          </w:tcPr>
          <w:p w14:paraId="3AD1309D">
            <w:pPr>
              <w:pStyle w:val="1343"/>
            </w:pPr>
            <w:r>
              <w:rPr>
                <w:rFonts w:hint="eastAsia"/>
              </w:rPr>
              <w:t>/</w:t>
            </w:r>
          </w:p>
        </w:tc>
      </w:tr>
    </w:tbl>
    <w:p w14:paraId="18C668BA">
      <w:pPr>
        <w:adjustRightInd w:val="0"/>
        <w:snapToGrid w:val="0"/>
        <w:spacing w:before="120" w:beforeLines="50" w:line="360" w:lineRule="auto"/>
        <w:ind w:firstLine="480" w:firstLineChars="200"/>
        <w:rPr>
          <w:sz w:val="24"/>
        </w:rPr>
      </w:pPr>
      <w:r>
        <w:rPr>
          <w:rFonts w:hint="eastAsia"/>
          <w:sz w:val="24"/>
        </w:rPr>
        <w:t>管线沿线穿越点见图3</w:t>
      </w:r>
      <w:r>
        <w:rPr>
          <w:sz w:val="24"/>
        </w:rPr>
        <w:t>.</w:t>
      </w:r>
      <w:r>
        <w:rPr>
          <w:rFonts w:hint="eastAsia"/>
          <w:sz w:val="24"/>
        </w:rPr>
        <w:t>3-3。</w:t>
      </w:r>
    </w:p>
    <w:p w14:paraId="3DB9BC7E">
      <w:pPr>
        <w:pStyle w:val="7"/>
        <w:rPr>
          <w:i/>
          <w:iCs/>
          <w:color w:val="auto"/>
          <w:u w:val="single"/>
        </w:rPr>
      </w:pPr>
      <w:r>
        <w:rPr>
          <w:i/>
          <w:iCs/>
          <w:color w:val="auto"/>
          <w:u w:val="single"/>
        </w:rPr>
        <w:t>管道</w:t>
      </w:r>
      <w:r>
        <w:rPr>
          <w:rFonts w:hint="eastAsia"/>
          <w:i/>
          <w:iCs/>
          <w:color w:val="auto"/>
          <w:u w:val="single"/>
        </w:rPr>
        <w:t>并行敷设</w:t>
      </w:r>
      <w:r>
        <w:rPr>
          <w:i/>
          <w:iCs/>
          <w:color w:val="auto"/>
          <w:u w:val="single"/>
        </w:rPr>
        <w:t>工程</w:t>
      </w:r>
    </w:p>
    <w:p w14:paraId="5FB1ADDA">
      <w:pPr>
        <w:adjustRightInd w:val="0"/>
        <w:snapToGrid w:val="0"/>
        <w:spacing w:before="120" w:beforeLines="50" w:line="360" w:lineRule="auto"/>
        <w:ind w:firstLine="480" w:firstLineChars="200"/>
        <w:rPr>
          <w:i/>
          <w:iCs/>
          <w:color w:val="auto"/>
          <w:sz w:val="24"/>
          <w:u w:val="single"/>
        </w:rPr>
      </w:pPr>
      <w:r>
        <w:rPr>
          <w:i/>
          <w:iCs/>
          <w:color w:val="auto"/>
          <w:sz w:val="24"/>
          <w:u w:val="single"/>
        </w:rPr>
        <w:t>本项目与潜江－韶关输气管道、耒阳门站</w:t>
      </w:r>
      <w:r>
        <w:rPr>
          <w:rFonts w:hint="eastAsia"/>
          <w:i/>
          <w:iCs/>
          <w:color w:val="auto"/>
          <w:sz w:val="24"/>
          <w:u w:val="single"/>
        </w:rPr>
        <w:t>进站、</w:t>
      </w:r>
      <w:r>
        <w:rPr>
          <w:i/>
          <w:iCs/>
          <w:color w:val="auto"/>
          <w:sz w:val="24"/>
          <w:u w:val="single"/>
        </w:rPr>
        <w:t>出站管道存在并行段</w:t>
      </w:r>
      <w:r>
        <w:rPr>
          <w:rFonts w:hint="eastAsia"/>
          <w:i/>
          <w:iCs/>
          <w:color w:val="auto"/>
          <w:sz w:val="24"/>
          <w:u w:val="single"/>
        </w:rPr>
        <w:t>。</w:t>
      </w:r>
      <w:r>
        <w:rPr>
          <w:i/>
          <w:iCs/>
          <w:color w:val="auto"/>
          <w:sz w:val="24"/>
          <w:u w:val="single"/>
        </w:rPr>
        <w:t>在建设过程中，与潜江－韶关输气管道并行间距约为1</w:t>
      </w:r>
      <w:r>
        <w:rPr>
          <w:rFonts w:hint="eastAsia"/>
          <w:i/>
          <w:iCs/>
          <w:color w:val="auto"/>
          <w:sz w:val="24"/>
          <w:u w:val="single"/>
        </w:rPr>
        <w:t>4</w:t>
      </w:r>
      <w:r>
        <w:rPr>
          <w:i/>
          <w:iCs/>
          <w:color w:val="auto"/>
          <w:sz w:val="24"/>
          <w:u w:val="single"/>
        </w:rPr>
        <w:t>m，</w:t>
      </w:r>
      <w:r>
        <w:rPr>
          <w:rFonts w:hint="eastAsia"/>
          <w:i/>
          <w:iCs/>
          <w:color w:val="auto"/>
          <w:sz w:val="24"/>
          <w:u w:val="single"/>
        </w:rPr>
        <w:t>并行长度169m；</w:t>
      </w:r>
      <w:r>
        <w:rPr>
          <w:i/>
          <w:iCs/>
          <w:color w:val="auto"/>
          <w:sz w:val="24"/>
          <w:u w:val="single"/>
        </w:rPr>
        <w:t>与耒阳门站出站管道并行间距1</w:t>
      </w:r>
      <w:r>
        <w:rPr>
          <w:rFonts w:hint="eastAsia"/>
          <w:i/>
          <w:iCs/>
          <w:color w:val="auto"/>
          <w:sz w:val="24"/>
          <w:u w:val="single"/>
        </w:rPr>
        <w:t>1</w:t>
      </w:r>
      <w:r>
        <w:rPr>
          <w:i/>
          <w:iCs/>
          <w:color w:val="auto"/>
          <w:sz w:val="24"/>
          <w:u w:val="single"/>
        </w:rPr>
        <w:t>m，</w:t>
      </w:r>
      <w:r>
        <w:rPr>
          <w:rFonts w:hint="eastAsia"/>
          <w:i/>
          <w:iCs/>
          <w:color w:val="auto"/>
          <w:sz w:val="24"/>
          <w:u w:val="single"/>
        </w:rPr>
        <w:t>并行长度170m；</w:t>
      </w:r>
      <w:r>
        <w:rPr>
          <w:i/>
          <w:iCs/>
          <w:color w:val="auto"/>
          <w:sz w:val="24"/>
          <w:u w:val="single"/>
        </w:rPr>
        <w:t>与耒阳</w:t>
      </w:r>
      <w:r>
        <w:rPr>
          <w:rFonts w:hint="eastAsia"/>
          <w:i/>
          <w:iCs/>
          <w:color w:val="auto"/>
          <w:sz w:val="24"/>
          <w:u w:val="single"/>
        </w:rPr>
        <w:t>门站进</w:t>
      </w:r>
      <w:r>
        <w:rPr>
          <w:i/>
          <w:iCs/>
          <w:color w:val="auto"/>
          <w:sz w:val="24"/>
          <w:u w:val="single"/>
        </w:rPr>
        <w:t>站管道并行间距约为</w:t>
      </w:r>
      <w:r>
        <w:rPr>
          <w:rFonts w:hint="eastAsia"/>
          <w:i/>
          <w:iCs/>
          <w:color w:val="auto"/>
          <w:sz w:val="24"/>
          <w:u w:val="single"/>
        </w:rPr>
        <w:t>16</w:t>
      </w:r>
      <w:r>
        <w:rPr>
          <w:i/>
          <w:iCs/>
          <w:color w:val="auto"/>
          <w:sz w:val="24"/>
          <w:u w:val="single"/>
        </w:rPr>
        <w:t>m，</w:t>
      </w:r>
      <w:r>
        <w:rPr>
          <w:rFonts w:hint="eastAsia"/>
          <w:i/>
          <w:iCs/>
          <w:color w:val="auto"/>
          <w:sz w:val="24"/>
          <w:u w:val="single"/>
        </w:rPr>
        <w:t>并行长度236m。</w:t>
      </w:r>
      <w:r>
        <w:rPr>
          <w:i/>
          <w:iCs/>
          <w:color w:val="auto"/>
          <w:sz w:val="24"/>
          <w:u w:val="single"/>
        </w:rPr>
        <w:t>本项目与潜江－韶关输气管道和耒阳门站出站管道均为不同期建设</w:t>
      </w:r>
      <w:r>
        <w:rPr>
          <w:rFonts w:hint="eastAsia"/>
          <w:i/>
          <w:iCs/>
          <w:color w:val="auto"/>
          <w:sz w:val="24"/>
          <w:u w:val="single"/>
        </w:rPr>
        <w:t>。</w:t>
      </w:r>
    </w:p>
    <w:p w14:paraId="2FA73066">
      <w:pPr>
        <w:adjustRightInd w:val="0"/>
        <w:snapToGrid w:val="0"/>
        <w:spacing w:line="360" w:lineRule="auto"/>
        <w:ind w:firstLine="480" w:firstLineChars="200"/>
        <w:rPr>
          <w:i/>
          <w:iCs/>
          <w:color w:val="auto"/>
          <w:sz w:val="24"/>
          <w:u w:val="single"/>
        </w:rPr>
      </w:pPr>
      <w:r>
        <w:rPr>
          <w:i/>
          <w:iCs/>
          <w:color w:val="auto"/>
          <w:sz w:val="24"/>
          <w:u w:val="single"/>
        </w:rPr>
        <w:t>根据《油气输送管道并行敷设技术规范》（SY/T 7365-2017）和《油气管道并行敷设设计规定》 (DEC-OGP-G-PL-002-2020-1）要求</w:t>
      </w:r>
      <w:r>
        <w:rPr>
          <w:rFonts w:hint="eastAsia"/>
          <w:i/>
          <w:iCs/>
          <w:color w:val="auto"/>
          <w:sz w:val="24"/>
          <w:u w:val="single"/>
        </w:rPr>
        <w:t>，并行管道应采取以下措施：</w:t>
      </w:r>
    </w:p>
    <w:p w14:paraId="02B2B4F3">
      <w:pPr>
        <w:adjustRightInd w:val="0"/>
        <w:snapToGrid w:val="0"/>
        <w:spacing w:line="360" w:lineRule="auto"/>
        <w:ind w:firstLine="480" w:firstLineChars="200"/>
        <w:rPr>
          <w:i/>
          <w:iCs/>
          <w:color w:val="auto"/>
          <w:sz w:val="24"/>
          <w:u w:val="single"/>
        </w:rPr>
      </w:pPr>
      <w:r>
        <w:rPr>
          <w:rFonts w:hint="eastAsia"/>
          <w:i/>
          <w:iCs/>
          <w:color w:val="auto"/>
          <w:sz w:val="24"/>
          <w:u w:val="single"/>
        </w:rPr>
        <w:t>（1）</w:t>
      </w:r>
      <w:r>
        <w:rPr>
          <w:i/>
          <w:iCs/>
          <w:color w:val="auto"/>
          <w:sz w:val="24"/>
          <w:u w:val="single"/>
        </w:rPr>
        <w:t>并行间距的确定应考虑管道输送介质的特征、压力、管径、地形特点、周围 的土壤性质等参数，同时应满足施工和运行的要求</w:t>
      </w:r>
      <w:r>
        <w:rPr>
          <w:rFonts w:hint="eastAsia"/>
          <w:i/>
          <w:iCs/>
          <w:color w:val="auto"/>
          <w:sz w:val="24"/>
          <w:u w:val="single"/>
        </w:rPr>
        <w:t>；</w:t>
      </w:r>
    </w:p>
    <w:p w14:paraId="50C1F55A">
      <w:pPr>
        <w:adjustRightInd w:val="0"/>
        <w:snapToGrid w:val="0"/>
        <w:spacing w:line="360" w:lineRule="auto"/>
        <w:ind w:firstLine="480" w:firstLineChars="200"/>
        <w:rPr>
          <w:i/>
          <w:iCs/>
          <w:color w:val="auto"/>
          <w:sz w:val="24"/>
          <w:u w:val="single"/>
        </w:rPr>
      </w:pPr>
      <w:r>
        <w:rPr>
          <w:rFonts w:hint="eastAsia"/>
          <w:i/>
          <w:iCs/>
          <w:color w:val="auto"/>
          <w:sz w:val="24"/>
          <w:u w:val="single"/>
        </w:rPr>
        <w:t>（2）</w:t>
      </w:r>
      <w:r>
        <w:rPr>
          <w:i/>
          <w:iCs/>
          <w:color w:val="auto"/>
          <w:sz w:val="24"/>
          <w:u w:val="single"/>
        </w:rPr>
        <w:t>不受限制地段，并行间距应满足起决定作用的管道失效而不造成其他并行管道破坏的要求，并且应不小于6m</w:t>
      </w:r>
      <w:r>
        <w:rPr>
          <w:rFonts w:hint="eastAsia"/>
          <w:i/>
          <w:iCs/>
          <w:color w:val="auto"/>
          <w:sz w:val="24"/>
          <w:u w:val="single"/>
        </w:rPr>
        <w:t>；</w:t>
      </w:r>
    </w:p>
    <w:p w14:paraId="1F346610">
      <w:pPr>
        <w:adjustRightInd w:val="0"/>
        <w:snapToGrid w:val="0"/>
        <w:spacing w:line="360" w:lineRule="auto"/>
        <w:ind w:firstLine="480" w:firstLineChars="200"/>
        <w:rPr>
          <w:rFonts w:hint="eastAsia"/>
          <w:i/>
          <w:iCs/>
          <w:color w:val="auto"/>
          <w:sz w:val="24"/>
          <w:u w:val="single"/>
          <w:lang w:eastAsia="zh-CN"/>
        </w:rPr>
      </w:pPr>
      <w:r>
        <w:rPr>
          <w:rFonts w:hint="eastAsia"/>
          <w:i/>
          <w:iCs/>
          <w:color w:val="auto"/>
          <w:sz w:val="24"/>
          <w:u w:val="single"/>
        </w:rPr>
        <w:t>（3）</w:t>
      </w:r>
      <w:r>
        <w:rPr>
          <w:i/>
          <w:iCs/>
          <w:color w:val="auto"/>
          <w:sz w:val="24"/>
          <w:u w:val="single"/>
        </w:rPr>
        <w:t>当地形受限，应根据具体的限制条件，经过技术经济比较，在采取安全措施后，可适当缩小并行间距。不同期建设的并行管道不宜同沟敷设</w:t>
      </w:r>
      <w:r>
        <w:rPr>
          <w:rFonts w:hint="eastAsia"/>
          <w:i/>
          <w:iCs/>
          <w:color w:val="auto"/>
          <w:sz w:val="24"/>
          <w:u w:val="single"/>
          <w:lang w:eastAsia="zh-CN"/>
        </w:rPr>
        <w:t>。</w:t>
      </w:r>
    </w:p>
    <w:p w14:paraId="5A8305C9">
      <w:pPr>
        <w:adjustRightInd w:val="0"/>
        <w:snapToGrid w:val="0"/>
        <w:spacing w:line="360" w:lineRule="auto"/>
        <w:ind w:firstLine="480" w:firstLineChars="200"/>
        <w:rPr>
          <w:i/>
          <w:iCs/>
          <w:color w:val="auto"/>
          <w:sz w:val="24"/>
          <w:u w:val="single"/>
        </w:rPr>
        <w:sectPr>
          <w:pgSz w:w="11910" w:h="16840"/>
          <w:pgMar w:top="1400" w:right="1180" w:bottom="1420" w:left="1280" w:header="822" w:footer="850" w:gutter="0"/>
          <w:cols w:space="720" w:num="1"/>
          <w:docGrid w:linePitch="286" w:charSpace="0"/>
        </w:sectPr>
      </w:pPr>
      <w:r>
        <w:rPr>
          <w:rFonts w:hint="eastAsia"/>
          <w:i/>
          <w:iCs/>
          <w:color w:val="auto"/>
          <w:sz w:val="24"/>
          <w:u w:val="single"/>
          <w:lang w:val="en-US" w:eastAsia="zh-CN"/>
        </w:rPr>
        <w:t>管道并行敷设情况见图3.3-3</w:t>
      </w:r>
      <w:r>
        <w:rPr>
          <w:rFonts w:hint="eastAsia"/>
          <w:i/>
          <w:iCs/>
          <w:color w:val="auto"/>
          <w:sz w:val="24"/>
          <w:u w:val="single"/>
        </w:rPr>
        <w:t>。</w:t>
      </w:r>
    </w:p>
    <w:p w14:paraId="5F59E9BB">
      <w:pPr>
        <w:adjustRightInd w:val="0"/>
        <w:snapToGrid w:val="0"/>
        <w:spacing w:line="360" w:lineRule="auto"/>
        <w:jc w:val="center"/>
        <w:rPr>
          <w:sz w:val="24"/>
        </w:rPr>
      </w:pPr>
      <w:r>
        <w:rPr>
          <w:rFonts w:hint="eastAsia"/>
          <w:sz w:val="24"/>
        </w:rPr>
        <w:drawing>
          <wp:inline distT="0" distB="0" distL="114300" distR="114300">
            <wp:extent cx="5107940" cy="8588375"/>
            <wp:effectExtent l="0" t="0" r="16510" b="3175"/>
            <wp:docPr id="37" name="图片 37" descr="950c7e97d1ae38e68d0f5a4f30a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950c7e97d1ae38e68d0f5a4f30a0818"/>
                    <pic:cNvPicPr>
                      <a:picLocks noChangeAspect="1"/>
                    </pic:cNvPicPr>
                  </pic:nvPicPr>
                  <pic:blipFill>
                    <a:blip r:embed="rId43"/>
                    <a:stretch>
                      <a:fillRect/>
                    </a:stretch>
                  </pic:blipFill>
                  <pic:spPr>
                    <a:xfrm>
                      <a:off x="0" y="0"/>
                      <a:ext cx="5107940" cy="8588375"/>
                    </a:xfrm>
                    <a:prstGeom prst="rect">
                      <a:avLst/>
                    </a:prstGeom>
                  </pic:spPr>
                </pic:pic>
              </a:graphicData>
            </a:graphic>
          </wp:inline>
        </w:drawing>
      </w:r>
    </w:p>
    <w:p w14:paraId="6D6D3E8D">
      <w:pPr>
        <w:pStyle w:val="904"/>
      </w:pPr>
      <w:r>
        <w:rPr>
          <w:rFonts w:hint="eastAsia"/>
        </w:rPr>
        <w:t>图3</w:t>
      </w:r>
      <w:r>
        <w:t>.</w:t>
      </w:r>
      <w:r>
        <w:rPr>
          <w:rFonts w:hint="eastAsia"/>
        </w:rPr>
        <w:t xml:space="preserve">3-3 </w:t>
      </w:r>
      <w:r>
        <w:t xml:space="preserve"> </w:t>
      </w:r>
      <w:r>
        <w:rPr>
          <w:rFonts w:hint="eastAsia"/>
        </w:rPr>
        <w:t>本工程沿线主要穿越点示意图</w:t>
      </w:r>
    </w:p>
    <w:p w14:paraId="53890C03">
      <w:pPr>
        <w:adjustRightInd w:val="0"/>
        <w:snapToGrid w:val="0"/>
        <w:spacing w:line="360" w:lineRule="auto"/>
        <w:ind w:firstLine="480" w:firstLineChars="200"/>
        <w:rPr>
          <w:sz w:val="24"/>
        </w:rPr>
        <w:sectPr>
          <w:pgSz w:w="11910" w:h="16840"/>
          <w:pgMar w:top="1400" w:right="1180" w:bottom="1420" w:left="1280" w:header="822" w:footer="850" w:gutter="0"/>
          <w:cols w:space="720" w:num="1"/>
          <w:docGrid w:linePitch="286" w:charSpace="0"/>
        </w:sectPr>
      </w:pPr>
    </w:p>
    <w:p w14:paraId="24B4C3E0">
      <w:pPr>
        <w:pStyle w:val="7"/>
      </w:pPr>
      <w:r>
        <w:t>防腐和阴极保护</w:t>
      </w:r>
    </w:p>
    <w:p w14:paraId="26792002">
      <w:pPr>
        <w:spacing w:line="360" w:lineRule="auto"/>
        <w:ind w:firstLine="480" w:firstLineChars="200"/>
        <w:rPr>
          <w:sz w:val="24"/>
        </w:rPr>
      </w:pPr>
      <w:r>
        <w:rPr>
          <w:sz w:val="24"/>
        </w:rPr>
        <w:t>本工程采用外防腐层和阴极保护联合保护的方案对埋地管道进行保护。</w:t>
      </w:r>
    </w:p>
    <w:p w14:paraId="591D3CF4">
      <w:pPr>
        <w:spacing w:line="360" w:lineRule="auto"/>
        <w:ind w:firstLine="480" w:firstLineChars="200"/>
        <w:rPr>
          <w:sz w:val="24"/>
        </w:rPr>
      </w:pPr>
      <w:r>
        <w:rPr>
          <w:sz w:val="24"/>
        </w:rPr>
        <w:t>（1）防腐</w:t>
      </w:r>
    </w:p>
    <w:p w14:paraId="450FE480">
      <w:pPr>
        <w:spacing w:line="360" w:lineRule="auto"/>
        <w:ind w:firstLine="480" w:firstLineChars="200"/>
        <w:rPr>
          <w:sz w:val="24"/>
        </w:rPr>
      </w:pPr>
      <w:r>
        <w:rPr>
          <w:sz w:val="24"/>
        </w:rPr>
        <w:fldChar w:fldCharType="begin"/>
      </w:r>
      <w:r>
        <w:rPr>
          <w:sz w:val="24"/>
        </w:rPr>
        <w:instrText xml:space="preserve"> = 1 \* GB3 </w:instrText>
      </w:r>
      <w:r>
        <w:rPr>
          <w:sz w:val="24"/>
        </w:rPr>
        <w:fldChar w:fldCharType="separate"/>
      </w:r>
      <w:r>
        <w:rPr>
          <w:rFonts w:hint="eastAsia" w:ascii="宋体" w:hAnsi="宋体" w:cs="宋体"/>
          <w:sz w:val="24"/>
        </w:rPr>
        <w:t>①</w:t>
      </w:r>
      <w:r>
        <w:rPr>
          <w:sz w:val="24"/>
        </w:rPr>
        <w:fldChar w:fldCharType="end"/>
      </w:r>
      <w:r>
        <w:rPr>
          <w:rFonts w:hint="eastAsia"/>
          <w:sz w:val="24"/>
        </w:rPr>
        <w:t>线路管道及冷弯管外防腐采用常温加强级三层PE防腐层（环氧涂层≥120</w:t>
      </w:r>
      <w:r>
        <w:rPr>
          <w:sz w:val="24"/>
        </w:rPr>
        <w:t>µ</w:t>
      </w:r>
      <w:r>
        <w:rPr>
          <w:rFonts w:hint="eastAsia"/>
          <w:sz w:val="24"/>
        </w:rPr>
        <w:t>m，胶粘剂层≥170</w:t>
      </w:r>
      <w:r>
        <w:rPr>
          <w:sz w:val="24"/>
        </w:rPr>
        <w:t>µ</w:t>
      </w:r>
      <w:r>
        <w:rPr>
          <w:rFonts w:hint="eastAsia"/>
          <w:sz w:val="24"/>
        </w:rPr>
        <w:t>m）</w:t>
      </w:r>
      <w:r>
        <w:rPr>
          <w:sz w:val="24"/>
        </w:rPr>
        <w:t>；</w:t>
      </w:r>
    </w:p>
    <w:p w14:paraId="545046D7">
      <w:pPr>
        <w:spacing w:line="360" w:lineRule="auto"/>
        <w:ind w:firstLine="480" w:firstLineChars="200"/>
        <w:rPr>
          <w:sz w:val="24"/>
        </w:rPr>
      </w:pPr>
      <w:r>
        <w:rPr>
          <w:sz w:val="24"/>
        </w:rPr>
        <w:fldChar w:fldCharType="begin"/>
      </w:r>
      <w:r>
        <w:rPr>
          <w:sz w:val="24"/>
        </w:rPr>
        <w:instrText xml:space="preserve"> = 2 \* GB3 </w:instrText>
      </w:r>
      <w:r>
        <w:rPr>
          <w:sz w:val="24"/>
        </w:rPr>
        <w:fldChar w:fldCharType="separate"/>
      </w:r>
      <w:r>
        <w:rPr>
          <w:rFonts w:hint="eastAsia" w:ascii="宋体" w:hAnsi="宋体" w:cs="宋体"/>
          <w:sz w:val="24"/>
        </w:rPr>
        <w:t>②</w:t>
      </w:r>
      <w:r>
        <w:rPr>
          <w:sz w:val="24"/>
        </w:rPr>
        <w:fldChar w:fldCharType="end"/>
      </w:r>
      <w:r>
        <w:rPr>
          <w:rFonts w:hint="eastAsia"/>
          <w:sz w:val="24"/>
        </w:rPr>
        <w:t>热煨弯管防腐层采用双层环氧粉末（底层厚度≥300</w:t>
      </w:r>
      <w:r>
        <w:rPr>
          <w:sz w:val="24"/>
        </w:rPr>
        <w:t>µ</w:t>
      </w:r>
      <w:r>
        <w:rPr>
          <w:rFonts w:hint="eastAsia"/>
          <w:sz w:val="24"/>
        </w:rPr>
        <w:t>m，外层厚度≥500</w:t>
      </w:r>
      <w:r>
        <w:rPr>
          <w:sz w:val="24"/>
        </w:rPr>
        <w:t>µ</w:t>
      </w:r>
      <w:r>
        <w:rPr>
          <w:rFonts w:hint="eastAsia"/>
          <w:sz w:val="24"/>
        </w:rPr>
        <w:t>m）</w:t>
      </w:r>
      <w:r>
        <w:rPr>
          <w:sz w:val="24"/>
        </w:rPr>
        <w:t>；</w:t>
      </w:r>
    </w:p>
    <w:p w14:paraId="459575B9">
      <w:pPr>
        <w:spacing w:line="360" w:lineRule="auto"/>
        <w:ind w:firstLine="480" w:firstLineChars="200"/>
        <w:rPr>
          <w:sz w:val="24"/>
        </w:rPr>
      </w:pPr>
      <w:r>
        <w:rPr>
          <w:sz w:val="24"/>
        </w:rPr>
        <w:fldChar w:fldCharType="begin"/>
      </w:r>
      <w:r>
        <w:rPr>
          <w:sz w:val="24"/>
        </w:rPr>
        <w:instrText xml:space="preserve"> = 3 \* GB3 </w:instrText>
      </w:r>
      <w:r>
        <w:rPr>
          <w:sz w:val="24"/>
        </w:rPr>
        <w:fldChar w:fldCharType="separate"/>
      </w:r>
      <w:r>
        <w:rPr>
          <w:rFonts w:hint="eastAsia" w:ascii="宋体" w:hAnsi="宋体" w:cs="宋体"/>
          <w:sz w:val="24"/>
        </w:rPr>
        <w:t>③</w:t>
      </w:r>
      <w:r>
        <w:rPr>
          <w:sz w:val="24"/>
        </w:rPr>
        <w:fldChar w:fldCharType="end"/>
      </w:r>
      <w:r>
        <w:rPr>
          <w:rFonts w:hint="eastAsia"/>
          <w:sz w:val="24"/>
        </w:rPr>
        <w:t>管道补口采用环氧底漆（干膜厚度≥200</w:t>
      </w:r>
      <w:r>
        <w:rPr>
          <w:sz w:val="24"/>
        </w:rPr>
        <w:t>µ</w:t>
      </w:r>
      <w:r>
        <w:rPr>
          <w:rFonts w:hint="eastAsia"/>
          <w:sz w:val="24"/>
        </w:rPr>
        <w:t>m）+辐射交联聚乙烯热收缩带；</w:t>
      </w:r>
    </w:p>
    <w:p w14:paraId="34385E8E">
      <w:pPr>
        <w:spacing w:line="360" w:lineRule="auto"/>
        <w:ind w:firstLine="480" w:firstLineChars="200"/>
        <w:rPr>
          <w:sz w:val="24"/>
        </w:rPr>
      </w:pPr>
      <w:r>
        <w:rPr>
          <w:sz w:val="24"/>
        </w:rPr>
        <w:fldChar w:fldCharType="begin"/>
      </w:r>
      <w:r>
        <w:rPr>
          <w:sz w:val="24"/>
        </w:rPr>
        <w:instrText xml:space="preserve"> = 4 \* GB3 </w:instrText>
      </w:r>
      <w:r>
        <w:rPr>
          <w:sz w:val="24"/>
        </w:rPr>
        <w:fldChar w:fldCharType="separate"/>
      </w:r>
      <w:r>
        <w:rPr>
          <w:rFonts w:hint="eastAsia" w:ascii="宋体" w:hAnsi="宋体" w:cs="宋体"/>
          <w:sz w:val="24"/>
        </w:rPr>
        <w:t>④</w:t>
      </w:r>
      <w:r>
        <w:rPr>
          <w:sz w:val="24"/>
        </w:rPr>
        <w:fldChar w:fldCharType="end"/>
      </w:r>
      <w:r>
        <w:rPr>
          <w:rFonts w:hint="eastAsia"/>
          <w:sz w:val="24"/>
        </w:rPr>
        <w:t>站场内管径与站外管道一致的埋地管道外防腐采用常温加强级三层PE防腐层；</w:t>
      </w:r>
    </w:p>
    <w:p w14:paraId="51397A03">
      <w:pPr>
        <w:spacing w:line="360" w:lineRule="auto"/>
        <w:ind w:firstLine="480" w:firstLineChars="200"/>
        <w:rPr>
          <w:sz w:val="24"/>
        </w:rPr>
      </w:pPr>
      <w:r>
        <w:rPr>
          <w:sz w:val="24"/>
        </w:rPr>
        <w:fldChar w:fldCharType="begin"/>
      </w:r>
      <w:r>
        <w:rPr>
          <w:sz w:val="24"/>
        </w:rPr>
        <w:instrText xml:space="preserve"> = 5 \* GB3 </w:instrText>
      </w:r>
      <w:r>
        <w:rPr>
          <w:sz w:val="24"/>
        </w:rPr>
        <w:fldChar w:fldCharType="separate"/>
      </w:r>
      <w:r>
        <w:rPr>
          <w:rFonts w:hint="eastAsia" w:ascii="宋体" w:hAnsi="宋体" w:cs="宋体"/>
          <w:sz w:val="24"/>
        </w:rPr>
        <w:t>⑤</w:t>
      </w:r>
      <w:r>
        <w:rPr>
          <w:sz w:val="24"/>
        </w:rPr>
        <w:fldChar w:fldCharType="end"/>
      </w:r>
      <w:r>
        <w:rPr>
          <w:rFonts w:hint="eastAsia"/>
          <w:sz w:val="24"/>
        </w:rPr>
        <w:t>站场内其他埋地管道采用无溶剂液体环氧涂料+聚丙烯胶粘带防腐</w:t>
      </w:r>
      <w:r>
        <w:rPr>
          <w:sz w:val="24"/>
        </w:rPr>
        <w:t>；</w:t>
      </w:r>
    </w:p>
    <w:p w14:paraId="261A4CEA">
      <w:pPr>
        <w:spacing w:line="360" w:lineRule="auto"/>
        <w:ind w:firstLine="480" w:firstLineChars="200"/>
        <w:rPr>
          <w:sz w:val="24"/>
        </w:rPr>
      </w:pPr>
      <w:r>
        <w:rPr>
          <w:rFonts w:hint="eastAsia" w:ascii="宋体" w:hAnsi="宋体" w:cs="宋体"/>
          <w:sz w:val="24"/>
        </w:rPr>
        <w:fldChar w:fldCharType="begin"/>
      </w:r>
      <w:r>
        <w:rPr>
          <w:rFonts w:hint="eastAsia" w:ascii="宋体" w:hAnsi="宋体" w:cs="宋体"/>
          <w:sz w:val="24"/>
        </w:rPr>
        <w:instrText xml:space="preserve"> = 6 \* GB3 \* MERGEFORMAT </w:instrText>
      </w:r>
      <w:r>
        <w:rPr>
          <w:rFonts w:hint="eastAsia" w:ascii="宋体" w:hAnsi="宋体" w:cs="宋体"/>
          <w:sz w:val="24"/>
        </w:rPr>
        <w:fldChar w:fldCharType="separate"/>
      </w:r>
      <w:r>
        <w:rPr>
          <w:rFonts w:ascii="宋体" w:hAnsi="宋体" w:cs="宋体"/>
          <w:sz w:val="24"/>
        </w:rPr>
        <w:t>⑥</w:t>
      </w:r>
      <w:r>
        <w:rPr>
          <w:rFonts w:hint="eastAsia" w:ascii="宋体" w:hAnsi="宋体" w:cs="宋体"/>
          <w:sz w:val="24"/>
        </w:rPr>
        <w:fldChar w:fldCharType="end"/>
      </w:r>
      <w:r>
        <w:rPr>
          <w:rFonts w:hint="eastAsia"/>
          <w:sz w:val="24"/>
        </w:rPr>
        <w:t>站内地面不保温管道外壁及附属钢结构采用环氧富锌底漆+环氧云铁中间漆+氟碳面漆涂层结构。</w:t>
      </w:r>
    </w:p>
    <w:p w14:paraId="12B46877">
      <w:pPr>
        <w:spacing w:line="360" w:lineRule="auto"/>
        <w:ind w:firstLine="480" w:firstLineChars="200"/>
        <w:rPr>
          <w:i/>
          <w:iCs/>
          <w:color w:val="auto"/>
          <w:sz w:val="24"/>
          <w:u w:val="single"/>
        </w:rPr>
      </w:pPr>
      <w:r>
        <w:rPr>
          <w:rFonts w:hint="eastAsia"/>
          <w:i/>
          <w:iCs/>
          <w:color w:val="auto"/>
          <w:sz w:val="24"/>
          <w:u w:val="single"/>
        </w:rPr>
        <w:t>除管道焊接处补口需在现场施工外，其他防腐工程均为预制，在管道出厂前已做好</w:t>
      </w:r>
      <w:r>
        <w:rPr>
          <w:i/>
          <w:iCs/>
          <w:color w:val="auto"/>
          <w:sz w:val="24"/>
          <w:u w:val="single"/>
        </w:rPr>
        <w:t>。</w:t>
      </w:r>
    </w:p>
    <w:p w14:paraId="1DB18E04">
      <w:pPr>
        <w:spacing w:line="360" w:lineRule="auto"/>
        <w:ind w:firstLine="480" w:firstLineChars="200"/>
        <w:rPr>
          <w:sz w:val="24"/>
        </w:rPr>
      </w:pPr>
      <w:r>
        <w:rPr>
          <w:sz w:val="24"/>
        </w:rPr>
        <w:t>（2）阴极保护</w:t>
      </w:r>
    </w:p>
    <w:p w14:paraId="5BCD9D54">
      <w:pPr>
        <w:spacing w:line="360" w:lineRule="auto"/>
        <w:ind w:firstLine="480" w:firstLineChars="200"/>
        <w:rPr>
          <w:sz w:val="24"/>
        </w:rPr>
      </w:pPr>
      <w:r>
        <w:rPr>
          <w:sz w:val="24"/>
        </w:rPr>
        <w:t>本工程采用</w:t>
      </w:r>
      <w:r>
        <w:rPr>
          <w:rFonts w:hint="eastAsia"/>
          <w:sz w:val="24"/>
        </w:rPr>
        <w:t>强制电流</w:t>
      </w:r>
      <w:r>
        <w:rPr>
          <w:sz w:val="24"/>
        </w:rPr>
        <w:t>阴极保护方案</w:t>
      </w:r>
      <w:r>
        <w:rPr>
          <w:rFonts w:hint="eastAsia"/>
          <w:sz w:val="24"/>
        </w:rPr>
        <w:t>，在耒阳分输站内设阴极保护站</w:t>
      </w:r>
      <w:r>
        <w:rPr>
          <w:sz w:val="24"/>
        </w:rPr>
        <w:t>。</w:t>
      </w:r>
    </w:p>
    <w:p w14:paraId="10080531">
      <w:pPr>
        <w:pStyle w:val="7"/>
        <w:rPr>
          <w:b/>
          <w:bCs w:val="0"/>
        </w:rPr>
      </w:pPr>
      <w:r>
        <w:t>自动控制</w:t>
      </w:r>
    </w:p>
    <w:p w14:paraId="6DCD5538">
      <w:pPr>
        <w:spacing w:line="360" w:lineRule="auto"/>
        <w:ind w:firstLine="480" w:firstLineChars="200"/>
        <w:rPr>
          <w:sz w:val="24"/>
        </w:rPr>
      </w:pPr>
      <w:r>
        <w:rPr>
          <w:rFonts w:hint="eastAsia"/>
          <w:sz w:val="24"/>
        </w:rPr>
        <w:t>本项目自动控制系统采用SCADA系统，由调控中心SCADA系统（已建）、1套站控制系统（耒阳分输站SCS）构成。监控数据经上游新气管道以潜江－韶关输气管道已建光通信链路接入新建管道光通信网络，上传至北京调控中心和廊坊备用调控中心。SCADA系统对全线各站场及阀室进行监控、监视、调度和管理。自动控制系统根据生产工艺过程的需要，监控现场工艺和辅助设备或设施，以达到保证该管道安全、平稳和高效运行的目的。</w:t>
      </w:r>
    </w:p>
    <w:p w14:paraId="60BE2FB8">
      <w:pPr>
        <w:pStyle w:val="7"/>
      </w:pPr>
      <w:r>
        <w:t>线路附属设施</w:t>
      </w:r>
    </w:p>
    <w:p w14:paraId="18197951">
      <w:pPr>
        <w:spacing w:line="360" w:lineRule="auto"/>
        <w:ind w:firstLine="480" w:firstLineChars="200"/>
        <w:rPr>
          <w:sz w:val="24"/>
        </w:rPr>
      </w:pPr>
      <w:r>
        <w:rPr>
          <w:sz w:val="24"/>
        </w:rPr>
        <w:t>管道沿线共设置</w:t>
      </w:r>
      <w:r>
        <w:rPr>
          <w:rFonts w:hint="eastAsia"/>
          <w:sz w:val="24"/>
        </w:rPr>
        <w:t>转角桩11</w:t>
      </w:r>
      <w:r>
        <w:rPr>
          <w:sz w:val="24"/>
        </w:rPr>
        <w:t>个</w:t>
      </w:r>
      <w:r>
        <w:rPr>
          <w:rFonts w:hint="eastAsia"/>
          <w:sz w:val="24"/>
        </w:rPr>
        <w:t>、标志桩9个、加密桩7个、</w:t>
      </w:r>
      <w:r>
        <w:rPr>
          <w:sz w:val="24"/>
        </w:rPr>
        <w:t>警示牌</w:t>
      </w:r>
      <w:r>
        <w:rPr>
          <w:rFonts w:hint="eastAsia"/>
          <w:sz w:val="24"/>
        </w:rPr>
        <w:t>4</w:t>
      </w:r>
      <w:r>
        <w:rPr>
          <w:sz w:val="24"/>
        </w:rPr>
        <w:t>个</w:t>
      </w:r>
      <w:r>
        <w:rPr>
          <w:rFonts w:hint="eastAsia"/>
          <w:sz w:val="24"/>
        </w:rPr>
        <w:t>、警示带0.</w:t>
      </w:r>
      <w:r>
        <w:rPr>
          <w:rFonts w:hint="eastAsia"/>
          <w:sz w:val="24"/>
          <w:lang w:eastAsia="zh-CN"/>
        </w:rPr>
        <w:t>760</w:t>
      </w:r>
      <w:r>
        <w:rPr>
          <w:rFonts w:hint="eastAsia"/>
          <w:sz w:val="24"/>
        </w:rPr>
        <w:t>km</w:t>
      </w:r>
      <w:r>
        <w:rPr>
          <w:sz w:val="24"/>
        </w:rPr>
        <w:t>。</w:t>
      </w:r>
    </w:p>
    <w:p w14:paraId="23A75DE3">
      <w:pPr>
        <w:pStyle w:val="7"/>
      </w:pPr>
      <w:r>
        <w:rPr>
          <w:rFonts w:hint="eastAsia"/>
        </w:rPr>
        <w:t>管道沿线</w:t>
      </w:r>
      <w:r>
        <w:t>水工保护与水土保持</w:t>
      </w:r>
    </w:p>
    <w:p w14:paraId="7A5F76B0">
      <w:pPr>
        <w:spacing w:line="360" w:lineRule="auto"/>
        <w:ind w:firstLine="480"/>
        <w:rPr>
          <w:sz w:val="24"/>
        </w:rPr>
      </w:pPr>
      <w:r>
        <w:rPr>
          <w:sz w:val="24"/>
        </w:rPr>
        <w:t>（1）</w:t>
      </w:r>
      <w:r>
        <w:rPr>
          <w:rFonts w:hint="eastAsia"/>
          <w:sz w:val="24"/>
        </w:rPr>
        <w:t>挡土坎</w:t>
      </w:r>
    </w:p>
    <w:p w14:paraId="6D16152E">
      <w:pPr>
        <w:pStyle w:val="234"/>
      </w:pPr>
      <w:r>
        <w:rPr>
          <w:rFonts w:hint="eastAsia"/>
        </w:rPr>
        <w:t>管线顺坡敷设时，在沟底纵坡的管沟内设置挡土坎，</w:t>
      </w:r>
      <w:r>
        <w:t>对不稳定土体进行加固。</w:t>
      </w:r>
    </w:p>
    <w:p w14:paraId="4FA14CA4">
      <w:pPr>
        <w:pStyle w:val="234"/>
      </w:pPr>
      <w:r>
        <w:t>（2）管道作业带</w:t>
      </w:r>
    </w:p>
    <w:p w14:paraId="689801A6">
      <w:pPr>
        <w:pStyle w:val="234"/>
      </w:pPr>
      <w:r>
        <w:t>管道穿越农田</w:t>
      </w:r>
      <w:r>
        <w:rPr>
          <w:rFonts w:hint="eastAsia"/>
        </w:rPr>
        <w:t>时</w:t>
      </w:r>
      <w:r>
        <w:t>，施工前进行表土剥离，布设临时排水措施，施工结束后进行土地整治，恢复农田。</w:t>
      </w:r>
    </w:p>
    <w:p w14:paraId="67D24DC7">
      <w:pPr>
        <w:spacing w:line="360" w:lineRule="auto"/>
        <w:ind w:firstLine="480" w:firstLineChars="200"/>
        <w:rPr>
          <w:sz w:val="24"/>
        </w:rPr>
      </w:pPr>
      <w:r>
        <w:rPr>
          <w:sz w:val="24"/>
        </w:rPr>
        <w:t>（</w:t>
      </w:r>
      <w:r>
        <w:rPr>
          <w:rFonts w:hint="eastAsia"/>
          <w:sz w:val="24"/>
        </w:rPr>
        <w:t>3</w:t>
      </w:r>
      <w:r>
        <w:rPr>
          <w:sz w:val="24"/>
        </w:rPr>
        <w:t xml:space="preserve">）公路穿越 </w:t>
      </w:r>
    </w:p>
    <w:p w14:paraId="4EE2A2C6">
      <w:pPr>
        <w:spacing w:line="360" w:lineRule="auto"/>
        <w:ind w:firstLine="480" w:firstLineChars="200"/>
        <w:rPr>
          <w:sz w:val="24"/>
        </w:rPr>
      </w:pPr>
      <w:r>
        <w:rPr>
          <w:sz w:val="24"/>
        </w:rPr>
        <w:t>顶管穿越等级公路时，对临时堆土采取临时拦挡、覆盖和临时排水措施，施工完毕后对施工场地进行土地平整，并恢复原地表土地类型。采用直接开挖方式穿越道路时，采取临时拦挡、覆盖和临时排水措施，管道施工完毕后，及时恢复道路边排水沟和破坏的行道树。由于该区降水充沛，其排水工程设计标准要求较高。</w:t>
      </w:r>
    </w:p>
    <w:p w14:paraId="1D705DC3">
      <w:pPr>
        <w:spacing w:line="360" w:lineRule="auto"/>
        <w:ind w:firstLine="480" w:firstLineChars="200"/>
        <w:rPr>
          <w:sz w:val="24"/>
        </w:rPr>
      </w:pPr>
      <w:r>
        <w:rPr>
          <w:sz w:val="24"/>
        </w:rPr>
        <w:t>（</w:t>
      </w:r>
      <w:r>
        <w:rPr>
          <w:rFonts w:hint="eastAsia"/>
          <w:sz w:val="24"/>
        </w:rPr>
        <w:t>4</w:t>
      </w:r>
      <w:r>
        <w:rPr>
          <w:sz w:val="24"/>
        </w:rPr>
        <w:t>）道路工程</w:t>
      </w:r>
    </w:p>
    <w:p w14:paraId="0BB766FD">
      <w:pPr>
        <w:spacing w:line="360" w:lineRule="auto"/>
        <w:ind w:firstLine="480" w:firstLineChars="200"/>
        <w:rPr>
          <w:sz w:val="24"/>
        </w:rPr>
      </w:pPr>
      <w:r>
        <w:rPr>
          <w:sz w:val="24"/>
        </w:rPr>
        <w:t>道路施工过程中要做好临时拦挡、临时排水措施等；施工结束后及时进行恢复。</w:t>
      </w:r>
    </w:p>
    <w:p w14:paraId="0A2B4A6D">
      <w:pPr>
        <w:spacing w:line="360" w:lineRule="auto"/>
        <w:ind w:firstLine="480" w:firstLineChars="200"/>
        <w:rPr>
          <w:sz w:val="24"/>
        </w:rPr>
      </w:pPr>
      <w:r>
        <w:rPr>
          <w:sz w:val="24"/>
        </w:rPr>
        <w:t>（</w:t>
      </w:r>
      <w:r>
        <w:rPr>
          <w:rFonts w:hint="eastAsia"/>
          <w:sz w:val="24"/>
        </w:rPr>
        <w:t>5</w:t>
      </w:r>
      <w:r>
        <w:rPr>
          <w:sz w:val="24"/>
        </w:rPr>
        <w:t>）土地复耕及整治对农耕地以整平恢复利用为主；实施水土保持工程整地，恢复农耕；对及临建设施占地，进行坑凹回填，宜农则农。最终达到蓄水保土，维护管道工程安全，恢复和提高土地的生产力、减少水土流失的目的。</w:t>
      </w:r>
    </w:p>
    <w:p w14:paraId="63B9A5E8">
      <w:pPr>
        <w:spacing w:line="360" w:lineRule="auto"/>
        <w:ind w:firstLine="480" w:firstLineChars="200"/>
        <w:rPr>
          <w:sz w:val="24"/>
        </w:rPr>
      </w:pPr>
      <w:r>
        <w:rPr>
          <w:sz w:val="24"/>
        </w:rPr>
        <w:t>本工程水土保持工程量见表3.</w:t>
      </w:r>
      <w:r>
        <w:rPr>
          <w:rFonts w:hint="eastAsia"/>
          <w:sz w:val="24"/>
        </w:rPr>
        <w:t>3-11</w:t>
      </w:r>
      <w:r>
        <w:rPr>
          <w:sz w:val="24"/>
        </w:rPr>
        <w:t>。</w:t>
      </w:r>
    </w:p>
    <w:p w14:paraId="04B43916">
      <w:pPr>
        <w:pStyle w:val="904"/>
      </w:pPr>
      <w:r>
        <w:t>表3.</w:t>
      </w:r>
      <w:r>
        <w:rPr>
          <w:rFonts w:hint="eastAsia"/>
        </w:rPr>
        <w:t>3-11</w:t>
      </w:r>
      <w:r>
        <w:t xml:space="preserve"> 本工程水工保护与水土保持工程量一览表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3381"/>
        <w:gridCol w:w="3103"/>
        <w:gridCol w:w="2240"/>
      </w:tblGrid>
      <w:tr w14:paraId="4B837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87" w:type="pct"/>
            <w:vAlign w:val="center"/>
          </w:tcPr>
          <w:p w14:paraId="35083144">
            <w:pPr>
              <w:jc w:val="center"/>
              <w:rPr>
                <w:szCs w:val="21"/>
              </w:rPr>
            </w:pPr>
            <w:r>
              <w:rPr>
                <w:szCs w:val="21"/>
              </w:rPr>
              <w:t>序号</w:t>
            </w:r>
          </w:p>
        </w:tc>
        <w:tc>
          <w:tcPr>
            <w:tcW w:w="1748" w:type="pct"/>
            <w:vAlign w:val="center"/>
          </w:tcPr>
          <w:p w14:paraId="412E441A">
            <w:pPr>
              <w:jc w:val="center"/>
              <w:rPr>
                <w:szCs w:val="21"/>
              </w:rPr>
            </w:pPr>
            <w:r>
              <w:rPr>
                <w:szCs w:val="21"/>
              </w:rPr>
              <w:t>工程量</w:t>
            </w:r>
          </w:p>
        </w:tc>
        <w:tc>
          <w:tcPr>
            <w:tcW w:w="1604" w:type="pct"/>
            <w:vAlign w:val="center"/>
          </w:tcPr>
          <w:p w14:paraId="7579FEBF">
            <w:pPr>
              <w:jc w:val="center"/>
              <w:rPr>
                <w:szCs w:val="21"/>
              </w:rPr>
            </w:pPr>
            <w:r>
              <w:rPr>
                <w:szCs w:val="21"/>
              </w:rPr>
              <w:t>数量</w:t>
            </w:r>
          </w:p>
        </w:tc>
        <w:tc>
          <w:tcPr>
            <w:tcW w:w="1158" w:type="pct"/>
            <w:vAlign w:val="center"/>
          </w:tcPr>
          <w:p w14:paraId="2B545C05">
            <w:pPr>
              <w:jc w:val="center"/>
              <w:rPr>
                <w:szCs w:val="21"/>
              </w:rPr>
            </w:pPr>
            <w:r>
              <w:rPr>
                <w:rFonts w:hint="eastAsia"/>
                <w:szCs w:val="21"/>
              </w:rPr>
              <w:t>单位</w:t>
            </w:r>
          </w:p>
        </w:tc>
      </w:tr>
      <w:tr w14:paraId="49713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 w:type="pct"/>
            <w:vAlign w:val="center"/>
          </w:tcPr>
          <w:p w14:paraId="7E12B0D1">
            <w:pPr>
              <w:jc w:val="center"/>
              <w:rPr>
                <w:szCs w:val="21"/>
              </w:rPr>
            </w:pPr>
            <w:r>
              <w:rPr>
                <w:szCs w:val="21"/>
              </w:rPr>
              <w:t>1</w:t>
            </w:r>
          </w:p>
        </w:tc>
        <w:tc>
          <w:tcPr>
            <w:tcW w:w="1748" w:type="pct"/>
            <w:vAlign w:val="center"/>
          </w:tcPr>
          <w:p w14:paraId="7FAAF123">
            <w:pPr>
              <w:jc w:val="center"/>
              <w:rPr>
                <w:szCs w:val="21"/>
              </w:rPr>
            </w:pPr>
            <w:r>
              <w:rPr>
                <w:rFonts w:hint="eastAsia"/>
                <w:szCs w:val="21"/>
              </w:rPr>
              <w:t>临时挡土坎</w:t>
            </w:r>
          </w:p>
        </w:tc>
        <w:tc>
          <w:tcPr>
            <w:tcW w:w="1604" w:type="pct"/>
            <w:vAlign w:val="center"/>
          </w:tcPr>
          <w:p w14:paraId="5FE8231F">
            <w:pPr>
              <w:jc w:val="center"/>
              <w:rPr>
                <w:szCs w:val="21"/>
              </w:rPr>
            </w:pPr>
            <w:r>
              <w:rPr>
                <w:rFonts w:hint="eastAsia"/>
                <w:szCs w:val="21"/>
              </w:rPr>
              <w:t>690</w:t>
            </w:r>
          </w:p>
        </w:tc>
        <w:tc>
          <w:tcPr>
            <w:tcW w:w="1158" w:type="pct"/>
            <w:vAlign w:val="center"/>
          </w:tcPr>
          <w:p w14:paraId="42C6761B">
            <w:pPr>
              <w:jc w:val="center"/>
              <w:rPr>
                <w:szCs w:val="21"/>
              </w:rPr>
            </w:pPr>
            <w:r>
              <w:rPr>
                <w:rFonts w:hint="eastAsia"/>
                <w:szCs w:val="21"/>
              </w:rPr>
              <w:t>m</w:t>
            </w:r>
          </w:p>
        </w:tc>
      </w:tr>
      <w:tr w14:paraId="7B693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7" w:type="pct"/>
            <w:vAlign w:val="center"/>
          </w:tcPr>
          <w:p w14:paraId="624173A1">
            <w:pPr>
              <w:jc w:val="center"/>
              <w:rPr>
                <w:szCs w:val="21"/>
              </w:rPr>
            </w:pPr>
            <w:r>
              <w:rPr>
                <w:szCs w:val="21"/>
              </w:rPr>
              <w:t>2</w:t>
            </w:r>
          </w:p>
        </w:tc>
        <w:tc>
          <w:tcPr>
            <w:tcW w:w="1748" w:type="pct"/>
            <w:vAlign w:val="center"/>
          </w:tcPr>
          <w:p w14:paraId="4B659DDD">
            <w:pPr>
              <w:jc w:val="center"/>
              <w:rPr>
                <w:szCs w:val="21"/>
              </w:rPr>
            </w:pPr>
            <w:r>
              <w:rPr>
                <w:rFonts w:hint="eastAsia"/>
                <w:szCs w:val="21"/>
              </w:rPr>
              <w:t>临时排水沟</w:t>
            </w:r>
          </w:p>
        </w:tc>
        <w:tc>
          <w:tcPr>
            <w:tcW w:w="1604" w:type="pct"/>
            <w:vAlign w:val="center"/>
          </w:tcPr>
          <w:p w14:paraId="1CCF4B21">
            <w:pPr>
              <w:jc w:val="center"/>
              <w:rPr>
                <w:szCs w:val="21"/>
              </w:rPr>
            </w:pPr>
            <w:r>
              <w:rPr>
                <w:rFonts w:hint="eastAsia"/>
                <w:szCs w:val="21"/>
              </w:rPr>
              <w:t>690</w:t>
            </w:r>
          </w:p>
        </w:tc>
        <w:tc>
          <w:tcPr>
            <w:tcW w:w="1158" w:type="pct"/>
            <w:vAlign w:val="center"/>
          </w:tcPr>
          <w:p w14:paraId="12087C36">
            <w:pPr>
              <w:jc w:val="center"/>
              <w:rPr>
                <w:szCs w:val="21"/>
              </w:rPr>
            </w:pPr>
            <w:r>
              <w:rPr>
                <w:rFonts w:hint="eastAsia"/>
                <w:szCs w:val="21"/>
              </w:rPr>
              <w:t>m</w:t>
            </w:r>
          </w:p>
        </w:tc>
      </w:tr>
    </w:tbl>
    <w:p w14:paraId="462D80FB">
      <w:pPr>
        <w:pStyle w:val="5"/>
        <w:spacing w:before="120" w:beforeLines="50"/>
        <w:rPr>
          <w:color w:val="auto"/>
        </w:rPr>
      </w:pPr>
      <w:r>
        <w:rPr>
          <w:color w:val="auto"/>
        </w:rPr>
        <w:t>站场工程</w:t>
      </w:r>
    </w:p>
    <w:p w14:paraId="7BBBC8AD">
      <w:pPr>
        <w:spacing w:line="360" w:lineRule="auto"/>
        <w:ind w:firstLine="480" w:firstLineChars="200"/>
        <w:rPr>
          <w:sz w:val="24"/>
        </w:rPr>
      </w:pPr>
      <w:r>
        <w:rPr>
          <w:rFonts w:hint="eastAsia"/>
          <w:sz w:val="24"/>
        </w:rPr>
        <w:t>本工程新建耒阳分输站一座，对上游28号阀室进行改造，增加分输阀组。</w:t>
      </w:r>
    </w:p>
    <w:p w14:paraId="092208E8">
      <w:pPr>
        <w:spacing w:line="360" w:lineRule="auto"/>
        <w:ind w:firstLine="482" w:firstLineChars="200"/>
        <w:rPr>
          <w:b/>
          <w:bCs/>
          <w:sz w:val="24"/>
        </w:rPr>
      </w:pPr>
      <w:r>
        <w:rPr>
          <w:rFonts w:hint="eastAsia"/>
          <w:b/>
          <w:bCs/>
          <w:sz w:val="24"/>
        </w:rPr>
        <w:t>（1）新建耒阳分输站</w:t>
      </w:r>
    </w:p>
    <w:p w14:paraId="6F945F89">
      <w:pPr>
        <w:spacing w:line="360" w:lineRule="auto"/>
        <w:ind w:firstLine="480" w:firstLineChars="200"/>
        <w:rPr>
          <w:sz w:val="24"/>
        </w:rPr>
      </w:pPr>
      <w:r>
        <w:rPr>
          <w:rFonts w:hint="eastAsia"/>
          <w:sz w:val="24"/>
        </w:rPr>
        <w:fldChar w:fldCharType="begin"/>
      </w:r>
      <w:r>
        <w:rPr>
          <w:rFonts w:hint="eastAsia"/>
          <w:sz w:val="24"/>
        </w:rPr>
        <w:instrText xml:space="preserve"> = 1 \* GB3 \* MERGEFORMAT </w:instrText>
      </w:r>
      <w:r>
        <w:rPr>
          <w:rFonts w:hint="eastAsia"/>
          <w:sz w:val="24"/>
        </w:rPr>
        <w:fldChar w:fldCharType="separate"/>
      </w:r>
      <w:r>
        <w:rPr>
          <w:rFonts w:hint="eastAsia"/>
          <w:sz w:val="24"/>
        </w:rPr>
        <w:t>①</w:t>
      </w:r>
      <w:r>
        <w:rPr>
          <w:rFonts w:hint="eastAsia"/>
          <w:sz w:val="24"/>
        </w:rPr>
        <w:fldChar w:fldCharType="end"/>
      </w:r>
      <w:r>
        <w:rPr>
          <w:rFonts w:hint="eastAsia"/>
          <w:sz w:val="24"/>
        </w:rPr>
        <w:t>设计参数及主要功能</w:t>
      </w:r>
    </w:p>
    <w:p w14:paraId="3D54D6BC">
      <w:pPr>
        <w:spacing w:line="360" w:lineRule="auto"/>
        <w:ind w:firstLine="480" w:firstLineChars="200"/>
        <w:rPr>
          <w:sz w:val="24"/>
        </w:rPr>
      </w:pPr>
      <w:r>
        <w:rPr>
          <w:rFonts w:hint="eastAsia"/>
          <w:sz w:val="24"/>
        </w:rPr>
        <w:t>耒阳分输站设计参数及主要功能见表3.3-12。</w:t>
      </w:r>
    </w:p>
    <w:p w14:paraId="12436191">
      <w:pPr>
        <w:pStyle w:val="904"/>
      </w:pPr>
      <w:r>
        <w:t>表3.</w:t>
      </w:r>
      <w:r>
        <w:rPr>
          <w:rFonts w:hint="eastAsia"/>
        </w:rPr>
        <w:t>3-12</w:t>
      </w:r>
      <w:r>
        <w:t xml:space="preserve"> </w:t>
      </w:r>
      <w:r>
        <w:rPr>
          <w:rFonts w:hint="eastAsia"/>
        </w:rPr>
        <w:t>耒阳分输站设计参数及主要功能</w:t>
      </w:r>
      <w:r>
        <w:t>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7"/>
        <w:gridCol w:w="4180"/>
        <w:gridCol w:w="4179"/>
      </w:tblGrid>
      <w:tr w14:paraId="5611A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76" w:type="pct"/>
            <w:vAlign w:val="center"/>
          </w:tcPr>
          <w:p w14:paraId="37AAB2AF">
            <w:pPr>
              <w:jc w:val="center"/>
              <w:rPr>
                <w:szCs w:val="21"/>
              </w:rPr>
            </w:pPr>
            <w:r>
              <w:rPr>
                <w:rFonts w:hint="eastAsia"/>
                <w:szCs w:val="21"/>
              </w:rPr>
              <w:t>站场名称</w:t>
            </w:r>
          </w:p>
        </w:tc>
        <w:tc>
          <w:tcPr>
            <w:tcW w:w="2162" w:type="pct"/>
            <w:vAlign w:val="center"/>
          </w:tcPr>
          <w:p w14:paraId="69D12436">
            <w:pPr>
              <w:jc w:val="center"/>
              <w:rPr>
                <w:szCs w:val="21"/>
              </w:rPr>
            </w:pPr>
            <w:r>
              <w:rPr>
                <w:rFonts w:hint="eastAsia"/>
                <w:szCs w:val="21"/>
              </w:rPr>
              <w:t>站场设计参数</w:t>
            </w:r>
          </w:p>
        </w:tc>
        <w:tc>
          <w:tcPr>
            <w:tcW w:w="2161" w:type="pct"/>
            <w:vAlign w:val="center"/>
          </w:tcPr>
          <w:p w14:paraId="76BD5037">
            <w:pPr>
              <w:jc w:val="center"/>
              <w:rPr>
                <w:szCs w:val="21"/>
              </w:rPr>
            </w:pPr>
            <w:r>
              <w:rPr>
                <w:rFonts w:hint="eastAsia"/>
                <w:szCs w:val="21"/>
              </w:rPr>
              <w:t>站场主要设置功能</w:t>
            </w:r>
          </w:p>
        </w:tc>
      </w:tr>
      <w:tr w14:paraId="414E6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pct"/>
            <w:vAlign w:val="center"/>
          </w:tcPr>
          <w:p w14:paraId="255EC704">
            <w:pPr>
              <w:jc w:val="center"/>
              <w:rPr>
                <w:szCs w:val="21"/>
              </w:rPr>
            </w:pPr>
            <w:r>
              <w:rPr>
                <w:rFonts w:hint="eastAsia"/>
                <w:szCs w:val="21"/>
              </w:rPr>
              <w:t>耒阳分输站</w:t>
            </w:r>
          </w:p>
        </w:tc>
        <w:tc>
          <w:tcPr>
            <w:tcW w:w="2162" w:type="pct"/>
            <w:vAlign w:val="center"/>
          </w:tcPr>
          <w:p w14:paraId="55C57241">
            <w:pPr>
              <w:numPr>
                <w:ilvl w:val="0"/>
                <w:numId w:val="25"/>
              </w:numPr>
              <w:rPr>
                <w:szCs w:val="21"/>
              </w:rPr>
            </w:pPr>
            <w:r>
              <w:rPr>
                <w:rFonts w:hint="eastAsia"/>
                <w:szCs w:val="21"/>
              </w:rPr>
              <w:t>进站设计压力：10MPa；</w:t>
            </w:r>
          </w:p>
          <w:p w14:paraId="4902188C">
            <w:pPr>
              <w:numPr>
                <w:ilvl w:val="0"/>
                <w:numId w:val="25"/>
              </w:numPr>
              <w:rPr>
                <w:szCs w:val="21"/>
              </w:rPr>
            </w:pPr>
            <w:r>
              <w:rPr>
                <w:rFonts w:hint="eastAsia"/>
                <w:szCs w:val="21"/>
              </w:rPr>
              <w:t>出站设计压力：4MPa；</w:t>
            </w:r>
          </w:p>
          <w:p w14:paraId="5E305764">
            <w:pPr>
              <w:numPr>
                <w:ilvl w:val="0"/>
                <w:numId w:val="25"/>
              </w:numPr>
              <w:rPr>
                <w:szCs w:val="21"/>
              </w:rPr>
            </w:pPr>
            <w:r>
              <w:rPr>
                <w:rFonts w:hint="eastAsia"/>
                <w:szCs w:val="21"/>
              </w:rPr>
              <w:t>环境温度：7℃~39℃；</w:t>
            </w:r>
          </w:p>
          <w:p w14:paraId="19F1DD5F">
            <w:pPr>
              <w:numPr>
                <w:ilvl w:val="0"/>
                <w:numId w:val="25"/>
              </w:numPr>
              <w:rPr>
                <w:szCs w:val="21"/>
              </w:rPr>
            </w:pPr>
            <w:r>
              <w:rPr>
                <w:rFonts w:hint="eastAsia"/>
                <w:szCs w:val="21"/>
              </w:rPr>
              <w:t>天然气进站平均温度：18℃；</w:t>
            </w:r>
          </w:p>
          <w:p w14:paraId="07E57744">
            <w:pPr>
              <w:numPr>
                <w:ilvl w:val="0"/>
                <w:numId w:val="25"/>
              </w:numPr>
              <w:rPr>
                <w:szCs w:val="21"/>
              </w:rPr>
            </w:pPr>
            <w:r>
              <w:rPr>
                <w:rFonts w:hint="eastAsia"/>
                <w:szCs w:val="21"/>
              </w:rPr>
              <w:t>天然气进站最低温度：11℃；</w:t>
            </w:r>
          </w:p>
          <w:p w14:paraId="48A505DB">
            <w:pPr>
              <w:numPr>
                <w:ilvl w:val="0"/>
                <w:numId w:val="25"/>
              </w:numPr>
              <w:rPr>
                <w:szCs w:val="21"/>
              </w:rPr>
            </w:pPr>
            <w:r>
              <w:rPr>
                <w:rFonts w:hint="eastAsia"/>
                <w:szCs w:val="21"/>
              </w:rPr>
              <w:t>处理量：4.2×10</w:t>
            </w:r>
            <w:r>
              <w:rPr>
                <w:rFonts w:hint="eastAsia"/>
                <w:szCs w:val="21"/>
                <w:vertAlign w:val="superscript"/>
              </w:rPr>
              <w:t>8</w:t>
            </w:r>
            <w:r>
              <w:rPr>
                <w:rFonts w:hint="eastAsia"/>
                <w:szCs w:val="21"/>
              </w:rPr>
              <w:t>Nm</w:t>
            </w:r>
            <w:r>
              <w:rPr>
                <w:rFonts w:hint="eastAsia"/>
                <w:szCs w:val="21"/>
                <w:vertAlign w:val="superscript"/>
              </w:rPr>
              <w:t>3</w:t>
            </w:r>
            <w:r>
              <w:rPr>
                <w:rFonts w:hint="eastAsia"/>
                <w:szCs w:val="21"/>
              </w:rPr>
              <w:t>/a。</w:t>
            </w:r>
          </w:p>
        </w:tc>
        <w:tc>
          <w:tcPr>
            <w:tcW w:w="2161" w:type="pct"/>
            <w:vAlign w:val="center"/>
          </w:tcPr>
          <w:p w14:paraId="5C199F89">
            <w:pPr>
              <w:numPr>
                <w:ilvl w:val="0"/>
                <w:numId w:val="26"/>
              </w:numPr>
              <w:rPr>
                <w:szCs w:val="21"/>
              </w:rPr>
            </w:pPr>
            <w:r>
              <w:rPr>
                <w:rFonts w:hint="eastAsia"/>
                <w:szCs w:val="21"/>
              </w:rPr>
              <w:t>接收上游输气管道来气；</w:t>
            </w:r>
          </w:p>
          <w:p w14:paraId="54AF159B">
            <w:pPr>
              <w:numPr>
                <w:ilvl w:val="0"/>
                <w:numId w:val="26"/>
              </w:numPr>
              <w:rPr>
                <w:szCs w:val="21"/>
              </w:rPr>
            </w:pPr>
            <w:r>
              <w:rPr>
                <w:rFonts w:hint="eastAsia"/>
                <w:szCs w:val="21"/>
              </w:rPr>
              <w:t>气体过滤、分离；</w:t>
            </w:r>
          </w:p>
          <w:p w14:paraId="4CE8DD8E">
            <w:pPr>
              <w:numPr>
                <w:ilvl w:val="0"/>
                <w:numId w:val="26"/>
              </w:numPr>
              <w:rPr>
                <w:szCs w:val="21"/>
              </w:rPr>
            </w:pPr>
            <w:r>
              <w:rPr>
                <w:rFonts w:hint="eastAsia"/>
                <w:szCs w:val="21"/>
              </w:rPr>
              <w:t>气体流量计量；</w:t>
            </w:r>
          </w:p>
          <w:p w14:paraId="42F0729B">
            <w:pPr>
              <w:numPr>
                <w:ilvl w:val="0"/>
                <w:numId w:val="26"/>
              </w:numPr>
              <w:rPr>
                <w:szCs w:val="21"/>
              </w:rPr>
            </w:pPr>
            <w:r>
              <w:rPr>
                <w:rFonts w:hint="eastAsia"/>
                <w:szCs w:val="21"/>
              </w:rPr>
              <w:t>气体加热；</w:t>
            </w:r>
          </w:p>
          <w:p w14:paraId="6A975E56">
            <w:pPr>
              <w:numPr>
                <w:ilvl w:val="0"/>
                <w:numId w:val="26"/>
              </w:numPr>
              <w:rPr>
                <w:szCs w:val="21"/>
              </w:rPr>
            </w:pPr>
            <w:r>
              <w:rPr>
                <w:rFonts w:hint="eastAsia"/>
                <w:szCs w:val="21"/>
              </w:rPr>
              <w:t>气体调压；</w:t>
            </w:r>
          </w:p>
          <w:p w14:paraId="5AFA4DD6">
            <w:pPr>
              <w:numPr>
                <w:ilvl w:val="0"/>
                <w:numId w:val="26"/>
              </w:numPr>
              <w:rPr>
                <w:szCs w:val="21"/>
              </w:rPr>
            </w:pPr>
            <w:r>
              <w:rPr>
                <w:rFonts w:hint="eastAsia"/>
                <w:szCs w:val="21"/>
              </w:rPr>
              <w:t>天然气当地分输；</w:t>
            </w:r>
          </w:p>
          <w:p w14:paraId="783CBAF7">
            <w:pPr>
              <w:numPr>
                <w:ilvl w:val="0"/>
                <w:numId w:val="26"/>
              </w:numPr>
              <w:rPr>
                <w:szCs w:val="21"/>
              </w:rPr>
            </w:pPr>
            <w:r>
              <w:rPr>
                <w:rFonts w:hint="eastAsia"/>
                <w:szCs w:val="21"/>
              </w:rPr>
              <w:t>设备排污；</w:t>
            </w:r>
          </w:p>
          <w:p w14:paraId="7BD3BB1B">
            <w:pPr>
              <w:numPr>
                <w:ilvl w:val="0"/>
                <w:numId w:val="26"/>
              </w:numPr>
              <w:rPr>
                <w:szCs w:val="21"/>
              </w:rPr>
            </w:pPr>
            <w:r>
              <w:rPr>
                <w:rFonts w:hint="eastAsia"/>
                <w:szCs w:val="21"/>
              </w:rPr>
              <w:t>站场紧急截断；</w:t>
            </w:r>
          </w:p>
          <w:p w14:paraId="220301BB">
            <w:pPr>
              <w:numPr>
                <w:ilvl w:val="0"/>
                <w:numId w:val="26"/>
              </w:numPr>
              <w:rPr>
                <w:szCs w:val="21"/>
              </w:rPr>
            </w:pPr>
            <w:r>
              <w:rPr>
                <w:rFonts w:hint="eastAsia"/>
                <w:szCs w:val="21"/>
              </w:rPr>
              <w:t>事故检维修放空；</w:t>
            </w:r>
          </w:p>
          <w:p w14:paraId="264D6FDE">
            <w:pPr>
              <w:numPr>
                <w:ilvl w:val="0"/>
                <w:numId w:val="26"/>
              </w:numPr>
              <w:rPr>
                <w:szCs w:val="21"/>
              </w:rPr>
            </w:pPr>
            <w:r>
              <w:rPr>
                <w:rFonts w:hint="eastAsia"/>
                <w:szCs w:val="21"/>
              </w:rPr>
              <w:t>站场数据采集与监控。</w:t>
            </w:r>
          </w:p>
        </w:tc>
      </w:tr>
    </w:tbl>
    <w:p w14:paraId="79085EAE">
      <w:pPr>
        <w:spacing w:before="120" w:beforeLines="50" w:line="360" w:lineRule="auto"/>
        <w:ind w:firstLine="480" w:firstLineChars="200"/>
        <w:rPr>
          <w:sz w:val="24"/>
        </w:rPr>
      </w:pPr>
      <w:r>
        <w:rPr>
          <w:sz w:val="24"/>
        </w:rPr>
        <w:fldChar w:fldCharType="begin"/>
      </w:r>
      <w:r>
        <w:rPr>
          <w:sz w:val="24"/>
        </w:rPr>
        <w:instrText xml:space="preserve"> = 2 \* GB3 \* MERGEFORMAT </w:instrText>
      </w:r>
      <w:r>
        <w:rPr>
          <w:sz w:val="24"/>
        </w:rPr>
        <w:fldChar w:fldCharType="separate"/>
      </w:r>
      <w:r>
        <w:rPr>
          <w:sz w:val="24"/>
        </w:rPr>
        <w:t>②</w:t>
      </w:r>
      <w:r>
        <w:rPr>
          <w:sz w:val="24"/>
        </w:rPr>
        <w:fldChar w:fldCharType="end"/>
      </w:r>
      <w:r>
        <w:rPr>
          <w:rFonts w:hint="eastAsia"/>
          <w:sz w:val="24"/>
        </w:rPr>
        <w:t>主要设备</w:t>
      </w:r>
    </w:p>
    <w:p w14:paraId="5184D233">
      <w:pPr>
        <w:spacing w:line="360" w:lineRule="auto"/>
        <w:ind w:firstLine="480" w:firstLineChars="200"/>
        <w:rPr>
          <w:sz w:val="24"/>
        </w:rPr>
      </w:pPr>
      <w:r>
        <w:rPr>
          <w:sz w:val="24"/>
        </w:rPr>
        <w:t>根据工程设计方案，</w:t>
      </w:r>
      <w:r>
        <w:rPr>
          <w:rFonts w:hint="eastAsia"/>
          <w:sz w:val="24"/>
        </w:rPr>
        <w:t>耒阳分输站新建</w:t>
      </w:r>
      <w:r>
        <w:rPr>
          <w:sz w:val="24"/>
        </w:rPr>
        <w:t>设备具体见表3.</w:t>
      </w:r>
      <w:r>
        <w:rPr>
          <w:rFonts w:hint="eastAsia"/>
          <w:sz w:val="24"/>
        </w:rPr>
        <w:t>3-13</w:t>
      </w:r>
      <w:r>
        <w:rPr>
          <w:sz w:val="24"/>
        </w:rPr>
        <w:t>，新</w:t>
      </w:r>
      <w:r>
        <w:rPr>
          <w:rFonts w:hint="eastAsia"/>
          <w:sz w:val="24"/>
        </w:rPr>
        <w:t>建</w:t>
      </w:r>
      <w:r>
        <w:rPr>
          <w:sz w:val="24"/>
        </w:rPr>
        <w:t>阀门具体见表3.</w:t>
      </w:r>
      <w:r>
        <w:rPr>
          <w:rFonts w:hint="eastAsia"/>
          <w:sz w:val="24"/>
        </w:rPr>
        <w:t>3-14</w:t>
      </w:r>
      <w:r>
        <w:rPr>
          <w:sz w:val="24"/>
        </w:rPr>
        <w:t>。</w:t>
      </w:r>
    </w:p>
    <w:p w14:paraId="46D1285B">
      <w:pPr>
        <w:pStyle w:val="904"/>
      </w:pPr>
    </w:p>
    <w:p w14:paraId="25B1055E">
      <w:pPr>
        <w:pStyle w:val="904"/>
      </w:pPr>
      <w:r>
        <w:t>表3.</w:t>
      </w:r>
      <w:r>
        <w:rPr>
          <w:rFonts w:hint="eastAsia"/>
        </w:rPr>
        <w:t>3-13</w:t>
      </w:r>
      <w:r>
        <w:t xml:space="preserve"> </w:t>
      </w:r>
      <w:r>
        <w:rPr>
          <w:rFonts w:hint="eastAsia"/>
        </w:rPr>
        <w:t>耒阳分输站新建</w:t>
      </w:r>
      <w:r>
        <w:t>设备一览表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1802"/>
        <w:gridCol w:w="3736"/>
        <w:gridCol w:w="863"/>
        <w:gridCol w:w="878"/>
        <w:gridCol w:w="1741"/>
      </w:tblGrid>
      <w:tr w14:paraId="5700B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481161DA">
            <w:pPr>
              <w:pStyle w:val="1343"/>
            </w:pPr>
            <w:r>
              <w:t>序号</w:t>
            </w:r>
          </w:p>
        </w:tc>
        <w:tc>
          <w:tcPr>
            <w:tcW w:w="932" w:type="pct"/>
            <w:vAlign w:val="center"/>
          </w:tcPr>
          <w:p w14:paraId="6F9607D3">
            <w:pPr>
              <w:pStyle w:val="1343"/>
            </w:pPr>
            <w:r>
              <w:rPr>
                <w:rFonts w:hint="eastAsia"/>
              </w:rPr>
              <w:t>设备名称</w:t>
            </w:r>
          </w:p>
        </w:tc>
        <w:tc>
          <w:tcPr>
            <w:tcW w:w="1932" w:type="pct"/>
            <w:vAlign w:val="center"/>
          </w:tcPr>
          <w:p w14:paraId="59F4F356">
            <w:pPr>
              <w:pStyle w:val="1343"/>
            </w:pPr>
            <w:r>
              <w:rPr>
                <w:rFonts w:hint="eastAsia"/>
              </w:rPr>
              <w:t>规格型号</w:t>
            </w:r>
          </w:p>
        </w:tc>
        <w:tc>
          <w:tcPr>
            <w:tcW w:w="446" w:type="pct"/>
            <w:vAlign w:val="center"/>
          </w:tcPr>
          <w:p w14:paraId="2A04EE26">
            <w:pPr>
              <w:pStyle w:val="1343"/>
            </w:pPr>
            <w:r>
              <w:rPr>
                <w:rFonts w:hint="eastAsia"/>
              </w:rPr>
              <w:t>单位</w:t>
            </w:r>
          </w:p>
        </w:tc>
        <w:tc>
          <w:tcPr>
            <w:tcW w:w="454" w:type="pct"/>
            <w:vAlign w:val="center"/>
          </w:tcPr>
          <w:p w14:paraId="5AB9AFFC">
            <w:pPr>
              <w:pStyle w:val="1343"/>
            </w:pPr>
            <w:r>
              <w:rPr>
                <w:rFonts w:hint="eastAsia"/>
              </w:rPr>
              <w:t>数量</w:t>
            </w:r>
          </w:p>
        </w:tc>
        <w:tc>
          <w:tcPr>
            <w:tcW w:w="900" w:type="pct"/>
            <w:vAlign w:val="center"/>
          </w:tcPr>
          <w:p w14:paraId="777DFC53">
            <w:pPr>
              <w:pStyle w:val="1343"/>
            </w:pPr>
            <w:r>
              <w:rPr>
                <w:rFonts w:hint="eastAsia"/>
              </w:rPr>
              <w:t>备注</w:t>
            </w:r>
          </w:p>
        </w:tc>
      </w:tr>
      <w:tr w14:paraId="6DD01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4B069A24">
            <w:pPr>
              <w:snapToGrid w:val="0"/>
              <w:jc w:val="center"/>
              <w:rPr>
                <w:szCs w:val="21"/>
              </w:rPr>
            </w:pPr>
            <w:r>
              <w:rPr>
                <w:szCs w:val="21"/>
              </w:rPr>
              <w:t>1</w:t>
            </w:r>
          </w:p>
        </w:tc>
        <w:tc>
          <w:tcPr>
            <w:tcW w:w="932" w:type="pct"/>
            <w:vAlign w:val="center"/>
          </w:tcPr>
          <w:p w14:paraId="57D8A8E7">
            <w:pPr>
              <w:snapToGrid w:val="0"/>
              <w:jc w:val="center"/>
              <w:rPr>
                <w:szCs w:val="21"/>
              </w:rPr>
            </w:pPr>
            <w:r>
              <w:rPr>
                <w:rFonts w:hint="eastAsia"/>
                <w:szCs w:val="21"/>
              </w:rPr>
              <w:t>过滤分离器</w:t>
            </w:r>
          </w:p>
        </w:tc>
        <w:tc>
          <w:tcPr>
            <w:tcW w:w="1932" w:type="pct"/>
            <w:vAlign w:val="center"/>
          </w:tcPr>
          <w:p w14:paraId="2B92EE10">
            <w:pPr>
              <w:snapToGrid w:val="0"/>
              <w:jc w:val="center"/>
              <w:rPr>
                <w:szCs w:val="21"/>
              </w:rPr>
            </w:pPr>
            <w:r>
              <w:rPr>
                <w:rFonts w:hint="eastAsia"/>
                <w:szCs w:val="21"/>
              </w:rPr>
              <w:t>Q=50000Nm³/h   CLASS600</w:t>
            </w:r>
          </w:p>
        </w:tc>
        <w:tc>
          <w:tcPr>
            <w:tcW w:w="446" w:type="pct"/>
            <w:vAlign w:val="center"/>
          </w:tcPr>
          <w:p w14:paraId="6A6F1770">
            <w:pPr>
              <w:snapToGrid w:val="0"/>
              <w:jc w:val="center"/>
              <w:rPr>
                <w:szCs w:val="21"/>
              </w:rPr>
            </w:pPr>
            <w:r>
              <w:rPr>
                <w:rFonts w:hint="eastAsia"/>
                <w:szCs w:val="21"/>
              </w:rPr>
              <w:t>台</w:t>
            </w:r>
          </w:p>
        </w:tc>
        <w:tc>
          <w:tcPr>
            <w:tcW w:w="454" w:type="pct"/>
            <w:vAlign w:val="center"/>
          </w:tcPr>
          <w:p w14:paraId="16680533">
            <w:pPr>
              <w:snapToGrid w:val="0"/>
              <w:jc w:val="center"/>
              <w:rPr>
                <w:szCs w:val="21"/>
              </w:rPr>
            </w:pPr>
            <w:r>
              <w:rPr>
                <w:rFonts w:hint="eastAsia"/>
                <w:szCs w:val="21"/>
              </w:rPr>
              <w:t>2</w:t>
            </w:r>
          </w:p>
        </w:tc>
        <w:tc>
          <w:tcPr>
            <w:tcW w:w="900" w:type="pct"/>
            <w:vAlign w:val="center"/>
          </w:tcPr>
          <w:p w14:paraId="21417851">
            <w:pPr>
              <w:snapToGrid w:val="0"/>
              <w:jc w:val="center"/>
              <w:rPr>
                <w:szCs w:val="21"/>
              </w:rPr>
            </w:pPr>
            <w:r>
              <w:rPr>
                <w:rFonts w:hint="eastAsia"/>
                <w:szCs w:val="21"/>
              </w:rPr>
              <w:t>1用1备</w:t>
            </w:r>
          </w:p>
        </w:tc>
      </w:tr>
      <w:tr w14:paraId="3F851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30742CCF">
            <w:pPr>
              <w:snapToGrid w:val="0"/>
              <w:jc w:val="center"/>
              <w:rPr>
                <w:szCs w:val="21"/>
              </w:rPr>
            </w:pPr>
            <w:r>
              <w:rPr>
                <w:szCs w:val="21"/>
              </w:rPr>
              <w:t>2</w:t>
            </w:r>
          </w:p>
        </w:tc>
        <w:tc>
          <w:tcPr>
            <w:tcW w:w="932" w:type="pct"/>
            <w:vAlign w:val="center"/>
          </w:tcPr>
          <w:p w14:paraId="24823A4C">
            <w:pPr>
              <w:snapToGrid w:val="0"/>
              <w:jc w:val="center"/>
              <w:rPr>
                <w:szCs w:val="21"/>
              </w:rPr>
            </w:pPr>
            <w:r>
              <w:rPr>
                <w:rFonts w:hint="eastAsia"/>
                <w:szCs w:val="21"/>
              </w:rPr>
              <w:t>分输计量撬</w:t>
            </w:r>
          </w:p>
        </w:tc>
        <w:tc>
          <w:tcPr>
            <w:tcW w:w="1932" w:type="pct"/>
            <w:vAlign w:val="center"/>
          </w:tcPr>
          <w:p w14:paraId="0DCFFC59">
            <w:pPr>
              <w:snapToGrid w:val="0"/>
              <w:jc w:val="center"/>
              <w:rPr>
                <w:szCs w:val="21"/>
              </w:rPr>
            </w:pPr>
            <w:r>
              <w:rPr>
                <w:rFonts w:hint="eastAsia"/>
                <w:szCs w:val="21"/>
              </w:rPr>
              <w:t>Q=50000Nm³/h   CLASS600</w:t>
            </w:r>
          </w:p>
        </w:tc>
        <w:tc>
          <w:tcPr>
            <w:tcW w:w="446" w:type="pct"/>
            <w:vAlign w:val="center"/>
          </w:tcPr>
          <w:p w14:paraId="207581B3">
            <w:pPr>
              <w:snapToGrid w:val="0"/>
              <w:jc w:val="center"/>
              <w:rPr>
                <w:szCs w:val="21"/>
              </w:rPr>
            </w:pPr>
            <w:r>
              <w:rPr>
                <w:rFonts w:hint="eastAsia"/>
                <w:szCs w:val="21"/>
              </w:rPr>
              <w:t>台</w:t>
            </w:r>
          </w:p>
        </w:tc>
        <w:tc>
          <w:tcPr>
            <w:tcW w:w="454" w:type="pct"/>
            <w:vAlign w:val="center"/>
          </w:tcPr>
          <w:p w14:paraId="76BF4991">
            <w:pPr>
              <w:snapToGrid w:val="0"/>
              <w:jc w:val="center"/>
              <w:rPr>
                <w:szCs w:val="21"/>
              </w:rPr>
            </w:pPr>
            <w:r>
              <w:rPr>
                <w:rFonts w:hint="eastAsia"/>
                <w:szCs w:val="21"/>
              </w:rPr>
              <w:t>1</w:t>
            </w:r>
          </w:p>
        </w:tc>
        <w:tc>
          <w:tcPr>
            <w:tcW w:w="900" w:type="pct"/>
            <w:vAlign w:val="center"/>
          </w:tcPr>
          <w:p w14:paraId="63EF2D32">
            <w:pPr>
              <w:snapToGrid w:val="0"/>
              <w:jc w:val="center"/>
              <w:rPr>
                <w:szCs w:val="21"/>
              </w:rPr>
            </w:pPr>
            <w:r>
              <w:rPr>
                <w:rFonts w:hint="eastAsia"/>
                <w:szCs w:val="21"/>
              </w:rPr>
              <w:t>1套2路</w:t>
            </w:r>
          </w:p>
          <w:p w14:paraId="711AA379">
            <w:pPr>
              <w:snapToGrid w:val="0"/>
              <w:jc w:val="center"/>
              <w:rPr>
                <w:szCs w:val="21"/>
              </w:rPr>
            </w:pPr>
            <w:r>
              <w:rPr>
                <w:rFonts w:hint="eastAsia"/>
                <w:szCs w:val="21"/>
              </w:rPr>
              <w:t>1用1备</w:t>
            </w:r>
          </w:p>
        </w:tc>
      </w:tr>
      <w:tr w14:paraId="3906E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3C46B74A">
            <w:pPr>
              <w:snapToGrid w:val="0"/>
              <w:jc w:val="center"/>
              <w:rPr>
                <w:szCs w:val="21"/>
              </w:rPr>
            </w:pPr>
            <w:r>
              <w:rPr>
                <w:rFonts w:hint="eastAsia"/>
                <w:szCs w:val="21"/>
              </w:rPr>
              <w:t>3</w:t>
            </w:r>
          </w:p>
        </w:tc>
        <w:tc>
          <w:tcPr>
            <w:tcW w:w="932" w:type="pct"/>
            <w:vAlign w:val="center"/>
          </w:tcPr>
          <w:p w14:paraId="644F7A31">
            <w:pPr>
              <w:snapToGrid w:val="0"/>
              <w:jc w:val="center"/>
              <w:rPr>
                <w:szCs w:val="21"/>
              </w:rPr>
            </w:pPr>
            <w:r>
              <w:rPr>
                <w:rFonts w:hint="eastAsia"/>
                <w:szCs w:val="21"/>
              </w:rPr>
              <w:t>分输调压撬</w:t>
            </w:r>
          </w:p>
        </w:tc>
        <w:tc>
          <w:tcPr>
            <w:tcW w:w="1932" w:type="pct"/>
            <w:vAlign w:val="center"/>
          </w:tcPr>
          <w:p w14:paraId="2D46236A">
            <w:pPr>
              <w:snapToGrid w:val="0"/>
              <w:jc w:val="center"/>
              <w:rPr>
                <w:szCs w:val="21"/>
              </w:rPr>
            </w:pPr>
            <w:r>
              <w:rPr>
                <w:rFonts w:hint="eastAsia"/>
                <w:szCs w:val="21"/>
              </w:rPr>
              <w:t>Q=50000Nm³/h   CLASS600</w:t>
            </w:r>
          </w:p>
        </w:tc>
        <w:tc>
          <w:tcPr>
            <w:tcW w:w="446" w:type="pct"/>
            <w:vAlign w:val="center"/>
          </w:tcPr>
          <w:p w14:paraId="57813F66">
            <w:pPr>
              <w:snapToGrid w:val="0"/>
              <w:jc w:val="center"/>
              <w:rPr>
                <w:szCs w:val="21"/>
              </w:rPr>
            </w:pPr>
            <w:r>
              <w:rPr>
                <w:rFonts w:hint="eastAsia"/>
                <w:szCs w:val="21"/>
              </w:rPr>
              <w:t>套</w:t>
            </w:r>
          </w:p>
        </w:tc>
        <w:tc>
          <w:tcPr>
            <w:tcW w:w="454" w:type="pct"/>
            <w:vAlign w:val="center"/>
          </w:tcPr>
          <w:p w14:paraId="6515ECE5">
            <w:pPr>
              <w:snapToGrid w:val="0"/>
              <w:jc w:val="center"/>
              <w:rPr>
                <w:szCs w:val="21"/>
              </w:rPr>
            </w:pPr>
            <w:r>
              <w:rPr>
                <w:rFonts w:hint="eastAsia"/>
                <w:szCs w:val="21"/>
              </w:rPr>
              <w:t>2</w:t>
            </w:r>
          </w:p>
        </w:tc>
        <w:tc>
          <w:tcPr>
            <w:tcW w:w="900" w:type="pct"/>
            <w:vAlign w:val="center"/>
          </w:tcPr>
          <w:p w14:paraId="298EC080">
            <w:pPr>
              <w:snapToGrid w:val="0"/>
              <w:jc w:val="center"/>
              <w:rPr>
                <w:szCs w:val="21"/>
              </w:rPr>
            </w:pPr>
            <w:r>
              <w:rPr>
                <w:rFonts w:hint="eastAsia"/>
                <w:szCs w:val="21"/>
              </w:rPr>
              <w:t>1用1备</w:t>
            </w:r>
          </w:p>
        </w:tc>
      </w:tr>
      <w:tr w14:paraId="0A8B6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28452DE0">
            <w:pPr>
              <w:snapToGrid w:val="0"/>
              <w:jc w:val="center"/>
              <w:rPr>
                <w:szCs w:val="21"/>
              </w:rPr>
            </w:pPr>
            <w:r>
              <w:rPr>
                <w:rFonts w:hint="eastAsia"/>
                <w:szCs w:val="21"/>
              </w:rPr>
              <w:t>4</w:t>
            </w:r>
          </w:p>
        </w:tc>
        <w:tc>
          <w:tcPr>
            <w:tcW w:w="932" w:type="pct"/>
            <w:vAlign w:val="center"/>
          </w:tcPr>
          <w:p w14:paraId="081B4A67">
            <w:pPr>
              <w:snapToGrid w:val="0"/>
              <w:jc w:val="center"/>
              <w:rPr>
                <w:szCs w:val="21"/>
              </w:rPr>
            </w:pPr>
            <w:r>
              <w:rPr>
                <w:rFonts w:hint="eastAsia"/>
                <w:szCs w:val="21"/>
              </w:rPr>
              <w:t>放空立管</w:t>
            </w:r>
          </w:p>
        </w:tc>
        <w:tc>
          <w:tcPr>
            <w:tcW w:w="1932" w:type="pct"/>
            <w:vAlign w:val="center"/>
          </w:tcPr>
          <w:p w14:paraId="68DAA41B">
            <w:pPr>
              <w:snapToGrid w:val="0"/>
              <w:jc w:val="center"/>
              <w:rPr>
                <w:szCs w:val="21"/>
              </w:rPr>
            </w:pPr>
            <w:r>
              <w:rPr>
                <w:rFonts w:hint="eastAsia"/>
                <w:szCs w:val="21"/>
              </w:rPr>
              <w:t>DN150  H=15m</w:t>
            </w:r>
          </w:p>
        </w:tc>
        <w:tc>
          <w:tcPr>
            <w:tcW w:w="446" w:type="pct"/>
            <w:vAlign w:val="center"/>
          </w:tcPr>
          <w:p w14:paraId="32831CB7">
            <w:pPr>
              <w:snapToGrid w:val="0"/>
              <w:jc w:val="center"/>
              <w:rPr>
                <w:szCs w:val="21"/>
              </w:rPr>
            </w:pPr>
            <w:r>
              <w:rPr>
                <w:rFonts w:hint="eastAsia"/>
                <w:szCs w:val="21"/>
              </w:rPr>
              <w:t>套</w:t>
            </w:r>
          </w:p>
        </w:tc>
        <w:tc>
          <w:tcPr>
            <w:tcW w:w="454" w:type="pct"/>
            <w:vAlign w:val="center"/>
          </w:tcPr>
          <w:p w14:paraId="4EA241B4">
            <w:pPr>
              <w:snapToGrid w:val="0"/>
              <w:jc w:val="center"/>
              <w:rPr>
                <w:szCs w:val="21"/>
              </w:rPr>
            </w:pPr>
            <w:r>
              <w:rPr>
                <w:rFonts w:hint="eastAsia"/>
                <w:szCs w:val="21"/>
              </w:rPr>
              <w:t>1</w:t>
            </w:r>
          </w:p>
        </w:tc>
        <w:tc>
          <w:tcPr>
            <w:tcW w:w="900" w:type="pct"/>
            <w:vAlign w:val="center"/>
          </w:tcPr>
          <w:p w14:paraId="0956B1DF">
            <w:pPr>
              <w:snapToGrid w:val="0"/>
              <w:jc w:val="center"/>
              <w:rPr>
                <w:szCs w:val="21"/>
              </w:rPr>
            </w:pPr>
            <w:r>
              <w:rPr>
                <w:rFonts w:hint="eastAsia"/>
                <w:szCs w:val="21"/>
              </w:rPr>
              <w:t>与场站边界距离11.5m</w:t>
            </w:r>
          </w:p>
        </w:tc>
      </w:tr>
      <w:tr w14:paraId="7C2EC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061AC717">
            <w:pPr>
              <w:snapToGrid w:val="0"/>
              <w:jc w:val="center"/>
              <w:rPr>
                <w:szCs w:val="21"/>
              </w:rPr>
            </w:pPr>
            <w:r>
              <w:rPr>
                <w:rFonts w:hint="eastAsia"/>
                <w:szCs w:val="21"/>
              </w:rPr>
              <w:t>5</w:t>
            </w:r>
          </w:p>
        </w:tc>
        <w:tc>
          <w:tcPr>
            <w:tcW w:w="932" w:type="pct"/>
            <w:vAlign w:val="center"/>
          </w:tcPr>
          <w:p w14:paraId="784A7F38">
            <w:pPr>
              <w:snapToGrid w:val="0"/>
              <w:jc w:val="center"/>
              <w:rPr>
                <w:szCs w:val="21"/>
              </w:rPr>
            </w:pPr>
            <w:r>
              <w:rPr>
                <w:rFonts w:hint="eastAsia"/>
                <w:szCs w:val="21"/>
              </w:rPr>
              <w:t>电加热炉</w:t>
            </w:r>
          </w:p>
        </w:tc>
        <w:tc>
          <w:tcPr>
            <w:tcW w:w="1932" w:type="pct"/>
            <w:vAlign w:val="center"/>
          </w:tcPr>
          <w:p w14:paraId="590EC3C8">
            <w:pPr>
              <w:snapToGrid w:val="0"/>
              <w:jc w:val="center"/>
              <w:rPr>
                <w:szCs w:val="21"/>
              </w:rPr>
            </w:pPr>
            <w:r>
              <w:rPr>
                <w:rFonts w:hint="eastAsia"/>
                <w:szCs w:val="21"/>
              </w:rPr>
              <w:t>Q=50000Nm³/h  100kW  CLASS600</w:t>
            </w:r>
          </w:p>
        </w:tc>
        <w:tc>
          <w:tcPr>
            <w:tcW w:w="446" w:type="pct"/>
            <w:vAlign w:val="center"/>
          </w:tcPr>
          <w:p w14:paraId="5FD75D0E">
            <w:pPr>
              <w:snapToGrid w:val="0"/>
              <w:jc w:val="center"/>
              <w:rPr>
                <w:szCs w:val="21"/>
              </w:rPr>
            </w:pPr>
            <w:r>
              <w:rPr>
                <w:rFonts w:hint="eastAsia"/>
                <w:szCs w:val="21"/>
              </w:rPr>
              <w:t>套</w:t>
            </w:r>
          </w:p>
        </w:tc>
        <w:tc>
          <w:tcPr>
            <w:tcW w:w="454" w:type="pct"/>
            <w:vAlign w:val="center"/>
          </w:tcPr>
          <w:p w14:paraId="2904D925">
            <w:pPr>
              <w:snapToGrid w:val="0"/>
              <w:jc w:val="center"/>
              <w:rPr>
                <w:szCs w:val="21"/>
              </w:rPr>
            </w:pPr>
            <w:r>
              <w:rPr>
                <w:rFonts w:hint="eastAsia"/>
                <w:szCs w:val="21"/>
              </w:rPr>
              <w:t>2</w:t>
            </w:r>
          </w:p>
        </w:tc>
        <w:tc>
          <w:tcPr>
            <w:tcW w:w="900" w:type="pct"/>
            <w:vAlign w:val="center"/>
          </w:tcPr>
          <w:p w14:paraId="6E078E46">
            <w:pPr>
              <w:snapToGrid w:val="0"/>
              <w:jc w:val="center"/>
              <w:rPr>
                <w:szCs w:val="21"/>
              </w:rPr>
            </w:pPr>
            <w:r>
              <w:rPr>
                <w:rFonts w:hint="eastAsia"/>
                <w:szCs w:val="21"/>
              </w:rPr>
              <w:t>1用1备</w:t>
            </w:r>
          </w:p>
        </w:tc>
      </w:tr>
      <w:tr w14:paraId="03079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6EBF6283">
            <w:pPr>
              <w:snapToGrid w:val="0"/>
              <w:jc w:val="center"/>
              <w:rPr>
                <w:szCs w:val="21"/>
              </w:rPr>
            </w:pPr>
            <w:r>
              <w:rPr>
                <w:rFonts w:hint="eastAsia"/>
                <w:szCs w:val="21"/>
              </w:rPr>
              <w:t>6</w:t>
            </w:r>
          </w:p>
        </w:tc>
        <w:tc>
          <w:tcPr>
            <w:tcW w:w="932" w:type="pct"/>
            <w:vAlign w:val="center"/>
          </w:tcPr>
          <w:p w14:paraId="7EF24365">
            <w:pPr>
              <w:snapToGrid w:val="0"/>
              <w:jc w:val="center"/>
              <w:rPr>
                <w:szCs w:val="21"/>
              </w:rPr>
            </w:pPr>
            <w:r>
              <w:rPr>
                <w:rFonts w:hint="eastAsia"/>
                <w:szCs w:val="21"/>
              </w:rPr>
              <w:t>汇管</w:t>
            </w:r>
          </w:p>
        </w:tc>
        <w:tc>
          <w:tcPr>
            <w:tcW w:w="1932" w:type="pct"/>
            <w:vAlign w:val="center"/>
          </w:tcPr>
          <w:p w14:paraId="00A22EB2">
            <w:pPr>
              <w:snapToGrid w:val="0"/>
              <w:jc w:val="center"/>
              <w:rPr>
                <w:szCs w:val="21"/>
              </w:rPr>
            </w:pPr>
            <w:r>
              <w:rPr>
                <w:rFonts w:hint="eastAsia"/>
                <w:szCs w:val="21"/>
              </w:rPr>
              <w:t xml:space="preserve"> DN700   CLASS600</w:t>
            </w:r>
          </w:p>
        </w:tc>
        <w:tc>
          <w:tcPr>
            <w:tcW w:w="446" w:type="pct"/>
            <w:vAlign w:val="center"/>
          </w:tcPr>
          <w:p w14:paraId="48388C68">
            <w:pPr>
              <w:snapToGrid w:val="0"/>
              <w:jc w:val="center"/>
              <w:rPr>
                <w:szCs w:val="21"/>
              </w:rPr>
            </w:pPr>
            <w:r>
              <w:rPr>
                <w:rFonts w:hint="eastAsia"/>
                <w:szCs w:val="21"/>
              </w:rPr>
              <w:t>套</w:t>
            </w:r>
          </w:p>
        </w:tc>
        <w:tc>
          <w:tcPr>
            <w:tcW w:w="454" w:type="pct"/>
            <w:vAlign w:val="center"/>
          </w:tcPr>
          <w:p w14:paraId="2D860090">
            <w:pPr>
              <w:snapToGrid w:val="0"/>
              <w:jc w:val="center"/>
              <w:rPr>
                <w:szCs w:val="21"/>
              </w:rPr>
            </w:pPr>
            <w:r>
              <w:rPr>
                <w:rFonts w:hint="eastAsia"/>
                <w:szCs w:val="21"/>
              </w:rPr>
              <w:t>2</w:t>
            </w:r>
          </w:p>
        </w:tc>
        <w:tc>
          <w:tcPr>
            <w:tcW w:w="900" w:type="pct"/>
            <w:vAlign w:val="center"/>
          </w:tcPr>
          <w:p w14:paraId="49FD5C15">
            <w:pPr>
              <w:snapToGrid w:val="0"/>
              <w:jc w:val="center"/>
              <w:rPr>
                <w:szCs w:val="21"/>
              </w:rPr>
            </w:pPr>
            <w:r>
              <w:rPr>
                <w:rFonts w:hint="eastAsia"/>
                <w:szCs w:val="21"/>
              </w:rPr>
              <w:t>/</w:t>
            </w:r>
          </w:p>
        </w:tc>
      </w:tr>
      <w:tr w14:paraId="3A193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782AB5F8">
            <w:pPr>
              <w:snapToGrid w:val="0"/>
              <w:jc w:val="center"/>
              <w:rPr>
                <w:szCs w:val="21"/>
              </w:rPr>
            </w:pPr>
            <w:r>
              <w:rPr>
                <w:rFonts w:hint="eastAsia"/>
                <w:szCs w:val="21"/>
              </w:rPr>
              <w:t>7</w:t>
            </w:r>
          </w:p>
        </w:tc>
        <w:tc>
          <w:tcPr>
            <w:tcW w:w="932" w:type="pct"/>
            <w:vAlign w:val="center"/>
          </w:tcPr>
          <w:p w14:paraId="43059C59">
            <w:pPr>
              <w:snapToGrid w:val="0"/>
              <w:jc w:val="center"/>
              <w:rPr>
                <w:szCs w:val="21"/>
              </w:rPr>
            </w:pPr>
            <w:r>
              <w:rPr>
                <w:rFonts w:hint="eastAsia"/>
                <w:szCs w:val="21"/>
              </w:rPr>
              <w:t>设备间</w:t>
            </w:r>
          </w:p>
        </w:tc>
        <w:tc>
          <w:tcPr>
            <w:tcW w:w="1932" w:type="pct"/>
            <w:vAlign w:val="center"/>
          </w:tcPr>
          <w:p w14:paraId="7E7822DF">
            <w:pPr>
              <w:snapToGrid w:val="0"/>
              <w:jc w:val="center"/>
              <w:rPr>
                <w:szCs w:val="21"/>
              </w:rPr>
            </w:pPr>
            <w:r>
              <w:rPr>
                <w:rFonts w:hint="eastAsia"/>
                <w:szCs w:val="21"/>
              </w:rPr>
              <w:t xml:space="preserve"> 14.60m×3.20m</w:t>
            </w:r>
          </w:p>
        </w:tc>
        <w:tc>
          <w:tcPr>
            <w:tcW w:w="446" w:type="pct"/>
            <w:vAlign w:val="center"/>
          </w:tcPr>
          <w:p w14:paraId="46F0FCD8">
            <w:pPr>
              <w:snapToGrid w:val="0"/>
              <w:jc w:val="center"/>
              <w:rPr>
                <w:szCs w:val="21"/>
              </w:rPr>
            </w:pPr>
            <w:r>
              <w:rPr>
                <w:rFonts w:hint="eastAsia"/>
                <w:szCs w:val="21"/>
              </w:rPr>
              <w:t>间</w:t>
            </w:r>
          </w:p>
        </w:tc>
        <w:tc>
          <w:tcPr>
            <w:tcW w:w="454" w:type="pct"/>
            <w:vAlign w:val="center"/>
          </w:tcPr>
          <w:p w14:paraId="50EDA8A1">
            <w:pPr>
              <w:snapToGrid w:val="0"/>
              <w:jc w:val="center"/>
              <w:rPr>
                <w:szCs w:val="21"/>
              </w:rPr>
            </w:pPr>
            <w:r>
              <w:rPr>
                <w:rFonts w:hint="eastAsia"/>
                <w:szCs w:val="21"/>
              </w:rPr>
              <w:t>1</w:t>
            </w:r>
          </w:p>
        </w:tc>
        <w:tc>
          <w:tcPr>
            <w:tcW w:w="900" w:type="pct"/>
            <w:vAlign w:val="center"/>
          </w:tcPr>
          <w:p w14:paraId="66B1DC4E">
            <w:pPr>
              <w:snapToGrid w:val="0"/>
              <w:jc w:val="center"/>
              <w:rPr>
                <w:szCs w:val="21"/>
              </w:rPr>
            </w:pPr>
            <w:r>
              <w:rPr>
                <w:rFonts w:hint="eastAsia"/>
                <w:szCs w:val="21"/>
              </w:rPr>
              <w:t>撬装</w:t>
            </w:r>
          </w:p>
        </w:tc>
      </w:tr>
      <w:tr w14:paraId="4B8E8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5AA2E4EB">
            <w:pPr>
              <w:snapToGrid w:val="0"/>
              <w:jc w:val="center"/>
              <w:rPr>
                <w:szCs w:val="21"/>
              </w:rPr>
            </w:pPr>
            <w:r>
              <w:rPr>
                <w:rFonts w:hint="eastAsia"/>
                <w:szCs w:val="21"/>
              </w:rPr>
              <w:t>8</w:t>
            </w:r>
          </w:p>
        </w:tc>
        <w:tc>
          <w:tcPr>
            <w:tcW w:w="932" w:type="pct"/>
            <w:vAlign w:val="center"/>
          </w:tcPr>
          <w:p w14:paraId="7F62BD2B">
            <w:pPr>
              <w:snapToGrid w:val="0"/>
              <w:jc w:val="center"/>
              <w:rPr>
                <w:szCs w:val="21"/>
              </w:rPr>
            </w:pPr>
            <w:r>
              <w:rPr>
                <w:rFonts w:hint="eastAsia"/>
                <w:szCs w:val="21"/>
              </w:rPr>
              <w:t>柴油发电机间</w:t>
            </w:r>
          </w:p>
        </w:tc>
        <w:tc>
          <w:tcPr>
            <w:tcW w:w="1932" w:type="pct"/>
            <w:vAlign w:val="center"/>
          </w:tcPr>
          <w:p w14:paraId="426D0B81">
            <w:pPr>
              <w:snapToGrid w:val="0"/>
              <w:jc w:val="center"/>
              <w:rPr>
                <w:szCs w:val="21"/>
              </w:rPr>
            </w:pPr>
            <w:r>
              <w:rPr>
                <w:rFonts w:hint="eastAsia"/>
                <w:szCs w:val="21"/>
              </w:rPr>
              <w:t>5.00m×4.00m</w:t>
            </w:r>
          </w:p>
        </w:tc>
        <w:tc>
          <w:tcPr>
            <w:tcW w:w="446" w:type="pct"/>
            <w:vAlign w:val="center"/>
          </w:tcPr>
          <w:p w14:paraId="3B89E0CE">
            <w:pPr>
              <w:snapToGrid w:val="0"/>
              <w:jc w:val="center"/>
              <w:rPr>
                <w:szCs w:val="21"/>
              </w:rPr>
            </w:pPr>
            <w:r>
              <w:rPr>
                <w:rFonts w:hint="eastAsia"/>
                <w:szCs w:val="21"/>
              </w:rPr>
              <w:t>间</w:t>
            </w:r>
          </w:p>
        </w:tc>
        <w:tc>
          <w:tcPr>
            <w:tcW w:w="454" w:type="pct"/>
            <w:vAlign w:val="center"/>
          </w:tcPr>
          <w:p w14:paraId="6B0045BE">
            <w:pPr>
              <w:snapToGrid w:val="0"/>
              <w:jc w:val="center"/>
              <w:rPr>
                <w:szCs w:val="21"/>
              </w:rPr>
            </w:pPr>
            <w:r>
              <w:rPr>
                <w:rFonts w:hint="eastAsia"/>
                <w:szCs w:val="21"/>
              </w:rPr>
              <w:t>1</w:t>
            </w:r>
          </w:p>
        </w:tc>
        <w:tc>
          <w:tcPr>
            <w:tcW w:w="900" w:type="pct"/>
            <w:vAlign w:val="center"/>
          </w:tcPr>
          <w:p w14:paraId="4F4A4555">
            <w:pPr>
              <w:snapToGrid w:val="0"/>
              <w:jc w:val="center"/>
              <w:rPr>
                <w:szCs w:val="21"/>
              </w:rPr>
            </w:pPr>
            <w:r>
              <w:rPr>
                <w:rFonts w:hint="eastAsia"/>
                <w:szCs w:val="21"/>
              </w:rPr>
              <w:t>撬装，备用电源</w:t>
            </w:r>
          </w:p>
        </w:tc>
      </w:tr>
      <w:tr w14:paraId="53EDB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089E094F">
            <w:pPr>
              <w:snapToGrid w:val="0"/>
              <w:jc w:val="center"/>
              <w:rPr>
                <w:szCs w:val="21"/>
              </w:rPr>
            </w:pPr>
            <w:r>
              <w:rPr>
                <w:rFonts w:hint="eastAsia"/>
                <w:szCs w:val="21"/>
              </w:rPr>
              <w:t>9</w:t>
            </w:r>
          </w:p>
        </w:tc>
        <w:tc>
          <w:tcPr>
            <w:tcW w:w="932" w:type="pct"/>
            <w:vAlign w:val="center"/>
          </w:tcPr>
          <w:p w14:paraId="4AE7AADE">
            <w:pPr>
              <w:snapToGrid w:val="0"/>
              <w:jc w:val="center"/>
              <w:rPr>
                <w:szCs w:val="21"/>
              </w:rPr>
            </w:pPr>
            <w:r>
              <w:rPr>
                <w:rFonts w:hint="eastAsia"/>
                <w:szCs w:val="21"/>
              </w:rPr>
              <w:t>危废品暂存间</w:t>
            </w:r>
          </w:p>
        </w:tc>
        <w:tc>
          <w:tcPr>
            <w:tcW w:w="1932" w:type="pct"/>
            <w:vAlign w:val="center"/>
          </w:tcPr>
          <w:p w14:paraId="760FA297">
            <w:pPr>
              <w:snapToGrid w:val="0"/>
              <w:jc w:val="center"/>
              <w:rPr>
                <w:szCs w:val="21"/>
              </w:rPr>
            </w:pPr>
            <w:r>
              <w:rPr>
                <w:rFonts w:hint="eastAsia"/>
                <w:szCs w:val="21"/>
              </w:rPr>
              <w:t>11m</w:t>
            </w:r>
            <w:r>
              <w:rPr>
                <w:rFonts w:hint="eastAsia"/>
                <w:szCs w:val="21"/>
                <w:vertAlign w:val="superscript"/>
              </w:rPr>
              <w:t>2</w:t>
            </w:r>
          </w:p>
        </w:tc>
        <w:tc>
          <w:tcPr>
            <w:tcW w:w="446" w:type="pct"/>
            <w:vAlign w:val="center"/>
          </w:tcPr>
          <w:p w14:paraId="4005A779">
            <w:pPr>
              <w:snapToGrid w:val="0"/>
              <w:jc w:val="center"/>
              <w:rPr>
                <w:szCs w:val="21"/>
              </w:rPr>
            </w:pPr>
            <w:r>
              <w:rPr>
                <w:rFonts w:hint="eastAsia"/>
                <w:szCs w:val="21"/>
              </w:rPr>
              <w:t>间</w:t>
            </w:r>
          </w:p>
        </w:tc>
        <w:tc>
          <w:tcPr>
            <w:tcW w:w="454" w:type="pct"/>
            <w:vAlign w:val="center"/>
          </w:tcPr>
          <w:p w14:paraId="1DE519AB">
            <w:pPr>
              <w:snapToGrid w:val="0"/>
              <w:jc w:val="center"/>
              <w:rPr>
                <w:szCs w:val="21"/>
              </w:rPr>
            </w:pPr>
            <w:r>
              <w:rPr>
                <w:rFonts w:hint="eastAsia"/>
                <w:szCs w:val="21"/>
              </w:rPr>
              <w:t>1</w:t>
            </w:r>
          </w:p>
        </w:tc>
        <w:tc>
          <w:tcPr>
            <w:tcW w:w="900" w:type="pct"/>
            <w:vAlign w:val="center"/>
          </w:tcPr>
          <w:p w14:paraId="15A54B9D">
            <w:pPr>
              <w:snapToGrid w:val="0"/>
              <w:jc w:val="center"/>
              <w:rPr>
                <w:szCs w:val="21"/>
              </w:rPr>
            </w:pPr>
            <w:r>
              <w:rPr>
                <w:rFonts w:hint="eastAsia"/>
                <w:szCs w:val="21"/>
              </w:rPr>
              <w:t>撬装</w:t>
            </w:r>
          </w:p>
        </w:tc>
      </w:tr>
      <w:tr w14:paraId="388FC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0E2C271A">
            <w:pPr>
              <w:snapToGrid w:val="0"/>
              <w:jc w:val="center"/>
              <w:rPr>
                <w:szCs w:val="21"/>
              </w:rPr>
            </w:pPr>
            <w:r>
              <w:rPr>
                <w:rFonts w:hint="eastAsia"/>
                <w:szCs w:val="21"/>
              </w:rPr>
              <w:t>10</w:t>
            </w:r>
          </w:p>
        </w:tc>
        <w:tc>
          <w:tcPr>
            <w:tcW w:w="932" w:type="pct"/>
            <w:vAlign w:val="center"/>
          </w:tcPr>
          <w:p w14:paraId="2D86F21C">
            <w:pPr>
              <w:snapToGrid w:val="0"/>
              <w:jc w:val="center"/>
              <w:rPr>
                <w:szCs w:val="21"/>
              </w:rPr>
            </w:pPr>
            <w:r>
              <w:rPr>
                <w:rFonts w:hint="eastAsia"/>
                <w:szCs w:val="21"/>
              </w:rPr>
              <w:t>门卫室</w:t>
            </w:r>
          </w:p>
        </w:tc>
        <w:tc>
          <w:tcPr>
            <w:tcW w:w="1932" w:type="pct"/>
            <w:vAlign w:val="center"/>
          </w:tcPr>
          <w:p w14:paraId="26BF4CCC">
            <w:pPr>
              <w:snapToGrid w:val="0"/>
              <w:jc w:val="center"/>
              <w:rPr>
                <w:szCs w:val="21"/>
              </w:rPr>
            </w:pPr>
            <w:r>
              <w:rPr>
                <w:rFonts w:hint="eastAsia"/>
                <w:szCs w:val="21"/>
              </w:rPr>
              <w:t>6.60m×4.44m</w:t>
            </w:r>
          </w:p>
        </w:tc>
        <w:tc>
          <w:tcPr>
            <w:tcW w:w="446" w:type="pct"/>
            <w:vAlign w:val="center"/>
          </w:tcPr>
          <w:p w14:paraId="10D4FD59">
            <w:pPr>
              <w:snapToGrid w:val="0"/>
              <w:jc w:val="center"/>
              <w:rPr>
                <w:szCs w:val="21"/>
              </w:rPr>
            </w:pPr>
            <w:r>
              <w:rPr>
                <w:rFonts w:hint="eastAsia"/>
              </w:rPr>
              <w:t>间</w:t>
            </w:r>
          </w:p>
        </w:tc>
        <w:tc>
          <w:tcPr>
            <w:tcW w:w="454" w:type="pct"/>
            <w:vAlign w:val="center"/>
          </w:tcPr>
          <w:p w14:paraId="1D548CCF">
            <w:pPr>
              <w:snapToGrid w:val="0"/>
              <w:jc w:val="center"/>
              <w:rPr>
                <w:szCs w:val="21"/>
              </w:rPr>
            </w:pPr>
            <w:r>
              <w:rPr>
                <w:rFonts w:hint="eastAsia"/>
                <w:szCs w:val="21"/>
              </w:rPr>
              <w:t>1</w:t>
            </w:r>
          </w:p>
        </w:tc>
        <w:tc>
          <w:tcPr>
            <w:tcW w:w="900" w:type="pct"/>
            <w:vAlign w:val="center"/>
          </w:tcPr>
          <w:p w14:paraId="3BB09ADB">
            <w:pPr>
              <w:snapToGrid w:val="0"/>
              <w:jc w:val="center"/>
              <w:rPr>
                <w:szCs w:val="21"/>
              </w:rPr>
            </w:pPr>
            <w:r>
              <w:rPr>
                <w:rFonts w:hint="eastAsia"/>
                <w:szCs w:val="21"/>
              </w:rPr>
              <w:t>撬装</w:t>
            </w:r>
          </w:p>
        </w:tc>
      </w:tr>
      <w:tr w14:paraId="46C06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6790B9EC">
            <w:pPr>
              <w:snapToGrid w:val="0"/>
              <w:jc w:val="center"/>
              <w:rPr>
                <w:szCs w:val="21"/>
              </w:rPr>
            </w:pPr>
            <w:r>
              <w:rPr>
                <w:rFonts w:hint="eastAsia"/>
                <w:szCs w:val="21"/>
              </w:rPr>
              <w:t>11</w:t>
            </w:r>
          </w:p>
        </w:tc>
        <w:tc>
          <w:tcPr>
            <w:tcW w:w="932" w:type="pct"/>
            <w:vAlign w:val="center"/>
          </w:tcPr>
          <w:p w14:paraId="1E893475">
            <w:pPr>
              <w:snapToGrid w:val="0"/>
              <w:jc w:val="center"/>
              <w:rPr>
                <w:szCs w:val="21"/>
              </w:rPr>
            </w:pPr>
            <w:r>
              <w:rPr>
                <w:rFonts w:hint="eastAsia"/>
                <w:szCs w:val="21"/>
              </w:rPr>
              <w:t>排污池</w:t>
            </w:r>
          </w:p>
        </w:tc>
        <w:tc>
          <w:tcPr>
            <w:tcW w:w="1932" w:type="pct"/>
            <w:vAlign w:val="center"/>
          </w:tcPr>
          <w:p w14:paraId="072D3CD7">
            <w:pPr>
              <w:snapToGrid w:val="0"/>
              <w:jc w:val="center"/>
              <w:rPr>
                <w:szCs w:val="21"/>
              </w:rPr>
            </w:pPr>
            <w:r>
              <w:rPr>
                <w:rFonts w:hint="eastAsia"/>
                <w:szCs w:val="21"/>
              </w:rPr>
              <w:t>18m</w:t>
            </w:r>
            <w:r>
              <w:rPr>
                <w:rFonts w:hint="eastAsia"/>
                <w:szCs w:val="21"/>
                <w:vertAlign w:val="superscript"/>
              </w:rPr>
              <w:t>3</w:t>
            </w:r>
          </w:p>
        </w:tc>
        <w:tc>
          <w:tcPr>
            <w:tcW w:w="446" w:type="pct"/>
            <w:vAlign w:val="center"/>
          </w:tcPr>
          <w:p w14:paraId="06C32896">
            <w:pPr>
              <w:snapToGrid w:val="0"/>
              <w:jc w:val="center"/>
              <w:rPr>
                <w:szCs w:val="21"/>
              </w:rPr>
            </w:pPr>
            <w:r>
              <w:rPr>
                <w:rFonts w:hint="eastAsia"/>
                <w:szCs w:val="21"/>
              </w:rPr>
              <w:t>座</w:t>
            </w:r>
          </w:p>
        </w:tc>
        <w:tc>
          <w:tcPr>
            <w:tcW w:w="454" w:type="pct"/>
            <w:vAlign w:val="center"/>
          </w:tcPr>
          <w:p w14:paraId="6C7AFC1E">
            <w:pPr>
              <w:snapToGrid w:val="0"/>
              <w:jc w:val="center"/>
              <w:rPr>
                <w:szCs w:val="21"/>
              </w:rPr>
            </w:pPr>
            <w:r>
              <w:rPr>
                <w:rFonts w:hint="eastAsia"/>
                <w:szCs w:val="21"/>
              </w:rPr>
              <w:t>1</w:t>
            </w:r>
          </w:p>
        </w:tc>
        <w:tc>
          <w:tcPr>
            <w:tcW w:w="900" w:type="pct"/>
            <w:vAlign w:val="center"/>
          </w:tcPr>
          <w:p w14:paraId="59A80778">
            <w:pPr>
              <w:snapToGrid w:val="0"/>
              <w:jc w:val="center"/>
              <w:rPr>
                <w:szCs w:val="21"/>
              </w:rPr>
            </w:pPr>
            <w:r>
              <w:rPr>
                <w:rFonts w:hint="eastAsia"/>
                <w:szCs w:val="21"/>
              </w:rPr>
              <w:t>/</w:t>
            </w:r>
          </w:p>
        </w:tc>
      </w:tr>
      <w:tr w14:paraId="51F6B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67D44469">
            <w:pPr>
              <w:snapToGrid w:val="0"/>
              <w:jc w:val="center"/>
              <w:rPr>
                <w:szCs w:val="21"/>
              </w:rPr>
            </w:pPr>
            <w:r>
              <w:rPr>
                <w:rFonts w:hint="eastAsia"/>
                <w:szCs w:val="21"/>
              </w:rPr>
              <w:t>12</w:t>
            </w:r>
          </w:p>
        </w:tc>
        <w:tc>
          <w:tcPr>
            <w:tcW w:w="932" w:type="pct"/>
            <w:vAlign w:val="center"/>
          </w:tcPr>
          <w:p w14:paraId="243DED54">
            <w:pPr>
              <w:snapToGrid w:val="0"/>
              <w:jc w:val="center"/>
              <w:rPr>
                <w:szCs w:val="21"/>
              </w:rPr>
            </w:pPr>
            <w:r>
              <w:rPr>
                <w:rFonts w:hint="eastAsia"/>
                <w:szCs w:val="21"/>
              </w:rPr>
              <w:t>撬装卫生间</w:t>
            </w:r>
          </w:p>
        </w:tc>
        <w:tc>
          <w:tcPr>
            <w:tcW w:w="1932" w:type="pct"/>
            <w:vAlign w:val="center"/>
          </w:tcPr>
          <w:p w14:paraId="00380530">
            <w:pPr>
              <w:snapToGrid w:val="0"/>
              <w:jc w:val="center"/>
              <w:rPr>
                <w:szCs w:val="21"/>
              </w:rPr>
            </w:pPr>
            <w:r>
              <w:rPr>
                <w:rFonts w:hint="eastAsia"/>
                <w:szCs w:val="21"/>
              </w:rPr>
              <w:t>/</w:t>
            </w:r>
          </w:p>
        </w:tc>
        <w:tc>
          <w:tcPr>
            <w:tcW w:w="446" w:type="pct"/>
            <w:vAlign w:val="center"/>
          </w:tcPr>
          <w:p w14:paraId="27AB2940">
            <w:pPr>
              <w:snapToGrid w:val="0"/>
              <w:jc w:val="center"/>
              <w:rPr>
                <w:szCs w:val="21"/>
              </w:rPr>
            </w:pPr>
            <w:r>
              <w:rPr>
                <w:rFonts w:hint="eastAsia"/>
                <w:szCs w:val="21"/>
              </w:rPr>
              <w:t>座</w:t>
            </w:r>
          </w:p>
        </w:tc>
        <w:tc>
          <w:tcPr>
            <w:tcW w:w="454" w:type="pct"/>
            <w:vAlign w:val="center"/>
          </w:tcPr>
          <w:p w14:paraId="26ED01BF">
            <w:pPr>
              <w:snapToGrid w:val="0"/>
              <w:jc w:val="center"/>
              <w:rPr>
                <w:szCs w:val="21"/>
              </w:rPr>
            </w:pPr>
            <w:r>
              <w:rPr>
                <w:rFonts w:hint="eastAsia"/>
                <w:szCs w:val="21"/>
              </w:rPr>
              <w:t>1</w:t>
            </w:r>
          </w:p>
        </w:tc>
        <w:tc>
          <w:tcPr>
            <w:tcW w:w="900" w:type="pct"/>
            <w:vAlign w:val="center"/>
          </w:tcPr>
          <w:p w14:paraId="7B334917">
            <w:pPr>
              <w:snapToGrid w:val="0"/>
              <w:jc w:val="center"/>
              <w:rPr>
                <w:szCs w:val="21"/>
              </w:rPr>
            </w:pPr>
            <w:r>
              <w:rPr>
                <w:rFonts w:hint="eastAsia"/>
                <w:szCs w:val="21"/>
              </w:rPr>
              <w:t>/</w:t>
            </w:r>
          </w:p>
        </w:tc>
      </w:tr>
    </w:tbl>
    <w:p w14:paraId="77E60862">
      <w:pPr>
        <w:pStyle w:val="904"/>
        <w:spacing w:before="120" w:beforeLines="50"/>
      </w:pPr>
      <w:r>
        <w:t>表3.</w:t>
      </w:r>
      <w:r>
        <w:rPr>
          <w:rFonts w:hint="eastAsia"/>
        </w:rPr>
        <w:t>3-14耒阳分输站新建</w:t>
      </w:r>
      <w:r>
        <w:t>阀门一览表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4"/>
        <w:gridCol w:w="974"/>
        <w:gridCol w:w="2540"/>
        <w:gridCol w:w="1050"/>
        <w:gridCol w:w="4058"/>
      </w:tblGrid>
      <w:tr w14:paraId="5E7B1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vAlign w:val="center"/>
          </w:tcPr>
          <w:p w14:paraId="43EFC4ED">
            <w:pPr>
              <w:pStyle w:val="1343"/>
            </w:pPr>
            <w:r>
              <w:t>序号</w:t>
            </w:r>
          </w:p>
        </w:tc>
        <w:tc>
          <w:tcPr>
            <w:tcW w:w="1818" w:type="pct"/>
            <w:gridSpan w:val="2"/>
            <w:vAlign w:val="center"/>
          </w:tcPr>
          <w:p w14:paraId="0A687C05">
            <w:pPr>
              <w:pStyle w:val="1343"/>
            </w:pPr>
            <w:r>
              <w:t>阀门规格名称</w:t>
            </w:r>
          </w:p>
        </w:tc>
        <w:tc>
          <w:tcPr>
            <w:tcW w:w="542" w:type="pct"/>
            <w:vAlign w:val="center"/>
          </w:tcPr>
          <w:p w14:paraId="30F58236">
            <w:pPr>
              <w:pStyle w:val="1343"/>
            </w:pPr>
            <w:r>
              <w:t>单位</w:t>
            </w:r>
          </w:p>
        </w:tc>
        <w:tc>
          <w:tcPr>
            <w:tcW w:w="2099" w:type="pct"/>
            <w:vAlign w:val="center"/>
          </w:tcPr>
          <w:p w14:paraId="48F5C669">
            <w:pPr>
              <w:pStyle w:val="1343"/>
            </w:pPr>
            <w:r>
              <w:t>数量</w:t>
            </w:r>
          </w:p>
        </w:tc>
      </w:tr>
      <w:tr w14:paraId="04660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vMerge w:val="restart"/>
            <w:shd w:val="clear" w:color="auto" w:fill="auto"/>
            <w:noWrap/>
            <w:vAlign w:val="center"/>
          </w:tcPr>
          <w:p w14:paraId="50A9C01F">
            <w:pPr>
              <w:pStyle w:val="1343"/>
            </w:pPr>
            <w:r>
              <w:t>1</w:t>
            </w:r>
          </w:p>
        </w:tc>
        <w:tc>
          <w:tcPr>
            <w:tcW w:w="504" w:type="pct"/>
            <w:vMerge w:val="restart"/>
            <w:shd w:val="clear" w:color="auto" w:fill="auto"/>
            <w:vAlign w:val="center"/>
          </w:tcPr>
          <w:p w14:paraId="5F3711F3">
            <w:pPr>
              <w:pStyle w:val="1343"/>
            </w:pPr>
            <w:r>
              <w:rPr>
                <w:rFonts w:hint="eastAsia"/>
              </w:rPr>
              <w:t>球阀</w:t>
            </w:r>
          </w:p>
        </w:tc>
        <w:tc>
          <w:tcPr>
            <w:tcW w:w="1313" w:type="pct"/>
            <w:shd w:val="clear" w:color="auto" w:fill="auto"/>
            <w:vAlign w:val="center"/>
          </w:tcPr>
          <w:p w14:paraId="51607A3C">
            <w:pPr>
              <w:pStyle w:val="1343"/>
            </w:pPr>
            <w:r>
              <w:rPr>
                <w:rFonts w:hint="eastAsia"/>
              </w:rPr>
              <w:t>钢法兰球阀</w:t>
            </w:r>
          </w:p>
        </w:tc>
        <w:tc>
          <w:tcPr>
            <w:tcW w:w="542" w:type="pct"/>
            <w:shd w:val="clear" w:color="auto" w:fill="auto"/>
            <w:noWrap/>
            <w:vAlign w:val="center"/>
          </w:tcPr>
          <w:p w14:paraId="4EBB2059">
            <w:pPr>
              <w:pStyle w:val="1343"/>
            </w:pPr>
            <w:r>
              <w:rPr>
                <w:rFonts w:hint="eastAsia"/>
              </w:rPr>
              <w:t>套</w:t>
            </w:r>
          </w:p>
        </w:tc>
        <w:tc>
          <w:tcPr>
            <w:tcW w:w="2099" w:type="pct"/>
            <w:vAlign w:val="center"/>
          </w:tcPr>
          <w:p w14:paraId="0EBB35CE">
            <w:pPr>
              <w:pStyle w:val="1343"/>
            </w:pPr>
            <w:r>
              <w:rPr>
                <w:rFonts w:hint="eastAsia"/>
              </w:rPr>
              <w:t>47</w:t>
            </w:r>
          </w:p>
        </w:tc>
      </w:tr>
      <w:tr w14:paraId="2BC0F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vMerge w:val="continue"/>
            <w:shd w:val="clear" w:color="auto" w:fill="auto"/>
            <w:noWrap/>
            <w:vAlign w:val="center"/>
          </w:tcPr>
          <w:p w14:paraId="0EC60CF7">
            <w:pPr>
              <w:pStyle w:val="1343"/>
            </w:pPr>
          </w:p>
        </w:tc>
        <w:tc>
          <w:tcPr>
            <w:tcW w:w="504" w:type="pct"/>
            <w:vMerge w:val="continue"/>
            <w:shd w:val="clear" w:color="auto" w:fill="auto"/>
            <w:vAlign w:val="center"/>
          </w:tcPr>
          <w:p w14:paraId="5D5B5F1A">
            <w:pPr>
              <w:pStyle w:val="1343"/>
            </w:pPr>
          </w:p>
        </w:tc>
        <w:tc>
          <w:tcPr>
            <w:tcW w:w="1313" w:type="pct"/>
            <w:shd w:val="clear" w:color="auto" w:fill="auto"/>
            <w:vAlign w:val="center"/>
          </w:tcPr>
          <w:p w14:paraId="15B5EE71">
            <w:pPr>
              <w:pStyle w:val="1343"/>
            </w:pPr>
            <w:r>
              <w:rPr>
                <w:rFonts w:hint="eastAsia"/>
              </w:rPr>
              <w:t>对焊连接全焊接球阀</w:t>
            </w:r>
          </w:p>
        </w:tc>
        <w:tc>
          <w:tcPr>
            <w:tcW w:w="542" w:type="pct"/>
            <w:shd w:val="clear" w:color="auto" w:fill="auto"/>
            <w:noWrap/>
            <w:vAlign w:val="center"/>
          </w:tcPr>
          <w:p w14:paraId="5DA63EF9">
            <w:pPr>
              <w:pStyle w:val="1343"/>
            </w:pPr>
            <w:r>
              <w:rPr>
                <w:rFonts w:hint="eastAsia"/>
              </w:rPr>
              <w:t>套</w:t>
            </w:r>
          </w:p>
        </w:tc>
        <w:tc>
          <w:tcPr>
            <w:tcW w:w="2099" w:type="pct"/>
            <w:vAlign w:val="center"/>
          </w:tcPr>
          <w:p w14:paraId="1F9B5EAA">
            <w:pPr>
              <w:pStyle w:val="1343"/>
            </w:pPr>
            <w:r>
              <w:rPr>
                <w:rFonts w:hint="eastAsia"/>
              </w:rPr>
              <w:t>3</w:t>
            </w:r>
          </w:p>
        </w:tc>
      </w:tr>
      <w:tr w14:paraId="604C8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shd w:val="clear" w:color="auto" w:fill="auto"/>
            <w:noWrap/>
            <w:vAlign w:val="center"/>
          </w:tcPr>
          <w:p w14:paraId="57546316">
            <w:pPr>
              <w:pStyle w:val="1343"/>
            </w:pPr>
            <w:r>
              <w:t>2</w:t>
            </w:r>
          </w:p>
        </w:tc>
        <w:tc>
          <w:tcPr>
            <w:tcW w:w="1818" w:type="pct"/>
            <w:gridSpan w:val="2"/>
            <w:shd w:val="clear" w:color="auto" w:fill="auto"/>
            <w:vAlign w:val="center"/>
          </w:tcPr>
          <w:p w14:paraId="01B19946">
            <w:pPr>
              <w:pStyle w:val="1343"/>
            </w:pPr>
            <w:r>
              <w:rPr>
                <w:rFonts w:hint="eastAsia"/>
              </w:rPr>
              <w:t>电动钢法兰球阀</w:t>
            </w:r>
          </w:p>
        </w:tc>
        <w:tc>
          <w:tcPr>
            <w:tcW w:w="542" w:type="pct"/>
            <w:shd w:val="clear" w:color="auto" w:fill="auto"/>
            <w:noWrap/>
            <w:vAlign w:val="center"/>
          </w:tcPr>
          <w:p w14:paraId="1A96688E">
            <w:pPr>
              <w:pStyle w:val="1343"/>
            </w:pPr>
            <w:r>
              <w:rPr>
                <w:rFonts w:hint="eastAsia"/>
              </w:rPr>
              <w:t>套</w:t>
            </w:r>
          </w:p>
        </w:tc>
        <w:tc>
          <w:tcPr>
            <w:tcW w:w="2099" w:type="pct"/>
            <w:vAlign w:val="center"/>
          </w:tcPr>
          <w:p w14:paraId="5ABB0DB6">
            <w:pPr>
              <w:pStyle w:val="1343"/>
            </w:pPr>
            <w:r>
              <w:rPr>
                <w:rFonts w:hint="eastAsia"/>
              </w:rPr>
              <w:t>8</w:t>
            </w:r>
          </w:p>
        </w:tc>
      </w:tr>
      <w:tr w14:paraId="48516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shd w:val="clear" w:color="auto" w:fill="auto"/>
            <w:noWrap/>
            <w:vAlign w:val="center"/>
          </w:tcPr>
          <w:p w14:paraId="0D565E10">
            <w:pPr>
              <w:pStyle w:val="1343"/>
            </w:pPr>
            <w:r>
              <w:t>3</w:t>
            </w:r>
          </w:p>
        </w:tc>
        <w:tc>
          <w:tcPr>
            <w:tcW w:w="1818" w:type="pct"/>
            <w:gridSpan w:val="2"/>
            <w:shd w:val="clear" w:color="auto" w:fill="auto"/>
            <w:vAlign w:val="center"/>
          </w:tcPr>
          <w:p w14:paraId="6765E9DC">
            <w:pPr>
              <w:pStyle w:val="1343"/>
            </w:pPr>
            <w:r>
              <w:rPr>
                <w:rFonts w:hint="eastAsia"/>
              </w:rPr>
              <w:t>钢法兰节流截止阀</w:t>
            </w:r>
          </w:p>
        </w:tc>
        <w:tc>
          <w:tcPr>
            <w:tcW w:w="542" w:type="pct"/>
            <w:shd w:val="clear" w:color="auto" w:fill="auto"/>
            <w:noWrap/>
            <w:vAlign w:val="center"/>
          </w:tcPr>
          <w:p w14:paraId="0C78B397">
            <w:pPr>
              <w:pStyle w:val="1343"/>
            </w:pPr>
            <w:r>
              <w:rPr>
                <w:rFonts w:hint="eastAsia"/>
              </w:rPr>
              <w:t>套</w:t>
            </w:r>
          </w:p>
        </w:tc>
        <w:tc>
          <w:tcPr>
            <w:tcW w:w="2099" w:type="pct"/>
            <w:vAlign w:val="center"/>
          </w:tcPr>
          <w:p w14:paraId="2F3C1CC6">
            <w:pPr>
              <w:pStyle w:val="1343"/>
            </w:pPr>
            <w:r>
              <w:rPr>
                <w:rFonts w:hint="eastAsia"/>
              </w:rPr>
              <w:t>8</w:t>
            </w:r>
          </w:p>
        </w:tc>
      </w:tr>
      <w:tr w14:paraId="60E95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shd w:val="clear" w:color="auto" w:fill="auto"/>
            <w:noWrap/>
            <w:vAlign w:val="center"/>
          </w:tcPr>
          <w:p w14:paraId="503F0076">
            <w:pPr>
              <w:pStyle w:val="1343"/>
            </w:pPr>
            <w:r>
              <w:t>4</w:t>
            </w:r>
          </w:p>
        </w:tc>
        <w:tc>
          <w:tcPr>
            <w:tcW w:w="1818" w:type="pct"/>
            <w:gridSpan w:val="2"/>
            <w:shd w:val="clear" w:color="auto" w:fill="auto"/>
            <w:vAlign w:val="center"/>
          </w:tcPr>
          <w:p w14:paraId="4F585B91">
            <w:pPr>
              <w:pStyle w:val="1343"/>
            </w:pPr>
            <w:r>
              <w:rPr>
                <w:rFonts w:hint="eastAsia"/>
              </w:rPr>
              <w:t>电动钢法兰节流截止阀</w:t>
            </w:r>
          </w:p>
        </w:tc>
        <w:tc>
          <w:tcPr>
            <w:tcW w:w="542" w:type="pct"/>
            <w:shd w:val="clear" w:color="auto" w:fill="auto"/>
            <w:noWrap/>
            <w:vAlign w:val="center"/>
          </w:tcPr>
          <w:p w14:paraId="718C2C79">
            <w:pPr>
              <w:pStyle w:val="1343"/>
            </w:pPr>
            <w:r>
              <w:rPr>
                <w:rFonts w:hint="eastAsia"/>
              </w:rPr>
              <w:t>套</w:t>
            </w:r>
          </w:p>
        </w:tc>
        <w:tc>
          <w:tcPr>
            <w:tcW w:w="2099" w:type="pct"/>
            <w:vAlign w:val="center"/>
          </w:tcPr>
          <w:p w14:paraId="0F57D4D8">
            <w:pPr>
              <w:pStyle w:val="1343"/>
            </w:pPr>
            <w:r>
              <w:rPr>
                <w:rFonts w:hint="eastAsia"/>
              </w:rPr>
              <w:t>1</w:t>
            </w:r>
          </w:p>
        </w:tc>
      </w:tr>
      <w:tr w14:paraId="49FB1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shd w:val="clear" w:color="auto" w:fill="auto"/>
            <w:noWrap/>
            <w:vAlign w:val="center"/>
          </w:tcPr>
          <w:p w14:paraId="4C1612B4">
            <w:pPr>
              <w:pStyle w:val="1343"/>
            </w:pPr>
            <w:r>
              <w:t>5</w:t>
            </w:r>
          </w:p>
        </w:tc>
        <w:tc>
          <w:tcPr>
            <w:tcW w:w="1818" w:type="pct"/>
            <w:gridSpan w:val="2"/>
            <w:shd w:val="clear" w:color="auto" w:fill="auto"/>
            <w:vAlign w:val="center"/>
          </w:tcPr>
          <w:p w14:paraId="6F541266">
            <w:pPr>
              <w:pStyle w:val="1343"/>
            </w:pPr>
            <w:r>
              <w:rPr>
                <w:rFonts w:hint="eastAsia"/>
              </w:rPr>
              <w:t>钢法兰旋塞阀</w:t>
            </w:r>
          </w:p>
        </w:tc>
        <w:tc>
          <w:tcPr>
            <w:tcW w:w="542" w:type="pct"/>
            <w:shd w:val="clear" w:color="auto" w:fill="auto"/>
            <w:noWrap/>
            <w:vAlign w:val="center"/>
          </w:tcPr>
          <w:p w14:paraId="66B1C3D9">
            <w:pPr>
              <w:pStyle w:val="1343"/>
            </w:pPr>
            <w:r>
              <w:rPr>
                <w:rFonts w:hint="eastAsia"/>
              </w:rPr>
              <w:t>套</w:t>
            </w:r>
          </w:p>
        </w:tc>
        <w:tc>
          <w:tcPr>
            <w:tcW w:w="2099" w:type="pct"/>
            <w:vAlign w:val="center"/>
          </w:tcPr>
          <w:p w14:paraId="17D1DC6A">
            <w:pPr>
              <w:pStyle w:val="1343"/>
            </w:pPr>
            <w:r>
              <w:rPr>
                <w:rFonts w:hint="eastAsia"/>
              </w:rPr>
              <w:t>4</w:t>
            </w:r>
          </w:p>
        </w:tc>
      </w:tr>
      <w:tr w14:paraId="0C740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shd w:val="clear" w:color="auto" w:fill="auto"/>
            <w:noWrap/>
            <w:vAlign w:val="center"/>
          </w:tcPr>
          <w:p w14:paraId="615EB5D6">
            <w:pPr>
              <w:pStyle w:val="1343"/>
            </w:pPr>
            <w:r>
              <w:rPr>
                <w:rFonts w:hint="eastAsia"/>
              </w:rPr>
              <w:t>6</w:t>
            </w:r>
          </w:p>
        </w:tc>
        <w:tc>
          <w:tcPr>
            <w:tcW w:w="1818" w:type="pct"/>
            <w:gridSpan w:val="2"/>
            <w:shd w:val="clear" w:color="auto" w:fill="auto"/>
            <w:vAlign w:val="center"/>
          </w:tcPr>
          <w:p w14:paraId="5245354F">
            <w:pPr>
              <w:pStyle w:val="1343"/>
            </w:pPr>
            <w:r>
              <w:rPr>
                <w:rFonts w:hint="eastAsia"/>
              </w:rPr>
              <w:t>钢法兰安全放散阀</w:t>
            </w:r>
          </w:p>
        </w:tc>
        <w:tc>
          <w:tcPr>
            <w:tcW w:w="542" w:type="pct"/>
            <w:shd w:val="clear" w:color="auto" w:fill="auto"/>
            <w:noWrap/>
            <w:vAlign w:val="center"/>
          </w:tcPr>
          <w:p w14:paraId="2C174DB5">
            <w:pPr>
              <w:pStyle w:val="1343"/>
            </w:pPr>
            <w:r>
              <w:rPr>
                <w:rFonts w:hint="eastAsia"/>
              </w:rPr>
              <w:t>套</w:t>
            </w:r>
          </w:p>
        </w:tc>
        <w:tc>
          <w:tcPr>
            <w:tcW w:w="2099" w:type="pct"/>
            <w:vAlign w:val="center"/>
          </w:tcPr>
          <w:p w14:paraId="66552AC5">
            <w:pPr>
              <w:pStyle w:val="1343"/>
            </w:pPr>
            <w:r>
              <w:rPr>
                <w:rFonts w:hint="eastAsia"/>
              </w:rPr>
              <w:t>2</w:t>
            </w:r>
          </w:p>
        </w:tc>
      </w:tr>
      <w:tr w14:paraId="0923A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shd w:val="clear" w:color="auto" w:fill="auto"/>
            <w:noWrap/>
            <w:vAlign w:val="center"/>
          </w:tcPr>
          <w:p w14:paraId="70684B1F">
            <w:pPr>
              <w:pStyle w:val="1343"/>
            </w:pPr>
            <w:r>
              <w:rPr>
                <w:rFonts w:hint="eastAsia"/>
              </w:rPr>
              <w:t>7</w:t>
            </w:r>
          </w:p>
        </w:tc>
        <w:tc>
          <w:tcPr>
            <w:tcW w:w="1818" w:type="pct"/>
            <w:gridSpan w:val="2"/>
            <w:shd w:val="clear" w:color="auto" w:fill="auto"/>
            <w:vAlign w:val="center"/>
          </w:tcPr>
          <w:p w14:paraId="45AC5537">
            <w:pPr>
              <w:pStyle w:val="1343"/>
            </w:pPr>
            <w:r>
              <w:rPr>
                <w:rFonts w:hint="eastAsia"/>
              </w:rPr>
              <w:t>排污阀</w:t>
            </w:r>
          </w:p>
        </w:tc>
        <w:tc>
          <w:tcPr>
            <w:tcW w:w="542" w:type="pct"/>
            <w:shd w:val="clear" w:color="auto" w:fill="auto"/>
            <w:noWrap/>
            <w:vAlign w:val="center"/>
          </w:tcPr>
          <w:p w14:paraId="50C2DF44">
            <w:pPr>
              <w:pStyle w:val="1343"/>
            </w:pPr>
            <w:r>
              <w:rPr>
                <w:rFonts w:hint="eastAsia"/>
              </w:rPr>
              <w:t>套</w:t>
            </w:r>
          </w:p>
        </w:tc>
        <w:tc>
          <w:tcPr>
            <w:tcW w:w="2099" w:type="pct"/>
            <w:vAlign w:val="center"/>
          </w:tcPr>
          <w:p w14:paraId="42BF0439">
            <w:pPr>
              <w:pStyle w:val="1343"/>
            </w:pPr>
            <w:r>
              <w:rPr>
                <w:rFonts w:hint="eastAsia"/>
              </w:rPr>
              <w:t>3</w:t>
            </w:r>
          </w:p>
        </w:tc>
      </w:tr>
      <w:tr w14:paraId="44865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0" w:type="pct"/>
            <w:shd w:val="clear" w:color="auto" w:fill="auto"/>
            <w:noWrap/>
            <w:vAlign w:val="center"/>
          </w:tcPr>
          <w:p w14:paraId="7E578BE9">
            <w:pPr>
              <w:pStyle w:val="1343"/>
            </w:pPr>
            <w:r>
              <w:rPr>
                <w:rFonts w:hint="eastAsia"/>
              </w:rPr>
              <w:t>8</w:t>
            </w:r>
          </w:p>
        </w:tc>
        <w:tc>
          <w:tcPr>
            <w:tcW w:w="1818" w:type="pct"/>
            <w:gridSpan w:val="2"/>
            <w:shd w:val="clear" w:color="auto" w:fill="auto"/>
            <w:vAlign w:val="center"/>
          </w:tcPr>
          <w:p w14:paraId="77E526B8">
            <w:pPr>
              <w:pStyle w:val="1343"/>
            </w:pPr>
            <w:r>
              <w:rPr>
                <w:rFonts w:hint="eastAsia"/>
              </w:rPr>
              <w:t>气液联动阀</w:t>
            </w:r>
          </w:p>
        </w:tc>
        <w:tc>
          <w:tcPr>
            <w:tcW w:w="542" w:type="pct"/>
            <w:shd w:val="clear" w:color="auto" w:fill="auto"/>
            <w:noWrap/>
            <w:vAlign w:val="center"/>
          </w:tcPr>
          <w:p w14:paraId="64B113D8">
            <w:pPr>
              <w:pStyle w:val="1343"/>
            </w:pPr>
            <w:r>
              <w:rPr>
                <w:rFonts w:hint="eastAsia"/>
              </w:rPr>
              <w:t>套</w:t>
            </w:r>
          </w:p>
        </w:tc>
        <w:tc>
          <w:tcPr>
            <w:tcW w:w="2099" w:type="pct"/>
            <w:vAlign w:val="center"/>
          </w:tcPr>
          <w:p w14:paraId="10DCB23C">
            <w:pPr>
              <w:pStyle w:val="1343"/>
            </w:pPr>
            <w:r>
              <w:rPr>
                <w:rFonts w:hint="eastAsia"/>
              </w:rPr>
              <w:t>2</w:t>
            </w:r>
          </w:p>
        </w:tc>
      </w:tr>
      <w:tr w14:paraId="005CE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0" w:type="pct"/>
            <w:gridSpan w:val="4"/>
            <w:shd w:val="clear" w:color="auto" w:fill="auto"/>
            <w:noWrap/>
            <w:vAlign w:val="center"/>
          </w:tcPr>
          <w:p w14:paraId="0B521DC6">
            <w:pPr>
              <w:pStyle w:val="1343"/>
            </w:pPr>
            <w:r>
              <w:t>合计</w:t>
            </w:r>
          </w:p>
        </w:tc>
        <w:tc>
          <w:tcPr>
            <w:tcW w:w="2099" w:type="pct"/>
            <w:vAlign w:val="center"/>
          </w:tcPr>
          <w:p w14:paraId="70745525">
            <w:pPr>
              <w:pStyle w:val="1343"/>
            </w:pPr>
            <w:r>
              <w:rPr>
                <w:rFonts w:hint="eastAsia"/>
              </w:rPr>
              <w:t>78</w:t>
            </w:r>
          </w:p>
        </w:tc>
      </w:tr>
    </w:tbl>
    <w:p w14:paraId="04658A94">
      <w:pPr>
        <w:spacing w:before="120" w:beforeLines="50" w:line="360" w:lineRule="auto"/>
        <w:ind w:firstLine="480" w:firstLineChars="200"/>
        <w:rPr>
          <w:sz w:val="24"/>
        </w:rPr>
      </w:pPr>
      <w:r>
        <w:rPr>
          <w:rFonts w:hint="eastAsia"/>
          <w:sz w:val="24"/>
        </w:rPr>
        <w:fldChar w:fldCharType="begin"/>
      </w:r>
      <w:r>
        <w:rPr>
          <w:rFonts w:hint="eastAsia"/>
          <w:sz w:val="24"/>
        </w:rPr>
        <w:instrText xml:space="preserve"> = 3 \* GB3 \* MERGEFORMAT </w:instrText>
      </w:r>
      <w:r>
        <w:rPr>
          <w:rFonts w:hint="eastAsia"/>
          <w:sz w:val="24"/>
        </w:rPr>
        <w:fldChar w:fldCharType="separate"/>
      </w:r>
      <w:r>
        <w:rPr>
          <w:sz w:val="24"/>
        </w:rPr>
        <w:t>③</w:t>
      </w:r>
      <w:r>
        <w:rPr>
          <w:rFonts w:hint="eastAsia"/>
          <w:sz w:val="24"/>
        </w:rPr>
        <w:fldChar w:fldCharType="end"/>
      </w:r>
      <w:r>
        <w:rPr>
          <w:rFonts w:hint="eastAsia"/>
          <w:sz w:val="24"/>
        </w:rPr>
        <w:t>工艺流程</w:t>
      </w:r>
    </w:p>
    <w:p w14:paraId="2A7146EA">
      <w:pPr>
        <w:spacing w:line="360" w:lineRule="auto"/>
        <w:ind w:firstLine="480" w:firstLineChars="200"/>
        <w:rPr>
          <w:sz w:val="24"/>
        </w:rPr>
      </w:pPr>
      <w:r>
        <w:rPr>
          <w:rFonts w:hint="eastAsia"/>
          <w:sz w:val="24"/>
        </w:rPr>
        <w:t>耒阳分输站正常工艺流程见图3.3-4。</w:t>
      </w:r>
    </w:p>
    <w:p w14:paraId="3E9E6306">
      <w:pPr>
        <w:spacing w:line="360" w:lineRule="auto"/>
        <w:rPr>
          <w:sz w:val="24"/>
        </w:rPr>
      </w:pPr>
      <w:r>
        <w:rPr>
          <w:rFonts w:hint="eastAsia"/>
          <w:sz w:val="24"/>
        </w:rPr>
        <w:drawing>
          <wp:inline distT="0" distB="0" distL="114300" distR="114300">
            <wp:extent cx="6000115" cy="429895"/>
            <wp:effectExtent l="0" t="0" r="4445" b="12065"/>
            <wp:docPr id="33" name="图片 33" descr="f8f6781d82370a016cf351be34e3c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f8f6781d82370a016cf351be34e3c84"/>
                    <pic:cNvPicPr>
                      <a:picLocks noChangeAspect="1"/>
                    </pic:cNvPicPr>
                  </pic:nvPicPr>
                  <pic:blipFill>
                    <a:blip r:embed="rId44"/>
                    <a:stretch>
                      <a:fillRect/>
                    </a:stretch>
                  </pic:blipFill>
                  <pic:spPr>
                    <a:xfrm>
                      <a:off x="0" y="0"/>
                      <a:ext cx="6000115" cy="429895"/>
                    </a:xfrm>
                    <a:prstGeom prst="rect">
                      <a:avLst/>
                    </a:prstGeom>
                  </pic:spPr>
                </pic:pic>
              </a:graphicData>
            </a:graphic>
          </wp:inline>
        </w:drawing>
      </w:r>
    </w:p>
    <w:p w14:paraId="4DCAF3E2">
      <w:pPr>
        <w:spacing w:before="120" w:beforeLines="50" w:line="360" w:lineRule="auto"/>
        <w:ind w:firstLine="480" w:firstLineChars="200"/>
        <w:jc w:val="center"/>
        <w:rPr>
          <w:rFonts w:eastAsia="黑体"/>
          <w:sz w:val="24"/>
        </w:rPr>
      </w:pPr>
      <w:r>
        <w:rPr>
          <w:rFonts w:eastAsia="黑体"/>
          <w:sz w:val="24"/>
        </w:rPr>
        <w:t>图3.</w:t>
      </w:r>
      <w:r>
        <w:rPr>
          <w:rFonts w:hint="eastAsia" w:eastAsia="黑体"/>
          <w:sz w:val="24"/>
        </w:rPr>
        <w:t>3</w:t>
      </w:r>
      <w:r>
        <w:rPr>
          <w:rFonts w:eastAsia="黑体"/>
          <w:sz w:val="24"/>
        </w:rPr>
        <w:t>-</w:t>
      </w:r>
      <w:r>
        <w:rPr>
          <w:rFonts w:hint="eastAsia" w:eastAsia="黑体"/>
          <w:sz w:val="24"/>
        </w:rPr>
        <w:t>4</w:t>
      </w:r>
      <w:r>
        <w:rPr>
          <w:rFonts w:eastAsia="黑体"/>
          <w:sz w:val="24"/>
        </w:rPr>
        <w:t xml:space="preserve">  耒阳分输站正常工艺流程图</w:t>
      </w:r>
    </w:p>
    <w:p w14:paraId="7AE88304">
      <w:pPr>
        <w:spacing w:line="360" w:lineRule="auto"/>
        <w:ind w:firstLine="480" w:firstLineChars="200"/>
        <w:rPr>
          <w:sz w:val="24"/>
        </w:rPr>
      </w:pPr>
      <w:r>
        <w:rPr>
          <w:rFonts w:hint="eastAsia"/>
          <w:sz w:val="24"/>
        </w:rPr>
        <w:fldChar w:fldCharType="begin"/>
      </w:r>
      <w:r>
        <w:rPr>
          <w:rFonts w:hint="eastAsia"/>
          <w:sz w:val="24"/>
        </w:rPr>
        <w:instrText xml:space="preserve"> = 4 \* GB3 \* MERGEFORMAT </w:instrText>
      </w:r>
      <w:r>
        <w:rPr>
          <w:rFonts w:hint="eastAsia"/>
          <w:sz w:val="24"/>
        </w:rPr>
        <w:fldChar w:fldCharType="separate"/>
      </w:r>
      <w:r>
        <w:rPr>
          <w:rFonts w:hint="eastAsia"/>
          <w:sz w:val="24"/>
        </w:rPr>
        <w:t>④</w:t>
      </w:r>
      <w:r>
        <w:rPr>
          <w:rFonts w:hint="eastAsia"/>
          <w:sz w:val="24"/>
        </w:rPr>
        <w:fldChar w:fldCharType="end"/>
      </w:r>
      <w:r>
        <w:rPr>
          <w:rFonts w:hint="eastAsia"/>
          <w:sz w:val="24"/>
        </w:rPr>
        <w:t>平面布置</w:t>
      </w:r>
    </w:p>
    <w:p w14:paraId="0F828245">
      <w:pPr>
        <w:spacing w:line="360" w:lineRule="auto"/>
        <w:ind w:firstLine="480" w:firstLineChars="200"/>
        <w:rPr>
          <w:rFonts w:hint="default" w:eastAsia="宋体"/>
          <w:i/>
          <w:iCs/>
          <w:color w:val="auto"/>
          <w:sz w:val="24"/>
          <w:u w:val="single"/>
          <w:lang w:val="en-US" w:eastAsia="zh-CN"/>
        </w:rPr>
      </w:pPr>
      <w:r>
        <w:rPr>
          <w:rFonts w:hint="eastAsia"/>
          <w:i/>
          <w:iCs/>
          <w:color w:val="auto"/>
          <w:sz w:val="24"/>
          <w:u w:val="single"/>
          <w:lang w:val="en-US" w:eastAsia="zh-CN"/>
        </w:rPr>
        <w:t>耒阳市近5年主导风向为西北风，因此将门卫室、柴油发电机房、危废暂存间设置在场站西侧风向，产生无组织废气的工艺设备区和防空区设置在东侧下方西较为合理。</w:t>
      </w:r>
    </w:p>
    <w:p w14:paraId="591556D5">
      <w:pPr>
        <w:spacing w:line="360" w:lineRule="auto"/>
        <w:ind w:firstLine="480" w:firstLineChars="200"/>
        <w:rPr>
          <w:sz w:val="24"/>
        </w:rPr>
      </w:pPr>
      <w:r>
        <w:rPr>
          <w:rFonts w:hint="eastAsia"/>
          <w:sz w:val="24"/>
        </w:rPr>
        <w:t>耒阳分输站平面布置图间图3.3-5。</w:t>
      </w:r>
    </w:p>
    <w:p w14:paraId="5BCC33A8">
      <w:pPr>
        <w:spacing w:line="360" w:lineRule="auto"/>
        <w:jc w:val="center"/>
        <w:rPr>
          <w:sz w:val="24"/>
        </w:rPr>
      </w:pPr>
      <w:r>
        <w:rPr>
          <w:rFonts w:hint="eastAsia"/>
          <w:sz w:val="24"/>
        </w:rPr>
        <w:drawing>
          <wp:inline distT="0" distB="0" distL="114300" distR="114300">
            <wp:extent cx="5882640" cy="3942715"/>
            <wp:effectExtent l="0" t="0" r="3810" b="635"/>
            <wp:docPr id="38" name="图片 38" descr="ba9304c73a433edaa40c78b0ebc74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ba9304c73a433edaa40c78b0ebc74e4"/>
                    <pic:cNvPicPr>
                      <a:picLocks noChangeAspect="1"/>
                    </pic:cNvPicPr>
                  </pic:nvPicPr>
                  <pic:blipFill>
                    <a:blip r:embed="rId45"/>
                    <a:stretch>
                      <a:fillRect/>
                    </a:stretch>
                  </pic:blipFill>
                  <pic:spPr>
                    <a:xfrm>
                      <a:off x="0" y="0"/>
                      <a:ext cx="5882640" cy="3942715"/>
                    </a:xfrm>
                    <a:prstGeom prst="rect">
                      <a:avLst/>
                    </a:prstGeom>
                  </pic:spPr>
                </pic:pic>
              </a:graphicData>
            </a:graphic>
          </wp:inline>
        </w:drawing>
      </w:r>
    </w:p>
    <w:p w14:paraId="0991933F">
      <w:pPr>
        <w:spacing w:line="360" w:lineRule="auto"/>
        <w:ind w:firstLine="480" w:firstLineChars="200"/>
        <w:jc w:val="center"/>
        <w:rPr>
          <w:rFonts w:eastAsia="黑体"/>
          <w:sz w:val="24"/>
        </w:rPr>
      </w:pPr>
      <w:r>
        <w:rPr>
          <w:rFonts w:eastAsia="黑体"/>
          <w:sz w:val="24"/>
        </w:rPr>
        <w:t>图3.</w:t>
      </w:r>
      <w:r>
        <w:rPr>
          <w:rFonts w:hint="eastAsia" w:eastAsia="黑体"/>
          <w:sz w:val="24"/>
        </w:rPr>
        <w:t>3</w:t>
      </w:r>
      <w:r>
        <w:rPr>
          <w:rFonts w:eastAsia="黑体"/>
          <w:sz w:val="24"/>
        </w:rPr>
        <w:t>-</w:t>
      </w:r>
      <w:r>
        <w:rPr>
          <w:rFonts w:hint="eastAsia" w:eastAsia="黑体"/>
          <w:sz w:val="24"/>
        </w:rPr>
        <w:t>5</w:t>
      </w:r>
      <w:r>
        <w:rPr>
          <w:rFonts w:eastAsia="黑体"/>
          <w:sz w:val="24"/>
        </w:rPr>
        <w:t xml:space="preserve">  耒阳分输站</w:t>
      </w:r>
      <w:r>
        <w:rPr>
          <w:rFonts w:hint="eastAsia" w:eastAsia="黑体"/>
          <w:sz w:val="24"/>
        </w:rPr>
        <w:t>平面布置</w:t>
      </w:r>
      <w:r>
        <w:rPr>
          <w:rFonts w:eastAsia="黑体"/>
          <w:sz w:val="24"/>
        </w:rPr>
        <w:t>图</w:t>
      </w:r>
    </w:p>
    <w:p w14:paraId="4AD34421">
      <w:pPr>
        <w:spacing w:line="360" w:lineRule="auto"/>
        <w:ind w:firstLine="482" w:firstLineChars="200"/>
        <w:rPr>
          <w:b/>
          <w:bCs/>
          <w:sz w:val="24"/>
        </w:rPr>
      </w:pPr>
      <w:r>
        <w:rPr>
          <w:rFonts w:hint="eastAsia"/>
          <w:b/>
          <w:bCs/>
          <w:sz w:val="24"/>
        </w:rPr>
        <w:t>（2）28号阀室改造</w:t>
      </w:r>
    </w:p>
    <w:p w14:paraId="5915AB04">
      <w:pPr>
        <w:spacing w:line="360" w:lineRule="auto"/>
        <w:ind w:firstLine="480" w:firstLineChars="200"/>
        <w:rPr>
          <w:sz w:val="24"/>
        </w:rPr>
      </w:pPr>
      <w:r>
        <w:rPr>
          <w:rFonts w:hint="eastAsia"/>
          <w:sz w:val="24"/>
        </w:rPr>
        <w:fldChar w:fldCharType="begin"/>
      </w:r>
      <w:r>
        <w:rPr>
          <w:rFonts w:hint="eastAsia"/>
          <w:sz w:val="24"/>
        </w:rPr>
        <w:instrText xml:space="preserve"> = 1 \* GB3 \* MERGEFORMAT </w:instrText>
      </w:r>
      <w:r>
        <w:rPr>
          <w:rFonts w:hint="eastAsia"/>
          <w:sz w:val="24"/>
        </w:rPr>
        <w:fldChar w:fldCharType="separate"/>
      </w:r>
      <w:r>
        <w:rPr>
          <w:rFonts w:hint="eastAsia"/>
          <w:sz w:val="24"/>
        </w:rPr>
        <w:t>①</w:t>
      </w:r>
      <w:r>
        <w:rPr>
          <w:rFonts w:hint="eastAsia"/>
          <w:sz w:val="24"/>
        </w:rPr>
        <w:fldChar w:fldCharType="end"/>
      </w:r>
      <w:r>
        <w:rPr>
          <w:rFonts w:hint="eastAsia"/>
          <w:sz w:val="24"/>
        </w:rPr>
        <w:t>设计参数及主要功能</w:t>
      </w:r>
    </w:p>
    <w:p w14:paraId="16C2857C">
      <w:pPr>
        <w:spacing w:line="360" w:lineRule="auto"/>
        <w:ind w:firstLine="480" w:firstLineChars="200"/>
        <w:rPr>
          <w:sz w:val="24"/>
        </w:rPr>
      </w:pPr>
      <w:r>
        <w:rPr>
          <w:rFonts w:hint="eastAsia"/>
          <w:sz w:val="24"/>
        </w:rPr>
        <w:t>28号阀室设计参数及主要功能见表3.3-15。</w:t>
      </w:r>
    </w:p>
    <w:p w14:paraId="0DE0F8C4">
      <w:pPr>
        <w:pStyle w:val="904"/>
      </w:pPr>
      <w:r>
        <w:t>表3.</w:t>
      </w:r>
      <w:r>
        <w:rPr>
          <w:rFonts w:hint="eastAsia"/>
        </w:rPr>
        <w:t>3-15</w:t>
      </w:r>
      <w:r>
        <w:t xml:space="preserve"> </w:t>
      </w:r>
      <w:r>
        <w:rPr>
          <w:rFonts w:hint="eastAsia"/>
        </w:rPr>
        <w:t xml:space="preserve"> 28号阀室设计参数及主要功能</w:t>
      </w:r>
      <w:r>
        <w:t>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7"/>
        <w:gridCol w:w="4180"/>
        <w:gridCol w:w="4179"/>
      </w:tblGrid>
      <w:tr w14:paraId="59660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76" w:type="pct"/>
            <w:vAlign w:val="center"/>
          </w:tcPr>
          <w:p w14:paraId="4615C4D6">
            <w:pPr>
              <w:jc w:val="center"/>
              <w:rPr>
                <w:szCs w:val="21"/>
              </w:rPr>
            </w:pPr>
            <w:r>
              <w:rPr>
                <w:rFonts w:hint="eastAsia"/>
                <w:szCs w:val="21"/>
              </w:rPr>
              <w:t>站场名称</w:t>
            </w:r>
          </w:p>
        </w:tc>
        <w:tc>
          <w:tcPr>
            <w:tcW w:w="2162" w:type="pct"/>
            <w:vAlign w:val="center"/>
          </w:tcPr>
          <w:p w14:paraId="2B05EFED">
            <w:pPr>
              <w:jc w:val="center"/>
              <w:rPr>
                <w:szCs w:val="21"/>
              </w:rPr>
            </w:pPr>
            <w:r>
              <w:rPr>
                <w:rFonts w:hint="eastAsia"/>
                <w:szCs w:val="21"/>
              </w:rPr>
              <w:t>站场设计参数</w:t>
            </w:r>
          </w:p>
        </w:tc>
        <w:tc>
          <w:tcPr>
            <w:tcW w:w="2161" w:type="pct"/>
            <w:vAlign w:val="center"/>
          </w:tcPr>
          <w:p w14:paraId="4E4DF476">
            <w:pPr>
              <w:jc w:val="center"/>
              <w:rPr>
                <w:szCs w:val="21"/>
              </w:rPr>
            </w:pPr>
            <w:r>
              <w:rPr>
                <w:rFonts w:hint="eastAsia"/>
                <w:szCs w:val="21"/>
              </w:rPr>
              <w:t>站场主要设置功能</w:t>
            </w:r>
          </w:p>
        </w:tc>
      </w:tr>
      <w:tr w14:paraId="2803A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pct"/>
            <w:vAlign w:val="center"/>
          </w:tcPr>
          <w:p w14:paraId="2C2CD639">
            <w:pPr>
              <w:jc w:val="center"/>
              <w:rPr>
                <w:szCs w:val="21"/>
              </w:rPr>
            </w:pPr>
            <w:r>
              <w:rPr>
                <w:rFonts w:hint="eastAsia"/>
                <w:szCs w:val="21"/>
              </w:rPr>
              <w:t>28号阀室</w:t>
            </w:r>
          </w:p>
        </w:tc>
        <w:tc>
          <w:tcPr>
            <w:tcW w:w="2162" w:type="pct"/>
            <w:vAlign w:val="center"/>
          </w:tcPr>
          <w:p w14:paraId="200F6777">
            <w:pPr>
              <w:numPr>
                <w:ilvl w:val="0"/>
                <w:numId w:val="27"/>
              </w:numPr>
              <w:rPr>
                <w:szCs w:val="21"/>
              </w:rPr>
            </w:pPr>
            <w:r>
              <w:rPr>
                <w:rFonts w:hint="eastAsia"/>
                <w:szCs w:val="21"/>
              </w:rPr>
              <w:t>进站设计压力：10MPa；</w:t>
            </w:r>
          </w:p>
          <w:p w14:paraId="10B7FC84">
            <w:pPr>
              <w:numPr>
                <w:ilvl w:val="0"/>
                <w:numId w:val="27"/>
              </w:numPr>
              <w:rPr>
                <w:szCs w:val="21"/>
              </w:rPr>
            </w:pPr>
            <w:r>
              <w:rPr>
                <w:rFonts w:hint="eastAsia"/>
                <w:szCs w:val="21"/>
              </w:rPr>
              <w:t>出站设计压力：10MPa；</w:t>
            </w:r>
          </w:p>
          <w:p w14:paraId="07FB9B94">
            <w:pPr>
              <w:numPr>
                <w:ilvl w:val="0"/>
                <w:numId w:val="27"/>
              </w:numPr>
              <w:rPr>
                <w:szCs w:val="21"/>
              </w:rPr>
            </w:pPr>
            <w:r>
              <w:rPr>
                <w:rFonts w:hint="eastAsia"/>
                <w:szCs w:val="21"/>
              </w:rPr>
              <w:t>环境温度：7℃~39℃；</w:t>
            </w:r>
          </w:p>
          <w:p w14:paraId="15CCFC8D">
            <w:pPr>
              <w:numPr>
                <w:ilvl w:val="0"/>
                <w:numId w:val="27"/>
              </w:numPr>
              <w:rPr>
                <w:szCs w:val="21"/>
              </w:rPr>
            </w:pPr>
            <w:r>
              <w:rPr>
                <w:rFonts w:hint="eastAsia"/>
                <w:szCs w:val="21"/>
              </w:rPr>
              <w:t>天然气输送平均温度：18℃；</w:t>
            </w:r>
          </w:p>
          <w:p w14:paraId="00283465">
            <w:pPr>
              <w:numPr>
                <w:ilvl w:val="0"/>
                <w:numId w:val="27"/>
              </w:numPr>
              <w:rPr>
                <w:szCs w:val="21"/>
              </w:rPr>
            </w:pPr>
            <w:r>
              <w:rPr>
                <w:rFonts w:hint="eastAsia"/>
                <w:szCs w:val="21"/>
              </w:rPr>
              <w:t>天然气进站最低温度：11℃；</w:t>
            </w:r>
          </w:p>
          <w:p w14:paraId="7CC22E09">
            <w:pPr>
              <w:numPr>
                <w:ilvl w:val="0"/>
                <w:numId w:val="27"/>
              </w:numPr>
              <w:rPr>
                <w:szCs w:val="21"/>
              </w:rPr>
            </w:pPr>
            <w:r>
              <w:rPr>
                <w:rFonts w:hint="eastAsia"/>
                <w:szCs w:val="21"/>
              </w:rPr>
              <w:t>处理量：4.2×10</w:t>
            </w:r>
            <w:r>
              <w:rPr>
                <w:rFonts w:hint="eastAsia"/>
                <w:szCs w:val="21"/>
                <w:vertAlign w:val="superscript"/>
              </w:rPr>
              <w:t>8</w:t>
            </w:r>
            <w:r>
              <w:rPr>
                <w:rFonts w:hint="eastAsia"/>
                <w:szCs w:val="21"/>
              </w:rPr>
              <w:t>Nm</w:t>
            </w:r>
            <w:r>
              <w:rPr>
                <w:rFonts w:hint="eastAsia"/>
                <w:szCs w:val="21"/>
                <w:vertAlign w:val="superscript"/>
              </w:rPr>
              <w:t>3</w:t>
            </w:r>
            <w:r>
              <w:rPr>
                <w:rFonts w:hint="eastAsia"/>
                <w:szCs w:val="21"/>
              </w:rPr>
              <w:t>/a。</w:t>
            </w:r>
          </w:p>
        </w:tc>
        <w:tc>
          <w:tcPr>
            <w:tcW w:w="2161" w:type="pct"/>
            <w:vAlign w:val="center"/>
          </w:tcPr>
          <w:p w14:paraId="0F5CD755">
            <w:pPr>
              <w:numPr>
                <w:ilvl w:val="0"/>
                <w:numId w:val="28"/>
              </w:numPr>
              <w:rPr>
                <w:szCs w:val="21"/>
              </w:rPr>
            </w:pPr>
            <w:r>
              <w:rPr>
                <w:rFonts w:hint="eastAsia"/>
                <w:szCs w:val="21"/>
              </w:rPr>
              <w:t>接受上游输气管道来气；</w:t>
            </w:r>
          </w:p>
          <w:p w14:paraId="7848DA50">
            <w:pPr>
              <w:numPr>
                <w:ilvl w:val="0"/>
                <w:numId w:val="28"/>
              </w:numPr>
              <w:rPr>
                <w:szCs w:val="21"/>
              </w:rPr>
            </w:pPr>
            <w:r>
              <w:rPr>
                <w:rFonts w:hint="eastAsia"/>
                <w:szCs w:val="21"/>
              </w:rPr>
              <w:t>上游来气分输；</w:t>
            </w:r>
          </w:p>
          <w:p w14:paraId="37C76949">
            <w:pPr>
              <w:numPr>
                <w:ilvl w:val="0"/>
                <w:numId w:val="28"/>
              </w:numPr>
              <w:rPr>
                <w:szCs w:val="21"/>
              </w:rPr>
            </w:pPr>
            <w:r>
              <w:rPr>
                <w:rFonts w:hint="eastAsia"/>
                <w:szCs w:val="21"/>
              </w:rPr>
              <w:t>分输阀组数据采集与监控。</w:t>
            </w:r>
          </w:p>
        </w:tc>
      </w:tr>
    </w:tbl>
    <w:p w14:paraId="468FC92C">
      <w:pPr>
        <w:spacing w:before="120" w:beforeLines="50" w:line="360" w:lineRule="auto"/>
        <w:ind w:firstLine="480" w:firstLineChars="200"/>
        <w:rPr>
          <w:sz w:val="24"/>
        </w:rPr>
      </w:pPr>
      <w:r>
        <w:rPr>
          <w:sz w:val="24"/>
        </w:rPr>
        <w:fldChar w:fldCharType="begin"/>
      </w:r>
      <w:r>
        <w:rPr>
          <w:sz w:val="24"/>
        </w:rPr>
        <w:instrText xml:space="preserve"> = 2 \* GB3 \* MERGEFORMAT </w:instrText>
      </w:r>
      <w:r>
        <w:rPr>
          <w:sz w:val="24"/>
        </w:rPr>
        <w:fldChar w:fldCharType="separate"/>
      </w:r>
      <w:r>
        <w:rPr>
          <w:sz w:val="24"/>
        </w:rPr>
        <w:t>②</w:t>
      </w:r>
      <w:r>
        <w:rPr>
          <w:sz w:val="24"/>
        </w:rPr>
        <w:fldChar w:fldCharType="end"/>
      </w:r>
      <w:r>
        <w:rPr>
          <w:rFonts w:hint="eastAsia"/>
          <w:sz w:val="24"/>
        </w:rPr>
        <w:t>主要设备</w:t>
      </w:r>
    </w:p>
    <w:p w14:paraId="119EC1EC">
      <w:pPr>
        <w:spacing w:line="360" w:lineRule="auto"/>
        <w:ind w:firstLine="480" w:firstLineChars="200"/>
        <w:rPr>
          <w:sz w:val="24"/>
        </w:rPr>
      </w:pPr>
      <w:r>
        <w:rPr>
          <w:sz w:val="24"/>
        </w:rPr>
        <w:t>根据工程设计方案，</w:t>
      </w:r>
      <w:r>
        <w:rPr>
          <w:rFonts w:hint="eastAsia"/>
          <w:sz w:val="24"/>
        </w:rPr>
        <w:t>28号阀室新增</w:t>
      </w:r>
      <w:r>
        <w:rPr>
          <w:sz w:val="24"/>
        </w:rPr>
        <w:t>设备具体见表3.</w:t>
      </w:r>
      <w:r>
        <w:rPr>
          <w:rFonts w:hint="eastAsia"/>
          <w:sz w:val="24"/>
        </w:rPr>
        <w:t>3-16。</w:t>
      </w:r>
    </w:p>
    <w:p w14:paraId="642DFCCB">
      <w:pPr>
        <w:pStyle w:val="904"/>
      </w:pPr>
      <w:r>
        <w:t>表3.</w:t>
      </w:r>
      <w:r>
        <w:rPr>
          <w:rFonts w:hint="eastAsia"/>
        </w:rPr>
        <w:t>3-16</w:t>
      </w:r>
      <w:r>
        <w:t xml:space="preserve"> </w:t>
      </w:r>
      <w:r>
        <w:rPr>
          <w:rFonts w:hint="eastAsia"/>
        </w:rPr>
        <w:t>28号阀室新增</w:t>
      </w:r>
      <w:r>
        <w:t>设备一览表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1802"/>
        <w:gridCol w:w="3736"/>
        <w:gridCol w:w="863"/>
        <w:gridCol w:w="2619"/>
      </w:tblGrid>
      <w:tr w14:paraId="722D9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492202AD">
            <w:pPr>
              <w:pStyle w:val="1343"/>
            </w:pPr>
            <w:r>
              <w:t>序号</w:t>
            </w:r>
          </w:p>
        </w:tc>
        <w:tc>
          <w:tcPr>
            <w:tcW w:w="932" w:type="pct"/>
            <w:vAlign w:val="center"/>
          </w:tcPr>
          <w:p w14:paraId="2038A42C">
            <w:pPr>
              <w:pStyle w:val="1343"/>
            </w:pPr>
            <w:r>
              <w:rPr>
                <w:rFonts w:hint="eastAsia"/>
              </w:rPr>
              <w:t>设备名称</w:t>
            </w:r>
          </w:p>
        </w:tc>
        <w:tc>
          <w:tcPr>
            <w:tcW w:w="1932" w:type="pct"/>
            <w:vAlign w:val="center"/>
          </w:tcPr>
          <w:p w14:paraId="444A53C3">
            <w:pPr>
              <w:pStyle w:val="1343"/>
            </w:pPr>
            <w:r>
              <w:rPr>
                <w:rFonts w:hint="eastAsia"/>
              </w:rPr>
              <w:t>规格型号</w:t>
            </w:r>
          </w:p>
        </w:tc>
        <w:tc>
          <w:tcPr>
            <w:tcW w:w="446" w:type="pct"/>
            <w:vAlign w:val="center"/>
          </w:tcPr>
          <w:p w14:paraId="4AED0CEF">
            <w:pPr>
              <w:pStyle w:val="1343"/>
            </w:pPr>
            <w:r>
              <w:rPr>
                <w:rFonts w:hint="eastAsia"/>
              </w:rPr>
              <w:t>单位</w:t>
            </w:r>
          </w:p>
        </w:tc>
        <w:tc>
          <w:tcPr>
            <w:tcW w:w="1354" w:type="pct"/>
            <w:vAlign w:val="center"/>
          </w:tcPr>
          <w:p w14:paraId="397BE5EA">
            <w:pPr>
              <w:pStyle w:val="1343"/>
            </w:pPr>
            <w:r>
              <w:rPr>
                <w:rFonts w:hint="eastAsia"/>
              </w:rPr>
              <w:t>数量</w:t>
            </w:r>
          </w:p>
        </w:tc>
      </w:tr>
      <w:tr w14:paraId="5041F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6159A318">
            <w:pPr>
              <w:snapToGrid w:val="0"/>
              <w:jc w:val="center"/>
              <w:rPr>
                <w:szCs w:val="21"/>
              </w:rPr>
            </w:pPr>
            <w:r>
              <w:rPr>
                <w:szCs w:val="21"/>
              </w:rPr>
              <w:t>1</w:t>
            </w:r>
          </w:p>
        </w:tc>
        <w:tc>
          <w:tcPr>
            <w:tcW w:w="932" w:type="pct"/>
            <w:vAlign w:val="center"/>
          </w:tcPr>
          <w:p w14:paraId="7D5C0B08">
            <w:pPr>
              <w:snapToGrid w:val="0"/>
              <w:jc w:val="center"/>
              <w:rPr>
                <w:szCs w:val="21"/>
              </w:rPr>
            </w:pPr>
            <w:r>
              <w:rPr>
                <w:rFonts w:hint="eastAsia"/>
                <w:szCs w:val="21"/>
              </w:rPr>
              <w:t>气液联动阀</w:t>
            </w:r>
          </w:p>
        </w:tc>
        <w:tc>
          <w:tcPr>
            <w:tcW w:w="1932" w:type="pct"/>
            <w:vAlign w:val="center"/>
          </w:tcPr>
          <w:p w14:paraId="2BEAEA54">
            <w:pPr>
              <w:snapToGrid w:val="0"/>
              <w:jc w:val="center"/>
              <w:rPr>
                <w:szCs w:val="21"/>
              </w:rPr>
            </w:pPr>
            <w:r>
              <w:rPr>
                <w:rFonts w:hint="eastAsia"/>
                <w:szCs w:val="21"/>
              </w:rPr>
              <w:t>DN300  Class600</w:t>
            </w:r>
          </w:p>
        </w:tc>
        <w:tc>
          <w:tcPr>
            <w:tcW w:w="446" w:type="pct"/>
            <w:vAlign w:val="center"/>
          </w:tcPr>
          <w:p w14:paraId="416807FE">
            <w:pPr>
              <w:snapToGrid w:val="0"/>
              <w:jc w:val="center"/>
              <w:rPr>
                <w:szCs w:val="21"/>
              </w:rPr>
            </w:pPr>
            <w:r>
              <w:rPr>
                <w:rFonts w:hint="eastAsia"/>
                <w:szCs w:val="21"/>
              </w:rPr>
              <w:t>套</w:t>
            </w:r>
          </w:p>
        </w:tc>
        <w:tc>
          <w:tcPr>
            <w:tcW w:w="1354" w:type="pct"/>
            <w:vAlign w:val="center"/>
          </w:tcPr>
          <w:p w14:paraId="7754470B">
            <w:pPr>
              <w:snapToGrid w:val="0"/>
              <w:jc w:val="center"/>
              <w:rPr>
                <w:szCs w:val="21"/>
              </w:rPr>
            </w:pPr>
            <w:r>
              <w:rPr>
                <w:rFonts w:hint="eastAsia"/>
                <w:szCs w:val="21"/>
              </w:rPr>
              <w:t>1</w:t>
            </w:r>
          </w:p>
        </w:tc>
      </w:tr>
      <w:tr w14:paraId="793BA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5C40EA5D">
            <w:pPr>
              <w:snapToGrid w:val="0"/>
              <w:jc w:val="center"/>
              <w:rPr>
                <w:szCs w:val="21"/>
              </w:rPr>
            </w:pPr>
            <w:r>
              <w:rPr>
                <w:szCs w:val="21"/>
              </w:rPr>
              <w:t>2</w:t>
            </w:r>
          </w:p>
        </w:tc>
        <w:tc>
          <w:tcPr>
            <w:tcW w:w="932" w:type="pct"/>
            <w:vAlign w:val="center"/>
          </w:tcPr>
          <w:p w14:paraId="34EB7811">
            <w:pPr>
              <w:snapToGrid w:val="0"/>
              <w:jc w:val="center"/>
              <w:rPr>
                <w:szCs w:val="21"/>
              </w:rPr>
            </w:pPr>
            <w:r>
              <w:rPr>
                <w:rFonts w:hint="eastAsia"/>
                <w:szCs w:val="21"/>
              </w:rPr>
              <w:t>钢制焊接球阀</w:t>
            </w:r>
          </w:p>
        </w:tc>
        <w:tc>
          <w:tcPr>
            <w:tcW w:w="1932" w:type="pct"/>
            <w:vAlign w:val="center"/>
          </w:tcPr>
          <w:p w14:paraId="582F4B2A">
            <w:pPr>
              <w:snapToGrid w:val="0"/>
              <w:jc w:val="center"/>
              <w:rPr>
                <w:szCs w:val="21"/>
              </w:rPr>
            </w:pPr>
            <w:r>
              <w:rPr>
                <w:rFonts w:hint="eastAsia"/>
                <w:szCs w:val="21"/>
              </w:rPr>
              <w:t>DN100  Class600</w:t>
            </w:r>
          </w:p>
        </w:tc>
        <w:tc>
          <w:tcPr>
            <w:tcW w:w="446" w:type="pct"/>
            <w:vAlign w:val="center"/>
          </w:tcPr>
          <w:p w14:paraId="5B6B5F78">
            <w:pPr>
              <w:snapToGrid w:val="0"/>
              <w:jc w:val="center"/>
              <w:rPr>
                <w:szCs w:val="21"/>
              </w:rPr>
            </w:pPr>
            <w:r>
              <w:rPr>
                <w:rFonts w:hint="eastAsia"/>
                <w:szCs w:val="21"/>
              </w:rPr>
              <w:t>台</w:t>
            </w:r>
          </w:p>
        </w:tc>
        <w:tc>
          <w:tcPr>
            <w:tcW w:w="1354" w:type="pct"/>
            <w:vAlign w:val="center"/>
          </w:tcPr>
          <w:p w14:paraId="4CB675A9">
            <w:pPr>
              <w:snapToGrid w:val="0"/>
              <w:jc w:val="center"/>
              <w:rPr>
                <w:szCs w:val="21"/>
              </w:rPr>
            </w:pPr>
            <w:r>
              <w:rPr>
                <w:rFonts w:hint="eastAsia"/>
                <w:szCs w:val="21"/>
              </w:rPr>
              <w:t>2</w:t>
            </w:r>
          </w:p>
        </w:tc>
      </w:tr>
      <w:tr w14:paraId="4D2B8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3091EFB3">
            <w:pPr>
              <w:snapToGrid w:val="0"/>
              <w:jc w:val="center"/>
              <w:rPr>
                <w:szCs w:val="21"/>
              </w:rPr>
            </w:pPr>
            <w:r>
              <w:rPr>
                <w:rFonts w:hint="eastAsia"/>
                <w:szCs w:val="21"/>
              </w:rPr>
              <w:t>3</w:t>
            </w:r>
          </w:p>
        </w:tc>
        <w:tc>
          <w:tcPr>
            <w:tcW w:w="932" w:type="pct"/>
            <w:vAlign w:val="center"/>
          </w:tcPr>
          <w:p w14:paraId="4BF612D9">
            <w:pPr>
              <w:snapToGrid w:val="0"/>
              <w:jc w:val="center"/>
              <w:rPr>
                <w:szCs w:val="21"/>
              </w:rPr>
            </w:pPr>
            <w:r>
              <w:rPr>
                <w:rFonts w:hint="eastAsia"/>
                <w:szCs w:val="21"/>
              </w:rPr>
              <w:t>钢制法兰旋塞阀</w:t>
            </w:r>
          </w:p>
        </w:tc>
        <w:tc>
          <w:tcPr>
            <w:tcW w:w="1932" w:type="pct"/>
            <w:vAlign w:val="center"/>
          </w:tcPr>
          <w:p w14:paraId="6A680C58">
            <w:pPr>
              <w:snapToGrid w:val="0"/>
              <w:jc w:val="center"/>
              <w:rPr>
                <w:szCs w:val="21"/>
              </w:rPr>
            </w:pPr>
            <w:r>
              <w:rPr>
                <w:rFonts w:hint="eastAsia"/>
                <w:szCs w:val="21"/>
              </w:rPr>
              <w:t>DN100  Class600</w:t>
            </w:r>
          </w:p>
        </w:tc>
        <w:tc>
          <w:tcPr>
            <w:tcW w:w="446" w:type="pct"/>
            <w:vAlign w:val="center"/>
          </w:tcPr>
          <w:p w14:paraId="33AD0B54">
            <w:pPr>
              <w:snapToGrid w:val="0"/>
              <w:jc w:val="center"/>
              <w:rPr>
                <w:szCs w:val="21"/>
              </w:rPr>
            </w:pPr>
            <w:r>
              <w:rPr>
                <w:rFonts w:hint="eastAsia"/>
                <w:szCs w:val="21"/>
              </w:rPr>
              <w:t>台</w:t>
            </w:r>
          </w:p>
        </w:tc>
        <w:tc>
          <w:tcPr>
            <w:tcW w:w="1354" w:type="pct"/>
            <w:vAlign w:val="center"/>
          </w:tcPr>
          <w:p w14:paraId="03115C35">
            <w:pPr>
              <w:snapToGrid w:val="0"/>
              <w:jc w:val="center"/>
              <w:rPr>
                <w:szCs w:val="21"/>
              </w:rPr>
            </w:pPr>
            <w:r>
              <w:rPr>
                <w:rFonts w:hint="eastAsia"/>
                <w:szCs w:val="21"/>
              </w:rPr>
              <w:t>1</w:t>
            </w:r>
          </w:p>
        </w:tc>
      </w:tr>
      <w:tr w14:paraId="5028F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vAlign w:val="center"/>
          </w:tcPr>
          <w:p w14:paraId="138B318F">
            <w:pPr>
              <w:snapToGrid w:val="0"/>
              <w:jc w:val="center"/>
              <w:rPr>
                <w:szCs w:val="21"/>
              </w:rPr>
            </w:pPr>
            <w:r>
              <w:rPr>
                <w:rFonts w:hint="eastAsia"/>
                <w:szCs w:val="21"/>
              </w:rPr>
              <w:t>4</w:t>
            </w:r>
          </w:p>
        </w:tc>
        <w:tc>
          <w:tcPr>
            <w:tcW w:w="932" w:type="pct"/>
            <w:vAlign w:val="center"/>
          </w:tcPr>
          <w:p w14:paraId="4899CFE8">
            <w:pPr>
              <w:snapToGrid w:val="0"/>
              <w:jc w:val="center"/>
              <w:rPr>
                <w:szCs w:val="21"/>
              </w:rPr>
            </w:pPr>
            <w:r>
              <w:rPr>
                <w:rFonts w:hint="eastAsia"/>
                <w:szCs w:val="21"/>
              </w:rPr>
              <w:t>钢制法兰球阀</w:t>
            </w:r>
          </w:p>
        </w:tc>
        <w:tc>
          <w:tcPr>
            <w:tcW w:w="1932" w:type="pct"/>
            <w:vAlign w:val="center"/>
          </w:tcPr>
          <w:p w14:paraId="0DBEFDFF">
            <w:pPr>
              <w:snapToGrid w:val="0"/>
              <w:jc w:val="center"/>
              <w:rPr>
                <w:szCs w:val="21"/>
              </w:rPr>
            </w:pPr>
            <w:r>
              <w:rPr>
                <w:rFonts w:hint="eastAsia"/>
                <w:szCs w:val="21"/>
              </w:rPr>
              <w:t>DN50  Class600</w:t>
            </w:r>
          </w:p>
        </w:tc>
        <w:tc>
          <w:tcPr>
            <w:tcW w:w="446" w:type="pct"/>
            <w:vAlign w:val="center"/>
          </w:tcPr>
          <w:p w14:paraId="7AEE7D2C">
            <w:pPr>
              <w:snapToGrid w:val="0"/>
              <w:jc w:val="center"/>
              <w:rPr>
                <w:szCs w:val="21"/>
              </w:rPr>
            </w:pPr>
            <w:r>
              <w:rPr>
                <w:rFonts w:hint="eastAsia"/>
                <w:szCs w:val="21"/>
              </w:rPr>
              <w:t>台</w:t>
            </w:r>
          </w:p>
        </w:tc>
        <w:tc>
          <w:tcPr>
            <w:tcW w:w="1354" w:type="pct"/>
            <w:vAlign w:val="center"/>
          </w:tcPr>
          <w:p w14:paraId="2513488E">
            <w:pPr>
              <w:snapToGrid w:val="0"/>
              <w:jc w:val="center"/>
              <w:rPr>
                <w:szCs w:val="21"/>
              </w:rPr>
            </w:pPr>
            <w:r>
              <w:rPr>
                <w:rFonts w:hint="eastAsia"/>
                <w:szCs w:val="21"/>
              </w:rPr>
              <w:t>1</w:t>
            </w:r>
          </w:p>
        </w:tc>
      </w:tr>
      <w:tr w14:paraId="5573A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98" w:type="pct"/>
            <w:gridSpan w:val="3"/>
            <w:vAlign w:val="center"/>
          </w:tcPr>
          <w:p w14:paraId="1B198C3B">
            <w:pPr>
              <w:snapToGrid w:val="0"/>
              <w:jc w:val="center"/>
              <w:rPr>
                <w:szCs w:val="21"/>
              </w:rPr>
            </w:pPr>
            <w:r>
              <w:rPr>
                <w:rFonts w:hint="eastAsia"/>
                <w:szCs w:val="21"/>
              </w:rPr>
              <w:t>合计</w:t>
            </w:r>
          </w:p>
        </w:tc>
        <w:tc>
          <w:tcPr>
            <w:tcW w:w="446" w:type="pct"/>
            <w:vAlign w:val="center"/>
          </w:tcPr>
          <w:p w14:paraId="0CCC267A">
            <w:pPr>
              <w:snapToGrid w:val="0"/>
              <w:jc w:val="center"/>
              <w:rPr>
                <w:szCs w:val="21"/>
              </w:rPr>
            </w:pPr>
            <w:r>
              <w:rPr>
                <w:rFonts w:hint="eastAsia"/>
                <w:szCs w:val="21"/>
              </w:rPr>
              <w:t>台/套</w:t>
            </w:r>
          </w:p>
        </w:tc>
        <w:tc>
          <w:tcPr>
            <w:tcW w:w="1354" w:type="pct"/>
            <w:vAlign w:val="center"/>
          </w:tcPr>
          <w:p w14:paraId="27377650">
            <w:pPr>
              <w:snapToGrid w:val="0"/>
              <w:jc w:val="center"/>
              <w:rPr>
                <w:szCs w:val="21"/>
              </w:rPr>
            </w:pPr>
            <w:r>
              <w:rPr>
                <w:rFonts w:hint="eastAsia"/>
                <w:szCs w:val="21"/>
              </w:rPr>
              <w:t>5</w:t>
            </w:r>
          </w:p>
        </w:tc>
      </w:tr>
    </w:tbl>
    <w:p w14:paraId="5E5FAB95">
      <w:pPr>
        <w:spacing w:before="120" w:beforeLines="50" w:line="360" w:lineRule="auto"/>
        <w:ind w:firstLine="480" w:firstLineChars="200"/>
        <w:rPr>
          <w:sz w:val="24"/>
        </w:rPr>
      </w:pPr>
      <w:r>
        <w:rPr>
          <w:rFonts w:hint="eastAsia"/>
          <w:sz w:val="24"/>
        </w:rPr>
        <w:fldChar w:fldCharType="begin"/>
      </w:r>
      <w:r>
        <w:rPr>
          <w:rFonts w:hint="eastAsia"/>
          <w:sz w:val="24"/>
        </w:rPr>
        <w:instrText xml:space="preserve"> = 3 \* GB3 \* MERGEFORMAT </w:instrText>
      </w:r>
      <w:r>
        <w:rPr>
          <w:rFonts w:hint="eastAsia"/>
          <w:sz w:val="24"/>
        </w:rPr>
        <w:fldChar w:fldCharType="separate"/>
      </w:r>
      <w:r>
        <w:rPr>
          <w:sz w:val="24"/>
        </w:rPr>
        <w:t>③</w:t>
      </w:r>
      <w:r>
        <w:rPr>
          <w:rFonts w:hint="eastAsia"/>
          <w:sz w:val="24"/>
        </w:rPr>
        <w:fldChar w:fldCharType="end"/>
      </w:r>
      <w:r>
        <w:rPr>
          <w:rFonts w:hint="eastAsia"/>
          <w:sz w:val="24"/>
        </w:rPr>
        <w:t>工艺流程</w:t>
      </w:r>
    </w:p>
    <w:p w14:paraId="41B5CCD3">
      <w:pPr>
        <w:spacing w:line="360" w:lineRule="auto"/>
        <w:ind w:firstLine="480" w:firstLineChars="200"/>
        <w:rPr>
          <w:sz w:val="24"/>
        </w:rPr>
      </w:pPr>
      <w:r>
        <w:rPr>
          <w:rFonts w:hint="eastAsia"/>
          <w:sz w:val="24"/>
        </w:rPr>
        <w:t>28号阀室工艺流程见图3.3-6。</w:t>
      </w:r>
    </w:p>
    <w:p w14:paraId="54E69197">
      <w:pPr>
        <w:spacing w:line="360" w:lineRule="auto"/>
        <w:jc w:val="center"/>
        <w:rPr>
          <w:sz w:val="24"/>
        </w:rPr>
      </w:pPr>
      <w:r>
        <w:rPr>
          <w:rFonts w:hint="eastAsia"/>
          <w:sz w:val="24"/>
        </w:rPr>
        <w:drawing>
          <wp:inline distT="0" distB="0" distL="114300" distR="114300">
            <wp:extent cx="4008755" cy="498475"/>
            <wp:effectExtent l="0" t="0" r="14605" b="4445"/>
            <wp:docPr id="39" name="图片 39" descr="33dbea8976709a89bdee619e2886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33dbea8976709a89bdee619e2886471"/>
                    <pic:cNvPicPr>
                      <a:picLocks noChangeAspect="1"/>
                    </pic:cNvPicPr>
                  </pic:nvPicPr>
                  <pic:blipFill>
                    <a:blip r:embed="rId46"/>
                    <a:stretch>
                      <a:fillRect/>
                    </a:stretch>
                  </pic:blipFill>
                  <pic:spPr>
                    <a:xfrm>
                      <a:off x="0" y="0"/>
                      <a:ext cx="4008755" cy="498475"/>
                    </a:xfrm>
                    <a:prstGeom prst="rect">
                      <a:avLst/>
                    </a:prstGeom>
                  </pic:spPr>
                </pic:pic>
              </a:graphicData>
            </a:graphic>
          </wp:inline>
        </w:drawing>
      </w:r>
    </w:p>
    <w:p w14:paraId="7C20B160">
      <w:pPr>
        <w:spacing w:line="360" w:lineRule="auto"/>
        <w:ind w:firstLine="480" w:firstLineChars="200"/>
        <w:jc w:val="center"/>
        <w:rPr>
          <w:rFonts w:eastAsia="黑体"/>
          <w:sz w:val="24"/>
        </w:rPr>
      </w:pPr>
      <w:r>
        <w:rPr>
          <w:rFonts w:eastAsia="黑体"/>
          <w:sz w:val="24"/>
        </w:rPr>
        <w:t>图3.</w:t>
      </w:r>
      <w:r>
        <w:rPr>
          <w:rFonts w:hint="eastAsia" w:eastAsia="黑体"/>
          <w:sz w:val="24"/>
        </w:rPr>
        <w:t>3</w:t>
      </w:r>
      <w:r>
        <w:rPr>
          <w:rFonts w:eastAsia="黑体"/>
          <w:sz w:val="24"/>
        </w:rPr>
        <w:t>-</w:t>
      </w:r>
      <w:r>
        <w:rPr>
          <w:rFonts w:hint="eastAsia" w:eastAsia="黑体"/>
          <w:sz w:val="24"/>
        </w:rPr>
        <w:t>6</w:t>
      </w:r>
      <w:r>
        <w:rPr>
          <w:rFonts w:eastAsia="黑体"/>
          <w:sz w:val="24"/>
        </w:rPr>
        <w:t xml:space="preserve">  </w:t>
      </w:r>
      <w:r>
        <w:rPr>
          <w:rFonts w:hint="eastAsia" w:eastAsia="黑体"/>
          <w:sz w:val="24"/>
        </w:rPr>
        <w:t>28号阀室</w:t>
      </w:r>
      <w:r>
        <w:rPr>
          <w:rFonts w:eastAsia="黑体"/>
          <w:sz w:val="24"/>
        </w:rPr>
        <w:t>工艺流程图</w:t>
      </w:r>
    </w:p>
    <w:p w14:paraId="2604026C">
      <w:pPr>
        <w:spacing w:line="360" w:lineRule="auto"/>
        <w:ind w:firstLine="480" w:firstLineChars="200"/>
        <w:rPr>
          <w:sz w:val="24"/>
        </w:rPr>
      </w:pPr>
      <w:r>
        <w:rPr>
          <w:rFonts w:hint="eastAsia"/>
          <w:sz w:val="24"/>
        </w:rPr>
        <w:fldChar w:fldCharType="begin"/>
      </w:r>
      <w:r>
        <w:rPr>
          <w:rFonts w:hint="eastAsia"/>
          <w:sz w:val="24"/>
        </w:rPr>
        <w:instrText xml:space="preserve"> = 4 \* GB3 \* MERGEFORMAT </w:instrText>
      </w:r>
      <w:r>
        <w:rPr>
          <w:rFonts w:hint="eastAsia"/>
          <w:sz w:val="24"/>
        </w:rPr>
        <w:fldChar w:fldCharType="separate"/>
      </w:r>
      <w:r>
        <w:rPr>
          <w:rFonts w:hint="eastAsia"/>
          <w:sz w:val="24"/>
        </w:rPr>
        <w:t>④</w:t>
      </w:r>
      <w:r>
        <w:rPr>
          <w:rFonts w:hint="eastAsia"/>
          <w:sz w:val="24"/>
        </w:rPr>
        <w:fldChar w:fldCharType="end"/>
      </w:r>
      <w:r>
        <w:rPr>
          <w:rFonts w:hint="eastAsia"/>
          <w:sz w:val="24"/>
        </w:rPr>
        <w:t>平面布置</w:t>
      </w:r>
    </w:p>
    <w:p w14:paraId="3E3A5FDB">
      <w:pPr>
        <w:spacing w:line="360" w:lineRule="auto"/>
        <w:ind w:firstLine="480" w:firstLineChars="200"/>
        <w:rPr>
          <w:sz w:val="24"/>
        </w:rPr>
      </w:pPr>
      <w:r>
        <w:rPr>
          <w:rFonts w:hint="eastAsia"/>
          <w:sz w:val="24"/>
        </w:rPr>
        <w:t>28号阀室平面布置见图3.3-7。</w:t>
      </w:r>
    </w:p>
    <w:p w14:paraId="5582490D">
      <w:pPr>
        <w:pStyle w:val="108"/>
        <w:spacing w:line="240" w:lineRule="auto"/>
        <w:ind w:firstLine="0" w:firstLineChars="0"/>
      </w:pPr>
      <w:r>
        <w:rPr>
          <w:rFonts w:hint="eastAsia"/>
        </w:rPr>
        <w:drawing>
          <wp:inline distT="0" distB="0" distL="114300" distR="114300">
            <wp:extent cx="5990590" cy="4526280"/>
            <wp:effectExtent l="0" t="0" r="10160" b="7620"/>
            <wp:docPr id="13" name="图片 13" descr="d2e97011b7686bcacb2e652b9ed6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2e97011b7686bcacb2e652b9ed6047"/>
                    <pic:cNvPicPr>
                      <a:picLocks noChangeAspect="1"/>
                    </pic:cNvPicPr>
                  </pic:nvPicPr>
                  <pic:blipFill>
                    <a:blip r:embed="rId47"/>
                    <a:stretch>
                      <a:fillRect/>
                    </a:stretch>
                  </pic:blipFill>
                  <pic:spPr>
                    <a:xfrm>
                      <a:off x="0" y="0"/>
                      <a:ext cx="5990590" cy="4526280"/>
                    </a:xfrm>
                    <a:prstGeom prst="rect">
                      <a:avLst/>
                    </a:prstGeom>
                  </pic:spPr>
                </pic:pic>
              </a:graphicData>
            </a:graphic>
          </wp:inline>
        </w:drawing>
      </w:r>
    </w:p>
    <w:p w14:paraId="62DE345C">
      <w:pPr>
        <w:spacing w:before="120" w:beforeLines="50"/>
        <w:ind w:firstLine="480" w:firstLineChars="200"/>
        <w:jc w:val="center"/>
        <w:rPr>
          <w:rFonts w:eastAsia="黑体"/>
          <w:sz w:val="24"/>
        </w:rPr>
      </w:pPr>
      <w:r>
        <w:rPr>
          <w:rFonts w:eastAsia="黑体"/>
          <w:sz w:val="24"/>
        </w:rPr>
        <w:t>图3.</w:t>
      </w:r>
      <w:r>
        <w:rPr>
          <w:rFonts w:hint="eastAsia" w:eastAsia="黑体"/>
          <w:sz w:val="24"/>
        </w:rPr>
        <w:t>3</w:t>
      </w:r>
      <w:r>
        <w:rPr>
          <w:rFonts w:eastAsia="黑体"/>
          <w:sz w:val="24"/>
        </w:rPr>
        <w:t>-</w:t>
      </w:r>
      <w:r>
        <w:rPr>
          <w:rFonts w:hint="eastAsia" w:eastAsia="黑体"/>
          <w:sz w:val="24"/>
        </w:rPr>
        <w:t>7</w:t>
      </w:r>
      <w:r>
        <w:rPr>
          <w:rFonts w:eastAsia="黑体"/>
          <w:sz w:val="24"/>
        </w:rPr>
        <w:t xml:space="preserve">  </w:t>
      </w:r>
      <w:r>
        <w:rPr>
          <w:rFonts w:hint="eastAsia" w:eastAsia="黑体"/>
          <w:sz w:val="24"/>
        </w:rPr>
        <w:t>28号阀室平面布置</w:t>
      </w:r>
      <w:r>
        <w:rPr>
          <w:rFonts w:eastAsia="黑体"/>
          <w:sz w:val="24"/>
        </w:rPr>
        <w:t>图</w:t>
      </w:r>
    </w:p>
    <w:p w14:paraId="427B765B">
      <w:pPr>
        <w:pStyle w:val="5"/>
        <w:rPr>
          <w:color w:val="auto"/>
        </w:rPr>
      </w:pPr>
      <w:r>
        <w:rPr>
          <w:color w:val="auto"/>
        </w:rPr>
        <w:t>公用工程</w:t>
      </w:r>
    </w:p>
    <w:p w14:paraId="4FCAB42B">
      <w:pPr>
        <w:pStyle w:val="7"/>
      </w:pPr>
      <w:r>
        <w:t>给排水工程</w:t>
      </w:r>
    </w:p>
    <w:p w14:paraId="204FC7B3">
      <w:pPr>
        <w:spacing w:line="360" w:lineRule="auto"/>
        <w:ind w:firstLine="480" w:firstLineChars="200"/>
        <w:rPr>
          <w:sz w:val="24"/>
        </w:rPr>
      </w:pPr>
      <w:r>
        <w:rPr>
          <w:rFonts w:hint="eastAsia"/>
          <w:sz w:val="24"/>
        </w:rPr>
        <w:t>（1）施工期</w:t>
      </w:r>
    </w:p>
    <w:p w14:paraId="1EE98F84">
      <w:pPr>
        <w:spacing w:line="360" w:lineRule="auto"/>
        <w:ind w:firstLine="480" w:firstLineChars="200"/>
        <w:rPr>
          <w:sz w:val="24"/>
        </w:rPr>
      </w:pPr>
      <w:r>
        <w:rPr>
          <w:rFonts w:hint="eastAsia"/>
          <w:sz w:val="24"/>
        </w:rPr>
        <w:t>本工程施工用水和试压水采用自来水，生活用水采用桶装水。</w:t>
      </w:r>
    </w:p>
    <w:p w14:paraId="3CBF9B9F">
      <w:pPr>
        <w:spacing w:line="360" w:lineRule="auto"/>
        <w:ind w:firstLine="480" w:firstLineChars="200"/>
        <w:rPr>
          <w:sz w:val="24"/>
        </w:rPr>
      </w:pPr>
      <w:r>
        <w:rPr>
          <w:rFonts w:hint="eastAsia"/>
          <w:sz w:val="24"/>
        </w:rPr>
        <w:t>施工期</w:t>
      </w:r>
      <w:r>
        <w:rPr>
          <w:sz w:val="24"/>
        </w:rPr>
        <w:t>施工人员按</w:t>
      </w:r>
      <w:r>
        <w:rPr>
          <w:rFonts w:hint="eastAsia"/>
          <w:sz w:val="24"/>
        </w:rPr>
        <w:t>30</w:t>
      </w:r>
      <w:r>
        <w:rPr>
          <w:sz w:val="24"/>
        </w:rPr>
        <w:t>人计，施工生活用水参照</w:t>
      </w:r>
      <w:r>
        <w:rPr>
          <w:rFonts w:hint="eastAsia"/>
          <w:sz w:val="24"/>
        </w:rPr>
        <w:t>湖南省地方标准</w:t>
      </w:r>
      <w:r>
        <w:rPr>
          <w:sz w:val="24"/>
        </w:rPr>
        <w:t>《用水定额》(DB43/T388-2020)中</w:t>
      </w:r>
      <w:r>
        <w:rPr>
          <w:rFonts w:hint="eastAsia"/>
          <w:sz w:val="24"/>
        </w:rPr>
        <w:t>农村居民生活-分散式供水通用值9</w:t>
      </w:r>
      <w:r>
        <w:rPr>
          <w:sz w:val="24"/>
        </w:rPr>
        <w:t>0L/(人·d)，</w:t>
      </w:r>
      <w:r>
        <w:rPr>
          <w:rFonts w:hint="eastAsia"/>
          <w:sz w:val="24"/>
        </w:rPr>
        <w:t>本工程施工期约6个月，则生活用水量为486m</w:t>
      </w:r>
      <w:r>
        <w:rPr>
          <w:sz w:val="24"/>
          <w:vertAlign w:val="superscript"/>
        </w:rPr>
        <w:t>3</w:t>
      </w:r>
      <w:r>
        <w:rPr>
          <w:rFonts w:hint="eastAsia"/>
          <w:sz w:val="24"/>
        </w:rPr>
        <w:t>，</w:t>
      </w:r>
      <w:r>
        <w:rPr>
          <w:sz w:val="24"/>
        </w:rPr>
        <w:t>生活污水产生量按75L/人•日计，</w:t>
      </w:r>
      <w:r>
        <w:rPr>
          <w:rFonts w:hint="eastAsia"/>
          <w:sz w:val="24"/>
        </w:rPr>
        <w:t>则</w:t>
      </w:r>
      <w:r>
        <w:rPr>
          <w:sz w:val="24"/>
        </w:rPr>
        <w:t>本工程施工期生活污水产生约</w:t>
      </w:r>
      <w:r>
        <w:rPr>
          <w:rFonts w:hint="eastAsia"/>
          <w:sz w:val="24"/>
        </w:rPr>
        <w:t>405</w:t>
      </w:r>
      <w:r>
        <w:rPr>
          <w:sz w:val="24"/>
        </w:rPr>
        <w:t>m</w:t>
      </w:r>
      <w:r>
        <w:rPr>
          <w:sz w:val="24"/>
          <w:vertAlign w:val="superscript"/>
        </w:rPr>
        <w:t>3</w:t>
      </w:r>
      <w:r>
        <w:rPr>
          <w:sz w:val="24"/>
        </w:rPr>
        <w:t>。</w:t>
      </w:r>
    </w:p>
    <w:p w14:paraId="746CE58C">
      <w:pPr>
        <w:pStyle w:val="234"/>
      </w:pPr>
      <w:r>
        <w:rPr>
          <w:rFonts w:hint="eastAsia"/>
        </w:rPr>
        <w:t>本工程</w:t>
      </w:r>
      <w:r>
        <w:t>试压用水采用无腐蚀性的清洁水，试压水用量一般为充满整个管</w:t>
      </w:r>
      <w:r>
        <w:rPr>
          <w:spacing w:val="-1"/>
        </w:rPr>
        <w:t>道容积的</w:t>
      </w:r>
      <w:r>
        <w:rPr>
          <w:rFonts w:eastAsia="Times New Roman"/>
          <w:spacing w:val="-1"/>
        </w:rPr>
        <w:t>1.1</w:t>
      </w:r>
      <w:r>
        <w:rPr>
          <w:spacing w:val="-1"/>
        </w:rPr>
        <w:t>倍，</w:t>
      </w:r>
      <w:r>
        <w:t>本工程试压用水总量为</w:t>
      </w:r>
      <w:r>
        <w:rPr>
          <w:rFonts w:hint="eastAsia"/>
        </w:rPr>
        <w:t>64.1</w:t>
      </w:r>
      <w:r>
        <w:t>m</w:t>
      </w:r>
      <w:r>
        <w:rPr>
          <w:vertAlign w:val="superscript"/>
        </w:rPr>
        <w:t>3</w:t>
      </w:r>
      <w:r>
        <w:t>，试压排水产生系数按0.95计</w:t>
      </w:r>
      <w:r>
        <w:rPr>
          <w:rFonts w:hint="eastAsia"/>
        </w:rPr>
        <w:t>，</w:t>
      </w:r>
      <w:r>
        <w:t>则试压排水总量为</w:t>
      </w:r>
      <w:r>
        <w:rPr>
          <w:rFonts w:hint="eastAsia"/>
        </w:rPr>
        <w:t>60.9</w:t>
      </w:r>
      <w:r>
        <w:t>m</w:t>
      </w:r>
      <w:r>
        <w:rPr>
          <w:vertAlign w:val="superscript"/>
        </w:rPr>
        <w:t>3</w:t>
      </w:r>
      <w:r>
        <w:rPr>
          <w:rFonts w:hint="eastAsia"/>
        </w:rPr>
        <w:t>。</w:t>
      </w:r>
    </w:p>
    <w:p w14:paraId="518A2962">
      <w:pPr>
        <w:pStyle w:val="234"/>
      </w:pPr>
      <w:r>
        <w:rPr>
          <w:rFonts w:hint="eastAsia"/>
        </w:rPr>
        <w:t>本工程施工期总用水量为</w:t>
      </w:r>
      <w:r>
        <w:rPr>
          <w:rFonts w:hint="eastAsia"/>
          <w:lang w:val="en-US" w:eastAsia="zh-CN"/>
        </w:rPr>
        <w:t>55</w:t>
      </w:r>
      <w:r>
        <w:rPr>
          <w:rFonts w:hint="eastAsia"/>
        </w:rPr>
        <w:t>0.1m</w:t>
      </w:r>
      <w:r>
        <w:rPr>
          <w:vertAlign w:val="superscript"/>
        </w:rPr>
        <w:t>3</w:t>
      </w:r>
      <w:r>
        <w:rPr>
          <w:rFonts w:hint="eastAsia"/>
        </w:rPr>
        <w:t>。本工程施工期水平衡见图3</w:t>
      </w:r>
      <w:r>
        <w:t>.</w:t>
      </w:r>
      <w:r>
        <w:rPr>
          <w:rFonts w:hint="eastAsia"/>
        </w:rPr>
        <w:t>3-8。</w:t>
      </w:r>
    </w:p>
    <w:p w14:paraId="24508620">
      <w:pPr>
        <w:pStyle w:val="1343"/>
      </w:pPr>
      <w:r>
        <w:object>
          <v:shape id="_x0000_i1025" o:spt="75" type="#_x0000_t75" style="height:110.85pt;width:471.5pt;" o:ole="t" filled="f" o:preferrelative="t" stroked="f" coordsize="21600,21600">
            <v:path/>
            <v:fill on="f" focussize="0,0"/>
            <v:stroke on="f"/>
            <v:imagedata r:id="rId49" o:title=""/>
            <o:lock v:ext="edit" aspectratio="t"/>
            <w10:wrap type="none"/>
            <w10:anchorlock/>
          </v:shape>
          <o:OLEObject Type="Embed" ProgID="Visio.Drawing.15" ShapeID="_x0000_i1025" DrawAspect="Content" ObjectID="_1468075725" r:id="rId48">
            <o:LockedField>false</o:LockedField>
          </o:OLEObject>
        </w:object>
      </w:r>
    </w:p>
    <w:p w14:paraId="63885EA9">
      <w:pPr>
        <w:pStyle w:val="904"/>
        <w:spacing w:before="120" w:beforeLines="50" w:line="360" w:lineRule="auto"/>
      </w:pPr>
      <w:r>
        <w:rPr>
          <w:rFonts w:hint="eastAsia"/>
        </w:rPr>
        <w:t>图3</w:t>
      </w:r>
      <w:r>
        <w:t>.</w:t>
      </w:r>
      <w:r>
        <w:rPr>
          <w:rFonts w:hint="eastAsia"/>
        </w:rPr>
        <w:t>3-8</w:t>
      </w:r>
      <w:r>
        <w:t xml:space="preserve"> </w:t>
      </w:r>
      <w:r>
        <w:rPr>
          <w:rFonts w:hint="eastAsia"/>
        </w:rPr>
        <w:t>本工程施工期水平衡图（单位：m</w:t>
      </w:r>
      <w:r>
        <w:rPr>
          <w:vertAlign w:val="superscript"/>
        </w:rPr>
        <w:t>3</w:t>
      </w:r>
      <w:r>
        <w:rPr>
          <w:rFonts w:hint="eastAsia"/>
        </w:rPr>
        <w:t>）</w:t>
      </w:r>
    </w:p>
    <w:p w14:paraId="2D72D6DD">
      <w:pPr>
        <w:spacing w:line="360" w:lineRule="auto"/>
        <w:ind w:firstLine="480" w:firstLineChars="200"/>
        <w:rPr>
          <w:sz w:val="24"/>
        </w:rPr>
      </w:pPr>
      <w:r>
        <w:rPr>
          <w:rFonts w:hint="eastAsia"/>
          <w:sz w:val="24"/>
        </w:rPr>
        <w:t>（2）运营期</w:t>
      </w:r>
    </w:p>
    <w:p w14:paraId="1C0B676C">
      <w:pPr>
        <w:spacing w:line="360" w:lineRule="auto"/>
        <w:ind w:firstLine="480" w:firstLineChars="200"/>
        <w:rPr>
          <w:sz w:val="24"/>
        </w:rPr>
      </w:pPr>
      <w:r>
        <w:rPr>
          <w:sz w:val="24"/>
        </w:rPr>
        <w:t>本工程</w:t>
      </w:r>
      <w:r>
        <w:rPr>
          <w:rFonts w:hint="eastAsia"/>
          <w:sz w:val="24"/>
        </w:rPr>
        <w:t>运营期</w:t>
      </w:r>
      <w:r>
        <w:rPr>
          <w:sz w:val="24"/>
        </w:rPr>
        <w:t>不新增职工定员，</w:t>
      </w:r>
      <w:r>
        <w:rPr>
          <w:rFonts w:hint="eastAsia"/>
          <w:sz w:val="24"/>
        </w:rPr>
        <w:t>耒阳分输站仅巡检人员会产生少量生活用水和生活污水，生活污水排入撬装卫生间中，定期委托拉运处理。</w:t>
      </w:r>
    </w:p>
    <w:p w14:paraId="75D129B8">
      <w:pPr>
        <w:pStyle w:val="7"/>
      </w:pPr>
      <w:r>
        <w:t>消防工程</w:t>
      </w:r>
    </w:p>
    <w:p w14:paraId="7C1C3C3D">
      <w:pPr>
        <w:spacing w:line="360" w:lineRule="auto"/>
        <w:ind w:firstLine="480" w:firstLineChars="200"/>
        <w:rPr>
          <w:sz w:val="24"/>
        </w:rPr>
      </w:pPr>
      <w:r>
        <w:rPr>
          <w:sz w:val="24"/>
        </w:rPr>
        <w:t>本工程2</w:t>
      </w:r>
      <w:r>
        <w:rPr>
          <w:rFonts w:hint="eastAsia"/>
          <w:sz w:val="24"/>
        </w:rPr>
        <w:t>8号阀室</w:t>
      </w:r>
      <w:r>
        <w:rPr>
          <w:sz w:val="24"/>
        </w:rPr>
        <w:t>消防设施依托原有设施。本工程</w:t>
      </w:r>
      <w:r>
        <w:rPr>
          <w:rFonts w:hint="eastAsia"/>
          <w:sz w:val="24"/>
        </w:rPr>
        <w:t>新建得耒阳分输站配置灭火器箱、磷酸铵盐干粉灭火器等消防器材</w:t>
      </w:r>
      <w:r>
        <w:rPr>
          <w:sz w:val="24"/>
        </w:rPr>
        <w:t>，消防主要工程量见下表3.</w:t>
      </w:r>
      <w:r>
        <w:rPr>
          <w:rFonts w:hint="eastAsia"/>
          <w:sz w:val="24"/>
        </w:rPr>
        <w:t>3-17</w:t>
      </w:r>
      <w:r>
        <w:rPr>
          <w:sz w:val="24"/>
        </w:rPr>
        <w:t>。</w:t>
      </w:r>
    </w:p>
    <w:p w14:paraId="51B811F9">
      <w:pPr>
        <w:pStyle w:val="904"/>
      </w:pPr>
      <w:r>
        <w:t>表3.</w:t>
      </w:r>
      <w:r>
        <w:rPr>
          <w:rFonts w:hint="eastAsia"/>
        </w:rPr>
        <w:t>3-17</w:t>
      </w:r>
      <w:r>
        <w:t xml:space="preserve">  站场消防工程量表</w:t>
      </w:r>
    </w:p>
    <w:tbl>
      <w:tblPr>
        <w:tblStyle w:val="88"/>
        <w:tblW w:w="503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86"/>
        <w:gridCol w:w="1469"/>
        <w:gridCol w:w="3969"/>
        <w:gridCol w:w="1246"/>
        <w:gridCol w:w="1356"/>
      </w:tblGrid>
      <w:tr w14:paraId="4DEEC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80" w:type="pct"/>
            <w:shd w:val="clear" w:color="auto" w:fill="auto"/>
            <w:vAlign w:val="center"/>
          </w:tcPr>
          <w:p w14:paraId="5B9639F3">
            <w:pPr>
              <w:snapToGrid w:val="0"/>
              <w:jc w:val="center"/>
              <w:rPr>
                <w:szCs w:val="21"/>
              </w:rPr>
            </w:pPr>
            <w:r>
              <w:rPr>
                <w:rFonts w:hint="eastAsia"/>
                <w:szCs w:val="21"/>
              </w:rPr>
              <w:t>站场名称</w:t>
            </w:r>
          </w:p>
        </w:tc>
        <w:tc>
          <w:tcPr>
            <w:tcW w:w="771" w:type="pct"/>
            <w:shd w:val="clear" w:color="auto" w:fill="auto"/>
            <w:vAlign w:val="center"/>
          </w:tcPr>
          <w:p w14:paraId="5B889FE4">
            <w:pPr>
              <w:snapToGrid w:val="0"/>
              <w:jc w:val="center"/>
              <w:rPr>
                <w:szCs w:val="21"/>
              </w:rPr>
            </w:pPr>
            <w:r>
              <w:rPr>
                <w:rFonts w:hint="eastAsia"/>
                <w:szCs w:val="21"/>
              </w:rPr>
              <w:t>区域</w:t>
            </w:r>
          </w:p>
        </w:tc>
        <w:tc>
          <w:tcPr>
            <w:tcW w:w="2083" w:type="pct"/>
            <w:shd w:val="clear" w:color="auto" w:fill="auto"/>
            <w:vAlign w:val="center"/>
          </w:tcPr>
          <w:p w14:paraId="416993B6">
            <w:pPr>
              <w:snapToGrid w:val="0"/>
              <w:jc w:val="center"/>
              <w:rPr>
                <w:szCs w:val="21"/>
              </w:rPr>
            </w:pPr>
            <w:r>
              <w:rPr>
                <w:szCs w:val="21"/>
              </w:rPr>
              <w:t>名称及参数</w:t>
            </w:r>
          </w:p>
        </w:tc>
        <w:tc>
          <w:tcPr>
            <w:tcW w:w="654" w:type="pct"/>
            <w:shd w:val="clear" w:color="auto" w:fill="auto"/>
            <w:vAlign w:val="center"/>
          </w:tcPr>
          <w:p w14:paraId="5314E369">
            <w:pPr>
              <w:snapToGrid w:val="0"/>
              <w:jc w:val="center"/>
              <w:rPr>
                <w:szCs w:val="21"/>
              </w:rPr>
            </w:pPr>
            <w:r>
              <w:rPr>
                <w:szCs w:val="21"/>
              </w:rPr>
              <w:t>单位</w:t>
            </w:r>
          </w:p>
        </w:tc>
        <w:tc>
          <w:tcPr>
            <w:tcW w:w="711" w:type="pct"/>
            <w:shd w:val="clear" w:color="auto" w:fill="auto"/>
            <w:vAlign w:val="center"/>
          </w:tcPr>
          <w:p w14:paraId="45B91D5A">
            <w:pPr>
              <w:snapToGrid w:val="0"/>
              <w:jc w:val="center"/>
              <w:rPr>
                <w:szCs w:val="21"/>
              </w:rPr>
            </w:pPr>
            <w:r>
              <w:rPr>
                <w:rFonts w:hint="eastAsia"/>
                <w:szCs w:val="21"/>
              </w:rPr>
              <w:t>数量</w:t>
            </w:r>
          </w:p>
        </w:tc>
      </w:tr>
      <w:tr w14:paraId="77035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80" w:type="pct"/>
            <w:vMerge w:val="restart"/>
            <w:shd w:val="clear" w:color="auto" w:fill="auto"/>
            <w:vAlign w:val="center"/>
          </w:tcPr>
          <w:p w14:paraId="6AD06318">
            <w:pPr>
              <w:snapToGrid w:val="0"/>
              <w:jc w:val="center"/>
              <w:rPr>
                <w:szCs w:val="21"/>
              </w:rPr>
            </w:pPr>
            <w:r>
              <w:rPr>
                <w:rFonts w:hint="eastAsia"/>
                <w:szCs w:val="21"/>
              </w:rPr>
              <w:t>耒阳分输站</w:t>
            </w:r>
          </w:p>
        </w:tc>
        <w:tc>
          <w:tcPr>
            <w:tcW w:w="771" w:type="pct"/>
            <w:vMerge w:val="restart"/>
            <w:shd w:val="clear" w:color="auto" w:fill="auto"/>
            <w:vAlign w:val="center"/>
          </w:tcPr>
          <w:p w14:paraId="4415B4E8">
            <w:pPr>
              <w:snapToGrid w:val="0"/>
              <w:jc w:val="center"/>
              <w:rPr>
                <w:szCs w:val="21"/>
              </w:rPr>
            </w:pPr>
            <w:r>
              <w:rPr>
                <w:rFonts w:hint="eastAsia"/>
                <w:szCs w:val="21"/>
              </w:rPr>
              <w:t>工艺设备区</w:t>
            </w:r>
          </w:p>
        </w:tc>
        <w:tc>
          <w:tcPr>
            <w:tcW w:w="2083" w:type="pct"/>
            <w:shd w:val="clear" w:color="auto" w:fill="auto"/>
            <w:vAlign w:val="center"/>
          </w:tcPr>
          <w:p w14:paraId="548E9696">
            <w:pPr>
              <w:snapToGrid w:val="0"/>
              <w:jc w:val="center"/>
              <w:rPr>
                <w:szCs w:val="21"/>
              </w:rPr>
            </w:pPr>
            <w:r>
              <w:rPr>
                <w:szCs w:val="21"/>
              </w:rPr>
              <w:t>推车式磷酸铵盐灭火 MFT/ABC50</w:t>
            </w:r>
          </w:p>
        </w:tc>
        <w:tc>
          <w:tcPr>
            <w:tcW w:w="654" w:type="pct"/>
            <w:shd w:val="clear" w:color="auto" w:fill="auto"/>
            <w:vAlign w:val="center"/>
          </w:tcPr>
          <w:p w14:paraId="1E4E0235">
            <w:pPr>
              <w:snapToGrid w:val="0"/>
              <w:jc w:val="center"/>
              <w:rPr>
                <w:szCs w:val="21"/>
              </w:rPr>
            </w:pPr>
            <w:r>
              <w:rPr>
                <w:szCs w:val="21"/>
              </w:rPr>
              <w:t>具</w:t>
            </w:r>
          </w:p>
        </w:tc>
        <w:tc>
          <w:tcPr>
            <w:tcW w:w="711" w:type="pct"/>
            <w:shd w:val="clear" w:color="auto" w:fill="auto"/>
            <w:vAlign w:val="center"/>
          </w:tcPr>
          <w:p w14:paraId="4B6BAA4B">
            <w:pPr>
              <w:snapToGrid w:val="0"/>
              <w:jc w:val="center"/>
              <w:rPr>
                <w:szCs w:val="21"/>
              </w:rPr>
            </w:pPr>
            <w:r>
              <w:rPr>
                <w:rFonts w:hint="eastAsia"/>
                <w:szCs w:val="21"/>
              </w:rPr>
              <w:t>6</w:t>
            </w:r>
          </w:p>
        </w:tc>
      </w:tr>
      <w:tr w14:paraId="37B87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80" w:type="pct"/>
            <w:vMerge w:val="continue"/>
            <w:shd w:val="clear" w:color="auto" w:fill="auto"/>
            <w:vAlign w:val="center"/>
          </w:tcPr>
          <w:p w14:paraId="13ED680A">
            <w:pPr>
              <w:snapToGrid w:val="0"/>
              <w:jc w:val="center"/>
              <w:rPr>
                <w:szCs w:val="21"/>
              </w:rPr>
            </w:pPr>
          </w:p>
        </w:tc>
        <w:tc>
          <w:tcPr>
            <w:tcW w:w="771" w:type="pct"/>
            <w:vMerge w:val="continue"/>
            <w:shd w:val="clear" w:color="auto" w:fill="auto"/>
            <w:vAlign w:val="center"/>
          </w:tcPr>
          <w:p w14:paraId="3979022D">
            <w:pPr>
              <w:snapToGrid w:val="0"/>
              <w:jc w:val="center"/>
              <w:rPr>
                <w:szCs w:val="21"/>
              </w:rPr>
            </w:pPr>
          </w:p>
        </w:tc>
        <w:tc>
          <w:tcPr>
            <w:tcW w:w="2083" w:type="pct"/>
            <w:shd w:val="clear" w:color="auto" w:fill="auto"/>
            <w:vAlign w:val="center"/>
          </w:tcPr>
          <w:p w14:paraId="766F9449">
            <w:pPr>
              <w:snapToGrid w:val="0"/>
              <w:jc w:val="center"/>
              <w:rPr>
                <w:szCs w:val="21"/>
              </w:rPr>
            </w:pPr>
            <w:r>
              <w:rPr>
                <w:szCs w:val="21"/>
              </w:rPr>
              <w:t>手提式磷酸铵盐灭火器 MF/ABC8</w:t>
            </w:r>
          </w:p>
        </w:tc>
        <w:tc>
          <w:tcPr>
            <w:tcW w:w="654" w:type="pct"/>
            <w:shd w:val="clear" w:color="auto" w:fill="auto"/>
            <w:vAlign w:val="center"/>
          </w:tcPr>
          <w:p w14:paraId="38E2B74C">
            <w:pPr>
              <w:snapToGrid w:val="0"/>
              <w:jc w:val="center"/>
              <w:rPr>
                <w:szCs w:val="21"/>
              </w:rPr>
            </w:pPr>
            <w:r>
              <w:rPr>
                <w:szCs w:val="21"/>
              </w:rPr>
              <w:t>具</w:t>
            </w:r>
          </w:p>
        </w:tc>
        <w:tc>
          <w:tcPr>
            <w:tcW w:w="711" w:type="pct"/>
            <w:shd w:val="clear" w:color="auto" w:fill="auto"/>
            <w:vAlign w:val="center"/>
          </w:tcPr>
          <w:p w14:paraId="010B1F9D">
            <w:pPr>
              <w:snapToGrid w:val="0"/>
              <w:jc w:val="center"/>
              <w:rPr>
                <w:szCs w:val="21"/>
              </w:rPr>
            </w:pPr>
            <w:r>
              <w:rPr>
                <w:rFonts w:hint="eastAsia"/>
                <w:szCs w:val="21"/>
              </w:rPr>
              <w:t>12</w:t>
            </w:r>
          </w:p>
        </w:tc>
      </w:tr>
      <w:tr w14:paraId="62076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80" w:type="pct"/>
            <w:vMerge w:val="continue"/>
            <w:shd w:val="clear" w:color="auto" w:fill="auto"/>
            <w:vAlign w:val="center"/>
          </w:tcPr>
          <w:p w14:paraId="0B3FF225">
            <w:pPr>
              <w:snapToGrid w:val="0"/>
              <w:jc w:val="center"/>
              <w:rPr>
                <w:szCs w:val="21"/>
              </w:rPr>
            </w:pPr>
          </w:p>
        </w:tc>
        <w:tc>
          <w:tcPr>
            <w:tcW w:w="771" w:type="pct"/>
            <w:shd w:val="clear" w:color="auto" w:fill="auto"/>
            <w:vAlign w:val="center"/>
          </w:tcPr>
          <w:p w14:paraId="43DCDFA1">
            <w:pPr>
              <w:snapToGrid w:val="0"/>
              <w:jc w:val="center"/>
              <w:rPr>
                <w:szCs w:val="21"/>
              </w:rPr>
            </w:pPr>
            <w:r>
              <w:rPr>
                <w:rFonts w:hint="eastAsia"/>
                <w:szCs w:val="21"/>
              </w:rPr>
              <w:t>撬装设备间</w:t>
            </w:r>
          </w:p>
        </w:tc>
        <w:tc>
          <w:tcPr>
            <w:tcW w:w="2083" w:type="pct"/>
            <w:shd w:val="clear" w:color="auto" w:fill="auto"/>
            <w:vAlign w:val="center"/>
          </w:tcPr>
          <w:p w14:paraId="2A2D8849">
            <w:pPr>
              <w:snapToGrid w:val="0"/>
              <w:jc w:val="center"/>
              <w:rPr>
                <w:szCs w:val="21"/>
              </w:rPr>
            </w:pPr>
            <w:r>
              <w:rPr>
                <w:rFonts w:hint="eastAsia"/>
                <w:szCs w:val="21"/>
              </w:rPr>
              <w:t>二氧化碳灭火器MT7</w:t>
            </w:r>
          </w:p>
        </w:tc>
        <w:tc>
          <w:tcPr>
            <w:tcW w:w="654" w:type="pct"/>
            <w:shd w:val="clear" w:color="auto" w:fill="auto"/>
            <w:vAlign w:val="center"/>
          </w:tcPr>
          <w:p w14:paraId="19015EB8">
            <w:pPr>
              <w:snapToGrid w:val="0"/>
              <w:jc w:val="center"/>
              <w:rPr>
                <w:szCs w:val="21"/>
              </w:rPr>
            </w:pPr>
            <w:r>
              <w:rPr>
                <w:szCs w:val="21"/>
              </w:rPr>
              <w:t>具</w:t>
            </w:r>
          </w:p>
        </w:tc>
        <w:tc>
          <w:tcPr>
            <w:tcW w:w="711" w:type="pct"/>
            <w:shd w:val="clear" w:color="auto" w:fill="auto"/>
            <w:vAlign w:val="center"/>
          </w:tcPr>
          <w:p w14:paraId="7C65ACD9">
            <w:pPr>
              <w:snapToGrid w:val="0"/>
              <w:jc w:val="center"/>
              <w:rPr>
                <w:szCs w:val="21"/>
              </w:rPr>
            </w:pPr>
            <w:r>
              <w:rPr>
                <w:rFonts w:hint="eastAsia"/>
                <w:szCs w:val="21"/>
              </w:rPr>
              <w:t>2</w:t>
            </w:r>
          </w:p>
        </w:tc>
      </w:tr>
      <w:tr w14:paraId="6537F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80" w:type="pct"/>
            <w:vMerge w:val="continue"/>
            <w:shd w:val="clear" w:color="auto" w:fill="auto"/>
            <w:vAlign w:val="center"/>
          </w:tcPr>
          <w:p w14:paraId="165A78F9">
            <w:pPr>
              <w:snapToGrid w:val="0"/>
              <w:jc w:val="center"/>
              <w:rPr>
                <w:szCs w:val="21"/>
              </w:rPr>
            </w:pPr>
          </w:p>
        </w:tc>
        <w:tc>
          <w:tcPr>
            <w:tcW w:w="771" w:type="pct"/>
            <w:shd w:val="clear" w:color="auto" w:fill="auto"/>
            <w:vAlign w:val="center"/>
          </w:tcPr>
          <w:p w14:paraId="7111912E">
            <w:pPr>
              <w:snapToGrid w:val="0"/>
              <w:jc w:val="center"/>
              <w:rPr>
                <w:szCs w:val="21"/>
              </w:rPr>
            </w:pPr>
            <w:r>
              <w:rPr>
                <w:rFonts w:hint="eastAsia"/>
                <w:szCs w:val="21"/>
              </w:rPr>
              <w:t>柴油发电机房</w:t>
            </w:r>
          </w:p>
        </w:tc>
        <w:tc>
          <w:tcPr>
            <w:tcW w:w="2083" w:type="pct"/>
            <w:shd w:val="clear" w:color="auto" w:fill="auto"/>
            <w:vAlign w:val="center"/>
          </w:tcPr>
          <w:p w14:paraId="501A4492">
            <w:pPr>
              <w:snapToGrid w:val="0"/>
              <w:jc w:val="center"/>
              <w:rPr>
                <w:szCs w:val="21"/>
              </w:rPr>
            </w:pPr>
            <w:r>
              <w:rPr>
                <w:rFonts w:hint="eastAsia"/>
                <w:szCs w:val="21"/>
              </w:rPr>
              <w:t>二氧化碳灭火器MT7</w:t>
            </w:r>
          </w:p>
        </w:tc>
        <w:tc>
          <w:tcPr>
            <w:tcW w:w="654" w:type="pct"/>
            <w:shd w:val="clear" w:color="auto" w:fill="auto"/>
            <w:vAlign w:val="center"/>
          </w:tcPr>
          <w:p w14:paraId="5E5378E4">
            <w:pPr>
              <w:snapToGrid w:val="0"/>
              <w:jc w:val="center"/>
              <w:rPr>
                <w:szCs w:val="21"/>
              </w:rPr>
            </w:pPr>
            <w:r>
              <w:rPr>
                <w:szCs w:val="21"/>
              </w:rPr>
              <w:t>具</w:t>
            </w:r>
          </w:p>
        </w:tc>
        <w:tc>
          <w:tcPr>
            <w:tcW w:w="711" w:type="pct"/>
            <w:shd w:val="clear" w:color="auto" w:fill="auto"/>
            <w:vAlign w:val="center"/>
          </w:tcPr>
          <w:p w14:paraId="7B1A682E">
            <w:pPr>
              <w:snapToGrid w:val="0"/>
              <w:jc w:val="center"/>
              <w:rPr>
                <w:szCs w:val="21"/>
              </w:rPr>
            </w:pPr>
            <w:r>
              <w:rPr>
                <w:rFonts w:hint="eastAsia"/>
                <w:szCs w:val="21"/>
              </w:rPr>
              <w:t>2</w:t>
            </w:r>
          </w:p>
        </w:tc>
      </w:tr>
      <w:tr w14:paraId="10A0E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80" w:type="pct"/>
            <w:vMerge w:val="continue"/>
            <w:shd w:val="clear" w:color="auto" w:fill="auto"/>
            <w:vAlign w:val="center"/>
          </w:tcPr>
          <w:p w14:paraId="245BB05B">
            <w:pPr>
              <w:snapToGrid w:val="0"/>
              <w:jc w:val="center"/>
              <w:rPr>
                <w:szCs w:val="21"/>
              </w:rPr>
            </w:pPr>
          </w:p>
        </w:tc>
        <w:tc>
          <w:tcPr>
            <w:tcW w:w="771" w:type="pct"/>
            <w:shd w:val="clear" w:color="auto" w:fill="auto"/>
            <w:vAlign w:val="center"/>
          </w:tcPr>
          <w:p w14:paraId="2AC19BE3">
            <w:pPr>
              <w:snapToGrid w:val="0"/>
              <w:jc w:val="center"/>
              <w:rPr>
                <w:szCs w:val="21"/>
              </w:rPr>
            </w:pPr>
            <w:r>
              <w:rPr>
                <w:rFonts w:hint="eastAsia"/>
                <w:szCs w:val="21"/>
              </w:rPr>
              <w:t>危废暂存间</w:t>
            </w:r>
          </w:p>
        </w:tc>
        <w:tc>
          <w:tcPr>
            <w:tcW w:w="2083" w:type="pct"/>
            <w:shd w:val="clear" w:color="auto" w:fill="auto"/>
            <w:vAlign w:val="center"/>
          </w:tcPr>
          <w:p w14:paraId="4D581B6E">
            <w:pPr>
              <w:snapToGrid w:val="0"/>
              <w:jc w:val="center"/>
              <w:rPr>
                <w:szCs w:val="21"/>
              </w:rPr>
            </w:pPr>
            <w:r>
              <w:rPr>
                <w:szCs w:val="21"/>
              </w:rPr>
              <w:t>手提式磷酸铵盐灭火器 MF/ABC</w:t>
            </w:r>
            <w:r>
              <w:rPr>
                <w:rFonts w:hint="eastAsia"/>
                <w:szCs w:val="21"/>
              </w:rPr>
              <w:t>4</w:t>
            </w:r>
          </w:p>
        </w:tc>
        <w:tc>
          <w:tcPr>
            <w:tcW w:w="654" w:type="pct"/>
            <w:shd w:val="clear" w:color="auto" w:fill="auto"/>
            <w:vAlign w:val="center"/>
          </w:tcPr>
          <w:p w14:paraId="024F15E9">
            <w:pPr>
              <w:snapToGrid w:val="0"/>
              <w:jc w:val="center"/>
              <w:rPr>
                <w:szCs w:val="21"/>
              </w:rPr>
            </w:pPr>
            <w:r>
              <w:rPr>
                <w:szCs w:val="21"/>
              </w:rPr>
              <w:t>具</w:t>
            </w:r>
          </w:p>
        </w:tc>
        <w:tc>
          <w:tcPr>
            <w:tcW w:w="711" w:type="pct"/>
            <w:shd w:val="clear" w:color="auto" w:fill="auto"/>
            <w:vAlign w:val="center"/>
          </w:tcPr>
          <w:p w14:paraId="2CCA3EE4">
            <w:pPr>
              <w:snapToGrid w:val="0"/>
              <w:jc w:val="center"/>
              <w:rPr>
                <w:szCs w:val="21"/>
              </w:rPr>
            </w:pPr>
            <w:r>
              <w:rPr>
                <w:rFonts w:hint="eastAsia"/>
                <w:szCs w:val="21"/>
              </w:rPr>
              <w:t>2</w:t>
            </w:r>
          </w:p>
        </w:tc>
      </w:tr>
      <w:tr w14:paraId="4D1BA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80" w:type="pct"/>
            <w:vMerge w:val="continue"/>
            <w:shd w:val="clear" w:color="auto" w:fill="auto"/>
            <w:vAlign w:val="center"/>
          </w:tcPr>
          <w:p w14:paraId="4A18D297">
            <w:pPr>
              <w:snapToGrid w:val="0"/>
              <w:jc w:val="center"/>
              <w:rPr>
                <w:szCs w:val="21"/>
              </w:rPr>
            </w:pPr>
          </w:p>
        </w:tc>
        <w:tc>
          <w:tcPr>
            <w:tcW w:w="771" w:type="pct"/>
            <w:shd w:val="clear" w:color="auto" w:fill="auto"/>
            <w:vAlign w:val="center"/>
          </w:tcPr>
          <w:p w14:paraId="51AC30FF">
            <w:pPr>
              <w:snapToGrid w:val="0"/>
              <w:jc w:val="center"/>
              <w:rPr>
                <w:szCs w:val="21"/>
              </w:rPr>
            </w:pPr>
            <w:r>
              <w:rPr>
                <w:rFonts w:hint="eastAsia"/>
                <w:szCs w:val="21"/>
              </w:rPr>
              <w:t>门卫室</w:t>
            </w:r>
          </w:p>
        </w:tc>
        <w:tc>
          <w:tcPr>
            <w:tcW w:w="2083" w:type="pct"/>
            <w:shd w:val="clear" w:color="auto" w:fill="auto"/>
            <w:vAlign w:val="center"/>
          </w:tcPr>
          <w:p w14:paraId="6B8FDA51">
            <w:pPr>
              <w:snapToGrid w:val="0"/>
              <w:jc w:val="center"/>
              <w:rPr>
                <w:szCs w:val="21"/>
              </w:rPr>
            </w:pPr>
            <w:r>
              <w:rPr>
                <w:szCs w:val="21"/>
              </w:rPr>
              <w:t>手提式磷酸铵盐灭火器 MF/ABC</w:t>
            </w:r>
            <w:r>
              <w:rPr>
                <w:rFonts w:hint="eastAsia"/>
                <w:szCs w:val="21"/>
              </w:rPr>
              <w:t>4</w:t>
            </w:r>
          </w:p>
        </w:tc>
        <w:tc>
          <w:tcPr>
            <w:tcW w:w="654" w:type="pct"/>
            <w:shd w:val="clear" w:color="auto" w:fill="auto"/>
            <w:vAlign w:val="center"/>
          </w:tcPr>
          <w:p w14:paraId="596697C2">
            <w:pPr>
              <w:snapToGrid w:val="0"/>
              <w:jc w:val="center"/>
              <w:rPr>
                <w:szCs w:val="21"/>
              </w:rPr>
            </w:pPr>
            <w:r>
              <w:rPr>
                <w:szCs w:val="21"/>
              </w:rPr>
              <w:t>具</w:t>
            </w:r>
          </w:p>
        </w:tc>
        <w:tc>
          <w:tcPr>
            <w:tcW w:w="711" w:type="pct"/>
            <w:shd w:val="clear" w:color="auto" w:fill="auto"/>
            <w:vAlign w:val="center"/>
          </w:tcPr>
          <w:p w14:paraId="5A21A5F9">
            <w:pPr>
              <w:snapToGrid w:val="0"/>
              <w:jc w:val="center"/>
              <w:rPr>
                <w:szCs w:val="21"/>
              </w:rPr>
            </w:pPr>
            <w:r>
              <w:rPr>
                <w:rFonts w:hint="eastAsia"/>
                <w:szCs w:val="21"/>
              </w:rPr>
              <w:t>2</w:t>
            </w:r>
          </w:p>
        </w:tc>
      </w:tr>
    </w:tbl>
    <w:p w14:paraId="3B8D8B3C">
      <w:pPr>
        <w:pStyle w:val="7"/>
        <w:spacing w:before="120" w:beforeLines="50"/>
      </w:pPr>
      <w:r>
        <w:t>供配电</w:t>
      </w:r>
    </w:p>
    <w:p w14:paraId="778F9475">
      <w:pPr>
        <w:spacing w:line="360" w:lineRule="auto"/>
        <w:ind w:firstLine="480" w:firstLineChars="200"/>
        <w:rPr>
          <w:sz w:val="24"/>
        </w:rPr>
      </w:pPr>
      <w:r>
        <w:rPr>
          <w:rFonts w:hint="eastAsia"/>
          <w:sz w:val="24"/>
        </w:rPr>
        <w:t>28号阀室改造用电依托原有阀室PLC供电，不新增供配电设施。</w:t>
      </w:r>
    </w:p>
    <w:p w14:paraId="47A980B1">
      <w:pPr>
        <w:spacing w:line="360" w:lineRule="auto"/>
        <w:ind w:firstLine="480" w:firstLineChars="200"/>
        <w:rPr>
          <w:sz w:val="24"/>
        </w:rPr>
      </w:pPr>
      <w:r>
        <w:rPr>
          <w:rFonts w:hint="eastAsia"/>
          <w:sz w:val="24"/>
        </w:rPr>
        <w:t>耒阳分输站用电负荷主要为电加热器和自控通信设施，采用一回10kV外电电源作为主电源（变压器容量及工程负荷容量为160kVA/97.9kW），建设2km架空线路和1台杆上变，自备一台柴油发电机组作为备用电源（容量及工程负荷为150kW/128.5kW）。站内设冗余UPS后备时间1.5小时，满足自控重要负荷得供电要求</w:t>
      </w:r>
      <w:r>
        <w:rPr>
          <w:sz w:val="24"/>
        </w:rPr>
        <w:t>。</w:t>
      </w:r>
    </w:p>
    <w:p w14:paraId="5B4F6EFC">
      <w:pPr>
        <w:pStyle w:val="7"/>
      </w:pPr>
      <w:r>
        <w:rPr>
          <w:rFonts w:hint="eastAsia"/>
        </w:rPr>
        <w:t>维修、抢修与应急</w:t>
      </w:r>
    </w:p>
    <w:p w14:paraId="4B9A5C89">
      <w:pPr>
        <w:pStyle w:val="234"/>
      </w:pPr>
      <w:r>
        <w:rPr>
          <w:rFonts w:hint="eastAsia"/>
        </w:rPr>
        <w:t>本工程不单独设置抢维修点，一般性维修由巡线检修人员完成，重大维修、抢修工作依托湖广输气分公司衡阳维修队及其他可依托社会力量完成。</w:t>
      </w:r>
    </w:p>
    <w:p w14:paraId="375CB7A7">
      <w:pPr>
        <w:pStyle w:val="234"/>
      </w:pPr>
      <w:r>
        <w:rPr>
          <w:rFonts w:hint="eastAsia"/>
        </w:rPr>
        <w:t>衡阳维修队位于衡阳市雁峰区中共湖南精工输送机械制造有限公司支部委员会，与本工程距离89km，车程约1.5小时。共配备人员13人，配置应急物资包括车辆类、抢修机泵类、发电电焊类、检测仪器仪表类、抢险工器具类等。</w:t>
      </w:r>
    </w:p>
    <w:p w14:paraId="2B2C3C3E">
      <w:pPr>
        <w:pStyle w:val="5"/>
        <w:rPr>
          <w:color w:val="auto"/>
        </w:rPr>
      </w:pPr>
      <w:r>
        <w:rPr>
          <w:color w:val="auto"/>
        </w:rPr>
        <w:t>道路工程</w:t>
      </w:r>
    </w:p>
    <w:p w14:paraId="679C9673">
      <w:pPr>
        <w:spacing w:line="360" w:lineRule="auto"/>
        <w:ind w:firstLine="480" w:firstLineChars="200"/>
        <w:rPr>
          <w:sz w:val="24"/>
        </w:rPr>
      </w:pPr>
      <w:r>
        <w:rPr>
          <w:sz w:val="24"/>
        </w:rPr>
        <w:t>本工程施工车辆运输主要依托已建道路和施工作业带</w:t>
      </w:r>
      <w:r>
        <w:rPr>
          <w:rFonts w:hint="eastAsia"/>
          <w:sz w:val="24"/>
        </w:rPr>
        <w:t>，</w:t>
      </w:r>
      <w:r>
        <w:rPr>
          <w:sz w:val="24"/>
        </w:rPr>
        <w:t>本工程沿线预计</w:t>
      </w:r>
      <w:r>
        <w:rPr>
          <w:rFonts w:hint="eastAsia"/>
          <w:sz w:val="24"/>
        </w:rPr>
        <w:t>修整</w:t>
      </w:r>
      <w:r>
        <w:rPr>
          <w:sz w:val="24"/>
        </w:rPr>
        <w:t>施工便道</w:t>
      </w:r>
      <w:r>
        <w:rPr>
          <w:rFonts w:hint="eastAsia"/>
          <w:sz w:val="24"/>
        </w:rPr>
        <w:t>0.2</w:t>
      </w:r>
      <w:r>
        <w:rPr>
          <w:sz w:val="24"/>
        </w:rPr>
        <w:t>km，使道路条件满足管道建设及运行管理的需要。</w:t>
      </w:r>
    </w:p>
    <w:p w14:paraId="013DD590">
      <w:pPr>
        <w:spacing w:line="360" w:lineRule="auto"/>
        <w:ind w:firstLine="480" w:firstLineChars="200"/>
        <w:rPr>
          <w:sz w:val="24"/>
        </w:rPr>
      </w:pPr>
      <w:r>
        <w:rPr>
          <w:sz w:val="24"/>
        </w:rPr>
        <w:t>本工程</w:t>
      </w:r>
      <w:r>
        <w:rPr>
          <w:rFonts w:hint="eastAsia"/>
          <w:sz w:val="24"/>
        </w:rPr>
        <w:t>新建耒阳分输站周边为林地和农田，进出站场无可用道路，因此新建0.3656km进站路与已有乡村道路相接</w:t>
      </w:r>
      <w:r>
        <w:rPr>
          <w:sz w:val="24"/>
        </w:rPr>
        <w:t>。</w:t>
      </w:r>
      <w:r>
        <w:rPr>
          <w:rFonts w:hint="eastAsia"/>
          <w:sz w:val="24"/>
        </w:rPr>
        <w:t>道路工程</w:t>
      </w:r>
      <w:r>
        <w:rPr>
          <w:sz w:val="24"/>
        </w:rPr>
        <w:t>具体见表3.</w:t>
      </w:r>
      <w:r>
        <w:rPr>
          <w:rFonts w:hint="eastAsia"/>
          <w:sz w:val="24"/>
        </w:rPr>
        <w:t>3-18</w:t>
      </w:r>
      <w:r>
        <w:rPr>
          <w:sz w:val="24"/>
        </w:rPr>
        <w:t>。</w:t>
      </w:r>
    </w:p>
    <w:p w14:paraId="4CBEE846">
      <w:pPr>
        <w:pStyle w:val="904"/>
      </w:pPr>
      <w:r>
        <w:t>表3.</w:t>
      </w:r>
      <w:r>
        <w:rPr>
          <w:rFonts w:hint="eastAsia"/>
        </w:rPr>
        <w:t>3-18</w:t>
      </w:r>
      <w:r>
        <w:t xml:space="preserve">  </w:t>
      </w:r>
      <w:r>
        <w:rPr>
          <w:rFonts w:hint="eastAsia"/>
        </w:rPr>
        <w:t>道路工程</w:t>
      </w:r>
      <w:r>
        <w:t>设计情况一览表</w:t>
      </w:r>
    </w:p>
    <w:tbl>
      <w:tblPr>
        <w:tblStyle w:val="88"/>
        <w:tblW w:w="501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89"/>
        <w:gridCol w:w="2419"/>
        <w:gridCol w:w="1667"/>
        <w:gridCol w:w="1680"/>
        <w:gridCol w:w="2233"/>
      </w:tblGrid>
      <w:tr w14:paraId="43537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84" w:type="pct"/>
            <w:shd w:val="clear" w:color="auto" w:fill="auto"/>
            <w:vAlign w:val="center"/>
          </w:tcPr>
          <w:p w14:paraId="575CED8B">
            <w:pPr>
              <w:jc w:val="center"/>
              <w:rPr>
                <w:snapToGrid w:val="0"/>
                <w:szCs w:val="21"/>
              </w:rPr>
            </w:pPr>
            <w:r>
              <w:rPr>
                <w:snapToGrid w:val="0"/>
                <w:szCs w:val="21"/>
              </w:rPr>
              <w:t>序号</w:t>
            </w:r>
          </w:p>
        </w:tc>
        <w:tc>
          <w:tcPr>
            <w:tcW w:w="1274" w:type="pct"/>
            <w:shd w:val="clear" w:color="auto" w:fill="auto"/>
            <w:vAlign w:val="center"/>
          </w:tcPr>
          <w:p w14:paraId="5F29752F">
            <w:pPr>
              <w:jc w:val="center"/>
              <w:rPr>
                <w:snapToGrid w:val="0"/>
                <w:szCs w:val="21"/>
              </w:rPr>
            </w:pPr>
            <w:r>
              <w:rPr>
                <w:rFonts w:hint="eastAsia"/>
                <w:snapToGrid w:val="0"/>
                <w:szCs w:val="21"/>
              </w:rPr>
              <w:t>名称</w:t>
            </w:r>
          </w:p>
        </w:tc>
        <w:tc>
          <w:tcPr>
            <w:tcW w:w="878" w:type="pct"/>
            <w:shd w:val="clear" w:color="auto" w:fill="auto"/>
            <w:vAlign w:val="center"/>
          </w:tcPr>
          <w:p w14:paraId="0BF9F557">
            <w:pPr>
              <w:jc w:val="center"/>
              <w:rPr>
                <w:snapToGrid w:val="0"/>
                <w:szCs w:val="21"/>
              </w:rPr>
            </w:pPr>
            <w:r>
              <w:rPr>
                <w:rFonts w:hint="eastAsia"/>
                <w:snapToGrid w:val="0"/>
                <w:szCs w:val="21"/>
              </w:rPr>
              <w:t>长度（km）</w:t>
            </w:r>
          </w:p>
        </w:tc>
        <w:tc>
          <w:tcPr>
            <w:tcW w:w="885" w:type="pct"/>
            <w:shd w:val="clear" w:color="auto" w:fill="auto"/>
            <w:vAlign w:val="center"/>
          </w:tcPr>
          <w:p w14:paraId="431E012F">
            <w:pPr>
              <w:jc w:val="center"/>
              <w:rPr>
                <w:snapToGrid w:val="0"/>
                <w:szCs w:val="21"/>
              </w:rPr>
            </w:pPr>
            <w:r>
              <w:rPr>
                <w:rFonts w:hint="eastAsia"/>
                <w:snapToGrid w:val="0"/>
                <w:szCs w:val="21"/>
              </w:rPr>
              <w:t>路基宽度（m）</w:t>
            </w:r>
          </w:p>
        </w:tc>
        <w:tc>
          <w:tcPr>
            <w:tcW w:w="1176" w:type="pct"/>
            <w:shd w:val="clear" w:color="auto" w:fill="auto"/>
            <w:vAlign w:val="center"/>
          </w:tcPr>
          <w:p w14:paraId="43071627">
            <w:pPr>
              <w:jc w:val="center"/>
              <w:rPr>
                <w:snapToGrid w:val="0"/>
                <w:szCs w:val="21"/>
              </w:rPr>
            </w:pPr>
            <w:r>
              <w:rPr>
                <w:snapToGrid w:val="0"/>
                <w:szCs w:val="21"/>
              </w:rPr>
              <w:t>备注</w:t>
            </w:r>
          </w:p>
        </w:tc>
      </w:tr>
      <w:tr w14:paraId="5191D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84" w:type="pct"/>
            <w:shd w:val="clear" w:color="auto" w:fill="auto"/>
            <w:vAlign w:val="center"/>
          </w:tcPr>
          <w:p w14:paraId="46987FAB">
            <w:pPr>
              <w:jc w:val="center"/>
              <w:rPr>
                <w:snapToGrid w:val="0"/>
                <w:szCs w:val="21"/>
              </w:rPr>
            </w:pPr>
            <w:r>
              <w:rPr>
                <w:snapToGrid w:val="0"/>
              </w:rPr>
              <w:t>1</w:t>
            </w:r>
          </w:p>
        </w:tc>
        <w:tc>
          <w:tcPr>
            <w:tcW w:w="1274" w:type="pct"/>
            <w:shd w:val="clear" w:color="auto" w:fill="auto"/>
            <w:vAlign w:val="center"/>
          </w:tcPr>
          <w:p w14:paraId="5A1CED87">
            <w:pPr>
              <w:jc w:val="center"/>
              <w:rPr>
                <w:snapToGrid w:val="0"/>
                <w:szCs w:val="21"/>
              </w:rPr>
            </w:pPr>
            <w:r>
              <w:rPr>
                <w:rFonts w:hint="eastAsia"/>
                <w:snapToGrid w:val="0"/>
                <w:szCs w:val="21"/>
              </w:rPr>
              <w:t>修整施工便道</w:t>
            </w:r>
          </w:p>
        </w:tc>
        <w:tc>
          <w:tcPr>
            <w:tcW w:w="878" w:type="pct"/>
            <w:shd w:val="clear" w:color="auto" w:fill="auto"/>
            <w:vAlign w:val="center"/>
          </w:tcPr>
          <w:p w14:paraId="619FA535">
            <w:pPr>
              <w:jc w:val="center"/>
              <w:rPr>
                <w:snapToGrid w:val="0"/>
                <w:szCs w:val="21"/>
              </w:rPr>
            </w:pPr>
            <w:r>
              <w:rPr>
                <w:rFonts w:hint="eastAsia"/>
                <w:snapToGrid w:val="0"/>
                <w:szCs w:val="21"/>
              </w:rPr>
              <w:t>0.2</w:t>
            </w:r>
          </w:p>
        </w:tc>
        <w:tc>
          <w:tcPr>
            <w:tcW w:w="885" w:type="pct"/>
            <w:shd w:val="clear" w:color="auto" w:fill="auto"/>
            <w:vAlign w:val="center"/>
          </w:tcPr>
          <w:p w14:paraId="6A4E8276">
            <w:pPr>
              <w:jc w:val="center"/>
              <w:rPr>
                <w:snapToGrid w:val="0"/>
                <w:szCs w:val="21"/>
              </w:rPr>
            </w:pPr>
            <w:r>
              <w:rPr>
                <w:rFonts w:hint="eastAsia"/>
                <w:snapToGrid w:val="0"/>
                <w:szCs w:val="21"/>
              </w:rPr>
              <w:t>/</w:t>
            </w:r>
          </w:p>
        </w:tc>
        <w:tc>
          <w:tcPr>
            <w:tcW w:w="1176" w:type="pct"/>
            <w:shd w:val="clear" w:color="auto" w:fill="auto"/>
            <w:vAlign w:val="center"/>
          </w:tcPr>
          <w:p w14:paraId="1804CF81">
            <w:pPr>
              <w:jc w:val="center"/>
              <w:rPr>
                <w:snapToGrid w:val="0"/>
                <w:szCs w:val="21"/>
              </w:rPr>
            </w:pPr>
            <w:r>
              <w:rPr>
                <w:rFonts w:hint="eastAsia"/>
                <w:snapToGrid w:val="0"/>
                <w:szCs w:val="21"/>
              </w:rPr>
              <w:t>依托现有乡村道路修整</w:t>
            </w:r>
          </w:p>
        </w:tc>
      </w:tr>
      <w:tr w14:paraId="5E27B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84" w:type="pct"/>
            <w:shd w:val="clear" w:color="auto" w:fill="auto"/>
            <w:vAlign w:val="center"/>
          </w:tcPr>
          <w:p w14:paraId="4BA540B0">
            <w:pPr>
              <w:jc w:val="center"/>
              <w:rPr>
                <w:snapToGrid w:val="0"/>
              </w:rPr>
            </w:pPr>
            <w:r>
              <w:rPr>
                <w:rFonts w:hint="eastAsia"/>
                <w:snapToGrid w:val="0"/>
              </w:rPr>
              <w:t>2</w:t>
            </w:r>
          </w:p>
        </w:tc>
        <w:tc>
          <w:tcPr>
            <w:tcW w:w="1274" w:type="pct"/>
            <w:shd w:val="clear" w:color="auto" w:fill="auto"/>
            <w:vAlign w:val="center"/>
          </w:tcPr>
          <w:p w14:paraId="081A4A4B">
            <w:pPr>
              <w:jc w:val="center"/>
              <w:rPr>
                <w:snapToGrid w:val="0"/>
                <w:szCs w:val="21"/>
              </w:rPr>
            </w:pPr>
            <w:r>
              <w:rPr>
                <w:rFonts w:hint="eastAsia"/>
                <w:snapToGrid w:val="0"/>
                <w:szCs w:val="21"/>
              </w:rPr>
              <w:t>耒阳分输站进站路</w:t>
            </w:r>
          </w:p>
        </w:tc>
        <w:tc>
          <w:tcPr>
            <w:tcW w:w="878" w:type="pct"/>
            <w:shd w:val="clear" w:color="auto" w:fill="auto"/>
            <w:vAlign w:val="center"/>
          </w:tcPr>
          <w:p w14:paraId="22C171D9">
            <w:pPr>
              <w:jc w:val="center"/>
              <w:rPr>
                <w:snapToGrid w:val="0"/>
                <w:szCs w:val="21"/>
              </w:rPr>
            </w:pPr>
            <w:r>
              <w:rPr>
                <w:rFonts w:hint="eastAsia"/>
                <w:snapToGrid w:val="0"/>
                <w:szCs w:val="21"/>
              </w:rPr>
              <w:t>0.3656</w:t>
            </w:r>
          </w:p>
        </w:tc>
        <w:tc>
          <w:tcPr>
            <w:tcW w:w="885" w:type="pct"/>
            <w:shd w:val="clear" w:color="auto" w:fill="auto"/>
            <w:vAlign w:val="center"/>
          </w:tcPr>
          <w:p w14:paraId="345D4797">
            <w:pPr>
              <w:jc w:val="center"/>
              <w:rPr>
                <w:snapToGrid w:val="0"/>
                <w:szCs w:val="21"/>
              </w:rPr>
            </w:pPr>
            <w:r>
              <w:rPr>
                <w:rFonts w:hint="eastAsia"/>
                <w:snapToGrid w:val="0"/>
                <w:szCs w:val="21"/>
              </w:rPr>
              <w:t>5</w:t>
            </w:r>
            <w:r>
              <w:rPr>
                <w:snapToGrid w:val="0"/>
                <w:szCs w:val="21"/>
              </w:rPr>
              <w:t>m</w:t>
            </w:r>
          </w:p>
        </w:tc>
        <w:tc>
          <w:tcPr>
            <w:tcW w:w="1176" w:type="pct"/>
            <w:shd w:val="clear" w:color="auto" w:fill="auto"/>
            <w:vAlign w:val="center"/>
          </w:tcPr>
          <w:p w14:paraId="7984C1E1">
            <w:pPr>
              <w:jc w:val="center"/>
              <w:rPr>
                <w:snapToGrid w:val="0"/>
                <w:szCs w:val="21"/>
              </w:rPr>
            </w:pPr>
            <w:r>
              <w:rPr>
                <w:rFonts w:hint="eastAsia"/>
                <w:snapToGrid w:val="0"/>
                <w:szCs w:val="21"/>
              </w:rPr>
              <w:t>永久道路</w:t>
            </w:r>
          </w:p>
        </w:tc>
      </w:tr>
    </w:tbl>
    <w:p w14:paraId="0CC78FBD">
      <w:pPr>
        <w:keepNext/>
        <w:keepLines/>
        <w:widowControl/>
        <w:adjustRightInd w:val="0"/>
        <w:snapToGrid w:val="0"/>
        <w:spacing w:before="120" w:beforeLines="50" w:line="360" w:lineRule="auto"/>
        <w:ind w:firstLine="480" w:firstLineChars="200"/>
        <w:textAlignment w:val="baseline"/>
        <w:rPr>
          <w:sz w:val="24"/>
        </w:rPr>
      </w:pPr>
      <w:r>
        <w:rPr>
          <w:rFonts w:hint="eastAsia"/>
          <w:sz w:val="24"/>
        </w:rPr>
        <w:t>耒阳分输站进站路路由见图3.3-9。</w:t>
      </w:r>
    </w:p>
    <w:p w14:paraId="2DFFD8E6">
      <w:pPr>
        <w:keepNext/>
        <w:keepLines/>
        <w:widowControl/>
        <w:adjustRightInd w:val="0"/>
        <w:jc w:val="center"/>
        <w:textAlignment w:val="baseline"/>
        <w:rPr>
          <w:sz w:val="24"/>
        </w:rPr>
      </w:pPr>
      <w:r>
        <w:rPr>
          <w:rFonts w:hint="eastAsia"/>
          <w:sz w:val="24"/>
        </w:rPr>
        <w:drawing>
          <wp:inline distT="0" distB="0" distL="114300" distR="114300">
            <wp:extent cx="5998210" cy="4413885"/>
            <wp:effectExtent l="0" t="0" r="2540" b="5715"/>
            <wp:docPr id="1" name="图片 1" descr="b2bb5af3561d105910743b6adcada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b2bb5af3561d105910743b6adcadaec"/>
                    <pic:cNvPicPr>
                      <a:picLocks noChangeAspect="1"/>
                    </pic:cNvPicPr>
                  </pic:nvPicPr>
                  <pic:blipFill>
                    <a:blip r:embed="rId50"/>
                    <a:stretch>
                      <a:fillRect/>
                    </a:stretch>
                  </pic:blipFill>
                  <pic:spPr>
                    <a:xfrm>
                      <a:off x="0" y="0"/>
                      <a:ext cx="5998210" cy="4413885"/>
                    </a:xfrm>
                    <a:prstGeom prst="rect">
                      <a:avLst/>
                    </a:prstGeom>
                  </pic:spPr>
                </pic:pic>
              </a:graphicData>
            </a:graphic>
          </wp:inline>
        </w:drawing>
      </w:r>
    </w:p>
    <w:p w14:paraId="71770398">
      <w:pPr>
        <w:pStyle w:val="108"/>
        <w:ind w:firstLine="0" w:firstLineChars="0"/>
        <w:jc w:val="center"/>
        <w:rPr>
          <w:rFonts w:ascii="Times New Roman" w:eastAsia="黑体"/>
          <w:sz w:val="24"/>
        </w:rPr>
      </w:pPr>
      <w:r>
        <w:rPr>
          <w:rFonts w:ascii="Times New Roman" w:eastAsia="黑体"/>
          <w:sz w:val="24"/>
        </w:rPr>
        <w:t>图3.</w:t>
      </w:r>
      <w:r>
        <w:rPr>
          <w:rFonts w:hint="eastAsia" w:ascii="Times New Roman" w:eastAsia="黑体"/>
          <w:sz w:val="24"/>
        </w:rPr>
        <w:t>3</w:t>
      </w:r>
      <w:r>
        <w:rPr>
          <w:rFonts w:ascii="Times New Roman" w:eastAsia="黑体"/>
          <w:sz w:val="24"/>
        </w:rPr>
        <w:t>-</w:t>
      </w:r>
      <w:r>
        <w:rPr>
          <w:rFonts w:hint="eastAsia" w:ascii="Times New Roman" w:eastAsia="黑体"/>
          <w:sz w:val="24"/>
        </w:rPr>
        <w:t>9</w:t>
      </w:r>
      <w:r>
        <w:rPr>
          <w:rFonts w:ascii="Times New Roman" w:eastAsia="黑体"/>
          <w:sz w:val="24"/>
        </w:rPr>
        <w:t xml:space="preserve"> </w:t>
      </w:r>
      <w:r>
        <w:rPr>
          <w:rFonts w:hint="eastAsia" w:ascii="Times New Roman" w:eastAsia="黑体"/>
          <w:sz w:val="24"/>
        </w:rPr>
        <w:t>耒阳分输站进站路路由</w:t>
      </w:r>
      <w:r>
        <w:rPr>
          <w:rFonts w:ascii="Times New Roman" w:eastAsia="黑体"/>
          <w:sz w:val="24"/>
        </w:rPr>
        <w:t>图</w:t>
      </w:r>
    </w:p>
    <w:p w14:paraId="1E5A55AA">
      <w:pPr>
        <w:pStyle w:val="5"/>
        <w:rPr>
          <w:color w:val="auto"/>
        </w:rPr>
      </w:pPr>
      <w:r>
        <w:rPr>
          <w:color w:val="auto"/>
        </w:rPr>
        <w:t>工程占地</w:t>
      </w:r>
    </w:p>
    <w:p w14:paraId="46683A85">
      <w:pPr>
        <w:pStyle w:val="234"/>
      </w:pPr>
      <w:bookmarkStart w:id="146" w:name="_Hlk119674901"/>
      <w:r>
        <w:rPr>
          <w:rFonts w:hint="eastAsia"/>
        </w:rPr>
        <w:t>（1）永久占地：</w:t>
      </w:r>
      <w:r>
        <w:rPr>
          <w:rFonts w:hint="eastAsia"/>
          <w:i/>
          <w:iCs/>
          <w:color w:val="auto"/>
          <w:u w:val="single"/>
        </w:rPr>
        <w:t>本工程28号阀室改造均在已建28号阀室内进行，不新增占地，</w:t>
      </w:r>
      <w:r>
        <w:rPr>
          <w:rFonts w:hint="eastAsia"/>
        </w:rPr>
        <w:t>工程新增永久占地主要为耒阳分输站、进站路及标志桩占地，永久占地面积11294m</w:t>
      </w:r>
      <w:r>
        <w:rPr>
          <w:vertAlign w:val="superscript"/>
        </w:rPr>
        <w:t>2</w:t>
      </w:r>
      <w:r>
        <w:rPr>
          <w:rFonts w:hint="eastAsia"/>
        </w:rPr>
        <w:t>，占地类型主要包括耕地、林地和采矿用地（废弃砖厂），具体如下：</w:t>
      </w:r>
    </w:p>
    <w:p w14:paraId="6ADF3743">
      <w:pPr>
        <w:pStyle w:val="234"/>
      </w:pPr>
      <w:r>
        <w:t>①</w:t>
      </w:r>
      <w:r>
        <w:rPr>
          <w:rFonts w:hint="eastAsia"/>
        </w:rPr>
        <w:t>耒阳分输站占地：</w:t>
      </w:r>
      <w:r>
        <w:rPr>
          <w:rFonts w:hint="eastAsia"/>
          <w:i/>
          <w:iCs/>
          <w:color w:val="auto"/>
          <w:u w:val="single"/>
        </w:rPr>
        <w:t>根据项目初步设计及湖南省自然资源厅出具的《建设项目用地预审与选址意见书》，</w:t>
      </w:r>
      <w:r>
        <w:rPr>
          <w:rFonts w:hint="eastAsia"/>
        </w:rPr>
        <w:t>耒阳分输站占地总面积为7998.4m</w:t>
      </w:r>
      <w:r>
        <w:rPr>
          <w:vertAlign w:val="superscript"/>
        </w:rPr>
        <w:t>2</w:t>
      </w:r>
      <w:r>
        <w:rPr>
          <w:rFonts w:hint="eastAsia"/>
        </w:rPr>
        <w:t>，包括站内面积4818m</w:t>
      </w:r>
      <w:r>
        <w:rPr>
          <w:rFonts w:hint="eastAsia"/>
          <w:vertAlign w:val="superscript"/>
        </w:rPr>
        <w:t>2</w:t>
      </w:r>
      <w:r>
        <w:rPr>
          <w:rFonts w:hint="eastAsia"/>
        </w:rPr>
        <w:t>、放空区面积100m</w:t>
      </w:r>
      <w:r>
        <w:rPr>
          <w:rFonts w:hint="eastAsia"/>
          <w:vertAlign w:val="superscript"/>
        </w:rPr>
        <w:t>2</w:t>
      </w:r>
      <w:r>
        <w:rPr>
          <w:rFonts w:hint="eastAsia"/>
        </w:rPr>
        <w:t>，其余为边坡等占地，占地类型为其他林地（属于公益林）；</w:t>
      </w:r>
    </w:p>
    <w:p w14:paraId="709D32E3">
      <w:pPr>
        <w:pStyle w:val="234"/>
      </w:pPr>
      <w:r>
        <w:t>②</w:t>
      </w:r>
      <w:r>
        <w:rPr>
          <w:rFonts w:hint="eastAsia"/>
        </w:rPr>
        <w:t>进站路占地：本工程新修进站路365.6m，路基宽度为5m，道路两侧设护坡，护坡侧面设边沟，进站路总占地面积为3264.6m</w:t>
      </w:r>
      <w:r>
        <w:rPr>
          <w:vertAlign w:val="superscript"/>
        </w:rPr>
        <w:t>2</w:t>
      </w:r>
      <w:r>
        <w:rPr>
          <w:rFonts w:hint="eastAsia"/>
        </w:rPr>
        <w:t>，占地类型为其他林地（属于公益林）、灌木林地、采矿用地；</w:t>
      </w:r>
    </w:p>
    <w:p w14:paraId="1708D220">
      <w:pPr>
        <w:pStyle w:val="234"/>
      </w:pPr>
      <w:r>
        <w:t>③</w:t>
      </w:r>
      <w:r>
        <w:rPr>
          <w:rFonts w:hint="eastAsia"/>
        </w:rPr>
        <w:t>标志桩占地：本工程标志桩及警示牌占地面积约为31m</w:t>
      </w:r>
      <w:r>
        <w:rPr>
          <w:vertAlign w:val="superscript"/>
        </w:rPr>
        <w:t>2</w:t>
      </w:r>
      <w:r>
        <w:rPr>
          <w:rFonts w:hint="eastAsia"/>
        </w:rPr>
        <w:t>，占地类型主要为水田、旱地和其他林地（属于公益林）。</w:t>
      </w:r>
    </w:p>
    <w:p w14:paraId="17DD6B6D">
      <w:pPr>
        <w:pStyle w:val="234"/>
      </w:pPr>
      <w:r>
        <w:rPr>
          <w:rFonts w:hint="eastAsia"/>
        </w:rPr>
        <w:t>（2）临时占地：本工程临时占地主要为施工作业带、堆管场地占地，临时占地面积共9760m</w:t>
      </w:r>
      <w:r>
        <w:rPr>
          <w:vertAlign w:val="superscript"/>
        </w:rPr>
        <w:t>2</w:t>
      </w:r>
      <w:r>
        <w:rPr>
          <w:rFonts w:hint="eastAsia"/>
        </w:rPr>
        <w:t>，占地类型主要包括耕地、林地、交通运输用地和采矿用地，具体如下：</w:t>
      </w:r>
    </w:p>
    <w:p w14:paraId="62DB3236">
      <w:pPr>
        <w:pStyle w:val="234"/>
      </w:pPr>
      <w:r>
        <w:t>①</w:t>
      </w:r>
      <w:r>
        <w:rPr>
          <w:rFonts w:hint="eastAsia"/>
        </w:rPr>
        <w:t>施工作业带占地：</w:t>
      </w:r>
      <w:r>
        <w:t>本工程管径为</w:t>
      </w:r>
      <w:r>
        <w:rPr>
          <w:rFonts w:hint="eastAsia"/>
        </w:rPr>
        <w:t>DN300</w:t>
      </w:r>
      <w:r>
        <w:t>，一般地区作业带宽度按</w:t>
      </w:r>
      <w:r>
        <w:rPr>
          <w:rFonts w:hint="eastAsia"/>
        </w:rPr>
        <w:t>12</w:t>
      </w:r>
      <w:r>
        <w:t>m考虑，林地作业带宽度</w:t>
      </w:r>
      <w:r>
        <w:rPr>
          <w:rFonts w:hint="eastAsia"/>
        </w:rPr>
        <w:t>12</w:t>
      </w:r>
      <w:r>
        <w:t>m</w:t>
      </w:r>
      <w:r>
        <w:rPr>
          <w:rFonts w:hint="eastAsia"/>
        </w:rPr>
        <w:t>，部分管段适当缩小。经核算，施工作业带占地共8960m</w:t>
      </w:r>
      <w:r>
        <w:rPr>
          <w:vertAlign w:val="superscript"/>
        </w:rPr>
        <w:t>2</w:t>
      </w:r>
      <w:r>
        <w:rPr>
          <w:rFonts w:hint="eastAsia"/>
        </w:rPr>
        <w:t>，占地类型主要包括耕地、林地和交通运输用地；</w:t>
      </w:r>
    </w:p>
    <w:p w14:paraId="486936FB">
      <w:pPr>
        <w:pStyle w:val="234"/>
      </w:pPr>
      <w:r>
        <w:t>②</w:t>
      </w:r>
      <w:r>
        <w:rPr>
          <w:rFonts w:hint="eastAsia"/>
        </w:rPr>
        <w:t>堆管场地占地：堆管场地占地面积共800m</w:t>
      </w:r>
      <w:r>
        <w:rPr>
          <w:rFonts w:hint="eastAsia"/>
          <w:vertAlign w:val="superscript"/>
        </w:rPr>
        <w:t>2</w:t>
      </w:r>
      <w:r>
        <w:rPr>
          <w:rFonts w:hint="eastAsia"/>
        </w:rPr>
        <w:t>，占地类型为采矿用地</w:t>
      </w:r>
      <w:r>
        <w:t>。</w:t>
      </w:r>
    </w:p>
    <w:p w14:paraId="68D17C48">
      <w:pPr>
        <w:pStyle w:val="234"/>
      </w:pPr>
      <w:r>
        <w:t>具体占地情况见表3.</w:t>
      </w:r>
      <w:r>
        <w:rPr>
          <w:rFonts w:hint="eastAsia"/>
        </w:rPr>
        <w:t>3-19</w:t>
      </w:r>
      <w:r>
        <w:t>。</w:t>
      </w:r>
    </w:p>
    <w:p w14:paraId="33D3CA4B">
      <w:pPr>
        <w:pStyle w:val="234"/>
        <w:ind w:firstLine="0" w:firstLineChars="0"/>
        <w:jc w:val="center"/>
        <w:rPr>
          <w:rFonts w:eastAsia="黑体"/>
          <w:i/>
          <w:iCs/>
          <w:color w:val="auto"/>
          <w:u w:val="single"/>
        </w:rPr>
      </w:pPr>
      <w:r>
        <w:rPr>
          <w:rFonts w:eastAsia="黑体"/>
          <w:i/>
          <w:iCs/>
          <w:color w:val="auto"/>
          <w:u w:val="single"/>
        </w:rPr>
        <w:t>表3.</w:t>
      </w:r>
      <w:r>
        <w:rPr>
          <w:rFonts w:hint="eastAsia" w:eastAsia="黑体"/>
          <w:i/>
          <w:iCs/>
          <w:color w:val="auto"/>
          <w:u w:val="single"/>
        </w:rPr>
        <w:t>3-19</w:t>
      </w:r>
      <w:r>
        <w:rPr>
          <w:rFonts w:eastAsia="黑体"/>
          <w:i/>
          <w:iCs/>
          <w:color w:val="auto"/>
          <w:u w:val="single"/>
        </w:rPr>
        <w:t xml:space="preserve"> 本工程占地情况一览表</w:t>
      </w:r>
    </w:p>
    <w:tbl>
      <w:tblPr>
        <w:tblStyle w:val="139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1029"/>
        <w:gridCol w:w="973"/>
        <w:gridCol w:w="831"/>
        <w:gridCol w:w="858"/>
        <w:gridCol w:w="1077"/>
        <w:gridCol w:w="1199"/>
        <w:gridCol w:w="1212"/>
        <w:gridCol w:w="1216"/>
      </w:tblGrid>
      <w:tr w14:paraId="73600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pct"/>
            <w:vMerge w:val="restart"/>
            <w:vAlign w:val="center"/>
          </w:tcPr>
          <w:p w14:paraId="4B6C0257">
            <w:pPr>
              <w:pStyle w:val="1343"/>
              <w:rPr>
                <w:i/>
                <w:iCs/>
                <w:color w:val="auto"/>
                <w:u w:val="single"/>
              </w:rPr>
            </w:pPr>
            <w:r>
              <w:rPr>
                <w:rFonts w:hint="eastAsia"/>
                <w:i/>
                <w:iCs/>
                <w:color w:val="auto"/>
                <w:u w:val="single"/>
              </w:rPr>
              <w:t>项目</w:t>
            </w:r>
          </w:p>
        </w:tc>
        <w:tc>
          <w:tcPr>
            <w:tcW w:w="1035" w:type="pct"/>
            <w:gridSpan w:val="2"/>
            <w:vAlign w:val="center"/>
          </w:tcPr>
          <w:p w14:paraId="758BCF57">
            <w:pPr>
              <w:pStyle w:val="1343"/>
              <w:rPr>
                <w:i/>
                <w:iCs/>
                <w:color w:val="auto"/>
                <w:u w:val="single"/>
              </w:rPr>
            </w:pPr>
            <w:r>
              <w:rPr>
                <w:rFonts w:hint="eastAsia"/>
                <w:i/>
                <w:iCs/>
                <w:color w:val="auto"/>
                <w:u w:val="single"/>
              </w:rPr>
              <w:t>占地面积（m</w:t>
            </w:r>
            <w:r>
              <w:rPr>
                <w:i/>
                <w:iCs/>
                <w:color w:val="auto"/>
                <w:u w:val="single"/>
                <w:vertAlign w:val="superscript"/>
              </w:rPr>
              <w:t>2</w:t>
            </w:r>
            <w:r>
              <w:rPr>
                <w:rFonts w:hint="eastAsia"/>
                <w:i/>
                <w:iCs/>
                <w:color w:val="auto"/>
                <w:u w:val="single"/>
              </w:rPr>
              <w:t>）</w:t>
            </w:r>
          </w:p>
        </w:tc>
        <w:tc>
          <w:tcPr>
            <w:tcW w:w="3307" w:type="pct"/>
            <w:gridSpan w:val="6"/>
            <w:vAlign w:val="center"/>
          </w:tcPr>
          <w:p w14:paraId="7A7CCE30">
            <w:pPr>
              <w:pStyle w:val="1343"/>
              <w:rPr>
                <w:i/>
                <w:iCs/>
                <w:color w:val="auto"/>
                <w:u w:val="single"/>
              </w:rPr>
            </w:pPr>
            <w:r>
              <w:rPr>
                <w:rFonts w:hint="eastAsia"/>
                <w:i/>
                <w:iCs/>
                <w:color w:val="auto"/>
                <w:u w:val="single"/>
              </w:rPr>
              <w:t>不同用地类型占地面积（m</w:t>
            </w:r>
            <w:r>
              <w:rPr>
                <w:i/>
                <w:iCs/>
                <w:color w:val="auto"/>
                <w:u w:val="single"/>
                <w:vertAlign w:val="superscript"/>
              </w:rPr>
              <w:t>2</w:t>
            </w:r>
            <w:r>
              <w:rPr>
                <w:rFonts w:hint="eastAsia"/>
                <w:i/>
                <w:iCs/>
                <w:color w:val="auto"/>
                <w:u w:val="single"/>
              </w:rPr>
              <w:t>）</w:t>
            </w:r>
          </w:p>
        </w:tc>
      </w:tr>
      <w:tr w14:paraId="2CB6A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pct"/>
            <w:vMerge w:val="continue"/>
            <w:vAlign w:val="center"/>
          </w:tcPr>
          <w:p w14:paraId="1D1CD60C">
            <w:pPr>
              <w:pStyle w:val="1343"/>
              <w:rPr>
                <w:i/>
                <w:iCs/>
                <w:color w:val="auto"/>
                <w:u w:val="single"/>
              </w:rPr>
            </w:pPr>
          </w:p>
        </w:tc>
        <w:tc>
          <w:tcPr>
            <w:tcW w:w="532" w:type="pct"/>
            <w:vMerge w:val="restart"/>
            <w:vAlign w:val="center"/>
          </w:tcPr>
          <w:p w14:paraId="29AFBF45">
            <w:pPr>
              <w:pStyle w:val="1343"/>
              <w:rPr>
                <w:i/>
                <w:iCs/>
                <w:color w:val="auto"/>
                <w:u w:val="single"/>
              </w:rPr>
            </w:pPr>
            <w:r>
              <w:rPr>
                <w:rFonts w:hint="eastAsia"/>
                <w:i/>
                <w:iCs/>
                <w:color w:val="auto"/>
                <w:u w:val="single"/>
              </w:rPr>
              <w:t>永久</w:t>
            </w:r>
          </w:p>
        </w:tc>
        <w:tc>
          <w:tcPr>
            <w:tcW w:w="502" w:type="pct"/>
            <w:vMerge w:val="restart"/>
            <w:vAlign w:val="center"/>
          </w:tcPr>
          <w:p w14:paraId="0F329D9D">
            <w:pPr>
              <w:pStyle w:val="1343"/>
              <w:rPr>
                <w:i/>
                <w:iCs/>
                <w:color w:val="auto"/>
                <w:u w:val="single"/>
              </w:rPr>
            </w:pPr>
            <w:r>
              <w:rPr>
                <w:rFonts w:hint="eastAsia"/>
                <w:i/>
                <w:iCs/>
                <w:color w:val="auto"/>
                <w:u w:val="single"/>
              </w:rPr>
              <w:t>临时</w:t>
            </w:r>
          </w:p>
        </w:tc>
        <w:tc>
          <w:tcPr>
            <w:tcW w:w="874" w:type="pct"/>
            <w:gridSpan w:val="2"/>
            <w:vAlign w:val="center"/>
          </w:tcPr>
          <w:p w14:paraId="1A438AA4">
            <w:pPr>
              <w:pStyle w:val="1343"/>
              <w:rPr>
                <w:i/>
                <w:iCs/>
                <w:color w:val="auto"/>
                <w:u w:val="single"/>
              </w:rPr>
            </w:pPr>
            <w:r>
              <w:rPr>
                <w:rFonts w:hint="eastAsia"/>
                <w:i/>
                <w:iCs/>
                <w:color w:val="auto"/>
                <w:u w:val="single"/>
              </w:rPr>
              <w:t>耕地</w:t>
            </w:r>
          </w:p>
        </w:tc>
        <w:tc>
          <w:tcPr>
            <w:tcW w:w="1177" w:type="pct"/>
            <w:gridSpan w:val="2"/>
            <w:vAlign w:val="center"/>
          </w:tcPr>
          <w:p w14:paraId="4B9DC1AE">
            <w:pPr>
              <w:pStyle w:val="1343"/>
              <w:rPr>
                <w:i/>
                <w:iCs/>
                <w:color w:val="auto"/>
                <w:u w:val="single"/>
              </w:rPr>
            </w:pPr>
            <w:r>
              <w:rPr>
                <w:rFonts w:hint="eastAsia"/>
                <w:i/>
                <w:iCs/>
                <w:color w:val="auto"/>
                <w:u w:val="single"/>
              </w:rPr>
              <w:t>林地</w:t>
            </w:r>
          </w:p>
        </w:tc>
        <w:tc>
          <w:tcPr>
            <w:tcW w:w="627" w:type="pct"/>
            <w:vAlign w:val="center"/>
          </w:tcPr>
          <w:p w14:paraId="08AA1DB8">
            <w:pPr>
              <w:pStyle w:val="1343"/>
              <w:rPr>
                <w:i/>
                <w:iCs/>
                <w:color w:val="auto"/>
                <w:u w:val="single"/>
              </w:rPr>
            </w:pPr>
            <w:r>
              <w:rPr>
                <w:rFonts w:hint="eastAsia"/>
                <w:i/>
                <w:iCs/>
                <w:color w:val="auto"/>
                <w:u w:val="single"/>
              </w:rPr>
              <w:t>交通运输用地</w:t>
            </w:r>
          </w:p>
        </w:tc>
        <w:tc>
          <w:tcPr>
            <w:tcW w:w="627" w:type="pct"/>
            <w:vAlign w:val="center"/>
          </w:tcPr>
          <w:p w14:paraId="69E0B632">
            <w:pPr>
              <w:pStyle w:val="1343"/>
              <w:rPr>
                <w:i/>
                <w:iCs/>
                <w:color w:val="auto"/>
                <w:u w:val="single"/>
              </w:rPr>
            </w:pPr>
            <w:r>
              <w:rPr>
                <w:rFonts w:hint="eastAsia"/>
                <w:i/>
                <w:iCs/>
                <w:color w:val="auto"/>
                <w:u w:val="single"/>
              </w:rPr>
              <w:t>工矿仓储用地</w:t>
            </w:r>
          </w:p>
        </w:tc>
      </w:tr>
      <w:tr w14:paraId="5523F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pct"/>
            <w:vMerge w:val="continue"/>
            <w:vAlign w:val="center"/>
          </w:tcPr>
          <w:p w14:paraId="41ADE07F">
            <w:pPr>
              <w:pStyle w:val="1343"/>
              <w:rPr>
                <w:i/>
                <w:iCs/>
                <w:color w:val="auto"/>
                <w:u w:val="single"/>
              </w:rPr>
            </w:pPr>
          </w:p>
        </w:tc>
        <w:tc>
          <w:tcPr>
            <w:tcW w:w="532" w:type="pct"/>
            <w:vMerge w:val="continue"/>
            <w:vAlign w:val="center"/>
          </w:tcPr>
          <w:p w14:paraId="3E243460">
            <w:pPr>
              <w:pStyle w:val="1343"/>
              <w:rPr>
                <w:i/>
                <w:iCs/>
                <w:color w:val="auto"/>
                <w:u w:val="single"/>
              </w:rPr>
            </w:pPr>
          </w:p>
        </w:tc>
        <w:tc>
          <w:tcPr>
            <w:tcW w:w="502" w:type="pct"/>
            <w:vMerge w:val="continue"/>
            <w:vAlign w:val="center"/>
          </w:tcPr>
          <w:p w14:paraId="2C849473">
            <w:pPr>
              <w:pStyle w:val="1343"/>
              <w:rPr>
                <w:i/>
                <w:iCs/>
                <w:color w:val="auto"/>
                <w:u w:val="single"/>
              </w:rPr>
            </w:pPr>
          </w:p>
        </w:tc>
        <w:tc>
          <w:tcPr>
            <w:tcW w:w="430" w:type="pct"/>
            <w:vAlign w:val="center"/>
          </w:tcPr>
          <w:p w14:paraId="4661CF46">
            <w:pPr>
              <w:pStyle w:val="1343"/>
              <w:rPr>
                <w:i/>
                <w:iCs/>
                <w:color w:val="auto"/>
                <w:u w:val="single"/>
              </w:rPr>
            </w:pPr>
            <w:r>
              <w:rPr>
                <w:rFonts w:hint="eastAsia"/>
                <w:i/>
                <w:iCs/>
                <w:color w:val="auto"/>
                <w:u w:val="single"/>
              </w:rPr>
              <w:t>水田</w:t>
            </w:r>
          </w:p>
          <w:p w14:paraId="51FB462E">
            <w:pPr>
              <w:pStyle w:val="1343"/>
              <w:rPr>
                <w:i/>
                <w:iCs/>
                <w:color w:val="auto"/>
                <w:u w:val="single"/>
              </w:rPr>
            </w:pPr>
            <w:r>
              <w:rPr>
                <w:i/>
                <w:iCs/>
                <w:color w:val="auto"/>
                <w:u w:val="single"/>
              </w:rPr>
              <w:t>010</w:t>
            </w:r>
            <w:r>
              <w:rPr>
                <w:rFonts w:hint="eastAsia"/>
                <w:i/>
                <w:iCs/>
                <w:color w:val="auto"/>
                <w:u w:val="single"/>
              </w:rPr>
              <w:t>1</w:t>
            </w:r>
          </w:p>
        </w:tc>
        <w:tc>
          <w:tcPr>
            <w:tcW w:w="444" w:type="pct"/>
            <w:vAlign w:val="center"/>
          </w:tcPr>
          <w:p w14:paraId="2F6E77F6">
            <w:pPr>
              <w:pStyle w:val="1343"/>
              <w:rPr>
                <w:i/>
                <w:iCs/>
                <w:color w:val="auto"/>
                <w:u w:val="single"/>
              </w:rPr>
            </w:pPr>
            <w:r>
              <w:rPr>
                <w:rFonts w:hint="eastAsia"/>
                <w:i/>
                <w:iCs/>
                <w:color w:val="auto"/>
                <w:u w:val="single"/>
              </w:rPr>
              <w:t>旱地</w:t>
            </w:r>
          </w:p>
          <w:p w14:paraId="2831BC10">
            <w:pPr>
              <w:pStyle w:val="1343"/>
              <w:rPr>
                <w:i/>
                <w:iCs/>
                <w:color w:val="auto"/>
                <w:u w:val="single"/>
              </w:rPr>
            </w:pPr>
            <w:r>
              <w:rPr>
                <w:rFonts w:hint="eastAsia"/>
                <w:i/>
                <w:iCs/>
                <w:color w:val="auto"/>
                <w:u w:val="single"/>
              </w:rPr>
              <w:t>0103</w:t>
            </w:r>
          </w:p>
        </w:tc>
        <w:tc>
          <w:tcPr>
            <w:tcW w:w="557" w:type="pct"/>
            <w:vAlign w:val="center"/>
          </w:tcPr>
          <w:p w14:paraId="6DA4A1AF">
            <w:pPr>
              <w:pStyle w:val="1343"/>
              <w:rPr>
                <w:i/>
                <w:iCs/>
                <w:color w:val="auto"/>
                <w:u w:val="single"/>
              </w:rPr>
            </w:pPr>
            <w:r>
              <w:rPr>
                <w:rFonts w:hint="eastAsia"/>
                <w:i/>
                <w:iCs/>
                <w:color w:val="auto"/>
                <w:u w:val="single"/>
              </w:rPr>
              <w:t>灌木林地0</w:t>
            </w:r>
            <w:r>
              <w:rPr>
                <w:i/>
                <w:iCs/>
                <w:color w:val="auto"/>
                <w:u w:val="single"/>
              </w:rPr>
              <w:t>30</w:t>
            </w:r>
            <w:r>
              <w:rPr>
                <w:rFonts w:hint="eastAsia"/>
                <w:i/>
                <w:iCs/>
                <w:color w:val="auto"/>
                <w:u w:val="single"/>
              </w:rPr>
              <w:t>5</w:t>
            </w:r>
          </w:p>
        </w:tc>
        <w:tc>
          <w:tcPr>
            <w:tcW w:w="620" w:type="pct"/>
            <w:vAlign w:val="center"/>
          </w:tcPr>
          <w:p w14:paraId="6BB9DAAC">
            <w:pPr>
              <w:pStyle w:val="1343"/>
              <w:rPr>
                <w:i/>
                <w:iCs/>
                <w:color w:val="auto"/>
                <w:u w:val="single"/>
              </w:rPr>
            </w:pPr>
            <w:r>
              <w:rPr>
                <w:rFonts w:hint="eastAsia"/>
                <w:i/>
                <w:iCs/>
                <w:color w:val="auto"/>
                <w:u w:val="single"/>
              </w:rPr>
              <w:t>其他林地0307</w:t>
            </w:r>
          </w:p>
        </w:tc>
        <w:tc>
          <w:tcPr>
            <w:tcW w:w="627" w:type="pct"/>
            <w:vAlign w:val="center"/>
          </w:tcPr>
          <w:p w14:paraId="026BB8E1">
            <w:pPr>
              <w:pStyle w:val="1343"/>
              <w:rPr>
                <w:i/>
                <w:iCs/>
                <w:color w:val="auto"/>
                <w:u w:val="single"/>
              </w:rPr>
            </w:pPr>
            <w:r>
              <w:rPr>
                <w:rFonts w:hint="eastAsia"/>
                <w:i/>
                <w:iCs/>
                <w:color w:val="auto"/>
                <w:u w:val="single"/>
              </w:rPr>
              <w:t>农村道路</w:t>
            </w:r>
          </w:p>
          <w:p w14:paraId="28521D88">
            <w:pPr>
              <w:pStyle w:val="1343"/>
              <w:rPr>
                <w:i/>
                <w:iCs/>
                <w:color w:val="auto"/>
                <w:u w:val="single"/>
              </w:rPr>
            </w:pPr>
            <w:r>
              <w:rPr>
                <w:rFonts w:hint="eastAsia"/>
                <w:i/>
                <w:iCs/>
                <w:color w:val="auto"/>
                <w:u w:val="single"/>
              </w:rPr>
              <w:t>1006</w:t>
            </w:r>
          </w:p>
        </w:tc>
        <w:tc>
          <w:tcPr>
            <w:tcW w:w="627" w:type="pct"/>
            <w:vAlign w:val="center"/>
          </w:tcPr>
          <w:p w14:paraId="6D9E2B05">
            <w:pPr>
              <w:pStyle w:val="1343"/>
              <w:rPr>
                <w:i/>
                <w:iCs/>
                <w:color w:val="auto"/>
                <w:u w:val="single"/>
              </w:rPr>
            </w:pPr>
            <w:r>
              <w:rPr>
                <w:rFonts w:hint="eastAsia"/>
                <w:i/>
                <w:iCs/>
                <w:color w:val="auto"/>
                <w:u w:val="single"/>
              </w:rPr>
              <w:t>采矿用地0602</w:t>
            </w:r>
          </w:p>
        </w:tc>
      </w:tr>
      <w:tr w14:paraId="6A87F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pct"/>
            <w:vAlign w:val="center"/>
          </w:tcPr>
          <w:p w14:paraId="6CB38FFB">
            <w:pPr>
              <w:pStyle w:val="1343"/>
              <w:rPr>
                <w:i/>
                <w:iCs/>
                <w:color w:val="auto"/>
                <w:u w:val="single"/>
              </w:rPr>
            </w:pPr>
            <w:r>
              <w:rPr>
                <w:rFonts w:hint="eastAsia"/>
                <w:i/>
                <w:iCs/>
                <w:color w:val="auto"/>
                <w:u w:val="single"/>
              </w:rPr>
              <w:t>站场</w:t>
            </w:r>
          </w:p>
        </w:tc>
        <w:tc>
          <w:tcPr>
            <w:tcW w:w="532" w:type="pct"/>
            <w:vAlign w:val="center"/>
          </w:tcPr>
          <w:p w14:paraId="3E17A006">
            <w:pPr>
              <w:pStyle w:val="1343"/>
              <w:rPr>
                <w:i/>
                <w:iCs/>
                <w:color w:val="auto"/>
                <w:u w:val="single"/>
              </w:rPr>
            </w:pPr>
            <w:r>
              <w:rPr>
                <w:rFonts w:hint="eastAsia"/>
                <w:i/>
                <w:iCs/>
                <w:color w:val="auto"/>
                <w:u w:val="single"/>
              </w:rPr>
              <w:t>7998.4</w:t>
            </w:r>
          </w:p>
        </w:tc>
        <w:tc>
          <w:tcPr>
            <w:tcW w:w="502" w:type="pct"/>
            <w:vAlign w:val="center"/>
          </w:tcPr>
          <w:p w14:paraId="3B33DABC">
            <w:pPr>
              <w:pStyle w:val="1343"/>
              <w:rPr>
                <w:i/>
                <w:iCs/>
                <w:color w:val="auto"/>
                <w:u w:val="single"/>
              </w:rPr>
            </w:pPr>
            <w:r>
              <w:rPr>
                <w:rFonts w:hint="eastAsia"/>
                <w:i/>
                <w:iCs/>
                <w:color w:val="auto"/>
                <w:u w:val="single"/>
              </w:rPr>
              <w:t>/</w:t>
            </w:r>
          </w:p>
        </w:tc>
        <w:tc>
          <w:tcPr>
            <w:tcW w:w="430" w:type="pct"/>
            <w:vAlign w:val="center"/>
          </w:tcPr>
          <w:p w14:paraId="79B18341">
            <w:pPr>
              <w:pStyle w:val="1343"/>
              <w:rPr>
                <w:i/>
                <w:iCs/>
                <w:color w:val="auto"/>
                <w:u w:val="single"/>
              </w:rPr>
            </w:pPr>
            <w:r>
              <w:rPr>
                <w:rFonts w:hint="eastAsia"/>
                <w:i/>
                <w:iCs/>
                <w:color w:val="auto"/>
                <w:u w:val="single"/>
              </w:rPr>
              <w:t>/</w:t>
            </w:r>
          </w:p>
        </w:tc>
        <w:tc>
          <w:tcPr>
            <w:tcW w:w="444" w:type="pct"/>
            <w:vAlign w:val="center"/>
          </w:tcPr>
          <w:p w14:paraId="675ACB2A">
            <w:pPr>
              <w:pStyle w:val="1343"/>
              <w:rPr>
                <w:i/>
                <w:iCs/>
                <w:color w:val="auto"/>
                <w:u w:val="single"/>
              </w:rPr>
            </w:pPr>
            <w:r>
              <w:rPr>
                <w:rFonts w:hint="eastAsia"/>
                <w:i/>
                <w:iCs/>
                <w:color w:val="auto"/>
                <w:u w:val="single"/>
              </w:rPr>
              <w:t>/</w:t>
            </w:r>
          </w:p>
        </w:tc>
        <w:tc>
          <w:tcPr>
            <w:tcW w:w="557" w:type="pct"/>
            <w:vAlign w:val="center"/>
          </w:tcPr>
          <w:p w14:paraId="3BD3F8B7">
            <w:pPr>
              <w:pStyle w:val="1343"/>
              <w:rPr>
                <w:i/>
                <w:iCs/>
                <w:color w:val="auto"/>
                <w:u w:val="single"/>
              </w:rPr>
            </w:pPr>
            <w:r>
              <w:rPr>
                <w:rFonts w:hint="eastAsia"/>
                <w:i/>
                <w:iCs/>
                <w:color w:val="auto"/>
                <w:u w:val="single"/>
              </w:rPr>
              <w:t>/</w:t>
            </w:r>
          </w:p>
        </w:tc>
        <w:tc>
          <w:tcPr>
            <w:tcW w:w="620" w:type="pct"/>
            <w:vAlign w:val="center"/>
          </w:tcPr>
          <w:p w14:paraId="6049EB76">
            <w:pPr>
              <w:pStyle w:val="1343"/>
              <w:rPr>
                <w:i/>
                <w:iCs/>
                <w:color w:val="auto"/>
                <w:u w:val="single"/>
              </w:rPr>
            </w:pPr>
            <w:r>
              <w:rPr>
                <w:rFonts w:hint="eastAsia"/>
                <w:i/>
                <w:iCs/>
                <w:color w:val="auto"/>
                <w:u w:val="single"/>
              </w:rPr>
              <w:t>7998.4</w:t>
            </w:r>
          </w:p>
        </w:tc>
        <w:tc>
          <w:tcPr>
            <w:tcW w:w="627" w:type="pct"/>
            <w:vAlign w:val="center"/>
          </w:tcPr>
          <w:p w14:paraId="2FD3117E">
            <w:pPr>
              <w:pStyle w:val="1343"/>
              <w:rPr>
                <w:i/>
                <w:iCs/>
                <w:color w:val="auto"/>
                <w:u w:val="single"/>
              </w:rPr>
            </w:pPr>
            <w:r>
              <w:rPr>
                <w:rFonts w:hint="eastAsia"/>
                <w:i/>
                <w:iCs/>
                <w:color w:val="auto"/>
                <w:u w:val="single"/>
              </w:rPr>
              <w:t>/</w:t>
            </w:r>
          </w:p>
        </w:tc>
        <w:tc>
          <w:tcPr>
            <w:tcW w:w="627" w:type="pct"/>
            <w:vAlign w:val="center"/>
          </w:tcPr>
          <w:p w14:paraId="104AF739">
            <w:pPr>
              <w:pStyle w:val="1343"/>
              <w:rPr>
                <w:i/>
                <w:iCs/>
                <w:color w:val="auto"/>
                <w:u w:val="single"/>
              </w:rPr>
            </w:pPr>
            <w:r>
              <w:rPr>
                <w:rFonts w:hint="eastAsia"/>
                <w:i/>
                <w:iCs/>
                <w:color w:val="auto"/>
                <w:u w:val="single"/>
              </w:rPr>
              <w:t>/</w:t>
            </w:r>
          </w:p>
        </w:tc>
      </w:tr>
      <w:tr w14:paraId="75F12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pct"/>
            <w:vAlign w:val="center"/>
          </w:tcPr>
          <w:p w14:paraId="298A52B7">
            <w:pPr>
              <w:pStyle w:val="1343"/>
              <w:rPr>
                <w:i/>
                <w:iCs/>
                <w:color w:val="auto"/>
                <w:u w:val="single"/>
              </w:rPr>
            </w:pPr>
            <w:r>
              <w:rPr>
                <w:rFonts w:hint="eastAsia"/>
                <w:i/>
                <w:iCs/>
                <w:color w:val="auto"/>
                <w:u w:val="single"/>
              </w:rPr>
              <w:t>进站路</w:t>
            </w:r>
          </w:p>
        </w:tc>
        <w:tc>
          <w:tcPr>
            <w:tcW w:w="532" w:type="pct"/>
            <w:vAlign w:val="center"/>
          </w:tcPr>
          <w:p w14:paraId="0A9CD2EE">
            <w:pPr>
              <w:pStyle w:val="1343"/>
              <w:rPr>
                <w:i/>
                <w:iCs/>
                <w:color w:val="auto"/>
                <w:u w:val="single"/>
              </w:rPr>
            </w:pPr>
            <w:r>
              <w:rPr>
                <w:rFonts w:hint="eastAsia"/>
                <w:i/>
                <w:iCs/>
                <w:color w:val="auto"/>
                <w:u w:val="single"/>
              </w:rPr>
              <w:t>3264.6</w:t>
            </w:r>
          </w:p>
        </w:tc>
        <w:tc>
          <w:tcPr>
            <w:tcW w:w="502" w:type="pct"/>
            <w:vAlign w:val="center"/>
          </w:tcPr>
          <w:p w14:paraId="413EED02">
            <w:pPr>
              <w:pStyle w:val="1343"/>
              <w:rPr>
                <w:i/>
                <w:iCs/>
                <w:color w:val="auto"/>
                <w:u w:val="single"/>
              </w:rPr>
            </w:pPr>
            <w:r>
              <w:rPr>
                <w:rFonts w:hint="eastAsia"/>
                <w:i/>
                <w:iCs/>
                <w:color w:val="auto"/>
                <w:u w:val="single"/>
              </w:rPr>
              <w:t>/</w:t>
            </w:r>
          </w:p>
        </w:tc>
        <w:tc>
          <w:tcPr>
            <w:tcW w:w="430" w:type="pct"/>
            <w:vAlign w:val="center"/>
          </w:tcPr>
          <w:p w14:paraId="4813687F">
            <w:pPr>
              <w:pStyle w:val="1343"/>
              <w:rPr>
                <w:i/>
                <w:iCs/>
                <w:color w:val="auto"/>
                <w:u w:val="single"/>
              </w:rPr>
            </w:pPr>
            <w:r>
              <w:rPr>
                <w:rFonts w:hint="eastAsia"/>
                <w:i/>
                <w:iCs/>
                <w:color w:val="auto"/>
                <w:u w:val="single"/>
              </w:rPr>
              <w:t>/</w:t>
            </w:r>
          </w:p>
        </w:tc>
        <w:tc>
          <w:tcPr>
            <w:tcW w:w="444" w:type="pct"/>
            <w:vAlign w:val="center"/>
          </w:tcPr>
          <w:p w14:paraId="3F3B91CC">
            <w:pPr>
              <w:pStyle w:val="1343"/>
              <w:rPr>
                <w:i/>
                <w:iCs/>
                <w:color w:val="auto"/>
                <w:u w:val="single"/>
              </w:rPr>
            </w:pPr>
            <w:r>
              <w:rPr>
                <w:rFonts w:hint="eastAsia"/>
                <w:i/>
                <w:iCs/>
                <w:color w:val="auto"/>
                <w:u w:val="single"/>
              </w:rPr>
              <w:t>/</w:t>
            </w:r>
          </w:p>
        </w:tc>
        <w:tc>
          <w:tcPr>
            <w:tcW w:w="557" w:type="pct"/>
            <w:vAlign w:val="center"/>
          </w:tcPr>
          <w:p w14:paraId="69A258AF">
            <w:pPr>
              <w:pStyle w:val="1343"/>
              <w:rPr>
                <w:i/>
                <w:iCs/>
                <w:color w:val="auto"/>
                <w:u w:val="single"/>
              </w:rPr>
            </w:pPr>
            <w:r>
              <w:rPr>
                <w:rFonts w:hint="eastAsia"/>
                <w:i/>
                <w:iCs/>
                <w:color w:val="auto"/>
                <w:u w:val="single"/>
              </w:rPr>
              <w:t>2532.4</w:t>
            </w:r>
          </w:p>
        </w:tc>
        <w:tc>
          <w:tcPr>
            <w:tcW w:w="620" w:type="pct"/>
            <w:vAlign w:val="center"/>
          </w:tcPr>
          <w:p w14:paraId="0635154A">
            <w:pPr>
              <w:pStyle w:val="1343"/>
              <w:rPr>
                <w:i/>
                <w:iCs/>
                <w:color w:val="auto"/>
                <w:u w:val="single"/>
              </w:rPr>
            </w:pPr>
            <w:r>
              <w:rPr>
                <w:rFonts w:hint="eastAsia"/>
                <w:i/>
                <w:iCs/>
                <w:color w:val="auto"/>
                <w:u w:val="single"/>
              </w:rPr>
              <w:t>/</w:t>
            </w:r>
          </w:p>
        </w:tc>
        <w:tc>
          <w:tcPr>
            <w:tcW w:w="627" w:type="pct"/>
            <w:vAlign w:val="center"/>
          </w:tcPr>
          <w:p w14:paraId="5D31B483">
            <w:pPr>
              <w:pStyle w:val="1343"/>
              <w:rPr>
                <w:i/>
                <w:iCs/>
                <w:color w:val="auto"/>
                <w:u w:val="single"/>
              </w:rPr>
            </w:pPr>
            <w:r>
              <w:rPr>
                <w:rFonts w:hint="eastAsia"/>
                <w:i/>
                <w:iCs/>
                <w:color w:val="auto"/>
                <w:u w:val="single"/>
              </w:rPr>
              <w:t>/</w:t>
            </w:r>
          </w:p>
        </w:tc>
        <w:tc>
          <w:tcPr>
            <w:tcW w:w="627" w:type="pct"/>
            <w:vAlign w:val="center"/>
          </w:tcPr>
          <w:p w14:paraId="2D35158B">
            <w:pPr>
              <w:pStyle w:val="1343"/>
              <w:rPr>
                <w:i/>
                <w:iCs/>
                <w:color w:val="auto"/>
                <w:u w:val="single"/>
              </w:rPr>
            </w:pPr>
            <w:r>
              <w:rPr>
                <w:rFonts w:hint="eastAsia"/>
                <w:i/>
                <w:iCs/>
                <w:color w:val="auto"/>
                <w:u w:val="single"/>
              </w:rPr>
              <w:t>732.2</w:t>
            </w:r>
          </w:p>
        </w:tc>
      </w:tr>
      <w:tr w14:paraId="445FC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pct"/>
            <w:vAlign w:val="center"/>
          </w:tcPr>
          <w:p w14:paraId="33D4D4A8">
            <w:pPr>
              <w:pStyle w:val="1343"/>
              <w:rPr>
                <w:i/>
                <w:iCs/>
                <w:color w:val="auto"/>
                <w:u w:val="single"/>
              </w:rPr>
            </w:pPr>
            <w:r>
              <w:rPr>
                <w:rFonts w:hint="eastAsia"/>
                <w:i/>
                <w:iCs/>
                <w:color w:val="auto"/>
                <w:u w:val="single"/>
              </w:rPr>
              <w:t>标志桩</w:t>
            </w:r>
          </w:p>
        </w:tc>
        <w:tc>
          <w:tcPr>
            <w:tcW w:w="532" w:type="pct"/>
            <w:vAlign w:val="center"/>
          </w:tcPr>
          <w:p w14:paraId="63248986">
            <w:pPr>
              <w:pStyle w:val="1343"/>
              <w:rPr>
                <w:i/>
                <w:iCs/>
                <w:color w:val="auto"/>
                <w:u w:val="single"/>
              </w:rPr>
            </w:pPr>
            <w:r>
              <w:rPr>
                <w:rFonts w:hint="eastAsia"/>
                <w:i/>
                <w:iCs/>
                <w:color w:val="auto"/>
                <w:u w:val="single"/>
              </w:rPr>
              <w:t>31</w:t>
            </w:r>
          </w:p>
        </w:tc>
        <w:tc>
          <w:tcPr>
            <w:tcW w:w="502" w:type="pct"/>
            <w:vAlign w:val="center"/>
          </w:tcPr>
          <w:p w14:paraId="3BF0870D">
            <w:pPr>
              <w:pStyle w:val="1343"/>
              <w:rPr>
                <w:i/>
                <w:iCs/>
                <w:color w:val="auto"/>
                <w:u w:val="single"/>
              </w:rPr>
            </w:pPr>
            <w:r>
              <w:rPr>
                <w:rFonts w:hint="eastAsia"/>
                <w:i/>
                <w:iCs/>
                <w:color w:val="auto"/>
                <w:u w:val="single"/>
              </w:rPr>
              <w:t>/</w:t>
            </w:r>
          </w:p>
        </w:tc>
        <w:tc>
          <w:tcPr>
            <w:tcW w:w="430" w:type="pct"/>
            <w:vAlign w:val="center"/>
          </w:tcPr>
          <w:p w14:paraId="16FA3CA8">
            <w:pPr>
              <w:pStyle w:val="1343"/>
              <w:rPr>
                <w:i/>
                <w:iCs/>
                <w:color w:val="auto"/>
                <w:u w:val="single"/>
              </w:rPr>
            </w:pPr>
            <w:r>
              <w:rPr>
                <w:rFonts w:hint="eastAsia"/>
                <w:i/>
                <w:iCs/>
                <w:color w:val="auto"/>
                <w:u w:val="single"/>
              </w:rPr>
              <w:t>13</w:t>
            </w:r>
          </w:p>
        </w:tc>
        <w:tc>
          <w:tcPr>
            <w:tcW w:w="444" w:type="pct"/>
            <w:vAlign w:val="center"/>
          </w:tcPr>
          <w:p w14:paraId="7AA476DE">
            <w:pPr>
              <w:pStyle w:val="1343"/>
              <w:rPr>
                <w:i/>
                <w:iCs/>
                <w:color w:val="auto"/>
                <w:u w:val="single"/>
              </w:rPr>
            </w:pPr>
            <w:r>
              <w:rPr>
                <w:rFonts w:hint="eastAsia"/>
                <w:i/>
                <w:iCs/>
                <w:color w:val="auto"/>
                <w:u w:val="single"/>
              </w:rPr>
              <w:t>5</w:t>
            </w:r>
          </w:p>
        </w:tc>
        <w:tc>
          <w:tcPr>
            <w:tcW w:w="557" w:type="pct"/>
            <w:vAlign w:val="center"/>
          </w:tcPr>
          <w:p w14:paraId="3F545D82">
            <w:pPr>
              <w:pStyle w:val="1343"/>
              <w:rPr>
                <w:i/>
                <w:iCs/>
                <w:color w:val="auto"/>
                <w:u w:val="single"/>
              </w:rPr>
            </w:pPr>
            <w:r>
              <w:rPr>
                <w:rFonts w:hint="eastAsia"/>
                <w:i/>
                <w:iCs/>
                <w:color w:val="auto"/>
                <w:u w:val="single"/>
              </w:rPr>
              <w:t>/</w:t>
            </w:r>
          </w:p>
        </w:tc>
        <w:tc>
          <w:tcPr>
            <w:tcW w:w="620" w:type="pct"/>
            <w:vAlign w:val="center"/>
          </w:tcPr>
          <w:p w14:paraId="454C75F1">
            <w:pPr>
              <w:pStyle w:val="1343"/>
              <w:rPr>
                <w:i/>
                <w:iCs/>
                <w:color w:val="auto"/>
                <w:u w:val="single"/>
              </w:rPr>
            </w:pPr>
            <w:r>
              <w:rPr>
                <w:rFonts w:hint="eastAsia"/>
                <w:i/>
                <w:iCs/>
                <w:color w:val="auto"/>
                <w:u w:val="single"/>
              </w:rPr>
              <w:t>13</w:t>
            </w:r>
          </w:p>
        </w:tc>
        <w:tc>
          <w:tcPr>
            <w:tcW w:w="627" w:type="pct"/>
            <w:vAlign w:val="center"/>
          </w:tcPr>
          <w:p w14:paraId="7CE6F6A4">
            <w:pPr>
              <w:pStyle w:val="1343"/>
              <w:rPr>
                <w:i/>
                <w:iCs/>
                <w:color w:val="auto"/>
                <w:u w:val="single"/>
              </w:rPr>
            </w:pPr>
            <w:r>
              <w:rPr>
                <w:rFonts w:hint="eastAsia"/>
                <w:i/>
                <w:iCs/>
                <w:color w:val="auto"/>
                <w:u w:val="single"/>
              </w:rPr>
              <w:t>/</w:t>
            </w:r>
          </w:p>
        </w:tc>
        <w:tc>
          <w:tcPr>
            <w:tcW w:w="627" w:type="pct"/>
            <w:vAlign w:val="center"/>
          </w:tcPr>
          <w:p w14:paraId="07A16FB3">
            <w:pPr>
              <w:pStyle w:val="1343"/>
              <w:rPr>
                <w:i/>
                <w:iCs/>
                <w:color w:val="auto"/>
                <w:u w:val="single"/>
              </w:rPr>
            </w:pPr>
            <w:r>
              <w:rPr>
                <w:rFonts w:hint="eastAsia"/>
                <w:i/>
                <w:iCs/>
                <w:color w:val="auto"/>
                <w:u w:val="single"/>
              </w:rPr>
              <w:t>/</w:t>
            </w:r>
          </w:p>
        </w:tc>
      </w:tr>
      <w:tr w14:paraId="224EE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pct"/>
            <w:vAlign w:val="center"/>
          </w:tcPr>
          <w:p w14:paraId="0AD275D1">
            <w:pPr>
              <w:pStyle w:val="1343"/>
              <w:rPr>
                <w:i/>
                <w:iCs/>
                <w:color w:val="auto"/>
                <w:u w:val="single"/>
              </w:rPr>
            </w:pPr>
            <w:r>
              <w:rPr>
                <w:rFonts w:hint="eastAsia"/>
                <w:i/>
                <w:iCs/>
                <w:color w:val="auto"/>
                <w:u w:val="single"/>
              </w:rPr>
              <w:t>施工作业带</w:t>
            </w:r>
          </w:p>
        </w:tc>
        <w:tc>
          <w:tcPr>
            <w:tcW w:w="532" w:type="pct"/>
            <w:vAlign w:val="center"/>
          </w:tcPr>
          <w:p w14:paraId="5DCDD976">
            <w:pPr>
              <w:pStyle w:val="1343"/>
              <w:rPr>
                <w:i/>
                <w:iCs/>
                <w:color w:val="auto"/>
                <w:u w:val="single"/>
              </w:rPr>
            </w:pPr>
            <w:r>
              <w:rPr>
                <w:rFonts w:hint="eastAsia"/>
                <w:i/>
                <w:iCs/>
                <w:color w:val="auto"/>
                <w:u w:val="single"/>
              </w:rPr>
              <w:t>/</w:t>
            </w:r>
          </w:p>
        </w:tc>
        <w:tc>
          <w:tcPr>
            <w:tcW w:w="502" w:type="pct"/>
            <w:vAlign w:val="center"/>
          </w:tcPr>
          <w:p w14:paraId="4CF93663">
            <w:pPr>
              <w:pStyle w:val="1343"/>
              <w:rPr>
                <w:i/>
                <w:iCs/>
                <w:color w:val="auto"/>
                <w:u w:val="single"/>
              </w:rPr>
            </w:pPr>
            <w:r>
              <w:rPr>
                <w:rFonts w:hint="eastAsia"/>
                <w:i/>
                <w:iCs/>
                <w:color w:val="auto"/>
                <w:u w:val="single"/>
              </w:rPr>
              <w:t>8960</w:t>
            </w:r>
          </w:p>
        </w:tc>
        <w:tc>
          <w:tcPr>
            <w:tcW w:w="430" w:type="pct"/>
            <w:vAlign w:val="center"/>
          </w:tcPr>
          <w:p w14:paraId="07FE128C">
            <w:pPr>
              <w:pStyle w:val="1343"/>
              <w:rPr>
                <w:i/>
                <w:iCs/>
                <w:color w:val="auto"/>
                <w:u w:val="single"/>
              </w:rPr>
            </w:pPr>
            <w:r>
              <w:rPr>
                <w:rFonts w:hint="eastAsia"/>
                <w:i/>
                <w:iCs/>
                <w:color w:val="auto"/>
                <w:u w:val="single"/>
              </w:rPr>
              <w:t>6598</w:t>
            </w:r>
          </w:p>
        </w:tc>
        <w:tc>
          <w:tcPr>
            <w:tcW w:w="444" w:type="pct"/>
            <w:vAlign w:val="center"/>
          </w:tcPr>
          <w:p w14:paraId="4F399EC5">
            <w:pPr>
              <w:pStyle w:val="1343"/>
              <w:rPr>
                <w:i/>
                <w:iCs/>
                <w:color w:val="auto"/>
                <w:u w:val="single"/>
              </w:rPr>
            </w:pPr>
            <w:r>
              <w:rPr>
                <w:rFonts w:hint="eastAsia"/>
                <w:i/>
                <w:iCs/>
                <w:color w:val="auto"/>
                <w:u w:val="single"/>
              </w:rPr>
              <w:t>1029</w:t>
            </w:r>
          </w:p>
        </w:tc>
        <w:tc>
          <w:tcPr>
            <w:tcW w:w="557" w:type="pct"/>
            <w:vAlign w:val="center"/>
          </w:tcPr>
          <w:p w14:paraId="3ABC4398">
            <w:pPr>
              <w:pStyle w:val="1343"/>
              <w:rPr>
                <w:i/>
                <w:iCs/>
                <w:color w:val="auto"/>
                <w:u w:val="single"/>
              </w:rPr>
            </w:pPr>
            <w:r>
              <w:rPr>
                <w:rFonts w:hint="eastAsia"/>
                <w:i/>
                <w:iCs/>
                <w:color w:val="auto"/>
                <w:u w:val="single"/>
              </w:rPr>
              <w:t>116</w:t>
            </w:r>
          </w:p>
        </w:tc>
        <w:tc>
          <w:tcPr>
            <w:tcW w:w="620" w:type="pct"/>
            <w:vAlign w:val="center"/>
          </w:tcPr>
          <w:p w14:paraId="1BF268C5">
            <w:pPr>
              <w:pStyle w:val="1343"/>
              <w:rPr>
                <w:i/>
                <w:iCs/>
                <w:color w:val="auto"/>
                <w:u w:val="single"/>
              </w:rPr>
            </w:pPr>
            <w:r>
              <w:rPr>
                <w:rFonts w:hint="eastAsia"/>
                <w:i/>
                <w:iCs/>
                <w:color w:val="auto"/>
                <w:u w:val="single"/>
              </w:rPr>
              <w:t>885</w:t>
            </w:r>
          </w:p>
        </w:tc>
        <w:tc>
          <w:tcPr>
            <w:tcW w:w="627" w:type="pct"/>
            <w:vAlign w:val="center"/>
          </w:tcPr>
          <w:p w14:paraId="6313A73B">
            <w:pPr>
              <w:pStyle w:val="1343"/>
              <w:rPr>
                <w:i/>
                <w:iCs/>
                <w:color w:val="auto"/>
                <w:u w:val="single"/>
              </w:rPr>
            </w:pPr>
            <w:r>
              <w:rPr>
                <w:rFonts w:hint="eastAsia"/>
                <w:i/>
                <w:iCs/>
                <w:color w:val="auto"/>
                <w:u w:val="single"/>
              </w:rPr>
              <w:t>332</w:t>
            </w:r>
          </w:p>
        </w:tc>
        <w:tc>
          <w:tcPr>
            <w:tcW w:w="627" w:type="pct"/>
            <w:vAlign w:val="center"/>
          </w:tcPr>
          <w:p w14:paraId="665685AE">
            <w:pPr>
              <w:pStyle w:val="1343"/>
              <w:rPr>
                <w:i/>
                <w:iCs/>
                <w:color w:val="auto"/>
                <w:u w:val="single"/>
              </w:rPr>
            </w:pPr>
            <w:r>
              <w:rPr>
                <w:rFonts w:hint="eastAsia"/>
                <w:i/>
                <w:iCs/>
                <w:color w:val="auto"/>
                <w:u w:val="single"/>
              </w:rPr>
              <w:t>/</w:t>
            </w:r>
          </w:p>
        </w:tc>
      </w:tr>
      <w:tr w14:paraId="0DF1B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pct"/>
            <w:vAlign w:val="center"/>
          </w:tcPr>
          <w:p w14:paraId="4DB502E9">
            <w:pPr>
              <w:pStyle w:val="1343"/>
              <w:rPr>
                <w:i/>
                <w:iCs/>
                <w:color w:val="auto"/>
                <w:u w:val="single"/>
              </w:rPr>
            </w:pPr>
            <w:r>
              <w:rPr>
                <w:rFonts w:hint="eastAsia"/>
                <w:i/>
                <w:iCs/>
                <w:color w:val="auto"/>
                <w:u w:val="single"/>
              </w:rPr>
              <w:t>堆管场地</w:t>
            </w:r>
          </w:p>
        </w:tc>
        <w:tc>
          <w:tcPr>
            <w:tcW w:w="532" w:type="pct"/>
            <w:vAlign w:val="center"/>
          </w:tcPr>
          <w:p w14:paraId="08842057">
            <w:pPr>
              <w:pStyle w:val="1343"/>
              <w:rPr>
                <w:i/>
                <w:iCs/>
                <w:color w:val="auto"/>
                <w:u w:val="single"/>
              </w:rPr>
            </w:pPr>
            <w:r>
              <w:rPr>
                <w:rFonts w:hint="eastAsia"/>
                <w:i/>
                <w:iCs/>
                <w:color w:val="auto"/>
                <w:u w:val="single"/>
              </w:rPr>
              <w:t>/</w:t>
            </w:r>
          </w:p>
        </w:tc>
        <w:tc>
          <w:tcPr>
            <w:tcW w:w="502" w:type="pct"/>
            <w:vAlign w:val="center"/>
          </w:tcPr>
          <w:p w14:paraId="49D64E1D">
            <w:pPr>
              <w:pStyle w:val="1343"/>
              <w:rPr>
                <w:i/>
                <w:iCs/>
                <w:color w:val="auto"/>
                <w:u w:val="single"/>
              </w:rPr>
            </w:pPr>
            <w:r>
              <w:rPr>
                <w:rFonts w:hint="eastAsia"/>
                <w:i/>
                <w:iCs/>
                <w:color w:val="auto"/>
                <w:u w:val="single"/>
              </w:rPr>
              <w:t>800</w:t>
            </w:r>
          </w:p>
        </w:tc>
        <w:tc>
          <w:tcPr>
            <w:tcW w:w="430" w:type="pct"/>
            <w:vAlign w:val="center"/>
          </w:tcPr>
          <w:p w14:paraId="67ACBC0B">
            <w:pPr>
              <w:pStyle w:val="1343"/>
              <w:rPr>
                <w:i/>
                <w:iCs/>
                <w:color w:val="auto"/>
                <w:u w:val="single"/>
              </w:rPr>
            </w:pPr>
            <w:r>
              <w:rPr>
                <w:rFonts w:hint="eastAsia"/>
                <w:i/>
                <w:iCs/>
                <w:color w:val="auto"/>
                <w:u w:val="single"/>
              </w:rPr>
              <w:t>/</w:t>
            </w:r>
          </w:p>
        </w:tc>
        <w:tc>
          <w:tcPr>
            <w:tcW w:w="444" w:type="pct"/>
            <w:vAlign w:val="center"/>
          </w:tcPr>
          <w:p w14:paraId="1F76D6CC">
            <w:pPr>
              <w:pStyle w:val="1343"/>
              <w:rPr>
                <w:i/>
                <w:iCs/>
                <w:color w:val="auto"/>
                <w:u w:val="single"/>
              </w:rPr>
            </w:pPr>
            <w:r>
              <w:rPr>
                <w:rFonts w:hint="eastAsia"/>
                <w:i/>
                <w:iCs/>
                <w:color w:val="auto"/>
                <w:u w:val="single"/>
              </w:rPr>
              <w:t>/</w:t>
            </w:r>
          </w:p>
        </w:tc>
        <w:tc>
          <w:tcPr>
            <w:tcW w:w="557" w:type="pct"/>
            <w:vAlign w:val="center"/>
          </w:tcPr>
          <w:p w14:paraId="308DE6BA">
            <w:pPr>
              <w:pStyle w:val="1343"/>
              <w:rPr>
                <w:i/>
                <w:iCs/>
                <w:color w:val="auto"/>
                <w:u w:val="single"/>
              </w:rPr>
            </w:pPr>
            <w:r>
              <w:rPr>
                <w:rFonts w:hint="eastAsia"/>
                <w:i/>
                <w:iCs/>
                <w:color w:val="auto"/>
                <w:u w:val="single"/>
              </w:rPr>
              <w:t>/</w:t>
            </w:r>
          </w:p>
        </w:tc>
        <w:tc>
          <w:tcPr>
            <w:tcW w:w="620" w:type="pct"/>
            <w:vAlign w:val="center"/>
          </w:tcPr>
          <w:p w14:paraId="226B4232">
            <w:pPr>
              <w:pStyle w:val="1343"/>
              <w:rPr>
                <w:i/>
                <w:iCs/>
                <w:color w:val="auto"/>
                <w:u w:val="single"/>
              </w:rPr>
            </w:pPr>
            <w:r>
              <w:rPr>
                <w:rFonts w:hint="eastAsia"/>
                <w:i/>
                <w:iCs/>
                <w:color w:val="auto"/>
                <w:u w:val="single"/>
              </w:rPr>
              <w:t>/</w:t>
            </w:r>
          </w:p>
        </w:tc>
        <w:tc>
          <w:tcPr>
            <w:tcW w:w="627" w:type="pct"/>
            <w:vAlign w:val="center"/>
          </w:tcPr>
          <w:p w14:paraId="23F726AE">
            <w:pPr>
              <w:pStyle w:val="1343"/>
              <w:rPr>
                <w:i/>
                <w:iCs/>
                <w:color w:val="auto"/>
                <w:u w:val="single"/>
              </w:rPr>
            </w:pPr>
            <w:r>
              <w:rPr>
                <w:rFonts w:hint="eastAsia"/>
                <w:i/>
                <w:iCs/>
                <w:color w:val="auto"/>
                <w:u w:val="single"/>
              </w:rPr>
              <w:t>/</w:t>
            </w:r>
          </w:p>
        </w:tc>
        <w:tc>
          <w:tcPr>
            <w:tcW w:w="627" w:type="pct"/>
            <w:vAlign w:val="center"/>
          </w:tcPr>
          <w:p w14:paraId="37C03743">
            <w:pPr>
              <w:pStyle w:val="1343"/>
              <w:rPr>
                <w:i/>
                <w:iCs/>
                <w:color w:val="auto"/>
                <w:u w:val="single"/>
              </w:rPr>
            </w:pPr>
            <w:r>
              <w:rPr>
                <w:rFonts w:hint="eastAsia"/>
                <w:i/>
                <w:iCs/>
                <w:color w:val="auto"/>
                <w:u w:val="single"/>
              </w:rPr>
              <w:t>800</w:t>
            </w:r>
          </w:p>
        </w:tc>
      </w:tr>
      <w:tr w14:paraId="2873D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6" w:type="pct"/>
            <w:vAlign w:val="center"/>
          </w:tcPr>
          <w:p w14:paraId="7CB87EC1">
            <w:pPr>
              <w:pStyle w:val="1343"/>
              <w:rPr>
                <w:i/>
                <w:iCs/>
                <w:color w:val="auto"/>
                <w:u w:val="single"/>
              </w:rPr>
            </w:pPr>
            <w:r>
              <w:rPr>
                <w:rFonts w:hint="eastAsia"/>
                <w:i/>
                <w:iCs/>
                <w:color w:val="auto"/>
                <w:u w:val="single"/>
              </w:rPr>
              <w:t>合计</w:t>
            </w:r>
          </w:p>
        </w:tc>
        <w:tc>
          <w:tcPr>
            <w:tcW w:w="532" w:type="pct"/>
            <w:vAlign w:val="center"/>
          </w:tcPr>
          <w:p w14:paraId="2FD4771C">
            <w:pPr>
              <w:pStyle w:val="1343"/>
              <w:rPr>
                <w:i/>
                <w:iCs/>
                <w:color w:val="auto"/>
                <w:u w:val="single"/>
              </w:rPr>
            </w:pPr>
            <w:r>
              <w:rPr>
                <w:rFonts w:hint="eastAsia"/>
                <w:i/>
                <w:iCs/>
                <w:color w:val="auto"/>
                <w:u w:val="single"/>
              </w:rPr>
              <w:t>11294</w:t>
            </w:r>
          </w:p>
        </w:tc>
        <w:tc>
          <w:tcPr>
            <w:tcW w:w="502" w:type="pct"/>
            <w:vAlign w:val="center"/>
          </w:tcPr>
          <w:p w14:paraId="5A935253">
            <w:pPr>
              <w:pStyle w:val="1343"/>
              <w:rPr>
                <w:i/>
                <w:iCs/>
                <w:color w:val="auto"/>
                <w:u w:val="single"/>
              </w:rPr>
            </w:pPr>
            <w:r>
              <w:rPr>
                <w:rFonts w:hint="eastAsia"/>
                <w:i/>
                <w:iCs/>
                <w:color w:val="auto"/>
                <w:u w:val="single"/>
              </w:rPr>
              <w:t>9760</w:t>
            </w:r>
          </w:p>
        </w:tc>
        <w:tc>
          <w:tcPr>
            <w:tcW w:w="430" w:type="pct"/>
            <w:vAlign w:val="center"/>
          </w:tcPr>
          <w:p w14:paraId="51102BC1">
            <w:pPr>
              <w:pStyle w:val="1343"/>
              <w:rPr>
                <w:i/>
                <w:iCs/>
                <w:color w:val="auto"/>
                <w:u w:val="single"/>
              </w:rPr>
            </w:pPr>
            <w:r>
              <w:rPr>
                <w:rFonts w:hint="eastAsia"/>
                <w:i/>
                <w:iCs/>
                <w:color w:val="auto"/>
                <w:u w:val="single"/>
              </w:rPr>
              <w:t>6611</w:t>
            </w:r>
          </w:p>
        </w:tc>
        <w:tc>
          <w:tcPr>
            <w:tcW w:w="444" w:type="pct"/>
            <w:vAlign w:val="center"/>
          </w:tcPr>
          <w:p w14:paraId="6E1B92AF">
            <w:pPr>
              <w:pStyle w:val="1343"/>
              <w:rPr>
                <w:i/>
                <w:iCs/>
                <w:color w:val="auto"/>
                <w:u w:val="single"/>
              </w:rPr>
            </w:pPr>
            <w:r>
              <w:rPr>
                <w:rFonts w:hint="eastAsia"/>
                <w:i/>
                <w:iCs/>
                <w:color w:val="auto"/>
                <w:u w:val="single"/>
              </w:rPr>
              <w:t>1034</w:t>
            </w:r>
          </w:p>
        </w:tc>
        <w:tc>
          <w:tcPr>
            <w:tcW w:w="557" w:type="pct"/>
            <w:vAlign w:val="center"/>
          </w:tcPr>
          <w:p w14:paraId="563AF4B4">
            <w:pPr>
              <w:pStyle w:val="1343"/>
              <w:rPr>
                <w:i/>
                <w:iCs/>
                <w:color w:val="auto"/>
                <w:u w:val="single"/>
              </w:rPr>
            </w:pPr>
            <w:r>
              <w:rPr>
                <w:rFonts w:hint="eastAsia"/>
                <w:i/>
                <w:iCs/>
                <w:color w:val="auto"/>
                <w:u w:val="single"/>
              </w:rPr>
              <w:t>2648.4</w:t>
            </w:r>
          </w:p>
        </w:tc>
        <w:tc>
          <w:tcPr>
            <w:tcW w:w="620" w:type="pct"/>
            <w:vAlign w:val="center"/>
          </w:tcPr>
          <w:p w14:paraId="0117554F">
            <w:pPr>
              <w:pStyle w:val="1343"/>
              <w:rPr>
                <w:i/>
                <w:iCs/>
                <w:color w:val="auto"/>
                <w:u w:val="single"/>
              </w:rPr>
            </w:pPr>
            <w:r>
              <w:rPr>
                <w:rFonts w:hint="eastAsia"/>
                <w:i/>
                <w:iCs/>
                <w:color w:val="auto"/>
                <w:u w:val="single"/>
              </w:rPr>
              <w:t>8896.4</w:t>
            </w:r>
          </w:p>
        </w:tc>
        <w:tc>
          <w:tcPr>
            <w:tcW w:w="627" w:type="pct"/>
            <w:vAlign w:val="center"/>
          </w:tcPr>
          <w:p w14:paraId="521C5108">
            <w:pPr>
              <w:pStyle w:val="1343"/>
              <w:rPr>
                <w:i/>
                <w:iCs/>
                <w:color w:val="auto"/>
                <w:u w:val="single"/>
              </w:rPr>
            </w:pPr>
            <w:r>
              <w:rPr>
                <w:rFonts w:hint="eastAsia"/>
                <w:i/>
                <w:iCs/>
                <w:color w:val="auto"/>
                <w:u w:val="single"/>
              </w:rPr>
              <w:t>332</w:t>
            </w:r>
          </w:p>
        </w:tc>
        <w:tc>
          <w:tcPr>
            <w:tcW w:w="627" w:type="pct"/>
            <w:vAlign w:val="center"/>
          </w:tcPr>
          <w:p w14:paraId="66175AF1">
            <w:pPr>
              <w:pStyle w:val="1343"/>
              <w:rPr>
                <w:i/>
                <w:iCs/>
                <w:color w:val="auto"/>
                <w:u w:val="single"/>
              </w:rPr>
            </w:pPr>
            <w:r>
              <w:rPr>
                <w:rFonts w:hint="eastAsia"/>
                <w:i/>
                <w:iCs/>
                <w:color w:val="auto"/>
                <w:u w:val="single"/>
              </w:rPr>
              <w:t>1532.2</w:t>
            </w:r>
          </w:p>
        </w:tc>
      </w:tr>
    </w:tbl>
    <w:p w14:paraId="76A44DBF">
      <w:pPr>
        <w:pStyle w:val="234"/>
        <w:snapToGrid w:val="0"/>
        <w:spacing w:before="120" w:beforeLines="50"/>
      </w:pPr>
      <w:r>
        <w:rPr>
          <w:rFonts w:hint="eastAsia"/>
        </w:rPr>
        <w:t>由上表可知，本工程总占地面积为21054m</w:t>
      </w:r>
      <w:r>
        <w:rPr>
          <w:rFonts w:hint="eastAsia"/>
          <w:vertAlign w:val="superscript"/>
        </w:rPr>
        <w:t>2</w:t>
      </w:r>
      <w:r>
        <w:rPr>
          <w:rFonts w:hint="eastAsia"/>
        </w:rPr>
        <w:t>，其中永久占地面积11294m</w:t>
      </w:r>
      <w:r>
        <w:rPr>
          <w:vertAlign w:val="superscript"/>
        </w:rPr>
        <w:t>2</w:t>
      </w:r>
      <w:r>
        <w:rPr>
          <w:rFonts w:hint="eastAsia"/>
        </w:rPr>
        <w:t>，临时占地面积共9760m</w:t>
      </w:r>
      <w:r>
        <w:rPr>
          <w:vertAlign w:val="superscript"/>
        </w:rPr>
        <w:t>2</w:t>
      </w:r>
      <w:r>
        <w:rPr>
          <w:rFonts w:hint="eastAsia"/>
        </w:rPr>
        <w:t>。</w:t>
      </w:r>
    </w:p>
    <w:p w14:paraId="65D74ECC">
      <w:pPr>
        <w:pStyle w:val="234"/>
      </w:pPr>
      <w:r>
        <w:rPr>
          <w:rFonts w:hint="eastAsia"/>
        </w:rPr>
        <w:t>耕地总占地面积为7645m</w:t>
      </w:r>
      <w:r>
        <w:rPr>
          <w:rFonts w:hint="eastAsia"/>
          <w:vertAlign w:val="superscript"/>
        </w:rPr>
        <w:t>2</w:t>
      </w:r>
      <w:r>
        <w:rPr>
          <w:rFonts w:hint="eastAsia"/>
        </w:rPr>
        <w:t>，属于永久基本农田，其中除标志桩的少量永久占地（18m</w:t>
      </w:r>
      <w:r>
        <w:rPr>
          <w:rFonts w:hint="eastAsia"/>
          <w:vertAlign w:val="superscript"/>
        </w:rPr>
        <w:t>2</w:t>
      </w:r>
      <w:r>
        <w:rPr>
          <w:rFonts w:hint="eastAsia"/>
        </w:rPr>
        <w:t>）外大部分为临时占地（7627m</w:t>
      </w:r>
      <w:r>
        <w:rPr>
          <w:rFonts w:hint="eastAsia"/>
          <w:vertAlign w:val="superscript"/>
        </w:rPr>
        <w:t>2</w:t>
      </w:r>
      <w:r>
        <w:rPr>
          <w:rFonts w:hint="eastAsia"/>
        </w:rPr>
        <w:t>）。</w:t>
      </w:r>
      <w:r>
        <w:t>工程施工过程中</w:t>
      </w:r>
      <w:r>
        <w:rPr>
          <w:rFonts w:hint="eastAsia"/>
        </w:rPr>
        <w:t>应</w:t>
      </w:r>
      <w:r>
        <w:t>严格执行国家占用耕地补偿和临时用地复垦规定。</w:t>
      </w:r>
      <w:r>
        <w:rPr>
          <w:rFonts w:hint="eastAsia"/>
        </w:rPr>
        <w:t>永久</w:t>
      </w:r>
      <w:r>
        <w:t>占用</w:t>
      </w:r>
      <w:r>
        <w:rPr>
          <w:rFonts w:hint="eastAsia"/>
        </w:rPr>
        <w:t>的</w:t>
      </w:r>
      <w:r>
        <w:t>耕地的按照“占一补一”原则，根据</w:t>
      </w:r>
      <w:r>
        <w:rPr>
          <w:rFonts w:hint="eastAsia"/>
        </w:rPr>
        <w:t>湖南</w:t>
      </w:r>
      <w:r>
        <w:t>省的规定标准，以缴纳耕地开垦费委托开垦的方式予以补充；临时用地待施工完成后，及时进行复垦</w:t>
      </w:r>
      <w:r>
        <w:rPr>
          <w:rFonts w:hint="eastAsia"/>
        </w:rPr>
        <w:t>。</w:t>
      </w:r>
    </w:p>
    <w:p w14:paraId="19ABC701">
      <w:pPr>
        <w:pStyle w:val="234"/>
      </w:pPr>
      <w:r>
        <w:rPr>
          <w:rFonts w:hint="eastAsia"/>
        </w:rPr>
        <w:t>其他林地总占地面积为8896.4m</w:t>
      </w:r>
      <w:r>
        <w:rPr>
          <w:rFonts w:hint="eastAsia"/>
          <w:vertAlign w:val="superscript"/>
        </w:rPr>
        <w:t>2</w:t>
      </w:r>
      <w:r>
        <w:rPr>
          <w:rFonts w:hint="eastAsia"/>
        </w:rPr>
        <w:t>，属于省级公益林，其中永久占用公益林面积为8011.4m</w:t>
      </w:r>
      <w:r>
        <w:rPr>
          <w:rFonts w:hint="eastAsia"/>
          <w:vertAlign w:val="superscript"/>
        </w:rPr>
        <w:t>2</w:t>
      </w:r>
      <w:r>
        <w:rPr>
          <w:rFonts w:hint="eastAsia"/>
        </w:rPr>
        <w:t>，在建设前办理相关林业审批手续，并缴纳林地补偿费。</w:t>
      </w:r>
    </w:p>
    <w:p w14:paraId="791B0B02">
      <w:pPr>
        <w:pStyle w:val="5"/>
        <w:rPr>
          <w:color w:val="auto"/>
        </w:rPr>
      </w:pPr>
      <w:r>
        <w:rPr>
          <w:color w:val="auto"/>
        </w:rPr>
        <w:t>土石方平衡</w:t>
      </w:r>
    </w:p>
    <w:p w14:paraId="0BCDAC73">
      <w:pPr>
        <w:pStyle w:val="234"/>
      </w:pPr>
      <w:r>
        <w:t>本工程土石方产生的主要来源有：管线、站场基础开挖与回填等。施工时管道施工作业带、站场施工场地占地范围内表土进行剥离，根据占地类型表土厚度进行剥离，一般剥离厚度为0.3~0.5m，</w:t>
      </w:r>
      <w:r>
        <w:rPr>
          <w:rFonts w:hint="eastAsia"/>
        </w:rPr>
        <w:t>管线施工</w:t>
      </w:r>
      <w:r>
        <w:t>剥离的表土后期回填进行地貌恢复</w:t>
      </w:r>
      <w:r>
        <w:rPr>
          <w:rFonts w:hint="eastAsia"/>
        </w:rPr>
        <w:t>，场站建设剥离的表土可用于土地整治、高标准农田建设等项目综合利用。</w:t>
      </w:r>
    </w:p>
    <w:p w14:paraId="65E3BFAC">
      <w:pPr>
        <w:pStyle w:val="234"/>
      </w:pPr>
      <w:r>
        <w:t>管道施工过程中开挖一般土方按照实际开挖尺寸进行开挖，开挖土方在管道施工作业带一侧临时堆放，后期进行管道回填压实和就地摊平，部分开挖的石方在管道回填细土后，石方可在细土上部回填，剩余石方可用于</w:t>
      </w:r>
      <w:r>
        <w:rPr>
          <w:rFonts w:hint="eastAsia"/>
        </w:rPr>
        <w:t>施工便道修整</w:t>
      </w:r>
      <w:r>
        <w:t>，开挖土方通过内部调运，可实现平衡</w:t>
      </w:r>
      <w:r>
        <w:rPr>
          <w:rFonts w:hint="eastAsia"/>
        </w:rPr>
        <w:t>。</w:t>
      </w:r>
    </w:p>
    <w:p w14:paraId="3187D1F4">
      <w:pPr>
        <w:pStyle w:val="234"/>
      </w:pPr>
      <w:r>
        <w:rPr>
          <w:rFonts w:hint="eastAsia"/>
          <w:i/>
          <w:iCs/>
          <w:color w:val="auto"/>
          <w:u w:val="single"/>
        </w:rPr>
        <w:t>本工程挖方3</w:t>
      </w:r>
      <w:r>
        <w:rPr>
          <w:rFonts w:hint="eastAsia"/>
          <w:i/>
          <w:iCs/>
          <w:color w:val="auto"/>
          <w:u w:val="single"/>
          <w:lang w:val="en-US" w:eastAsia="zh-CN"/>
        </w:rPr>
        <w:t>48</w:t>
      </w:r>
      <w:r>
        <w:rPr>
          <w:rFonts w:hint="eastAsia"/>
          <w:i/>
          <w:iCs/>
          <w:color w:val="auto"/>
          <w:u w:val="single"/>
        </w:rPr>
        <w:t>46m</w:t>
      </w:r>
      <w:r>
        <w:rPr>
          <w:i/>
          <w:iCs/>
          <w:color w:val="auto"/>
          <w:u w:val="single"/>
          <w:vertAlign w:val="superscript"/>
        </w:rPr>
        <w:t>3</w:t>
      </w:r>
      <w:r>
        <w:rPr>
          <w:rFonts w:hint="eastAsia"/>
          <w:i/>
          <w:iCs/>
          <w:color w:val="auto"/>
          <w:u w:val="single"/>
        </w:rPr>
        <w:t>、外购土方62</w:t>
      </w:r>
      <w:r>
        <w:rPr>
          <w:rFonts w:hint="eastAsia"/>
          <w:i/>
          <w:iCs/>
          <w:color w:val="auto"/>
          <w:u w:val="single"/>
          <w:lang w:val="en-US" w:eastAsia="zh-CN"/>
        </w:rPr>
        <w:t>6</w:t>
      </w:r>
      <w:r>
        <w:rPr>
          <w:rFonts w:hint="eastAsia"/>
          <w:i/>
          <w:iCs/>
          <w:color w:val="auto"/>
          <w:u w:val="single"/>
        </w:rPr>
        <w:t>9m</w:t>
      </w:r>
      <w:r>
        <w:rPr>
          <w:i/>
          <w:iCs/>
          <w:color w:val="auto"/>
          <w:u w:val="single"/>
          <w:vertAlign w:val="superscript"/>
        </w:rPr>
        <w:t>3</w:t>
      </w:r>
      <w:r>
        <w:rPr>
          <w:rFonts w:hint="eastAsia"/>
          <w:i/>
          <w:iCs/>
          <w:color w:val="auto"/>
          <w:u w:val="single"/>
        </w:rPr>
        <w:t>、填方3</w:t>
      </w:r>
      <w:r>
        <w:rPr>
          <w:rFonts w:hint="eastAsia"/>
          <w:i/>
          <w:iCs/>
          <w:color w:val="auto"/>
          <w:u w:val="single"/>
          <w:lang w:val="en-US" w:eastAsia="zh-CN"/>
        </w:rPr>
        <w:t>630</w:t>
      </w:r>
      <w:r>
        <w:rPr>
          <w:rFonts w:hint="eastAsia"/>
          <w:i/>
          <w:iCs/>
          <w:color w:val="auto"/>
          <w:u w:val="single"/>
        </w:rPr>
        <w:t>0m</w:t>
      </w:r>
      <w:r>
        <w:rPr>
          <w:i/>
          <w:iCs/>
          <w:color w:val="auto"/>
          <w:u w:val="single"/>
          <w:vertAlign w:val="superscript"/>
        </w:rPr>
        <w:t>3</w:t>
      </w:r>
      <w:r>
        <w:rPr>
          <w:rFonts w:hint="eastAsia"/>
          <w:i/>
          <w:iCs/>
          <w:color w:val="auto"/>
          <w:u w:val="single"/>
        </w:rPr>
        <w:t>、调出方4815m</w:t>
      </w:r>
      <w:r>
        <w:rPr>
          <w:i/>
          <w:iCs/>
          <w:color w:val="auto"/>
          <w:u w:val="single"/>
          <w:vertAlign w:val="superscript"/>
        </w:rPr>
        <w:t>3</w:t>
      </w:r>
      <w:r>
        <w:rPr>
          <w:rFonts w:hint="eastAsia"/>
          <w:i/>
          <w:iCs/>
          <w:color w:val="auto"/>
          <w:u w:val="single"/>
        </w:rPr>
        <w:t>，</w:t>
      </w:r>
      <w:r>
        <w:rPr>
          <w:rFonts w:hint="eastAsia"/>
        </w:rPr>
        <w:t>无弃土弃渣。</w:t>
      </w:r>
      <w:r>
        <w:t>具体见表3.</w:t>
      </w:r>
      <w:r>
        <w:rPr>
          <w:rFonts w:hint="eastAsia"/>
        </w:rPr>
        <w:t>3-20。</w:t>
      </w:r>
    </w:p>
    <w:p w14:paraId="454A522F">
      <w:pPr>
        <w:pStyle w:val="904"/>
      </w:pPr>
      <w:r>
        <w:t>表3.</w:t>
      </w:r>
      <w:r>
        <w:rPr>
          <w:rFonts w:hint="eastAsia"/>
        </w:rPr>
        <w:t>3-20</w:t>
      </w:r>
      <w:r>
        <w:t xml:space="preserve"> 工程土石方平衡表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7"/>
        <w:gridCol w:w="992"/>
        <w:gridCol w:w="959"/>
        <w:gridCol w:w="888"/>
        <w:gridCol w:w="1547"/>
        <w:gridCol w:w="1118"/>
        <w:gridCol w:w="2665"/>
      </w:tblGrid>
      <w:tr w14:paraId="2E633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vMerge w:val="restart"/>
            <w:vAlign w:val="center"/>
          </w:tcPr>
          <w:p w14:paraId="1B4E583C">
            <w:pPr>
              <w:pStyle w:val="1343"/>
            </w:pPr>
            <w:r>
              <w:rPr>
                <w:rFonts w:hint="eastAsia"/>
              </w:rPr>
              <w:t>项目</w:t>
            </w:r>
          </w:p>
        </w:tc>
        <w:tc>
          <w:tcPr>
            <w:tcW w:w="513" w:type="pct"/>
            <w:vMerge w:val="restart"/>
            <w:vAlign w:val="center"/>
          </w:tcPr>
          <w:p w14:paraId="65127AF2">
            <w:pPr>
              <w:pStyle w:val="1343"/>
            </w:pPr>
            <w:r>
              <w:rPr>
                <w:rFonts w:hint="eastAsia"/>
              </w:rPr>
              <w:t>挖方</w:t>
            </w:r>
          </w:p>
          <w:p w14:paraId="4E7818C1">
            <w:pPr>
              <w:pStyle w:val="1343"/>
            </w:pPr>
            <w:r>
              <w:rPr>
                <w:rFonts w:hint="eastAsia"/>
              </w:rPr>
              <w:t>（m</w:t>
            </w:r>
            <w:r>
              <w:rPr>
                <w:vertAlign w:val="superscript"/>
              </w:rPr>
              <w:t>3</w:t>
            </w:r>
            <w:r>
              <w:rPr>
                <w:rFonts w:hint="eastAsia"/>
              </w:rPr>
              <w:t>）</w:t>
            </w:r>
          </w:p>
        </w:tc>
        <w:tc>
          <w:tcPr>
            <w:tcW w:w="496" w:type="pct"/>
            <w:vMerge w:val="restart"/>
            <w:vAlign w:val="center"/>
          </w:tcPr>
          <w:p w14:paraId="6C36AEB1">
            <w:pPr>
              <w:pStyle w:val="1343"/>
            </w:pPr>
            <w:r>
              <w:rPr>
                <w:rFonts w:hint="eastAsia"/>
              </w:rPr>
              <w:t>填方</w:t>
            </w:r>
          </w:p>
          <w:p w14:paraId="7B10889F">
            <w:pPr>
              <w:pStyle w:val="1343"/>
            </w:pPr>
            <w:r>
              <w:rPr>
                <w:rFonts w:hint="eastAsia"/>
              </w:rPr>
              <w:t>（m</w:t>
            </w:r>
            <w:r>
              <w:rPr>
                <w:vertAlign w:val="superscript"/>
              </w:rPr>
              <w:t>3</w:t>
            </w:r>
            <w:r>
              <w:rPr>
                <w:rFonts w:hint="eastAsia"/>
              </w:rPr>
              <w:t>）</w:t>
            </w:r>
          </w:p>
        </w:tc>
        <w:tc>
          <w:tcPr>
            <w:tcW w:w="1259" w:type="pct"/>
            <w:gridSpan w:val="2"/>
            <w:vAlign w:val="center"/>
          </w:tcPr>
          <w:p w14:paraId="76B6568F">
            <w:pPr>
              <w:pStyle w:val="1343"/>
            </w:pPr>
            <w:r>
              <w:rPr>
                <w:rFonts w:hint="eastAsia"/>
              </w:rPr>
              <w:t>调入方（m</w:t>
            </w:r>
            <w:r>
              <w:rPr>
                <w:vertAlign w:val="superscript"/>
              </w:rPr>
              <w:t>3</w:t>
            </w:r>
            <w:r>
              <w:rPr>
                <w:rFonts w:hint="eastAsia"/>
              </w:rPr>
              <w:t>）</w:t>
            </w:r>
          </w:p>
        </w:tc>
        <w:tc>
          <w:tcPr>
            <w:tcW w:w="1956" w:type="pct"/>
            <w:gridSpan w:val="2"/>
            <w:vAlign w:val="center"/>
          </w:tcPr>
          <w:p w14:paraId="396E6133">
            <w:pPr>
              <w:pStyle w:val="1343"/>
            </w:pPr>
            <w:r>
              <w:rPr>
                <w:rFonts w:hint="eastAsia"/>
              </w:rPr>
              <w:t>调出方（m</w:t>
            </w:r>
            <w:r>
              <w:rPr>
                <w:vertAlign w:val="superscript"/>
              </w:rPr>
              <w:t>3</w:t>
            </w:r>
            <w:r>
              <w:rPr>
                <w:rFonts w:hint="eastAsia"/>
              </w:rPr>
              <w:t>）</w:t>
            </w:r>
          </w:p>
        </w:tc>
      </w:tr>
      <w:tr w14:paraId="77496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vMerge w:val="continue"/>
            <w:vAlign w:val="center"/>
          </w:tcPr>
          <w:p w14:paraId="42F015E0">
            <w:pPr>
              <w:pStyle w:val="1343"/>
            </w:pPr>
          </w:p>
        </w:tc>
        <w:tc>
          <w:tcPr>
            <w:tcW w:w="513" w:type="pct"/>
            <w:vMerge w:val="continue"/>
            <w:vAlign w:val="center"/>
          </w:tcPr>
          <w:p w14:paraId="3E1EFA2B">
            <w:pPr>
              <w:pStyle w:val="1343"/>
            </w:pPr>
          </w:p>
        </w:tc>
        <w:tc>
          <w:tcPr>
            <w:tcW w:w="496" w:type="pct"/>
            <w:vMerge w:val="continue"/>
            <w:vAlign w:val="center"/>
          </w:tcPr>
          <w:p w14:paraId="5DF15162">
            <w:pPr>
              <w:pStyle w:val="1343"/>
            </w:pPr>
          </w:p>
        </w:tc>
        <w:tc>
          <w:tcPr>
            <w:tcW w:w="459" w:type="pct"/>
            <w:vAlign w:val="center"/>
          </w:tcPr>
          <w:p w14:paraId="06F7CB81">
            <w:pPr>
              <w:pStyle w:val="1343"/>
            </w:pPr>
            <w:r>
              <w:rPr>
                <w:rFonts w:hint="eastAsia"/>
              </w:rPr>
              <w:t>数量</w:t>
            </w:r>
          </w:p>
        </w:tc>
        <w:tc>
          <w:tcPr>
            <w:tcW w:w="800" w:type="pct"/>
            <w:vAlign w:val="center"/>
          </w:tcPr>
          <w:p w14:paraId="56538290">
            <w:pPr>
              <w:pStyle w:val="1343"/>
            </w:pPr>
            <w:r>
              <w:rPr>
                <w:rFonts w:hint="eastAsia"/>
              </w:rPr>
              <w:t>来源</w:t>
            </w:r>
          </w:p>
        </w:tc>
        <w:tc>
          <w:tcPr>
            <w:tcW w:w="578" w:type="pct"/>
            <w:vAlign w:val="center"/>
          </w:tcPr>
          <w:p w14:paraId="1FE23639">
            <w:pPr>
              <w:pStyle w:val="1343"/>
            </w:pPr>
            <w:r>
              <w:rPr>
                <w:rFonts w:hint="eastAsia"/>
              </w:rPr>
              <w:t>数量</w:t>
            </w:r>
          </w:p>
        </w:tc>
        <w:tc>
          <w:tcPr>
            <w:tcW w:w="1378" w:type="pct"/>
            <w:vAlign w:val="center"/>
          </w:tcPr>
          <w:p w14:paraId="3661EB68">
            <w:pPr>
              <w:pStyle w:val="1343"/>
            </w:pPr>
            <w:r>
              <w:rPr>
                <w:rFonts w:hint="eastAsia"/>
              </w:rPr>
              <w:t>去向</w:t>
            </w:r>
          </w:p>
        </w:tc>
      </w:tr>
      <w:tr w14:paraId="079F3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vAlign w:val="center"/>
          </w:tcPr>
          <w:p w14:paraId="26FEE705">
            <w:pPr>
              <w:pStyle w:val="1343"/>
            </w:pPr>
            <w:r>
              <w:rPr>
                <w:rFonts w:hint="eastAsia"/>
              </w:rPr>
              <w:t>站场区</w:t>
            </w:r>
          </w:p>
          <w:p w14:paraId="6BABBBE4">
            <w:pPr>
              <w:pStyle w:val="1343"/>
            </w:pPr>
            <w:r>
              <w:rPr>
                <w:rFonts w:hint="eastAsia"/>
              </w:rPr>
              <w:t>（含进站路）</w:t>
            </w:r>
          </w:p>
        </w:tc>
        <w:tc>
          <w:tcPr>
            <w:tcW w:w="513" w:type="pct"/>
            <w:vAlign w:val="center"/>
          </w:tcPr>
          <w:p w14:paraId="09C30E7B">
            <w:pPr>
              <w:pStyle w:val="1343"/>
            </w:pPr>
            <w:r>
              <w:rPr>
                <w:rFonts w:hint="eastAsia"/>
              </w:rPr>
              <w:t>18446</w:t>
            </w:r>
          </w:p>
        </w:tc>
        <w:tc>
          <w:tcPr>
            <w:tcW w:w="496" w:type="pct"/>
            <w:vAlign w:val="center"/>
          </w:tcPr>
          <w:p w14:paraId="36AE316A">
            <w:pPr>
              <w:pStyle w:val="1343"/>
            </w:pPr>
            <w:r>
              <w:rPr>
                <w:rFonts w:hint="eastAsia"/>
              </w:rPr>
              <w:t>19940</w:t>
            </w:r>
          </w:p>
        </w:tc>
        <w:tc>
          <w:tcPr>
            <w:tcW w:w="459" w:type="pct"/>
            <w:vAlign w:val="center"/>
          </w:tcPr>
          <w:p w14:paraId="5F6FF3CE">
            <w:pPr>
              <w:pStyle w:val="1343"/>
            </w:pPr>
            <w:r>
              <w:rPr>
                <w:rFonts w:hint="eastAsia"/>
              </w:rPr>
              <w:t>6079</w:t>
            </w:r>
          </w:p>
        </w:tc>
        <w:tc>
          <w:tcPr>
            <w:tcW w:w="800" w:type="pct"/>
            <w:vAlign w:val="center"/>
          </w:tcPr>
          <w:p w14:paraId="4EED7F47">
            <w:pPr>
              <w:pStyle w:val="1343"/>
            </w:pPr>
            <w:r>
              <w:rPr>
                <w:rFonts w:hint="eastAsia"/>
              </w:rPr>
              <w:t>穿越工程230+外购5849</w:t>
            </w:r>
          </w:p>
        </w:tc>
        <w:tc>
          <w:tcPr>
            <w:tcW w:w="578" w:type="pct"/>
            <w:vAlign w:val="center"/>
          </w:tcPr>
          <w:p w14:paraId="64607465">
            <w:pPr>
              <w:pStyle w:val="1343"/>
            </w:pPr>
            <w:r>
              <w:rPr>
                <w:rFonts w:hint="eastAsia"/>
              </w:rPr>
              <w:t>4585</w:t>
            </w:r>
          </w:p>
          <w:p w14:paraId="3B44A624">
            <w:pPr>
              <w:pStyle w:val="1343"/>
            </w:pPr>
            <w:r>
              <w:rPr>
                <w:rFonts w:hint="eastAsia"/>
              </w:rPr>
              <w:t>（表土）</w:t>
            </w:r>
          </w:p>
        </w:tc>
        <w:tc>
          <w:tcPr>
            <w:tcW w:w="1378" w:type="pct"/>
            <w:vAlign w:val="center"/>
          </w:tcPr>
          <w:p w14:paraId="0602E21E">
            <w:pPr>
              <w:pStyle w:val="1343"/>
            </w:pPr>
            <w:r>
              <w:rPr>
                <w:rFonts w:hint="eastAsia"/>
              </w:rPr>
              <w:t>建议与当地有关部门沟通后，用于土地整治、高标准农田建设、工矿废弃地复垦、生态修复等项目</w:t>
            </w:r>
          </w:p>
        </w:tc>
      </w:tr>
      <w:tr w14:paraId="7C6D0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vAlign w:val="center"/>
          </w:tcPr>
          <w:p w14:paraId="003005D3">
            <w:pPr>
              <w:pStyle w:val="1343"/>
              <w:rPr>
                <w:i/>
                <w:iCs/>
                <w:color w:val="auto"/>
                <w:u w:val="single"/>
              </w:rPr>
            </w:pPr>
            <w:r>
              <w:rPr>
                <w:rFonts w:hint="eastAsia"/>
                <w:i/>
                <w:iCs/>
                <w:color w:val="auto"/>
                <w:u w:val="single"/>
              </w:rPr>
              <w:t>管道作业带区</w:t>
            </w:r>
          </w:p>
        </w:tc>
        <w:tc>
          <w:tcPr>
            <w:tcW w:w="513" w:type="pct"/>
            <w:vAlign w:val="center"/>
          </w:tcPr>
          <w:p w14:paraId="78978FBC">
            <w:pPr>
              <w:pStyle w:val="1343"/>
              <w:rPr>
                <w:rFonts w:hint="default" w:eastAsia="宋体"/>
                <w:i/>
                <w:iCs/>
                <w:color w:val="auto"/>
                <w:u w:val="single"/>
                <w:lang w:val="en-US" w:eastAsia="zh-CN"/>
              </w:rPr>
            </w:pPr>
            <w:r>
              <w:rPr>
                <w:rFonts w:hint="eastAsia"/>
                <w:i/>
                <w:iCs/>
                <w:color w:val="auto"/>
                <w:u w:val="single"/>
                <w:lang w:val="en-US" w:eastAsia="zh-CN"/>
              </w:rPr>
              <w:t>13700</w:t>
            </w:r>
          </w:p>
        </w:tc>
        <w:tc>
          <w:tcPr>
            <w:tcW w:w="496" w:type="pct"/>
            <w:vAlign w:val="center"/>
          </w:tcPr>
          <w:p w14:paraId="6F0173C9">
            <w:pPr>
              <w:pStyle w:val="1343"/>
              <w:rPr>
                <w:rFonts w:hint="default" w:eastAsia="宋体"/>
                <w:i/>
                <w:iCs/>
                <w:color w:val="auto"/>
                <w:u w:val="single"/>
                <w:lang w:val="en-US" w:eastAsia="zh-CN"/>
              </w:rPr>
            </w:pPr>
            <w:r>
              <w:rPr>
                <w:rFonts w:hint="eastAsia"/>
                <w:i/>
                <w:iCs/>
                <w:color w:val="auto"/>
                <w:u w:val="single"/>
                <w:lang w:val="en-US" w:eastAsia="zh-CN"/>
              </w:rPr>
              <w:t>13890</w:t>
            </w:r>
          </w:p>
        </w:tc>
        <w:tc>
          <w:tcPr>
            <w:tcW w:w="459" w:type="pct"/>
            <w:vAlign w:val="center"/>
          </w:tcPr>
          <w:p w14:paraId="6299E228">
            <w:pPr>
              <w:pStyle w:val="1343"/>
              <w:rPr>
                <w:i/>
                <w:iCs/>
                <w:color w:val="auto"/>
                <w:u w:val="single"/>
              </w:rPr>
            </w:pPr>
            <w:r>
              <w:rPr>
                <w:rFonts w:hint="eastAsia"/>
                <w:i/>
                <w:iCs/>
                <w:color w:val="auto"/>
                <w:u w:val="single"/>
              </w:rPr>
              <w:t>1</w:t>
            </w:r>
            <w:r>
              <w:rPr>
                <w:rFonts w:hint="eastAsia"/>
                <w:i/>
                <w:iCs/>
                <w:color w:val="auto"/>
                <w:u w:val="single"/>
                <w:lang w:val="en-US" w:eastAsia="zh-CN"/>
              </w:rPr>
              <w:t>9</w:t>
            </w:r>
            <w:r>
              <w:rPr>
                <w:rFonts w:hint="eastAsia"/>
                <w:i/>
                <w:iCs/>
                <w:color w:val="auto"/>
                <w:u w:val="single"/>
              </w:rPr>
              <w:t>0</w:t>
            </w:r>
          </w:p>
        </w:tc>
        <w:tc>
          <w:tcPr>
            <w:tcW w:w="800" w:type="pct"/>
            <w:vAlign w:val="center"/>
          </w:tcPr>
          <w:p w14:paraId="058D6680">
            <w:pPr>
              <w:pStyle w:val="1343"/>
              <w:rPr>
                <w:i/>
                <w:iCs/>
                <w:color w:val="auto"/>
                <w:u w:val="single"/>
              </w:rPr>
            </w:pPr>
            <w:r>
              <w:rPr>
                <w:rFonts w:hint="eastAsia"/>
                <w:i/>
                <w:iCs/>
                <w:color w:val="auto"/>
                <w:u w:val="single"/>
              </w:rPr>
              <w:t>外购</w:t>
            </w:r>
          </w:p>
        </w:tc>
        <w:tc>
          <w:tcPr>
            <w:tcW w:w="578" w:type="pct"/>
            <w:vAlign w:val="center"/>
          </w:tcPr>
          <w:p w14:paraId="52EF0C5E">
            <w:pPr>
              <w:pStyle w:val="1343"/>
            </w:pPr>
            <w:r>
              <w:rPr>
                <w:rFonts w:hint="eastAsia"/>
              </w:rPr>
              <w:t>/</w:t>
            </w:r>
          </w:p>
        </w:tc>
        <w:tc>
          <w:tcPr>
            <w:tcW w:w="1378" w:type="pct"/>
            <w:vAlign w:val="center"/>
          </w:tcPr>
          <w:p w14:paraId="736F6EDF">
            <w:pPr>
              <w:pStyle w:val="1343"/>
            </w:pPr>
            <w:r>
              <w:rPr>
                <w:rFonts w:hint="eastAsia"/>
              </w:rPr>
              <w:t>/</w:t>
            </w:r>
          </w:p>
        </w:tc>
      </w:tr>
      <w:tr w14:paraId="2BFA0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vAlign w:val="center"/>
          </w:tcPr>
          <w:p w14:paraId="681B423F">
            <w:pPr>
              <w:pStyle w:val="1343"/>
            </w:pPr>
            <w:r>
              <w:rPr>
                <w:rFonts w:hint="eastAsia"/>
              </w:rPr>
              <w:t>穿越工程区</w:t>
            </w:r>
          </w:p>
        </w:tc>
        <w:tc>
          <w:tcPr>
            <w:tcW w:w="513" w:type="pct"/>
            <w:vAlign w:val="center"/>
          </w:tcPr>
          <w:p w14:paraId="3ADA8C69">
            <w:pPr>
              <w:pStyle w:val="1343"/>
            </w:pPr>
            <w:r>
              <w:rPr>
                <w:rFonts w:hint="eastAsia"/>
              </w:rPr>
              <w:t>2700</w:t>
            </w:r>
          </w:p>
        </w:tc>
        <w:tc>
          <w:tcPr>
            <w:tcW w:w="496" w:type="pct"/>
            <w:vAlign w:val="center"/>
          </w:tcPr>
          <w:p w14:paraId="084732A2">
            <w:pPr>
              <w:pStyle w:val="1343"/>
            </w:pPr>
            <w:r>
              <w:rPr>
                <w:rFonts w:hint="eastAsia"/>
              </w:rPr>
              <w:t>2470</w:t>
            </w:r>
          </w:p>
        </w:tc>
        <w:tc>
          <w:tcPr>
            <w:tcW w:w="459" w:type="pct"/>
            <w:vAlign w:val="center"/>
          </w:tcPr>
          <w:p w14:paraId="4B680BA1">
            <w:pPr>
              <w:pStyle w:val="1343"/>
            </w:pPr>
            <w:r>
              <w:rPr>
                <w:rFonts w:hint="eastAsia"/>
              </w:rPr>
              <w:t>/</w:t>
            </w:r>
          </w:p>
        </w:tc>
        <w:tc>
          <w:tcPr>
            <w:tcW w:w="800" w:type="pct"/>
            <w:vAlign w:val="center"/>
          </w:tcPr>
          <w:p w14:paraId="783C3E7B">
            <w:pPr>
              <w:pStyle w:val="1343"/>
            </w:pPr>
            <w:r>
              <w:rPr>
                <w:rFonts w:hint="eastAsia"/>
              </w:rPr>
              <w:t>/</w:t>
            </w:r>
          </w:p>
        </w:tc>
        <w:tc>
          <w:tcPr>
            <w:tcW w:w="578" w:type="pct"/>
            <w:vAlign w:val="center"/>
          </w:tcPr>
          <w:p w14:paraId="40B3E6FC">
            <w:pPr>
              <w:pStyle w:val="1343"/>
            </w:pPr>
            <w:r>
              <w:rPr>
                <w:rFonts w:hint="eastAsia"/>
              </w:rPr>
              <w:t>230</w:t>
            </w:r>
          </w:p>
        </w:tc>
        <w:tc>
          <w:tcPr>
            <w:tcW w:w="1378" w:type="pct"/>
            <w:vAlign w:val="center"/>
          </w:tcPr>
          <w:p w14:paraId="0D73D2F1">
            <w:pPr>
              <w:pStyle w:val="1343"/>
            </w:pPr>
            <w:r>
              <w:rPr>
                <w:rFonts w:hint="eastAsia"/>
              </w:rPr>
              <w:t>站场填方</w:t>
            </w:r>
          </w:p>
        </w:tc>
      </w:tr>
      <w:tr w14:paraId="4A643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74" w:type="pct"/>
            <w:vAlign w:val="center"/>
          </w:tcPr>
          <w:p w14:paraId="791C69D3">
            <w:pPr>
              <w:pStyle w:val="1343"/>
            </w:pPr>
            <w:r>
              <w:rPr>
                <w:rFonts w:hint="eastAsia"/>
              </w:rPr>
              <w:t>合计</w:t>
            </w:r>
          </w:p>
        </w:tc>
        <w:tc>
          <w:tcPr>
            <w:tcW w:w="513" w:type="pct"/>
            <w:vAlign w:val="center"/>
          </w:tcPr>
          <w:p w14:paraId="6C9FDB6B">
            <w:pPr>
              <w:pStyle w:val="1343"/>
              <w:rPr>
                <w:i/>
                <w:iCs/>
                <w:color w:val="auto"/>
                <w:u w:val="single"/>
              </w:rPr>
            </w:pPr>
            <w:r>
              <w:rPr>
                <w:rFonts w:hint="eastAsia"/>
                <w:i/>
                <w:iCs/>
                <w:color w:val="auto"/>
                <w:u w:val="single"/>
              </w:rPr>
              <w:t>3</w:t>
            </w:r>
            <w:r>
              <w:rPr>
                <w:rFonts w:hint="eastAsia"/>
                <w:i/>
                <w:iCs/>
                <w:color w:val="auto"/>
                <w:u w:val="single"/>
                <w:lang w:val="en-US" w:eastAsia="zh-CN"/>
              </w:rPr>
              <w:t>48</w:t>
            </w:r>
            <w:r>
              <w:rPr>
                <w:rFonts w:hint="eastAsia"/>
                <w:i/>
                <w:iCs/>
                <w:color w:val="auto"/>
                <w:u w:val="single"/>
              </w:rPr>
              <w:t>46</w:t>
            </w:r>
          </w:p>
        </w:tc>
        <w:tc>
          <w:tcPr>
            <w:tcW w:w="496" w:type="pct"/>
            <w:vAlign w:val="center"/>
          </w:tcPr>
          <w:p w14:paraId="7E10086B">
            <w:pPr>
              <w:pStyle w:val="1343"/>
              <w:rPr>
                <w:i/>
                <w:iCs/>
                <w:color w:val="auto"/>
                <w:u w:val="single"/>
              </w:rPr>
            </w:pPr>
            <w:r>
              <w:rPr>
                <w:rFonts w:hint="eastAsia"/>
                <w:i/>
                <w:iCs/>
                <w:color w:val="auto"/>
                <w:u w:val="single"/>
              </w:rPr>
              <w:t>3</w:t>
            </w:r>
            <w:r>
              <w:rPr>
                <w:rFonts w:hint="eastAsia"/>
                <w:i/>
                <w:iCs/>
                <w:color w:val="auto"/>
                <w:u w:val="single"/>
                <w:lang w:val="en-US" w:eastAsia="zh-CN"/>
              </w:rPr>
              <w:t>630</w:t>
            </w:r>
            <w:r>
              <w:rPr>
                <w:rFonts w:hint="eastAsia"/>
                <w:i/>
                <w:iCs/>
                <w:color w:val="auto"/>
                <w:u w:val="single"/>
              </w:rPr>
              <w:t>0</w:t>
            </w:r>
          </w:p>
        </w:tc>
        <w:tc>
          <w:tcPr>
            <w:tcW w:w="459" w:type="pct"/>
            <w:vAlign w:val="center"/>
          </w:tcPr>
          <w:p w14:paraId="68891AD7">
            <w:pPr>
              <w:pStyle w:val="1343"/>
              <w:rPr>
                <w:i/>
                <w:iCs/>
                <w:color w:val="auto"/>
                <w:u w:val="single"/>
              </w:rPr>
            </w:pPr>
            <w:r>
              <w:rPr>
                <w:rFonts w:hint="eastAsia"/>
                <w:i/>
                <w:iCs/>
                <w:color w:val="auto"/>
                <w:u w:val="single"/>
              </w:rPr>
              <w:t>62</w:t>
            </w:r>
            <w:r>
              <w:rPr>
                <w:rFonts w:hint="eastAsia"/>
                <w:i/>
                <w:iCs/>
                <w:color w:val="auto"/>
                <w:u w:val="single"/>
                <w:lang w:val="en-US" w:eastAsia="zh-CN"/>
              </w:rPr>
              <w:t>6</w:t>
            </w:r>
            <w:r>
              <w:rPr>
                <w:rFonts w:hint="eastAsia"/>
                <w:i/>
                <w:iCs/>
                <w:color w:val="auto"/>
                <w:u w:val="single"/>
              </w:rPr>
              <w:t>9</w:t>
            </w:r>
          </w:p>
        </w:tc>
        <w:tc>
          <w:tcPr>
            <w:tcW w:w="800" w:type="pct"/>
            <w:vAlign w:val="center"/>
          </w:tcPr>
          <w:p w14:paraId="5555C9D5">
            <w:pPr>
              <w:pStyle w:val="1343"/>
              <w:rPr>
                <w:i/>
                <w:iCs/>
                <w:color w:val="auto"/>
                <w:u w:val="single"/>
              </w:rPr>
            </w:pPr>
            <w:r>
              <w:rPr>
                <w:rFonts w:hint="eastAsia"/>
                <w:i/>
                <w:iCs/>
                <w:color w:val="auto"/>
                <w:u w:val="single"/>
              </w:rPr>
              <w:t>/</w:t>
            </w:r>
          </w:p>
        </w:tc>
        <w:tc>
          <w:tcPr>
            <w:tcW w:w="578" w:type="pct"/>
            <w:vAlign w:val="center"/>
          </w:tcPr>
          <w:p w14:paraId="71784EC6">
            <w:pPr>
              <w:pStyle w:val="1343"/>
              <w:rPr>
                <w:i/>
                <w:iCs/>
                <w:color w:val="auto"/>
                <w:u w:val="single"/>
              </w:rPr>
            </w:pPr>
            <w:r>
              <w:rPr>
                <w:rFonts w:hint="eastAsia"/>
                <w:i/>
                <w:iCs/>
                <w:color w:val="auto"/>
                <w:u w:val="single"/>
              </w:rPr>
              <w:t>4815</w:t>
            </w:r>
          </w:p>
        </w:tc>
        <w:tc>
          <w:tcPr>
            <w:tcW w:w="1378" w:type="pct"/>
            <w:vAlign w:val="center"/>
          </w:tcPr>
          <w:p w14:paraId="26AEB292">
            <w:pPr>
              <w:pStyle w:val="1343"/>
            </w:pPr>
            <w:r>
              <w:rPr>
                <w:rFonts w:hint="eastAsia"/>
              </w:rPr>
              <w:t>/</w:t>
            </w:r>
          </w:p>
        </w:tc>
      </w:tr>
      <w:bookmarkEnd w:id="146"/>
    </w:tbl>
    <w:p w14:paraId="09EA6E88">
      <w:pPr>
        <w:pStyle w:val="5"/>
        <w:snapToGrid w:val="0"/>
        <w:spacing w:before="120" w:beforeLines="50"/>
        <w:rPr>
          <w:color w:val="auto"/>
        </w:rPr>
      </w:pPr>
      <w:bookmarkStart w:id="147" w:name="_Toc72672343"/>
      <w:bookmarkStart w:id="148" w:name="_Toc73352773"/>
      <w:r>
        <w:rPr>
          <w:color w:val="auto"/>
        </w:rPr>
        <w:t>机构设置及定员</w:t>
      </w:r>
    </w:p>
    <w:p w14:paraId="01FB2851">
      <w:pPr>
        <w:pStyle w:val="234"/>
      </w:pPr>
      <w:r>
        <w:t>本工程组织机构及定员编制依托现有，不新增组织机构及定员。</w:t>
      </w:r>
    </w:p>
    <w:p w14:paraId="69DF542F">
      <w:pPr>
        <w:pStyle w:val="5"/>
        <w:rPr>
          <w:color w:val="auto"/>
        </w:rPr>
      </w:pPr>
      <w:r>
        <w:rPr>
          <w:rFonts w:hint="eastAsia"/>
          <w:color w:val="auto"/>
        </w:rPr>
        <w:t>组织施工计划</w:t>
      </w:r>
    </w:p>
    <w:p w14:paraId="7540A3FF">
      <w:pPr>
        <w:pStyle w:val="234"/>
        <w:rPr>
          <w:color w:val="FF0000"/>
        </w:rPr>
      </w:pPr>
      <w:r>
        <w:rPr>
          <w:rFonts w:hint="eastAsia"/>
          <w:i/>
          <w:iCs/>
          <w:color w:val="auto"/>
          <w:u w:val="single"/>
        </w:rPr>
        <w:t>本工程</w:t>
      </w:r>
      <w:r>
        <w:rPr>
          <w:i/>
          <w:iCs/>
          <w:color w:val="auto"/>
          <w:u w:val="single"/>
        </w:rPr>
        <w:t>预计202</w:t>
      </w:r>
      <w:r>
        <w:rPr>
          <w:rFonts w:hint="eastAsia"/>
          <w:i/>
          <w:iCs/>
          <w:color w:val="auto"/>
          <w:u w:val="single"/>
        </w:rPr>
        <w:t>4</w:t>
      </w:r>
      <w:r>
        <w:rPr>
          <w:i/>
          <w:iCs/>
          <w:color w:val="auto"/>
          <w:u w:val="single"/>
        </w:rPr>
        <w:t>年</w:t>
      </w:r>
      <w:r>
        <w:rPr>
          <w:rFonts w:hint="eastAsia"/>
          <w:i/>
          <w:iCs/>
          <w:color w:val="auto"/>
          <w:u w:val="single"/>
        </w:rPr>
        <w:t>10</w:t>
      </w:r>
      <w:r>
        <w:rPr>
          <w:i/>
          <w:iCs/>
          <w:color w:val="auto"/>
          <w:u w:val="single"/>
        </w:rPr>
        <w:t>月开工，202</w:t>
      </w:r>
      <w:r>
        <w:rPr>
          <w:rFonts w:hint="eastAsia"/>
          <w:i/>
          <w:iCs/>
          <w:color w:val="auto"/>
          <w:u w:val="single"/>
        </w:rPr>
        <w:t>5</w:t>
      </w:r>
      <w:r>
        <w:rPr>
          <w:i/>
          <w:iCs/>
          <w:color w:val="auto"/>
          <w:u w:val="single"/>
        </w:rPr>
        <w:t>年</w:t>
      </w:r>
      <w:r>
        <w:rPr>
          <w:rFonts w:hint="eastAsia"/>
          <w:i/>
          <w:iCs/>
          <w:color w:val="auto"/>
          <w:u w:val="single"/>
        </w:rPr>
        <w:t>4</w:t>
      </w:r>
      <w:r>
        <w:rPr>
          <w:i/>
          <w:iCs/>
          <w:color w:val="auto"/>
          <w:u w:val="single"/>
        </w:rPr>
        <w:t>月竣工投产</w:t>
      </w:r>
      <w:r>
        <w:rPr>
          <w:rFonts w:hint="eastAsia"/>
          <w:i/>
          <w:iCs/>
          <w:color w:val="auto"/>
          <w:u w:val="single"/>
        </w:rPr>
        <w:t>。</w:t>
      </w:r>
    </w:p>
    <w:bookmarkEnd w:id="147"/>
    <w:bookmarkEnd w:id="148"/>
    <w:p w14:paraId="31CEC6A3">
      <w:pPr>
        <w:pStyle w:val="5"/>
        <w:rPr>
          <w:color w:val="auto"/>
        </w:rPr>
      </w:pPr>
      <w:r>
        <w:rPr>
          <w:color w:val="auto"/>
        </w:rPr>
        <w:t>依托工程</w:t>
      </w:r>
    </w:p>
    <w:p w14:paraId="50A85F58">
      <w:pPr>
        <w:spacing w:line="360" w:lineRule="auto"/>
        <w:ind w:firstLine="480" w:firstLineChars="200"/>
        <w:rPr>
          <w:sz w:val="24"/>
        </w:rPr>
      </w:pPr>
      <w:r>
        <w:rPr>
          <w:rFonts w:hint="eastAsia"/>
          <w:sz w:val="24"/>
        </w:rPr>
        <w:t>（1）依托内容</w:t>
      </w:r>
    </w:p>
    <w:p w14:paraId="5C64E722">
      <w:pPr>
        <w:spacing w:line="360" w:lineRule="auto"/>
        <w:ind w:firstLine="480" w:firstLineChars="200"/>
        <w:rPr>
          <w:i/>
          <w:iCs/>
          <w:color w:val="auto"/>
          <w:sz w:val="24"/>
          <w:u w:val="single"/>
        </w:rPr>
      </w:pPr>
      <w:r>
        <w:rPr>
          <w:i/>
          <w:iCs/>
          <w:color w:val="auto"/>
          <w:sz w:val="24"/>
          <w:u w:val="single"/>
        </w:rPr>
        <w:t>本工程在现有</w:t>
      </w:r>
      <w:r>
        <w:rPr>
          <w:rFonts w:hint="eastAsia"/>
          <w:i/>
          <w:iCs/>
          <w:color w:val="auto"/>
          <w:sz w:val="24"/>
          <w:u w:val="single"/>
        </w:rPr>
        <w:t>潜江－韶关输气管道28号阀室</w:t>
      </w:r>
      <w:r>
        <w:rPr>
          <w:i/>
          <w:iCs/>
          <w:color w:val="auto"/>
          <w:sz w:val="24"/>
          <w:u w:val="single"/>
        </w:rPr>
        <w:t>内预留工艺区内进行</w:t>
      </w:r>
      <w:r>
        <w:rPr>
          <w:rFonts w:hint="eastAsia"/>
          <w:i/>
          <w:iCs/>
          <w:color w:val="auto"/>
          <w:sz w:val="24"/>
          <w:u w:val="single"/>
        </w:rPr>
        <w:t>改造</w:t>
      </w:r>
      <w:r>
        <w:rPr>
          <w:i/>
          <w:iCs/>
          <w:color w:val="auto"/>
          <w:sz w:val="24"/>
          <w:u w:val="single"/>
        </w:rPr>
        <w:t>，新增</w:t>
      </w:r>
      <w:r>
        <w:rPr>
          <w:rFonts w:hint="eastAsia"/>
          <w:i/>
          <w:iCs/>
          <w:color w:val="auto"/>
          <w:sz w:val="24"/>
          <w:u w:val="single"/>
        </w:rPr>
        <w:t>分输阀组一套</w:t>
      </w:r>
      <w:r>
        <w:rPr>
          <w:i/>
          <w:iCs/>
          <w:color w:val="auto"/>
          <w:sz w:val="24"/>
          <w:u w:val="single"/>
        </w:rPr>
        <w:t>。</w:t>
      </w:r>
    </w:p>
    <w:p w14:paraId="2B9550A9">
      <w:pPr>
        <w:spacing w:line="360" w:lineRule="auto"/>
        <w:ind w:firstLine="480" w:firstLineChars="200"/>
        <w:rPr>
          <w:i/>
          <w:iCs/>
          <w:color w:val="auto"/>
          <w:sz w:val="24"/>
          <w:u w:val="single"/>
        </w:rPr>
      </w:pPr>
      <w:r>
        <w:rPr>
          <w:i/>
          <w:iCs/>
          <w:color w:val="auto"/>
          <w:sz w:val="24"/>
          <w:u w:val="single"/>
        </w:rPr>
        <w:t>本工程</w:t>
      </w:r>
      <w:r>
        <w:rPr>
          <w:rFonts w:hint="eastAsia"/>
          <w:i/>
          <w:iCs/>
          <w:color w:val="auto"/>
          <w:sz w:val="24"/>
          <w:u w:val="single"/>
        </w:rPr>
        <w:t>改造部分</w:t>
      </w:r>
      <w:r>
        <w:rPr>
          <w:i/>
          <w:iCs/>
          <w:color w:val="auto"/>
          <w:sz w:val="24"/>
          <w:u w:val="single"/>
        </w:rPr>
        <w:t>供电、放空均依托</w:t>
      </w:r>
      <w:r>
        <w:rPr>
          <w:rFonts w:hint="eastAsia"/>
          <w:i/>
          <w:iCs/>
          <w:color w:val="auto"/>
          <w:sz w:val="24"/>
          <w:u w:val="single"/>
        </w:rPr>
        <w:t>阀室内</w:t>
      </w:r>
      <w:r>
        <w:rPr>
          <w:i/>
          <w:iCs/>
          <w:color w:val="auto"/>
          <w:sz w:val="24"/>
          <w:u w:val="single"/>
        </w:rPr>
        <w:t>原有系统</w:t>
      </w:r>
      <w:r>
        <w:rPr>
          <w:rFonts w:hint="eastAsia"/>
          <w:i/>
          <w:iCs/>
          <w:color w:val="auto"/>
          <w:sz w:val="24"/>
          <w:u w:val="single"/>
        </w:rPr>
        <w:t>。</w:t>
      </w:r>
    </w:p>
    <w:p w14:paraId="32117082">
      <w:pPr>
        <w:spacing w:line="360" w:lineRule="auto"/>
        <w:ind w:firstLine="480" w:firstLineChars="200"/>
      </w:pPr>
      <w:r>
        <w:rPr>
          <w:sz w:val="24"/>
        </w:rPr>
        <w:t>（2）</w:t>
      </w:r>
      <w:r>
        <w:rPr>
          <w:rFonts w:hint="eastAsia"/>
          <w:sz w:val="24"/>
        </w:rPr>
        <w:t>依托可行性</w:t>
      </w:r>
    </w:p>
    <w:p w14:paraId="73F4FEB6">
      <w:pPr>
        <w:pStyle w:val="234"/>
      </w:pPr>
      <w:r>
        <w:rPr>
          <w:rFonts w:hint="eastAsia"/>
        </w:rPr>
        <w:t>28号阀室</w:t>
      </w:r>
      <w:r>
        <w:t>采用放空</w:t>
      </w:r>
      <w:r>
        <w:rPr>
          <w:rFonts w:hint="eastAsia"/>
        </w:rPr>
        <w:t>立管</w:t>
      </w:r>
      <w:r>
        <w:t>，作为非正常工况下废气的紧急排放</w:t>
      </w:r>
      <w:r>
        <w:rPr>
          <w:rFonts w:hint="eastAsia"/>
        </w:rPr>
        <w:t>，</w:t>
      </w:r>
      <w:r>
        <w:t>放空</w:t>
      </w:r>
      <w:r>
        <w:rPr>
          <w:rFonts w:hint="eastAsia"/>
        </w:rPr>
        <w:t>立管</w:t>
      </w:r>
      <w:r>
        <w:t>高度</w:t>
      </w:r>
      <w:r>
        <w:rPr>
          <w:rFonts w:hint="eastAsia"/>
        </w:rPr>
        <w:t>15</w:t>
      </w:r>
      <w:r>
        <w:t>m、直径</w:t>
      </w:r>
      <w:r>
        <w:rPr>
          <w:rFonts w:hint="eastAsia"/>
        </w:rPr>
        <w:t>1</w:t>
      </w:r>
      <w:r>
        <w:t>50mm，位于</w:t>
      </w:r>
      <w:r>
        <w:rPr>
          <w:rFonts w:hint="eastAsia"/>
        </w:rPr>
        <w:t>28号阀室</w:t>
      </w:r>
      <w:r>
        <w:t>西</w:t>
      </w:r>
      <w:r>
        <w:rPr>
          <w:rFonts w:hint="eastAsia"/>
        </w:rPr>
        <w:t>北</w:t>
      </w:r>
      <w:r>
        <w:t>侧</w:t>
      </w:r>
      <w:r>
        <w:rPr>
          <w:rFonts w:hint="eastAsia"/>
        </w:rPr>
        <w:t>35</w:t>
      </w:r>
      <w:r>
        <w:t>m处。系统超压逸散的天然气直接通过放空</w:t>
      </w:r>
      <w:r>
        <w:rPr>
          <w:rFonts w:hint="eastAsia"/>
        </w:rPr>
        <w:t>立管</w:t>
      </w:r>
      <w:r>
        <w:t>排放</w:t>
      </w:r>
      <w:r>
        <w:rPr>
          <w:rFonts w:hint="eastAsia"/>
        </w:rPr>
        <w:t>（冷放空）</w:t>
      </w:r>
      <w:r>
        <w:t>。设计输气流程除满足本工程系统流程外，不影响原有</w:t>
      </w:r>
      <w:r>
        <w:rPr>
          <w:rFonts w:hint="eastAsia"/>
        </w:rPr>
        <w:t>阀室</w:t>
      </w:r>
      <w:r>
        <w:t>的输气流程功能、工艺路线以及年输气量</w:t>
      </w:r>
      <w:r>
        <w:rPr>
          <w:rFonts w:hint="eastAsia"/>
        </w:rPr>
        <w:t>，依托可行</w:t>
      </w:r>
      <w:r>
        <w:t>。</w:t>
      </w:r>
    </w:p>
    <w:p w14:paraId="2408BC30">
      <w:pPr>
        <w:pStyle w:val="234"/>
      </w:pPr>
      <w:r>
        <w:t>（3）</w:t>
      </w:r>
      <w:r>
        <w:rPr>
          <w:rFonts w:hint="eastAsia"/>
        </w:rPr>
        <w:t>28号阀室</w:t>
      </w:r>
      <w:r>
        <w:t>投用以来环保设施运行情况</w:t>
      </w:r>
    </w:p>
    <w:p w14:paraId="25F085E6">
      <w:pPr>
        <w:pStyle w:val="234"/>
        <w:snapToGrid w:val="0"/>
        <w:spacing w:before="120" w:beforeLines="50"/>
      </w:pPr>
      <w:r>
        <w:t>目前</w:t>
      </w:r>
      <w:r>
        <w:rPr>
          <w:rFonts w:hint="eastAsia"/>
        </w:rPr>
        <w:t>28号阀室</w:t>
      </w:r>
      <w:r>
        <w:t>内全部建（构）筑物及设备均处于正常投运状态，</w:t>
      </w:r>
      <w:r>
        <w:rPr>
          <w:rFonts w:hint="eastAsia"/>
        </w:rPr>
        <w:t>该阀室为无人值守站且无清管功能，因此阀室内无</w:t>
      </w:r>
      <w:r>
        <w:t>废水产生。本次评价对</w:t>
      </w:r>
      <w:r>
        <w:rPr>
          <w:rFonts w:hint="eastAsia"/>
        </w:rPr>
        <w:t>28号阀室</w:t>
      </w:r>
      <w:r>
        <w:t>厂界无组织非甲烷总烃及厂界噪声进行了监测</w:t>
      </w:r>
      <w:r>
        <w:rPr>
          <w:rFonts w:hint="eastAsia"/>
        </w:rPr>
        <w:t>，</w:t>
      </w:r>
      <w:r>
        <w:t>厂界非甲烷总烃能够满足《</w:t>
      </w:r>
      <w:r>
        <w:rPr>
          <w:rFonts w:hint="eastAsia"/>
        </w:rPr>
        <w:t>大气污染物综合排放标准</w:t>
      </w:r>
      <w:r>
        <w:t>》(</w:t>
      </w:r>
      <w:r>
        <w:rPr>
          <w:rFonts w:hint="eastAsia"/>
        </w:rPr>
        <w:t>GB16297-1996</w:t>
      </w:r>
      <w:r>
        <w:t>)表2厂界监控点浓度限值</w:t>
      </w:r>
      <w:r>
        <w:rPr>
          <w:rFonts w:hint="eastAsia"/>
        </w:rPr>
        <w:t>（4</w:t>
      </w:r>
      <w:r>
        <w:t>.0mg/m</w:t>
      </w:r>
      <w:r>
        <w:rPr>
          <w:vertAlign w:val="superscript"/>
        </w:rPr>
        <w:t>3</w:t>
      </w:r>
      <w:r>
        <w:rPr>
          <w:rFonts w:hint="eastAsia"/>
        </w:rPr>
        <w:t>），</w:t>
      </w:r>
      <w:r>
        <w:t>厂界噪声能够满足《工业企业厂界环境噪声排放标准》（GB12348-2008）2类标准</w:t>
      </w:r>
      <w:r>
        <w:rPr>
          <w:rFonts w:hint="eastAsia"/>
        </w:rPr>
        <w:t>（昼间6</w:t>
      </w:r>
      <w:r>
        <w:t>0</w:t>
      </w:r>
      <w:r>
        <w:rPr>
          <w:rFonts w:hint="eastAsia"/>
        </w:rPr>
        <w:t>d</w:t>
      </w:r>
      <w:r>
        <w:t>B(A</w:t>
      </w:r>
      <w:r>
        <w:rPr>
          <w:rFonts w:hint="eastAsia"/>
        </w:rPr>
        <w:t>)、夜间</w:t>
      </w:r>
      <w:r>
        <w:t>50</w:t>
      </w:r>
      <w:r>
        <w:rPr>
          <w:rFonts w:hint="eastAsia"/>
        </w:rPr>
        <w:t>d</w:t>
      </w:r>
      <w:r>
        <w:t>B(A</w:t>
      </w:r>
      <w:r>
        <w:rPr>
          <w:rFonts w:hint="eastAsia"/>
        </w:rPr>
        <w:t>)）</w:t>
      </w:r>
      <w:r>
        <w:t>。</w:t>
      </w:r>
      <w:r>
        <w:rPr>
          <w:rFonts w:hint="eastAsia"/>
        </w:rPr>
        <w:t>产生的固体废物为</w:t>
      </w:r>
      <w:r>
        <w:rPr>
          <w:shd w:val="clear" w:color="auto" w:fill="FFFFFF"/>
        </w:rPr>
        <w:t>更换的废铅蓄电池</w:t>
      </w:r>
      <w:r>
        <w:rPr>
          <w:rFonts w:hint="eastAsia"/>
          <w:shd w:val="clear" w:color="auto" w:fill="FFFFFF"/>
        </w:rPr>
        <w:t>，每8年更换一次，更换后委托有资质单位处理，不在站内储存。</w:t>
      </w:r>
    </w:p>
    <w:p w14:paraId="602930B3">
      <w:pPr>
        <w:pStyle w:val="234"/>
      </w:pPr>
      <w:r>
        <w:t>总体来看，本工程</w:t>
      </w:r>
      <w:r>
        <w:rPr>
          <w:rFonts w:hint="eastAsia"/>
        </w:rPr>
        <w:t>所依托28号阀室</w:t>
      </w:r>
      <w:r>
        <w:t>无组织非甲烷总烃、厂界噪声</w:t>
      </w:r>
      <w:r>
        <w:rPr>
          <w:rFonts w:hint="eastAsia"/>
        </w:rPr>
        <w:t>及固体废物处理</w:t>
      </w:r>
      <w:r>
        <w:t>均满足相关标准要求，不存在遗留的环境问题，因此本工程依托</w:t>
      </w:r>
      <w:r>
        <w:rPr>
          <w:rFonts w:hint="eastAsia"/>
        </w:rPr>
        <w:t>28号阀室</w:t>
      </w:r>
      <w:r>
        <w:t>可行。</w:t>
      </w:r>
    </w:p>
    <w:p w14:paraId="27499F33">
      <w:pPr>
        <w:pStyle w:val="4"/>
      </w:pPr>
      <w:bookmarkStart w:id="149" w:name="_bookmark17"/>
      <w:bookmarkEnd w:id="149"/>
      <w:bookmarkStart w:id="150" w:name="_Toc12845"/>
      <w:bookmarkStart w:id="151" w:name="_Toc15474"/>
      <w:r>
        <w:t>工程分析</w:t>
      </w:r>
      <w:bookmarkEnd w:id="150"/>
    </w:p>
    <w:p w14:paraId="35E52170">
      <w:pPr>
        <w:pStyle w:val="234"/>
      </w:pPr>
      <w:r>
        <w:t>根据天然气管道工程建设的特点，本工程的环境影响因素的产生作用可分为两个阶段，即工程建设施工期和管道运行期。</w:t>
      </w:r>
    </w:p>
    <w:p w14:paraId="07D5C2E6">
      <w:pPr>
        <w:pStyle w:val="5"/>
        <w:rPr>
          <w:color w:val="auto"/>
        </w:rPr>
      </w:pPr>
      <w:r>
        <w:rPr>
          <w:color w:val="auto"/>
        </w:rPr>
        <w:t>施工期</w:t>
      </w:r>
    </w:p>
    <w:p w14:paraId="18005026">
      <w:pPr>
        <w:spacing w:line="360" w:lineRule="auto"/>
        <w:ind w:firstLine="480" w:firstLineChars="200"/>
        <w:rPr>
          <w:sz w:val="24"/>
        </w:rPr>
      </w:pPr>
      <w:r>
        <w:rPr>
          <w:rFonts w:hint="eastAsia"/>
          <w:sz w:val="24"/>
        </w:rPr>
        <w:t>本工程</w:t>
      </w:r>
      <w:r>
        <w:rPr>
          <w:sz w:val="24"/>
        </w:rPr>
        <w:t>建设其整个施工过程概述如下：</w:t>
      </w:r>
    </w:p>
    <w:p w14:paraId="2B91DE69">
      <w:pPr>
        <w:spacing w:line="360" w:lineRule="auto"/>
        <w:ind w:firstLine="480" w:firstLineChars="200"/>
        <w:rPr>
          <w:sz w:val="24"/>
        </w:rPr>
      </w:pPr>
      <w:r>
        <w:rPr>
          <w:sz w:val="24"/>
        </w:rPr>
        <w:t>（1）工程施工时，首先进行作业线路的清理，在完成管沟开挖、等基础工程后，将钢管运至各施工场地。将管段及必要的弯头等组装后，用人工或自动方式焊接，然后进行防腐工艺的施工，最后按管道施工规范下到管沟内，覆土回填。</w:t>
      </w:r>
    </w:p>
    <w:p w14:paraId="3E3014DA">
      <w:pPr>
        <w:spacing w:line="360" w:lineRule="auto"/>
        <w:ind w:firstLine="480" w:firstLineChars="200"/>
        <w:rPr>
          <w:sz w:val="24"/>
        </w:rPr>
      </w:pPr>
      <w:r>
        <w:rPr>
          <w:sz w:val="24"/>
        </w:rPr>
        <w:t>（2）阀室</w:t>
      </w:r>
      <w:r>
        <w:rPr>
          <w:rFonts w:hint="eastAsia"/>
          <w:sz w:val="24"/>
        </w:rPr>
        <w:t>改建、新建站场</w:t>
      </w:r>
      <w:r>
        <w:rPr>
          <w:sz w:val="24"/>
        </w:rPr>
        <w:t>，安装工艺装置，建设相应的辅助设施。</w:t>
      </w:r>
    </w:p>
    <w:p w14:paraId="65A771FD">
      <w:pPr>
        <w:spacing w:line="360" w:lineRule="auto"/>
        <w:ind w:firstLine="480" w:firstLineChars="200"/>
        <w:rPr>
          <w:sz w:val="24"/>
        </w:rPr>
      </w:pPr>
      <w:r>
        <w:rPr>
          <w:sz w:val="24"/>
        </w:rPr>
        <w:t>（3）对管线进行清扫、试压，清理作业现场，恢复地貌。</w:t>
      </w:r>
    </w:p>
    <w:p w14:paraId="274B751B">
      <w:pPr>
        <w:spacing w:line="360" w:lineRule="auto"/>
        <w:ind w:firstLine="480" w:firstLineChars="200"/>
        <w:rPr>
          <w:sz w:val="24"/>
        </w:rPr>
      </w:pPr>
      <w:r>
        <w:rPr>
          <w:sz w:val="24"/>
        </w:rPr>
        <w:t>（4）管线试运行正常后正式投产供气。</w:t>
      </w:r>
    </w:p>
    <w:p w14:paraId="3F8917AE">
      <w:pPr>
        <w:spacing w:line="360" w:lineRule="auto"/>
        <w:ind w:firstLine="480" w:firstLineChars="200"/>
        <w:rPr>
          <w:sz w:val="24"/>
        </w:rPr>
      </w:pPr>
      <w:r>
        <w:rPr>
          <w:sz w:val="24"/>
        </w:rPr>
        <w:t>从以上施工过程可以看出，工程建设期环境影响因素主要来自管道敷设施工过程中的开挖管沟、管道穿跨越工程、车辆人员践踏等活动，另外工程施工产生的废水、废气、噪声和固体废物将对环境造成一定影响。施工过程如图3.</w:t>
      </w:r>
      <w:r>
        <w:rPr>
          <w:rFonts w:hint="eastAsia"/>
          <w:sz w:val="24"/>
        </w:rPr>
        <w:t>4</w:t>
      </w:r>
      <w:r>
        <w:rPr>
          <w:sz w:val="24"/>
        </w:rPr>
        <w:t>-1所示。</w:t>
      </w:r>
    </w:p>
    <w:p w14:paraId="693FC574">
      <w:pPr>
        <w:spacing w:line="360" w:lineRule="auto"/>
        <w:jc w:val="center"/>
        <w:rPr>
          <w:sz w:val="14"/>
        </w:rPr>
      </w:pPr>
      <w:r>
        <w:object>
          <v:shape id="_x0000_i1026" o:spt="75" type="#_x0000_t75" style="height:519.5pt;width:363pt;" o:ole="t" filled="f" o:preferrelative="t" stroked="f" coordsize="21600,21600">
            <v:path/>
            <v:fill on="f" focussize="0,0"/>
            <v:stroke on="f" joinstyle="miter"/>
            <v:imagedata r:id="rId52" o:title=""/>
            <o:lock v:ext="edit" aspectratio="t"/>
            <w10:wrap type="none"/>
            <w10:anchorlock/>
          </v:shape>
          <o:OLEObject Type="Embed" ProgID="Visio.Drawing.15" ShapeID="_x0000_i1026" DrawAspect="Content" ObjectID="_1468075726" r:id="rId51">
            <o:LockedField>false</o:LockedField>
          </o:OLEObject>
        </w:object>
      </w:r>
    </w:p>
    <w:p w14:paraId="5CEDD937">
      <w:pPr>
        <w:pStyle w:val="904"/>
      </w:pPr>
      <w:r>
        <w:t>图3.</w:t>
      </w:r>
      <w:r>
        <w:rPr>
          <w:rFonts w:hint="eastAsia"/>
        </w:rPr>
        <w:t>4</w:t>
      </w:r>
      <w:r>
        <w:t>-1管道工程建设施工过程</w:t>
      </w:r>
    </w:p>
    <w:bookmarkEnd w:id="151"/>
    <w:p w14:paraId="4E4B57F6">
      <w:pPr>
        <w:pStyle w:val="7"/>
        <w:spacing w:before="120" w:beforeLines="50"/>
      </w:pPr>
      <w:r>
        <w:t>管道建设施工过程分析</w:t>
      </w:r>
    </w:p>
    <w:p w14:paraId="7C6DB444">
      <w:pPr>
        <w:spacing w:line="360" w:lineRule="auto"/>
        <w:ind w:firstLine="482" w:firstLineChars="200"/>
        <w:rPr>
          <w:b/>
          <w:bCs/>
          <w:sz w:val="24"/>
        </w:rPr>
      </w:pPr>
      <w:r>
        <w:rPr>
          <w:b/>
          <w:bCs/>
          <w:sz w:val="24"/>
        </w:rPr>
        <w:t>（1）施工作业带清理、</w:t>
      </w:r>
      <w:r>
        <w:rPr>
          <w:rFonts w:hint="eastAsia"/>
          <w:b/>
          <w:bCs/>
          <w:sz w:val="24"/>
        </w:rPr>
        <w:t>修整</w:t>
      </w:r>
      <w:r>
        <w:rPr>
          <w:b/>
          <w:bCs/>
          <w:sz w:val="24"/>
        </w:rPr>
        <w:t>施工便道</w:t>
      </w:r>
    </w:p>
    <w:p w14:paraId="49421BAB">
      <w:pPr>
        <w:spacing w:line="360" w:lineRule="auto"/>
        <w:ind w:firstLine="480" w:firstLineChars="200"/>
        <w:rPr>
          <w:sz w:val="24"/>
        </w:rPr>
      </w:pPr>
      <w:r>
        <w:rPr>
          <w:sz w:val="24"/>
        </w:rPr>
        <w:t>管道施工前，需要对施工作业带进行清理和平整和修</w:t>
      </w:r>
      <w:r>
        <w:rPr>
          <w:rFonts w:hint="eastAsia"/>
          <w:sz w:val="24"/>
        </w:rPr>
        <w:t>整</w:t>
      </w:r>
      <w:r>
        <w:rPr>
          <w:sz w:val="24"/>
        </w:rPr>
        <w:t>施工便道，以便施工人员、车辆和机械通行，然后才能进行管沟开挖作业。线路施工作业带的宽度应根据管径、现场情况、施工机具等确定，本工程</w:t>
      </w:r>
      <w:r>
        <w:rPr>
          <w:rFonts w:hint="eastAsia"/>
          <w:sz w:val="24"/>
        </w:rPr>
        <w:t>在一般地区段作业带宽度按12m考虑，在浅丘林区段作业带宽度12m，修整</w:t>
      </w:r>
      <w:r>
        <w:rPr>
          <w:sz w:val="24"/>
        </w:rPr>
        <w:t>施工便道</w:t>
      </w:r>
      <w:r>
        <w:rPr>
          <w:rFonts w:hint="eastAsia"/>
          <w:sz w:val="24"/>
        </w:rPr>
        <w:t>0</w:t>
      </w:r>
      <w:r>
        <w:rPr>
          <w:sz w:val="24"/>
        </w:rPr>
        <w:t>.</w:t>
      </w:r>
      <w:r>
        <w:rPr>
          <w:rFonts w:hint="eastAsia"/>
          <w:sz w:val="24"/>
        </w:rPr>
        <w:t>2</w:t>
      </w:r>
      <w:r>
        <w:rPr>
          <w:sz w:val="24"/>
        </w:rPr>
        <w:t>km。管道施工作业及堆土区域分列在管沟的两侧。</w:t>
      </w:r>
    </w:p>
    <w:p w14:paraId="53A9D490">
      <w:pPr>
        <w:pStyle w:val="234"/>
        <w:ind w:firstLine="482"/>
        <w:rPr>
          <w:b/>
          <w:bCs/>
        </w:rPr>
      </w:pPr>
      <w:r>
        <w:rPr>
          <w:b/>
          <w:bCs/>
        </w:rPr>
        <w:t>（2）管道组装、焊接、防腐</w:t>
      </w:r>
    </w:p>
    <w:p w14:paraId="58DBBC48">
      <w:pPr>
        <w:spacing w:line="360" w:lineRule="auto"/>
        <w:ind w:firstLine="480" w:firstLineChars="200"/>
        <w:rPr>
          <w:sz w:val="24"/>
        </w:rPr>
      </w:pPr>
      <w:r>
        <w:rPr>
          <w:sz w:val="24"/>
        </w:rPr>
        <w:t>成品管道长度12m左右，利用吊机等将各管道按预定位置吊放后，需要进行管道之间的焊接与防腐，具体流程分述如下。</w:t>
      </w:r>
    </w:p>
    <w:p w14:paraId="5A8D6B4C">
      <w:pPr>
        <w:spacing w:line="360" w:lineRule="auto"/>
        <w:ind w:firstLine="480" w:firstLineChars="200"/>
        <w:rPr>
          <w:sz w:val="24"/>
        </w:rPr>
      </w:pPr>
      <w:r>
        <w:rPr>
          <w:sz w:val="24"/>
        </w:rPr>
        <w:fldChar w:fldCharType="begin"/>
      </w:r>
      <w:r>
        <w:rPr>
          <w:sz w:val="24"/>
        </w:rPr>
        <w:instrText xml:space="preserve"> = 1 \* GB3 </w:instrText>
      </w:r>
      <w:r>
        <w:rPr>
          <w:sz w:val="24"/>
        </w:rPr>
        <w:fldChar w:fldCharType="separate"/>
      </w:r>
      <w:r>
        <w:rPr>
          <w:rFonts w:hint="eastAsia" w:ascii="宋体" w:hAnsi="宋体" w:cs="宋体"/>
          <w:sz w:val="24"/>
        </w:rPr>
        <w:t>①</w:t>
      </w:r>
      <w:r>
        <w:rPr>
          <w:sz w:val="24"/>
        </w:rPr>
        <w:fldChar w:fldCharType="end"/>
      </w:r>
      <w:r>
        <w:rPr>
          <w:sz w:val="24"/>
        </w:rPr>
        <w:t>组装焊接</w:t>
      </w:r>
    </w:p>
    <w:p w14:paraId="57C33C4D">
      <w:pPr>
        <w:spacing w:line="360" w:lineRule="auto"/>
        <w:ind w:firstLine="480" w:firstLineChars="200"/>
        <w:rPr>
          <w:sz w:val="24"/>
        </w:rPr>
      </w:pPr>
      <w:r>
        <w:rPr>
          <w:sz w:val="24"/>
        </w:rPr>
        <w:t>焊接工艺流程主要为：组焊开始→管口检查合格→组对检查合格→根焊→焊口打磨合格→盖面焊接→焊口打磨→自检合格→焊口标识、组焊结束。</w:t>
      </w:r>
    </w:p>
    <w:p w14:paraId="0817A9F0">
      <w:pPr>
        <w:spacing w:line="360" w:lineRule="auto"/>
        <w:ind w:firstLine="480" w:firstLineChars="200"/>
        <w:rPr>
          <w:sz w:val="24"/>
        </w:rPr>
      </w:pPr>
      <w:r>
        <w:rPr>
          <w:sz w:val="24"/>
        </w:rPr>
        <w:t>本工程</w:t>
      </w:r>
      <w:r>
        <w:rPr>
          <w:rFonts w:hint="eastAsia"/>
          <w:sz w:val="24"/>
        </w:rPr>
        <w:t>全线管道采用手工氩弧焊根焊+低氢焊条填充盖面（氩电联焊）的焊接方式进行施工</w:t>
      </w:r>
      <w:r>
        <w:rPr>
          <w:sz w:val="24"/>
        </w:rPr>
        <w:t>。</w:t>
      </w:r>
    </w:p>
    <w:p w14:paraId="15732504">
      <w:pPr>
        <w:spacing w:line="360" w:lineRule="auto"/>
        <w:ind w:firstLine="480" w:firstLineChars="200"/>
        <w:rPr>
          <w:sz w:val="24"/>
        </w:rPr>
      </w:pPr>
      <w:r>
        <w:rPr>
          <w:sz w:val="24"/>
        </w:rPr>
        <w:fldChar w:fldCharType="begin"/>
      </w:r>
      <w:r>
        <w:rPr>
          <w:sz w:val="24"/>
        </w:rPr>
        <w:instrText xml:space="preserve"> = 2 \* GB3 </w:instrText>
      </w:r>
      <w:r>
        <w:rPr>
          <w:sz w:val="24"/>
        </w:rPr>
        <w:fldChar w:fldCharType="separate"/>
      </w:r>
      <w:r>
        <w:rPr>
          <w:rFonts w:hint="eastAsia" w:ascii="宋体" w:hAnsi="宋体" w:cs="宋体"/>
          <w:sz w:val="24"/>
        </w:rPr>
        <w:t>②</w:t>
      </w:r>
      <w:r>
        <w:rPr>
          <w:sz w:val="24"/>
        </w:rPr>
        <w:fldChar w:fldCharType="end"/>
      </w:r>
      <w:r>
        <w:rPr>
          <w:sz w:val="24"/>
        </w:rPr>
        <w:t>防腐</w:t>
      </w:r>
    </w:p>
    <w:p w14:paraId="18D5912A">
      <w:pPr>
        <w:spacing w:line="360" w:lineRule="auto"/>
        <w:ind w:firstLine="480" w:firstLineChars="200"/>
        <w:rPr>
          <w:sz w:val="24"/>
        </w:rPr>
      </w:pPr>
      <w:r>
        <w:rPr>
          <w:sz w:val="24"/>
        </w:rPr>
        <w:t>本工程一般地段线路管道（包括冷弯管）采用常温</w:t>
      </w:r>
      <w:r>
        <w:rPr>
          <w:rFonts w:hint="eastAsia"/>
          <w:sz w:val="24"/>
        </w:rPr>
        <w:t>加强级</w:t>
      </w:r>
      <w:r>
        <w:rPr>
          <w:sz w:val="24"/>
        </w:rPr>
        <w:t>三层PE防腐层。防腐层为工厂预制，预制成品应符合规范《埋地钢质管道聚乙烯防腐层》（GB/T 23257-2017）的有关规定。</w:t>
      </w:r>
    </w:p>
    <w:p w14:paraId="06B7B8C2">
      <w:pPr>
        <w:spacing w:line="360" w:lineRule="auto"/>
        <w:ind w:firstLine="480" w:firstLineChars="200"/>
        <w:rPr>
          <w:sz w:val="24"/>
        </w:rPr>
      </w:pPr>
      <w:r>
        <w:rPr>
          <w:sz w:val="24"/>
        </w:rPr>
        <w:t>由于热煨弯管通常在工厂进行预制，由于其特殊的结构，本工程热煨弯管采用双层环氧粉末防腐，双层熔结环氧粉末内层厚度应≥300μm，外层厚度应≥500μm，总厚度应≥800μm。</w:t>
      </w:r>
    </w:p>
    <w:p w14:paraId="236EC916">
      <w:pPr>
        <w:spacing w:line="360" w:lineRule="auto"/>
        <w:ind w:firstLine="480" w:firstLineChars="200"/>
        <w:rPr>
          <w:sz w:val="24"/>
        </w:rPr>
      </w:pPr>
      <w:r>
        <w:rPr>
          <w:sz w:val="24"/>
        </w:rPr>
        <w:fldChar w:fldCharType="begin"/>
      </w:r>
      <w:r>
        <w:rPr>
          <w:sz w:val="24"/>
        </w:rPr>
        <w:instrText xml:space="preserve"> = 3 \* GB3 </w:instrText>
      </w:r>
      <w:r>
        <w:rPr>
          <w:sz w:val="24"/>
        </w:rPr>
        <w:fldChar w:fldCharType="separate"/>
      </w:r>
      <w:r>
        <w:rPr>
          <w:rFonts w:hint="eastAsia" w:ascii="宋体" w:hAnsi="宋体" w:cs="宋体"/>
          <w:sz w:val="24"/>
        </w:rPr>
        <w:t>③</w:t>
      </w:r>
      <w:r>
        <w:rPr>
          <w:sz w:val="24"/>
        </w:rPr>
        <w:fldChar w:fldCharType="end"/>
      </w:r>
      <w:r>
        <w:rPr>
          <w:sz w:val="24"/>
        </w:rPr>
        <w:t>补口补伤</w:t>
      </w:r>
    </w:p>
    <w:p w14:paraId="6733DFB5">
      <w:pPr>
        <w:spacing w:line="360" w:lineRule="auto"/>
        <w:ind w:firstLine="480" w:firstLineChars="200"/>
        <w:rPr>
          <w:sz w:val="24"/>
        </w:rPr>
      </w:pPr>
      <w:r>
        <w:rPr>
          <w:rFonts w:hint="eastAsia"/>
          <w:sz w:val="24"/>
        </w:rPr>
        <w:t>管道防腐层补口采用带配套环氧底漆（干膜厚度</w:t>
      </w:r>
      <w:r>
        <w:rPr>
          <w:sz w:val="24"/>
        </w:rPr>
        <w:t>≥</w:t>
      </w:r>
      <w:r>
        <w:rPr>
          <w:rFonts w:hint="eastAsia"/>
          <w:sz w:val="24"/>
        </w:rPr>
        <w:t>2</w:t>
      </w:r>
      <w:r>
        <w:rPr>
          <w:sz w:val="24"/>
        </w:rPr>
        <w:t>00μm</w:t>
      </w:r>
      <w:r>
        <w:rPr>
          <w:rFonts w:hint="eastAsia"/>
          <w:sz w:val="24"/>
        </w:rPr>
        <w:t>）+聚乙烯热收缩带</w:t>
      </w:r>
      <w:r>
        <w:rPr>
          <w:sz w:val="24"/>
        </w:rPr>
        <w:t>。补伤采用</w:t>
      </w:r>
      <w:r>
        <w:rPr>
          <w:rFonts w:hint="eastAsia"/>
          <w:sz w:val="24"/>
        </w:rPr>
        <w:t>聚乙烯热收缩带（损伤处直径＞30mm）或聚乙烯补伤片（损伤处≤30mm）</w:t>
      </w:r>
      <w:r>
        <w:rPr>
          <w:sz w:val="24"/>
        </w:rPr>
        <w:t>。</w:t>
      </w:r>
    </w:p>
    <w:p w14:paraId="21121CF3">
      <w:pPr>
        <w:pStyle w:val="234"/>
        <w:ind w:firstLine="482"/>
        <w:rPr>
          <w:b/>
          <w:bCs/>
        </w:rPr>
      </w:pPr>
      <w:r>
        <w:rPr>
          <w:b/>
          <w:bCs/>
        </w:rPr>
        <w:t>（3）大开挖穿越施工</w:t>
      </w:r>
    </w:p>
    <w:p w14:paraId="2B353923">
      <w:pPr>
        <w:spacing w:line="360" w:lineRule="auto"/>
        <w:ind w:firstLine="480" w:firstLineChars="200"/>
        <w:rPr>
          <w:sz w:val="24"/>
        </w:rPr>
      </w:pPr>
      <w:r>
        <w:rPr>
          <w:sz w:val="24"/>
        </w:rPr>
        <w:t>本工程输气管线穿越农田、林地地段或一般地方道路时采用开挖方式施工，管道安装完毕后，立即按原貌恢复地面和路面。作业带布置示意图见图3.</w:t>
      </w:r>
      <w:r>
        <w:rPr>
          <w:rFonts w:hint="eastAsia"/>
          <w:sz w:val="24"/>
        </w:rPr>
        <w:t>4</w:t>
      </w:r>
      <w:r>
        <w:rPr>
          <w:sz w:val="24"/>
        </w:rPr>
        <w:t>-2。</w:t>
      </w:r>
    </w:p>
    <w:p w14:paraId="0A98C549">
      <w:pPr>
        <w:pStyle w:val="1343"/>
        <w:rPr>
          <w:sz w:val="20"/>
        </w:rPr>
      </w:pPr>
      <w:r>
        <w:drawing>
          <wp:inline distT="0" distB="0" distL="0" distR="0">
            <wp:extent cx="5760085" cy="2986405"/>
            <wp:effectExtent l="0" t="0" r="635"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760085" cy="2986405"/>
                    </a:xfrm>
                    <a:prstGeom prst="rect">
                      <a:avLst/>
                    </a:prstGeom>
                    <a:noFill/>
                    <a:ln>
                      <a:noFill/>
                    </a:ln>
                  </pic:spPr>
                </pic:pic>
              </a:graphicData>
            </a:graphic>
          </wp:inline>
        </w:drawing>
      </w:r>
    </w:p>
    <w:p w14:paraId="5898D691">
      <w:pPr>
        <w:pStyle w:val="904"/>
        <w:spacing w:line="360" w:lineRule="auto"/>
      </w:pPr>
      <w:r>
        <w:t>图3.</w:t>
      </w:r>
      <w:r>
        <w:rPr>
          <w:rFonts w:hint="eastAsia"/>
        </w:rPr>
        <w:t>4</w:t>
      </w:r>
      <w:r>
        <w:t>-2一般地段管道开挖作业示意图</w:t>
      </w:r>
    </w:p>
    <w:p w14:paraId="108B3BBC">
      <w:pPr>
        <w:spacing w:line="360" w:lineRule="auto"/>
        <w:ind w:firstLine="480" w:firstLineChars="200"/>
        <w:rPr>
          <w:sz w:val="24"/>
        </w:rPr>
      </w:pPr>
      <w:r>
        <w:rPr>
          <w:sz w:val="24"/>
        </w:rPr>
        <w:t>一般情况下施工作业带宽度为</w:t>
      </w:r>
      <w:r>
        <w:rPr>
          <w:rFonts w:hint="eastAsia"/>
          <w:sz w:val="24"/>
        </w:rPr>
        <w:t>12</w:t>
      </w:r>
      <w:r>
        <w:rPr>
          <w:sz w:val="24"/>
        </w:rPr>
        <w:t>m，此范围内影响施工机械通行及施工作业的石块、杂草、树木、农作物等予以清理干净。根据管道稳定性要求，结合沿线植被、地形地质条件、地下水位状况确定，管道设计埋深（至顶管覆土）约1.</w:t>
      </w:r>
      <w:r>
        <w:rPr>
          <w:rFonts w:hint="eastAsia"/>
          <w:sz w:val="24"/>
        </w:rPr>
        <w:t>5</w:t>
      </w:r>
      <w:r>
        <w:rPr>
          <w:sz w:val="24"/>
        </w:rPr>
        <w:t>m。管沟断面采用梯形，岩石管沟、弯管处等适当加宽沟底宽度。在农田地段开挖时，熟土（表层耕作土）和生土（下层土）分开堆放，表层</w:t>
      </w:r>
      <w:r>
        <w:rPr>
          <w:rFonts w:hint="eastAsia"/>
          <w:sz w:val="24"/>
        </w:rPr>
        <w:t>不大于</w:t>
      </w:r>
      <w:r>
        <w:rPr>
          <w:sz w:val="24"/>
        </w:rPr>
        <w:t>0.5m深的熟土应靠近边界线堆放，生土靠近管沟堆放，且堆土坡脚距沟边不小于0.5m。管沟回填按生、熟土顺序堆放，以保护耕作层。回填后管沟上方留有自然沉降余量（高出地面0.3m），多余土方就地平整。管线转弯处和出土端设置固定墩，以保持管道的轴向稳定性。在管线沿途设置线路三桩（</w:t>
      </w:r>
      <w:r>
        <w:rPr>
          <w:rFonts w:hint="eastAsia"/>
          <w:sz w:val="24"/>
        </w:rPr>
        <w:t>加密</w:t>
      </w:r>
      <w:r>
        <w:rPr>
          <w:sz w:val="24"/>
        </w:rPr>
        <w:t>桩、转角桩和标志桩）。</w:t>
      </w:r>
    </w:p>
    <w:p w14:paraId="22CB6F7F">
      <w:pPr>
        <w:pStyle w:val="234"/>
        <w:ind w:firstLine="482"/>
        <w:rPr>
          <w:b/>
          <w:bCs/>
        </w:rPr>
      </w:pPr>
      <w:r>
        <w:rPr>
          <w:b/>
          <w:bCs/>
        </w:rPr>
        <w:t>（4）顶管穿越</w:t>
      </w:r>
    </w:p>
    <w:p w14:paraId="3CEA0662">
      <w:pPr>
        <w:spacing w:line="360" w:lineRule="auto"/>
        <w:ind w:firstLine="480" w:firstLineChars="200"/>
        <w:rPr>
          <w:sz w:val="24"/>
        </w:rPr>
      </w:pPr>
      <w:r>
        <w:rPr>
          <w:sz w:val="24"/>
        </w:rPr>
        <w:t>顶管施工技术是国内外比较成熟的一项非开挖敷设管线的施工技术，该技术分为泥水平衡法、土压平衡法和人工掘土顶进法。目前国内采用较多的是用大推力的千斤顶直接将预制套管压入土层中，再在管内采用人工或机械掏挖土石、清除余土而成管的施工方法。主要分为测量放线、开挖工作坑、敷设导向轨道、安装液压千斤顶、吊放混凝土预制管、挖土、顶管、再挖土、再顶管、竣工验收等工序。</w:t>
      </w:r>
    </w:p>
    <w:p w14:paraId="10455688">
      <w:pPr>
        <w:spacing w:line="360" w:lineRule="auto"/>
        <w:ind w:firstLine="480" w:firstLineChars="200"/>
        <w:rPr>
          <w:i/>
          <w:iCs/>
          <w:color w:val="auto"/>
          <w:sz w:val="24"/>
          <w:u w:val="single"/>
        </w:rPr>
      </w:pPr>
      <w:r>
        <w:rPr>
          <w:rFonts w:hint="eastAsia"/>
          <w:i/>
          <w:iCs/>
          <w:color w:val="auto"/>
          <w:sz w:val="24"/>
          <w:u w:val="single"/>
        </w:rPr>
        <w:t>顶管穿首先在道路两侧开挖工作坑</w:t>
      </w:r>
      <w:r>
        <w:rPr>
          <w:i/>
          <w:iCs/>
          <w:color w:val="auto"/>
          <w:sz w:val="24"/>
          <w:u w:val="single"/>
        </w:rPr>
        <w:t>，</w:t>
      </w:r>
      <w:r>
        <w:rPr>
          <w:rFonts w:hint="eastAsia"/>
          <w:i/>
          <w:iCs/>
          <w:color w:val="auto"/>
          <w:sz w:val="24"/>
          <w:u w:val="single"/>
        </w:rPr>
        <w:t>顶管施工作业在工作坑中进行</w:t>
      </w:r>
      <w:r>
        <w:rPr>
          <w:i/>
          <w:iCs/>
          <w:color w:val="auto"/>
          <w:sz w:val="24"/>
          <w:u w:val="single"/>
        </w:rPr>
        <w:t>，</w:t>
      </w:r>
      <w:r>
        <w:rPr>
          <w:rFonts w:hint="eastAsia"/>
          <w:i/>
          <w:iCs/>
          <w:color w:val="auto"/>
          <w:sz w:val="24"/>
          <w:u w:val="single"/>
        </w:rPr>
        <w:t>不会破坏路面</w:t>
      </w:r>
      <w:r>
        <w:rPr>
          <w:i/>
          <w:iCs/>
          <w:color w:val="auto"/>
          <w:sz w:val="24"/>
          <w:u w:val="single"/>
        </w:rPr>
        <w:t>，</w:t>
      </w:r>
      <w:r>
        <w:rPr>
          <w:rFonts w:hint="eastAsia"/>
          <w:i/>
          <w:iCs/>
          <w:color w:val="auto"/>
          <w:sz w:val="24"/>
          <w:u w:val="single"/>
        </w:rPr>
        <w:t>因此在施工过程中可保持道路的畅通</w:t>
      </w:r>
      <w:r>
        <w:rPr>
          <w:i/>
          <w:iCs/>
          <w:color w:val="auto"/>
          <w:sz w:val="24"/>
          <w:u w:val="single"/>
        </w:rPr>
        <w:t>，</w:t>
      </w:r>
      <w:r>
        <w:rPr>
          <w:rFonts w:hint="eastAsia"/>
          <w:i/>
          <w:iCs/>
          <w:color w:val="auto"/>
          <w:sz w:val="24"/>
          <w:u w:val="single"/>
        </w:rPr>
        <w:t>不会给交通造成影响</w:t>
      </w:r>
      <w:r>
        <w:rPr>
          <w:i/>
          <w:iCs/>
          <w:color w:val="auto"/>
          <w:sz w:val="24"/>
          <w:u w:val="single"/>
        </w:rPr>
        <w:t>。</w:t>
      </w:r>
    </w:p>
    <w:p w14:paraId="6A3DBAB1">
      <w:pPr>
        <w:spacing w:line="360" w:lineRule="auto"/>
        <w:ind w:firstLine="480" w:firstLineChars="200"/>
        <w:rPr>
          <w:sz w:val="24"/>
        </w:rPr>
      </w:pPr>
      <w:r>
        <w:rPr>
          <w:sz w:val="24"/>
        </w:rPr>
        <w:t>本工程穿越</w:t>
      </w:r>
      <w:r>
        <w:rPr>
          <w:rFonts w:hint="eastAsia"/>
          <w:sz w:val="24"/>
        </w:rPr>
        <w:t>G356国</w:t>
      </w:r>
      <w:r>
        <w:rPr>
          <w:sz w:val="24"/>
        </w:rPr>
        <w:t>道等采用顶管穿越。顶管施工工艺示意图见图3.</w:t>
      </w:r>
      <w:r>
        <w:rPr>
          <w:rFonts w:hint="eastAsia"/>
          <w:sz w:val="24"/>
        </w:rPr>
        <w:t>4-3</w:t>
      </w:r>
      <w:r>
        <w:rPr>
          <w:sz w:val="24"/>
        </w:rPr>
        <w:t>，管道顶管穿越公路施工方式断面示意图见图3.</w:t>
      </w:r>
      <w:r>
        <w:rPr>
          <w:rFonts w:hint="eastAsia"/>
          <w:sz w:val="24"/>
        </w:rPr>
        <w:t>4-4，顶管施工工艺示意图见图3</w:t>
      </w:r>
      <w:r>
        <w:rPr>
          <w:sz w:val="24"/>
        </w:rPr>
        <w:t>.</w:t>
      </w:r>
      <w:r>
        <w:rPr>
          <w:rFonts w:hint="eastAsia"/>
          <w:sz w:val="24"/>
        </w:rPr>
        <w:t>4-5</w:t>
      </w:r>
      <w:r>
        <w:rPr>
          <w:sz w:val="24"/>
        </w:rPr>
        <w:t>。</w:t>
      </w:r>
    </w:p>
    <w:p w14:paraId="2E100C41">
      <w:pPr>
        <w:jc w:val="center"/>
        <w:rPr>
          <w:iCs/>
        </w:rPr>
      </w:pPr>
      <w:r>
        <w:rPr>
          <w:iCs/>
        </w:rPr>
        <w:drawing>
          <wp:inline distT="0" distB="0" distL="0" distR="0">
            <wp:extent cx="5760720" cy="298069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760720" cy="2980690"/>
                    </a:xfrm>
                    <a:prstGeom prst="rect">
                      <a:avLst/>
                    </a:prstGeom>
                    <a:noFill/>
                    <a:ln>
                      <a:noFill/>
                    </a:ln>
                  </pic:spPr>
                </pic:pic>
              </a:graphicData>
            </a:graphic>
          </wp:inline>
        </w:drawing>
      </w:r>
    </w:p>
    <w:p w14:paraId="4980E05B">
      <w:pPr>
        <w:pStyle w:val="904"/>
        <w:spacing w:line="360" w:lineRule="auto"/>
      </w:pPr>
      <w:r>
        <w:t>图3.</w:t>
      </w:r>
      <w:r>
        <w:rPr>
          <w:rFonts w:hint="eastAsia"/>
        </w:rPr>
        <w:t>4-3</w:t>
      </w:r>
      <w:r>
        <w:t>顶管施工工作坑构造和设施示意图</w:t>
      </w:r>
    </w:p>
    <w:p w14:paraId="1F969DC5">
      <w:pPr>
        <w:jc w:val="center"/>
        <w:rPr>
          <w:iCs/>
        </w:rPr>
      </w:pPr>
      <w:r>
        <w:rPr>
          <w:iCs/>
        </w:rPr>
        <w:drawing>
          <wp:inline distT="0" distB="0" distL="0" distR="0">
            <wp:extent cx="5760720" cy="249618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760720" cy="2496185"/>
                    </a:xfrm>
                    <a:prstGeom prst="rect">
                      <a:avLst/>
                    </a:prstGeom>
                    <a:noFill/>
                    <a:ln>
                      <a:noFill/>
                    </a:ln>
                  </pic:spPr>
                </pic:pic>
              </a:graphicData>
            </a:graphic>
          </wp:inline>
        </w:drawing>
      </w:r>
    </w:p>
    <w:p w14:paraId="5E2A09B9">
      <w:pPr>
        <w:pStyle w:val="904"/>
        <w:spacing w:line="360" w:lineRule="auto"/>
      </w:pPr>
      <w:r>
        <w:t>图3.</w:t>
      </w:r>
      <w:r>
        <w:rPr>
          <w:rFonts w:hint="eastAsia"/>
        </w:rPr>
        <w:t>4-4</w:t>
      </w:r>
      <w:r>
        <w:t>顶管穿越公路施工方式断面示意图</w:t>
      </w:r>
    </w:p>
    <w:p w14:paraId="4200273C">
      <w:pPr>
        <w:pStyle w:val="1343"/>
      </w:pPr>
      <w:r>
        <w:rPr>
          <w:rFonts w:hint="eastAsia"/>
        </w:rPr>
        <w:drawing>
          <wp:inline distT="0" distB="0" distL="114300" distR="114300">
            <wp:extent cx="5838825" cy="2505075"/>
            <wp:effectExtent l="0" t="0" r="9525" b="9525"/>
            <wp:docPr id="45" name="图片 45" descr="e726ae2d161dd57ce699e293dda4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e726ae2d161dd57ce699e293dda4682"/>
                    <pic:cNvPicPr>
                      <a:picLocks noChangeAspect="1"/>
                    </pic:cNvPicPr>
                  </pic:nvPicPr>
                  <pic:blipFill>
                    <a:blip r:embed="rId56"/>
                    <a:stretch>
                      <a:fillRect/>
                    </a:stretch>
                  </pic:blipFill>
                  <pic:spPr>
                    <a:xfrm>
                      <a:off x="0" y="0"/>
                      <a:ext cx="5838825" cy="2505075"/>
                    </a:xfrm>
                    <a:prstGeom prst="rect">
                      <a:avLst/>
                    </a:prstGeom>
                  </pic:spPr>
                </pic:pic>
              </a:graphicData>
            </a:graphic>
          </wp:inline>
        </w:drawing>
      </w:r>
    </w:p>
    <w:p w14:paraId="168306C9">
      <w:pPr>
        <w:pStyle w:val="904"/>
      </w:pPr>
      <w:r>
        <w:t>图3.</w:t>
      </w:r>
      <w:r>
        <w:rPr>
          <w:rFonts w:hint="eastAsia"/>
        </w:rPr>
        <w:t>4-5</w:t>
      </w:r>
      <w:r>
        <w:t>顶管施工工艺示意图</w:t>
      </w:r>
    </w:p>
    <w:p w14:paraId="25269727">
      <w:pPr>
        <w:pStyle w:val="234"/>
        <w:ind w:firstLine="482"/>
        <w:rPr>
          <w:b/>
          <w:bCs/>
        </w:rPr>
      </w:pPr>
      <w:r>
        <w:rPr>
          <w:b/>
          <w:bCs/>
        </w:rPr>
        <w:t>（</w:t>
      </w:r>
      <w:r>
        <w:rPr>
          <w:rFonts w:hint="eastAsia"/>
          <w:b/>
          <w:bCs/>
        </w:rPr>
        <w:t>5</w:t>
      </w:r>
      <w:r>
        <w:rPr>
          <w:b/>
          <w:bCs/>
        </w:rPr>
        <w:t>）站场建设</w:t>
      </w:r>
      <w:r>
        <w:rPr>
          <w:rFonts w:hint="eastAsia"/>
          <w:b/>
          <w:bCs/>
        </w:rPr>
        <w:t>和阀室改造</w:t>
      </w:r>
    </w:p>
    <w:p w14:paraId="2CE52868">
      <w:pPr>
        <w:spacing w:line="360" w:lineRule="auto"/>
        <w:ind w:firstLine="480" w:firstLineChars="200"/>
        <w:rPr>
          <w:sz w:val="24"/>
        </w:rPr>
      </w:pPr>
      <w:r>
        <w:rPr>
          <w:sz w:val="24"/>
        </w:rPr>
        <w:t>本工程新建</w:t>
      </w:r>
      <w:r>
        <w:rPr>
          <w:rFonts w:hint="eastAsia"/>
          <w:sz w:val="24"/>
        </w:rPr>
        <w:t>耒阳分输站</w:t>
      </w:r>
      <w:r>
        <w:rPr>
          <w:sz w:val="24"/>
        </w:rPr>
        <w:t>，并对</w:t>
      </w:r>
      <w:r>
        <w:rPr>
          <w:rFonts w:hint="eastAsia"/>
          <w:sz w:val="24"/>
        </w:rPr>
        <w:t>28号阀室</w:t>
      </w:r>
      <w:r>
        <w:rPr>
          <w:sz w:val="24"/>
        </w:rPr>
        <w:t>进行改造，施工内容包括埋地管线敷设、</w:t>
      </w:r>
      <w:r>
        <w:rPr>
          <w:rFonts w:hint="eastAsia"/>
          <w:sz w:val="24"/>
        </w:rPr>
        <w:t>基础处理、</w:t>
      </w:r>
      <w:r>
        <w:rPr>
          <w:sz w:val="24"/>
        </w:rPr>
        <w:t>设备安装、</w:t>
      </w:r>
      <w:r>
        <w:rPr>
          <w:rFonts w:hint="eastAsia"/>
          <w:sz w:val="24"/>
        </w:rPr>
        <w:t>管线联通、设备涂色和标识涂刷</w:t>
      </w:r>
      <w:r>
        <w:rPr>
          <w:sz w:val="24"/>
        </w:rPr>
        <w:t>等。对环境的主要影响是施工过程中产生的</w:t>
      </w:r>
      <w:r>
        <w:rPr>
          <w:rFonts w:hint="eastAsia"/>
          <w:sz w:val="24"/>
        </w:rPr>
        <w:t>扬尘、VOCs、</w:t>
      </w:r>
      <w:r>
        <w:rPr>
          <w:sz w:val="24"/>
        </w:rPr>
        <w:t>噪声和施工固废。</w:t>
      </w:r>
    </w:p>
    <w:p w14:paraId="4F76AF15">
      <w:pPr>
        <w:pStyle w:val="234"/>
        <w:ind w:firstLine="482"/>
      </w:pPr>
      <w:r>
        <w:rPr>
          <w:b/>
          <w:bCs/>
        </w:rPr>
        <w:t>（</w:t>
      </w:r>
      <w:r>
        <w:rPr>
          <w:rFonts w:hint="eastAsia"/>
          <w:b/>
          <w:bCs/>
        </w:rPr>
        <w:t>6</w:t>
      </w:r>
      <w:r>
        <w:rPr>
          <w:b/>
          <w:bCs/>
        </w:rPr>
        <w:t>）管道清管和试压</w:t>
      </w:r>
    </w:p>
    <w:p w14:paraId="57532531">
      <w:pPr>
        <w:pStyle w:val="234"/>
      </w:pPr>
      <w:r>
        <w:t>管道铺好后，要对管道进行清管，清管工艺过程如下：在进行试压前必须采用清管器进行清管，清管次数不少于</w:t>
      </w:r>
      <w:r>
        <w:rPr>
          <w:rFonts w:hint="eastAsia"/>
        </w:rPr>
        <w:t>2</w:t>
      </w:r>
      <w:r>
        <w:t>次。清管时应及时检查清管效果，应将管道内的泥土、杂物清理干净，以开口端不再排出杂物为合格。</w:t>
      </w:r>
      <w:r>
        <w:rPr>
          <w:rFonts w:hint="eastAsia"/>
        </w:rPr>
        <w:t>清管时，清管器运行速度宜控制平均在3km/h~9km/h为宜，工作压力为0.05MPa~0.2MPa，如遇阻可提高其工作压力，但最大压力不得超过管道设计压力。</w:t>
      </w:r>
    </w:p>
    <w:p w14:paraId="0436A306">
      <w:pPr>
        <w:pStyle w:val="234"/>
      </w:pPr>
      <w:r>
        <w:t>第一次采用的清管器应根据清管方案现场确定，第二次采用</w:t>
      </w:r>
      <w:r>
        <w:rPr>
          <w:rFonts w:hint="eastAsia"/>
        </w:rPr>
        <w:t>钢丝</w:t>
      </w:r>
      <w:r>
        <w:t>刷清管器，清除焊渣和氧化铁等。清管未达到合格标准时，应增加清管次数，直至达到合格为止。</w:t>
      </w:r>
    </w:p>
    <w:p w14:paraId="136369B3">
      <w:pPr>
        <w:pStyle w:val="234"/>
      </w:pPr>
      <w:r>
        <w:rPr>
          <w:rFonts w:hint="eastAsia"/>
        </w:rPr>
        <w:t>本工程采用无腐蚀性洁净水试压，因管线距离较短，不分段试压。管道穿越G356国道段，应单独进行强度试压和严密性试压；其余穿越段可与所在管段一并进行。</w:t>
      </w:r>
    </w:p>
    <w:p w14:paraId="4490E9C8">
      <w:pPr>
        <w:pStyle w:val="234"/>
      </w:pPr>
      <w:r>
        <w:t>管道工程试压以测试管道的强度和严密性，试压介质为清洁水，以高点压力表为准。一般地段试验压力</w:t>
      </w:r>
      <w:r>
        <w:rPr>
          <w:rFonts w:hint="eastAsia"/>
        </w:rPr>
        <w:t>：</w:t>
      </w:r>
      <w:r>
        <w:t>强度试验压力为1.5倍设计压力，稳压4h。严密性试验压力</w:t>
      </w:r>
      <w:r>
        <w:rPr>
          <w:rFonts w:hint="eastAsia"/>
        </w:rPr>
        <w:t>稳压时间不应小于24小时，压降不大于1%试验压力值，且不大于0.1MPa</w:t>
      </w:r>
      <w:r>
        <w:t>。</w:t>
      </w:r>
      <w:r>
        <w:rPr>
          <w:rFonts w:hint="eastAsia"/>
        </w:rPr>
        <w:t>管道穿越G356国道段</w:t>
      </w:r>
      <w:r>
        <w:t>，应单独进行试压：强度试验压力为1.5倍设计压力，稳压4h；严密性试验压力为1.0倍设计压力，稳压</w:t>
      </w:r>
      <w:r>
        <w:rPr>
          <w:rFonts w:hint="eastAsia"/>
        </w:rPr>
        <w:t>2</w:t>
      </w:r>
      <w:r>
        <w:t>4h。</w:t>
      </w:r>
    </w:p>
    <w:p w14:paraId="04598805">
      <w:pPr>
        <w:pStyle w:val="904"/>
      </w:pPr>
      <w:r>
        <w:rPr>
          <w:rFonts w:hint="eastAsia"/>
        </w:rPr>
        <w:t>表3</w:t>
      </w:r>
      <w:r>
        <w:t>.</w:t>
      </w:r>
      <w:r>
        <w:rPr>
          <w:rFonts w:hint="eastAsia"/>
        </w:rPr>
        <w:t>4-</w:t>
      </w:r>
      <w:r>
        <w:t xml:space="preserve">1  </w:t>
      </w:r>
      <w:r>
        <w:rPr>
          <w:rFonts w:hint="eastAsia"/>
        </w:rPr>
        <w:t>水压试验压力值、稳压时间及合格标准</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16"/>
        <w:gridCol w:w="2540"/>
        <w:gridCol w:w="1995"/>
        <w:gridCol w:w="2415"/>
      </w:tblGrid>
      <w:tr w14:paraId="1D56F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19" w:type="pct"/>
            <w:gridSpan w:val="2"/>
            <w:vAlign w:val="center"/>
          </w:tcPr>
          <w:p w14:paraId="48F71CAA">
            <w:pPr>
              <w:pStyle w:val="1343"/>
            </w:pPr>
            <w:r>
              <w:rPr>
                <w:rFonts w:hint="eastAsia"/>
              </w:rPr>
              <w:t>分类</w:t>
            </w:r>
          </w:p>
        </w:tc>
        <w:tc>
          <w:tcPr>
            <w:tcW w:w="1032" w:type="pct"/>
            <w:vAlign w:val="center"/>
          </w:tcPr>
          <w:p w14:paraId="071B45C7">
            <w:pPr>
              <w:pStyle w:val="1343"/>
            </w:pPr>
            <w:r>
              <w:rPr>
                <w:rFonts w:hint="eastAsia"/>
              </w:rPr>
              <w:t>强度试验</w:t>
            </w:r>
          </w:p>
        </w:tc>
        <w:tc>
          <w:tcPr>
            <w:tcW w:w="1249" w:type="pct"/>
            <w:vAlign w:val="center"/>
          </w:tcPr>
          <w:p w14:paraId="5B10E823">
            <w:pPr>
              <w:pStyle w:val="1343"/>
            </w:pPr>
            <w:r>
              <w:rPr>
                <w:rFonts w:hint="eastAsia"/>
              </w:rPr>
              <w:t>严密性试验</w:t>
            </w:r>
          </w:p>
        </w:tc>
      </w:tr>
      <w:tr w14:paraId="1F27F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5" w:type="pct"/>
            <w:vMerge w:val="restart"/>
            <w:vAlign w:val="center"/>
          </w:tcPr>
          <w:p w14:paraId="587E78DB">
            <w:pPr>
              <w:pStyle w:val="1343"/>
            </w:pPr>
            <w:r>
              <w:rPr>
                <w:rFonts w:hint="eastAsia"/>
              </w:rPr>
              <w:t>一般地区</w:t>
            </w:r>
          </w:p>
        </w:tc>
        <w:tc>
          <w:tcPr>
            <w:tcW w:w="1314" w:type="pct"/>
            <w:vAlign w:val="center"/>
          </w:tcPr>
          <w:p w14:paraId="40C07836">
            <w:pPr>
              <w:pStyle w:val="1343"/>
            </w:pPr>
            <w:r>
              <w:rPr>
                <w:rFonts w:hint="eastAsia"/>
              </w:rPr>
              <w:t>压力值（M</w:t>
            </w:r>
            <w:r>
              <w:t>P</w:t>
            </w:r>
            <w:r>
              <w:rPr>
                <w:rFonts w:hint="eastAsia"/>
              </w:rPr>
              <w:t>a）</w:t>
            </w:r>
          </w:p>
        </w:tc>
        <w:tc>
          <w:tcPr>
            <w:tcW w:w="1032" w:type="pct"/>
            <w:vAlign w:val="center"/>
          </w:tcPr>
          <w:p w14:paraId="77CD152D">
            <w:pPr>
              <w:pStyle w:val="1343"/>
            </w:pPr>
            <w:r>
              <w:rPr>
                <w:rFonts w:hint="eastAsia"/>
              </w:rPr>
              <w:t>1</w:t>
            </w:r>
            <w:r>
              <w:t>.5</w:t>
            </w:r>
            <w:r>
              <w:rPr>
                <w:rFonts w:hint="eastAsia"/>
              </w:rPr>
              <w:t>倍设计压力</w:t>
            </w:r>
          </w:p>
        </w:tc>
        <w:tc>
          <w:tcPr>
            <w:tcW w:w="1249" w:type="pct"/>
            <w:vAlign w:val="center"/>
          </w:tcPr>
          <w:p w14:paraId="448E465D">
            <w:pPr>
              <w:pStyle w:val="1343"/>
            </w:pPr>
            <w:r>
              <w:rPr>
                <w:rFonts w:hint="eastAsia"/>
              </w:rPr>
              <w:t>设计压力</w:t>
            </w:r>
          </w:p>
        </w:tc>
      </w:tr>
      <w:tr w14:paraId="0B21E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5" w:type="pct"/>
            <w:vMerge w:val="continue"/>
            <w:vAlign w:val="center"/>
          </w:tcPr>
          <w:p w14:paraId="4D161459">
            <w:pPr>
              <w:pStyle w:val="1343"/>
            </w:pPr>
          </w:p>
        </w:tc>
        <w:tc>
          <w:tcPr>
            <w:tcW w:w="1314" w:type="pct"/>
            <w:vAlign w:val="center"/>
          </w:tcPr>
          <w:p w14:paraId="7CE12159">
            <w:pPr>
              <w:pStyle w:val="1343"/>
            </w:pPr>
            <w:r>
              <w:rPr>
                <w:rFonts w:hint="eastAsia"/>
              </w:rPr>
              <w:t>稳压时间（h）</w:t>
            </w:r>
          </w:p>
        </w:tc>
        <w:tc>
          <w:tcPr>
            <w:tcW w:w="1032" w:type="pct"/>
            <w:vAlign w:val="center"/>
          </w:tcPr>
          <w:p w14:paraId="3EE35B0F">
            <w:pPr>
              <w:pStyle w:val="1343"/>
            </w:pPr>
            <w:r>
              <w:rPr>
                <w:rFonts w:hint="eastAsia"/>
              </w:rPr>
              <w:t>4</w:t>
            </w:r>
          </w:p>
        </w:tc>
        <w:tc>
          <w:tcPr>
            <w:tcW w:w="1249" w:type="pct"/>
            <w:vAlign w:val="center"/>
          </w:tcPr>
          <w:p w14:paraId="789E3B33">
            <w:pPr>
              <w:pStyle w:val="1343"/>
            </w:pPr>
            <w:r>
              <w:rPr>
                <w:rFonts w:hint="eastAsia"/>
              </w:rPr>
              <w:t>2</w:t>
            </w:r>
            <w:r>
              <w:t>4</w:t>
            </w:r>
          </w:p>
        </w:tc>
      </w:tr>
      <w:tr w14:paraId="474A5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5" w:type="pct"/>
            <w:vMerge w:val="restart"/>
            <w:vAlign w:val="center"/>
          </w:tcPr>
          <w:p w14:paraId="498E170F">
            <w:pPr>
              <w:pStyle w:val="1343"/>
            </w:pPr>
            <w:r>
              <w:rPr>
                <w:rFonts w:hint="eastAsia"/>
              </w:rPr>
              <w:t>管道穿越G356国道段</w:t>
            </w:r>
          </w:p>
        </w:tc>
        <w:tc>
          <w:tcPr>
            <w:tcW w:w="1314" w:type="pct"/>
            <w:vAlign w:val="center"/>
          </w:tcPr>
          <w:p w14:paraId="6480B479">
            <w:pPr>
              <w:pStyle w:val="1343"/>
            </w:pPr>
            <w:r>
              <w:rPr>
                <w:rFonts w:hint="eastAsia"/>
              </w:rPr>
              <w:t>压力值（M</w:t>
            </w:r>
            <w:r>
              <w:t>P</w:t>
            </w:r>
            <w:r>
              <w:rPr>
                <w:rFonts w:hint="eastAsia"/>
              </w:rPr>
              <w:t>a）</w:t>
            </w:r>
          </w:p>
        </w:tc>
        <w:tc>
          <w:tcPr>
            <w:tcW w:w="1032" w:type="pct"/>
            <w:vAlign w:val="center"/>
          </w:tcPr>
          <w:p w14:paraId="0E759090">
            <w:pPr>
              <w:pStyle w:val="1343"/>
            </w:pPr>
            <w:r>
              <w:rPr>
                <w:rFonts w:hint="eastAsia"/>
              </w:rPr>
              <w:t>1</w:t>
            </w:r>
            <w:r>
              <w:t>.5</w:t>
            </w:r>
            <w:r>
              <w:rPr>
                <w:rFonts w:hint="eastAsia"/>
              </w:rPr>
              <w:t>倍设计压力</w:t>
            </w:r>
          </w:p>
        </w:tc>
        <w:tc>
          <w:tcPr>
            <w:tcW w:w="1249" w:type="pct"/>
            <w:vAlign w:val="center"/>
          </w:tcPr>
          <w:p w14:paraId="76BD79D2">
            <w:pPr>
              <w:pStyle w:val="1343"/>
            </w:pPr>
            <w:r>
              <w:rPr>
                <w:rFonts w:hint="eastAsia"/>
              </w:rPr>
              <w:t>设计压力</w:t>
            </w:r>
          </w:p>
        </w:tc>
      </w:tr>
      <w:tr w14:paraId="64960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05" w:type="pct"/>
            <w:vMerge w:val="continue"/>
            <w:vAlign w:val="center"/>
          </w:tcPr>
          <w:p w14:paraId="13509E93">
            <w:pPr>
              <w:pStyle w:val="1343"/>
            </w:pPr>
          </w:p>
        </w:tc>
        <w:tc>
          <w:tcPr>
            <w:tcW w:w="1314" w:type="pct"/>
            <w:vAlign w:val="center"/>
          </w:tcPr>
          <w:p w14:paraId="74B4EBC6">
            <w:pPr>
              <w:pStyle w:val="1343"/>
            </w:pPr>
            <w:r>
              <w:rPr>
                <w:rFonts w:hint="eastAsia"/>
              </w:rPr>
              <w:t>稳压时间（h）</w:t>
            </w:r>
          </w:p>
        </w:tc>
        <w:tc>
          <w:tcPr>
            <w:tcW w:w="1032" w:type="pct"/>
            <w:vAlign w:val="center"/>
          </w:tcPr>
          <w:p w14:paraId="6489F748">
            <w:pPr>
              <w:pStyle w:val="1343"/>
            </w:pPr>
            <w:r>
              <w:rPr>
                <w:rFonts w:hint="eastAsia"/>
              </w:rPr>
              <w:t>4</w:t>
            </w:r>
          </w:p>
        </w:tc>
        <w:tc>
          <w:tcPr>
            <w:tcW w:w="1249" w:type="pct"/>
            <w:vAlign w:val="center"/>
          </w:tcPr>
          <w:p w14:paraId="004FCB5B">
            <w:pPr>
              <w:pStyle w:val="1343"/>
            </w:pPr>
            <w:r>
              <w:rPr>
                <w:rFonts w:hint="eastAsia"/>
              </w:rPr>
              <w:t>2</w:t>
            </w:r>
            <w:r>
              <w:t>4</w:t>
            </w:r>
          </w:p>
        </w:tc>
      </w:tr>
      <w:tr w14:paraId="582FD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19" w:type="pct"/>
            <w:gridSpan w:val="2"/>
            <w:vAlign w:val="center"/>
          </w:tcPr>
          <w:p w14:paraId="242DC5C0">
            <w:pPr>
              <w:pStyle w:val="1343"/>
            </w:pPr>
            <w:r>
              <w:rPr>
                <w:rFonts w:hint="eastAsia"/>
              </w:rPr>
              <w:t>合格标准</w:t>
            </w:r>
          </w:p>
        </w:tc>
        <w:tc>
          <w:tcPr>
            <w:tcW w:w="1032" w:type="pct"/>
            <w:vAlign w:val="center"/>
          </w:tcPr>
          <w:p w14:paraId="32882D16">
            <w:pPr>
              <w:pStyle w:val="1343"/>
            </w:pPr>
            <w:r>
              <w:rPr>
                <w:rFonts w:hint="eastAsia"/>
              </w:rPr>
              <w:t>无泄漏、无变形</w:t>
            </w:r>
          </w:p>
        </w:tc>
        <w:tc>
          <w:tcPr>
            <w:tcW w:w="1249" w:type="pct"/>
            <w:vAlign w:val="center"/>
          </w:tcPr>
          <w:p w14:paraId="19916E00">
            <w:pPr>
              <w:pStyle w:val="1343"/>
            </w:pPr>
            <w:r>
              <w:rPr>
                <w:rFonts w:hint="eastAsia"/>
              </w:rPr>
              <w:t>无泄漏、无变形</w:t>
            </w:r>
          </w:p>
        </w:tc>
      </w:tr>
    </w:tbl>
    <w:p w14:paraId="2380EADF">
      <w:pPr>
        <w:snapToGrid w:val="0"/>
        <w:spacing w:before="120" w:beforeLines="50" w:line="360" w:lineRule="auto"/>
        <w:ind w:firstLine="480" w:firstLineChars="200"/>
        <w:rPr>
          <w:sz w:val="24"/>
        </w:rPr>
      </w:pPr>
      <w:r>
        <w:rPr>
          <w:rFonts w:hint="eastAsia"/>
          <w:sz w:val="24"/>
        </w:rPr>
        <w:t>清管阶段</w:t>
      </w:r>
      <w:r>
        <w:rPr>
          <w:sz w:val="24"/>
        </w:rPr>
        <w:t>主要污染源是</w:t>
      </w:r>
      <w:r>
        <w:rPr>
          <w:rFonts w:hint="eastAsia"/>
          <w:sz w:val="24"/>
        </w:rPr>
        <w:t>清管产生的</w:t>
      </w:r>
      <w:r>
        <w:rPr>
          <w:sz w:val="24"/>
        </w:rPr>
        <w:t>焊渣和氧化铁</w:t>
      </w:r>
      <w:r>
        <w:rPr>
          <w:rFonts w:hint="eastAsia"/>
          <w:sz w:val="24"/>
        </w:rPr>
        <w:t>，以施工废料计；试压阶段主要污染源为</w:t>
      </w:r>
      <w:r>
        <w:rPr>
          <w:sz w:val="24"/>
        </w:rPr>
        <w:t>试压时排放的废水。废水中除含少量的悬浮物外，无其它污染物，</w:t>
      </w:r>
      <w:r>
        <w:rPr>
          <w:rFonts w:hint="eastAsia"/>
          <w:sz w:val="24"/>
        </w:rPr>
        <w:t>过滤处理后回用于农田灌溉、道路洒水等。</w:t>
      </w:r>
    </w:p>
    <w:p w14:paraId="70BDCF53">
      <w:pPr>
        <w:pStyle w:val="234"/>
        <w:ind w:firstLine="482"/>
        <w:rPr>
          <w:b/>
          <w:bCs/>
        </w:rPr>
      </w:pPr>
      <w:r>
        <w:rPr>
          <w:b/>
          <w:bCs/>
        </w:rPr>
        <w:t>（</w:t>
      </w:r>
      <w:r>
        <w:rPr>
          <w:rFonts w:hint="eastAsia"/>
          <w:b/>
          <w:bCs/>
        </w:rPr>
        <w:t>7</w:t>
      </w:r>
      <w:r>
        <w:rPr>
          <w:b/>
          <w:bCs/>
        </w:rPr>
        <w:t>）生态恢复工程</w:t>
      </w:r>
    </w:p>
    <w:p w14:paraId="6B0535DF">
      <w:pPr>
        <w:spacing w:line="360" w:lineRule="auto"/>
        <w:ind w:firstLine="480" w:firstLineChars="200"/>
        <w:rPr>
          <w:sz w:val="24"/>
        </w:rPr>
      </w:pPr>
      <w:r>
        <w:rPr>
          <w:sz w:val="24"/>
        </w:rPr>
        <w:t>在整个工程施工建设完成后，需要对由于本工程临时占地造成的生态破坏区域进行原有生态环境的恢复工程。</w:t>
      </w:r>
    </w:p>
    <w:p w14:paraId="550CA8FA">
      <w:pPr>
        <w:spacing w:line="360" w:lineRule="auto"/>
        <w:ind w:firstLine="480" w:firstLineChars="200"/>
        <w:rPr>
          <w:sz w:val="24"/>
        </w:rPr>
      </w:pPr>
      <w:r>
        <w:rPr>
          <w:sz w:val="24"/>
        </w:rPr>
        <w:fldChar w:fldCharType="begin"/>
      </w:r>
      <w:r>
        <w:rPr>
          <w:sz w:val="24"/>
        </w:rPr>
        <w:instrText xml:space="preserve"> = 1 \* GB3 </w:instrText>
      </w:r>
      <w:r>
        <w:rPr>
          <w:sz w:val="24"/>
        </w:rPr>
        <w:fldChar w:fldCharType="separate"/>
      </w:r>
      <w:r>
        <w:rPr>
          <w:rFonts w:hint="eastAsia" w:ascii="宋体" w:hAnsi="宋体" w:cs="宋体"/>
          <w:sz w:val="24"/>
        </w:rPr>
        <w:t>①</w:t>
      </w:r>
      <w:r>
        <w:rPr>
          <w:sz w:val="24"/>
        </w:rPr>
        <w:fldChar w:fldCharType="end"/>
      </w:r>
      <w:r>
        <w:rPr>
          <w:sz w:val="24"/>
        </w:rPr>
        <w:t>恢复原则：原为农田段，复垦后恢复农业种植。根据管道有关工程安全性的要求，沿线两侧各5m范围内原则上不能种植深根性植物或经济类树木。</w:t>
      </w:r>
    </w:p>
    <w:p w14:paraId="5C7AE29D">
      <w:pPr>
        <w:spacing w:line="360" w:lineRule="auto"/>
        <w:ind w:firstLine="480" w:firstLineChars="200"/>
        <w:rPr>
          <w:sz w:val="24"/>
        </w:rPr>
      </w:pPr>
      <w:r>
        <w:rPr>
          <w:sz w:val="24"/>
        </w:rPr>
        <w:fldChar w:fldCharType="begin"/>
      </w:r>
      <w:r>
        <w:rPr>
          <w:sz w:val="24"/>
        </w:rPr>
        <w:instrText xml:space="preserve"> = 2 \* GB3 </w:instrText>
      </w:r>
      <w:r>
        <w:rPr>
          <w:sz w:val="24"/>
        </w:rPr>
        <w:fldChar w:fldCharType="separate"/>
      </w:r>
      <w:r>
        <w:rPr>
          <w:rFonts w:hint="eastAsia" w:ascii="宋体" w:hAnsi="宋体" w:cs="宋体"/>
          <w:sz w:val="24"/>
        </w:rPr>
        <w:t>②</w:t>
      </w:r>
      <w:r>
        <w:rPr>
          <w:sz w:val="24"/>
        </w:rPr>
        <w:fldChar w:fldCharType="end"/>
      </w:r>
      <w:r>
        <w:rPr>
          <w:sz w:val="24"/>
        </w:rPr>
        <w:t>恢复范围：本工程施工建设完成后生态恢复范围为本工程临时占地范围。</w:t>
      </w:r>
    </w:p>
    <w:p w14:paraId="2053B5DB">
      <w:pPr>
        <w:spacing w:line="360" w:lineRule="auto"/>
        <w:ind w:firstLine="480" w:firstLineChars="200"/>
        <w:rPr>
          <w:sz w:val="24"/>
        </w:rPr>
      </w:pPr>
      <w:r>
        <w:rPr>
          <w:sz w:val="24"/>
        </w:rPr>
        <w:fldChar w:fldCharType="begin"/>
      </w:r>
      <w:r>
        <w:rPr>
          <w:sz w:val="24"/>
        </w:rPr>
        <w:instrText xml:space="preserve"> = 3 \* GB3 </w:instrText>
      </w:r>
      <w:r>
        <w:rPr>
          <w:sz w:val="24"/>
        </w:rPr>
        <w:fldChar w:fldCharType="separate"/>
      </w:r>
      <w:r>
        <w:rPr>
          <w:rFonts w:hint="eastAsia" w:ascii="宋体" w:hAnsi="宋体" w:cs="宋体"/>
          <w:sz w:val="24"/>
        </w:rPr>
        <w:t>③</w:t>
      </w:r>
      <w:r>
        <w:rPr>
          <w:sz w:val="24"/>
        </w:rPr>
        <w:fldChar w:fldCharType="end"/>
      </w:r>
      <w:r>
        <w:rPr>
          <w:sz w:val="24"/>
        </w:rPr>
        <w:t>农田生态恢复：以农业种植复垦为主，复垦第一年可考虑固氮型经济作物种植，适当辅助以人工施肥措施，以提高土壤肥力，促进土地生产力恢复。</w:t>
      </w:r>
    </w:p>
    <w:p w14:paraId="4C2BE08F">
      <w:pPr>
        <w:spacing w:line="360" w:lineRule="auto"/>
        <w:ind w:firstLine="480" w:firstLineChars="200"/>
        <w:rPr>
          <w:sz w:val="24"/>
        </w:rPr>
      </w:pPr>
      <w:r>
        <w:rPr>
          <w:sz w:val="24"/>
        </w:rPr>
        <w:fldChar w:fldCharType="begin"/>
      </w:r>
      <w:r>
        <w:rPr>
          <w:sz w:val="24"/>
        </w:rPr>
        <w:instrText xml:space="preserve"> = 4 \* GB3 </w:instrText>
      </w:r>
      <w:r>
        <w:rPr>
          <w:sz w:val="24"/>
        </w:rPr>
        <w:fldChar w:fldCharType="separate"/>
      </w:r>
      <w:r>
        <w:rPr>
          <w:rFonts w:hint="eastAsia" w:ascii="宋体" w:hAnsi="宋体" w:cs="宋体"/>
          <w:sz w:val="24"/>
        </w:rPr>
        <w:t>④</w:t>
      </w:r>
      <w:r>
        <w:rPr>
          <w:sz w:val="24"/>
        </w:rPr>
        <w:fldChar w:fldCharType="end"/>
      </w:r>
      <w:r>
        <w:rPr>
          <w:sz w:val="24"/>
        </w:rPr>
        <w:t>临时用地生态恢复：</w:t>
      </w:r>
    </w:p>
    <w:p w14:paraId="5BA5FDA3">
      <w:pPr>
        <w:spacing w:line="360" w:lineRule="auto"/>
        <w:ind w:firstLine="480" w:firstLineChars="200"/>
        <w:rPr>
          <w:sz w:val="24"/>
        </w:rPr>
      </w:pPr>
      <w:r>
        <w:rPr>
          <w:sz w:val="24"/>
        </w:rPr>
        <w:t>a.</w:t>
      </w:r>
      <w:r>
        <w:rPr>
          <w:rFonts w:hint="eastAsia"/>
          <w:sz w:val="24"/>
        </w:rPr>
        <w:t>本工程单独设置堆管场，尽量设置在采矿用地范围内，避免侵占农田、园地和林地等，</w:t>
      </w:r>
      <w:r>
        <w:rPr>
          <w:sz w:val="24"/>
        </w:rPr>
        <w:t>施工结束后立即</w:t>
      </w:r>
      <w:r>
        <w:rPr>
          <w:rFonts w:hint="eastAsia"/>
          <w:sz w:val="24"/>
        </w:rPr>
        <w:t>恢复原有地貌</w:t>
      </w:r>
      <w:r>
        <w:rPr>
          <w:sz w:val="24"/>
        </w:rPr>
        <w:t>。</w:t>
      </w:r>
    </w:p>
    <w:p w14:paraId="2F0026D7">
      <w:pPr>
        <w:spacing w:line="360" w:lineRule="auto"/>
        <w:ind w:firstLine="480" w:firstLineChars="200"/>
        <w:rPr>
          <w:sz w:val="24"/>
        </w:rPr>
      </w:pPr>
      <w:r>
        <w:rPr>
          <w:sz w:val="24"/>
        </w:rPr>
        <w:t>b.堆管场等临时用地，不占农田，以减少当地土地资源利用的矛盾。</w:t>
      </w:r>
    </w:p>
    <w:p w14:paraId="40D8C6AF">
      <w:pPr>
        <w:spacing w:line="360" w:lineRule="auto"/>
        <w:ind w:firstLine="480" w:firstLineChars="200"/>
        <w:rPr>
          <w:sz w:val="24"/>
        </w:rPr>
      </w:pPr>
      <w:r>
        <w:rPr>
          <w:sz w:val="24"/>
        </w:rPr>
        <w:t>c.施工前作业带场地清理，应注意表层土壤的堆放及防护问题，避免雨天施工，造成水土流失危害并污染周边环境；临时用地使用完后，立即实施复垦措施；加强临时性工程占地复垦的监理工作。从以上可以看出，恢复工程建设期环境影响因素主要来自施工人员活动产生的生活污水及固废，对环境产生一定的影响。</w:t>
      </w:r>
    </w:p>
    <w:p w14:paraId="4E6CEB79">
      <w:pPr>
        <w:pStyle w:val="7"/>
      </w:pPr>
      <w:r>
        <w:t>生态环境影响因素分析</w:t>
      </w:r>
    </w:p>
    <w:p w14:paraId="70942EFB">
      <w:pPr>
        <w:pStyle w:val="234"/>
      </w:pPr>
      <w:r>
        <w:t>施工期间对环境的影响主要来自管道施工中的开挖管沟和施工机械、车辆、人员践踏等活动对土壤和生态环境的影响，尤其是在开挖管沟的范围内，植被破坏严重，开挖管沟造成的土体扰动将使土壤的结构、组成及理化特性等发生变化，进而影响土壤的侵蚀状况及植被、农作物的生长发育等。本次管道沿线穿越以农田为主，因而管道施工对农业生产的影响较为显著。</w:t>
      </w:r>
    </w:p>
    <w:p w14:paraId="5FF94019">
      <w:pPr>
        <w:spacing w:line="360" w:lineRule="auto"/>
        <w:ind w:firstLine="480" w:firstLineChars="200"/>
        <w:rPr>
          <w:sz w:val="24"/>
        </w:rPr>
      </w:pPr>
      <w:r>
        <w:rPr>
          <w:sz w:val="24"/>
        </w:rPr>
        <w:fldChar w:fldCharType="begin"/>
      </w:r>
      <w:r>
        <w:rPr>
          <w:sz w:val="24"/>
        </w:rPr>
        <w:instrText xml:space="preserve"> = 1 \* GB3 </w:instrText>
      </w:r>
      <w:r>
        <w:rPr>
          <w:sz w:val="24"/>
        </w:rPr>
        <w:fldChar w:fldCharType="separate"/>
      </w:r>
      <w:r>
        <w:rPr>
          <w:rFonts w:hint="eastAsia" w:ascii="宋体" w:hAnsi="宋体" w:cs="宋体"/>
          <w:sz w:val="24"/>
        </w:rPr>
        <w:t>①</w:t>
      </w:r>
      <w:r>
        <w:rPr>
          <w:sz w:val="24"/>
        </w:rPr>
        <w:fldChar w:fldCharType="end"/>
      </w:r>
      <w:r>
        <w:rPr>
          <w:sz w:val="24"/>
        </w:rPr>
        <w:t>农业生态环境影响</w:t>
      </w:r>
      <w:r>
        <w:rPr>
          <w:rFonts w:hint="eastAsia"/>
          <w:sz w:val="24"/>
        </w:rPr>
        <w:t>：</w:t>
      </w:r>
      <w:r>
        <w:rPr>
          <w:sz w:val="24"/>
        </w:rPr>
        <w:t>因管道敷设，将在一定时间内导致不同工程区域内土地利用性质的改变，农业生产量的减少，区域内土地肥力下降，对一定区域的农业生态环境造成一定的影响。</w:t>
      </w:r>
    </w:p>
    <w:p w14:paraId="36C0A6A9">
      <w:pPr>
        <w:spacing w:line="360" w:lineRule="auto"/>
        <w:ind w:firstLine="480" w:firstLineChars="200"/>
        <w:rPr>
          <w:sz w:val="24"/>
        </w:rPr>
      </w:pPr>
      <w:r>
        <w:rPr>
          <w:sz w:val="24"/>
        </w:rPr>
        <w:fldChar w:fldCharType="begin"/>
      </w:r>
      <w:r>
        <w:rPr>
          <w:sz w:val="24"/>
        </w:rPr>
        <w:instrText xml:space="preserve"> = 2 \* GB3 </w:instrText>
      </w:r>
      <w:r>
        <w:rPr>
          <w:sz w:val="24"/>
        </w:rPr>
        <w:fldChar w:fldCharType="separate"/>
      </w:r>
      <w:r>
        <w:rPr>
          <w:rFonts w:hint="eastAsia" w:ascii="宋体" w:hAnsi="宋体" w:cs="宋体"/>
          <w:sz w:val="24"/>
        </w:rPr>
        <w:t>②</w:t>
      </w:r>
      <w:r>
        <w:rPr>
          <w:sz w:val="24"/>
        </w:rPr>
        <w:fldChar w:fldCharType="end"/>
      </w:r>
      <w:r>
        <w:rPr>
          <w:sz w:val="24"/>
        </w:rPr>
        <w:t>土地、植被影响</w:t>
      </w:r>
      <w:r>
        <w:rPr>
          <w:rFonts w:hint="eastAsia"/>
          <w:sz w:val="24"/>
        </w:rPr>
        <w:t>：</w:t>
      </w:r>
      <w:r>
        <w:rPr>
          <w:sz w:val="24"/>
        </w:rPr>
        <w:t>工程施工过程中，由于作业区内地表层的清理、开挖、碾压、践踏等，导致原地表覆盖层的消失，裸露土地增加。而施工作业区地表植被层的破坏，导致区内植被覆盖度的降低，局地土地系统抗外界环境干扰能力减弱，原有地表稳定性降低，区域内水土流失程度加重。</w:t>
      </w:r>
    </w:p>
    <w:p w14:paraId="29FD1C67">
      <w:pPr>
        <w:spacing w:line="360" w:lineRule="auto"/>
        <w:ind w:firstLine="480" w:firstLineChars="200"/>
        <w:rPr>
          <w:sz w:val="24"/>
        </w:rPr>
      </w:pPr>
      <w:r>
        <w:rPr>
          <w:sz w:val="24"/>
        </w:rPr>
        <w:fldChar w:fldCharType="begin"/>
      </w:r>
      <w:r>
        <w:rPr>
          <w:sz w:val="24"/>
        </w:rPr>
        <w:instrText xml:space="preserve"> = 3 \* GB3 </w:instrText>
      </w:r>
      <w:r>
        <w:rPr>
          <w:sz w:val="24"/>
        </w:rPr>
        <w:fldChar w:fldCharType="separate"/>
      </w:r>
      <w:r>
        <w:rPr>
          <w:rFonts w:hint="eastAsia" w:ascii="宋体" w:hAnsi="宋体" w:cs="宋体"/>
          <w:sz w:val="24"/>
        </w:rPr>
        <w:t>③</w:t>
      </w:r>
      <w:r>
        <w:rPr>
          <w:sz w:val="24"/>
        </w:rPr>
        <w:fldChar w:fldCharType="end"/>
      </w:r>
      <w:r>
        <w:rPr>
          <w:sz w:val="24"/>
        </w:rPr>
        <w:t>工程土石方开挖环境影响</w:t>
      </w:r>
      <w:r>
        <w:rPr>
          <w:rFonts w:hint="eastAsia"/>
          <w:sz w:val="24"/>
        </w:rPr>
        <w:t>：</w:t>
      </w:r>
      <w:r>
        <w:rPr>
          <w:sz w:val="24"/>
        </w:rPr>
        <w:t>依据输气管道工程建设特性，由于管沟开挖、回填，施工道路的开挖与修筑等工程作业活动，不仅会形成一定面积的破土区域，而且会产生大量的土石方工程量。大量土石方的开挖及其运移，将导致工程区域内原地貌形态的改变，地表破碎度的增加，并且在雨季极易产生水土流失，裸露地表易造成土壤的风蚀。</w:t>
      </w:r>
    </w:p>
    <w:p w14:paraId="0844C707">
      <w:pPr>
        <w:spacing w:line="360" w:lineRule="auto"/>
        <w:ind w:firstLine="480" w:firstLineChars="200"/>
        <w:rPr>
          <w:sz w:val="24"/>
        </w:rPr>
      </w:pPr>
      <w:r>
        <w:rPr>
          <w:sz w:val="24"/>
        </w:rPr>
        <w:t>水土流失影响因素分析</w:t>
      </w:r>
      <w:r>
        <w:rPr>
          <w:rFonts w:hint="eastAsia"/>
          <w:sz w:val="24"/>
        </w:rPr>
        <w:t>：</w:t>
      </w:r>
      <w:r>
        <w:rPr>
          <w:sz w:val="24"/>
        </w:rPr>
        <w:t>根据工程区自然条件和社会经济情况，结合主体工程的总体布局、建设内容、施工工艺和工序等方面进行综合分析，管道工程水土流失呈现出以下特点：</w:t>
      </w:r>
    </w:p>
    <w:p w14:paraId="0C1B6BBD">
      <w:pPr>
        <w:spacing w:line="360" w:lineRule="auto"/>
        <w:ind w:firstLine="480" w:firstLineChars="200"/>
        <w:rPr>
          <w:sz w:val="24"/>
        </w:rPr>
      </w:pPr>
      <w:r>
        <w:rPr>
          <w:sz w:val="24"/>
        </w:rPr>
        <w:t>a.具备了诱发水土流失的人为因素。管道工程施工中既扰动原地貌，破坏土壤植被，又因开挖产生大量土石方，占压地表，这些因素与自然条件共同作用，势必加剧工程区的水土流失。</w:t>
      </w:r>
    </w:p>
    <w:p w14:paraId="64E4D289">
      <w:pPr>
        <w:spacing w:line="360" w:lineRule="auto"/>
        <w:ind w:firstLine="480" w:firstLineChars="200"/>
        <w:rPr>
          <w:sz w:val="24"/>
        </w:rPr>
      </w:pPr>
      <w:r>
        <w:rPr>
          <w:sz w:val="24"/>
        </w:rPr>
        <w:t>b.水土流失时空分布相对集中，对生态环境的影响具有一定的持续性。管道工程水土流失危害主要集中于施工建设期，在自然恢复期逐步减弱，但要达到生态系统恢复到施工扰动前的水平，需要一定周期。工程建设过程中对水土流失的影响分析见表3.</w:t>
      </w:r>
      <w:r>
        <w:rPr>
          <w:rFonts w:hint="eastAsia"/>
          <w:sz w:val="24"/>
        </w:rPr>
        <w:t>4</w:t>
      </w:r>
      <w:r>
        <w:rPr>
          <w:sz w:val="24"/>
        </w:rPr>
        <w:t>-2。</w:t>
      </w:r>
    </w:p>
    <w:p w14:paraId="7A980247">
      <w:pPr>
        <w:pStyle w:val="904"/>
        <w:spacing w:before="120" w:beforeLines="50"/>
      </w:pPr>
      <w:r>
        <w:t>表3.</w:t>
      </w:r>
      <w:r>
        <w:rPr>
          <w:rFonts w:hint="eastAsia"/>
        </w:rPr>
        <w:t>4</w:t>
      </w:r>
      <w:r>
        <w:t>-2 工程施工人为水土流失因素分析表</w:t>
      </w:r>
    </w:p>
    <w:tbl>
      <w:tblPr>
        <w:tblStyle w:val="88"/>
        <w:tblW w:w="9330" w:type="dxa"/>
        <w:tblInd w:w="1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14"/>
        <w:gridCol w:w="4343"/>
        <w:gridCol w:w="955"/>
        <w:gridCol w:w="3118"/>
      </w:tblGrid>
      <w:tr w14:paraId="12D78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14" w:type="dxa"/>
            <w:vAlign w:val="center"/>
          </w:tcPr>
          <w:p w14:paraId="2C5FBC5C">
            <w:pPr>
              <w:jc w:val="center"/>
            </w:pPr>
            <w:r>
              <w:t>施工项目</w:t>
            </w:r>
          </w:p>
        </w:tc>
        <w:tc>
          <w:tcPr>
            <w:tcW w:w="4343" w:type="dxa"/>
            <w:vAlign w:val="center"/>
          </w:tcPr>
          <w:p w14:paraId="6E483B60">
            <w:pPr>
              <w:jc w:val="center"/>
            </w:pPr>
            <w:r>
              <w:t>主要施工工艺</w:t>
            </w:r>
          </w:p>
        </w:tc>
        <w:tc>
          <w:tcPr>
            <w:tcW w:w="955" w:type="dxa"/>
            <w:vAlign w:val="center"/>
          </w:tcPr>
          <w:p w14:paraId="41984A83">
            <w:pPr>
              <w:jc w:val="center"/>
            </w:pPr>
            <w:r>
              <w:t>侵蚀类型</w:t>
            </w:r>
          </w:p>
        </w:tc>
        <w:tc>
          <w:tcPr>
            <w:tcW w:w="0" w:type="auto"/>
            <w:vAlign w:val="center"/>
          </w:tcPr>
          <w:p w14:paraId="6661498B">
            <w:pPr>
              <w:jc w:val="center"/>
            </w:pPr>
            <w:r>
              <w:t>水土流失危害</w:t>
            </w:r>
          </w:p>
        </w:tc>
      </w:tr>
      <w:tr w14:paraId="42910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14" w:type="dxa"/>
            <w:vAlign w:val="center"/>
          </w:tcPr>
          <w:p w14:paraId="024E9FE5">
            <w:pPr>
              <w:jc w:val="center"/>
            </w:pPr>
            <w:r>
              <w:t>管道敷设</w:t>
            </w:r>
          </w:p>
        </w:tc>
        <w:tc>
          <w:tcPr>
            <w:tcW w:w="4343" w:type="dxa"/>
            <w:vAlign w:val="center"/>
          </w:tcPr>
          <w:p w14:paraId="36E49AD2">
            <w:pPr>
              <w:jc w:val="center"/>
            </w:pPr>
            <w:r>
              <w:t>管道作业带内表土清理后，明挖梯形深槽，管道放置槽内后覆土回填</w:t>
            </w:r>
          </w:p>
        </w:tc>
        <w:tc>
          <w:tcPr>
            <w:tcW w:w="955" w:type="dxa"/>
            <w:vAlign w:val="center"/>
          </w:tcPr>
          <w:p w14:paraId="671F9692">
            <w:pPr>
              <w:jc w:val="center"/>
            </w:pPr>
            <w:r>
              <w:t>水蚀、风蚀</w:t>
            </w:r>
          </w:p>
        </w:tc>
        <w:tc>
          <w:tcPr>
            <w:tcW w:w="0" w:type="auto"/>
            <w:vAlign w:val="center"/>
          </w:tcPr>
          <w:p w14:paraId="4B77C19D">
            <w:pPr>
              <w:jc w:val="center"/>
            </w:pPr>
            <w:r>
              <w:t>破坏地面及地表植被，边坡施工水土流失，弃渣流失</w:t>
            </w:r>
          </w:p>
        </w:tc>
      </w:tr>
      <w:tr w14:paraId="6F2FC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14" w:type="dxa"/>
            <w:vAlign w:val="center"/>
          </w:tcPr>
          <w:p w14:paraId="58C552B0">
            <w:pPr>
              <w:jc w:val="center"/>
            </w:pPr>
            <w:r>
              <w:t>施工便道</w:t>
            </w:r>
          </w:p>
        </w:tc>
        <w:tc>
          <w:tcPr>
            <w:tcW w:w="4343" w:type="dxa"/>
            <w:vAlign w:val="center"/>
          </w:tcPr>
          <w:p w14:paraId="418C1F42">
            <w:pPr>
              <w:jc w:val="center"/>
            </w:pPr>
            <w:r>
              <w:t>修</w:t>
            </w:r>
            <w:r>
              <w:rPr>
                <w:rFonts w:hint="eastAsia"/>
              </w:rPr>
              <w:t>整</w:t>
            </w:r>
            <w:r>
              <w:t>路基、路面辗压</w:t>
            </w:r>
          </w:p>
        </w:tc>
        <w:tc>
          <w:tcPr>
            <w:tcW w:w="955" w:type="dxa"/>
            <w:vAlign w:val="center"/>
          </w:tcPr>
          <w:p w14:paraId="38C466E3">
            <w:pPr>
              <w:jc w:val="center"/>
            </w:pPr>
            <w:r>
              <w:t>水蚀、风蚀</w:t>
            </w:r>
          </w:p>
        </w:tc>
        <w:tc>
          <w:tcPr>
            <w:tcW w:w="0" w:type="auto"/>
            <w:vAlign w:val="center"/>
          </w:tcPr>
          <w:p w14:paraId="09AC8367">
            <w:pPr>
              <w:jc w:val="center"/>
            </w:pPr>
            <w:r>
              <w:t>破坏地面，水土流失、弃渣流失</w:t>
            </w:r>
          </w:p>
        </w:tc>
      </w:tr>
    </w:tbl>
    <w:p w14:paraId="1E2EF40A">
      <w:pPr>
        <w:pStyle w:val="7"/>
        <w:snapToGrid w:val="0"/>
        <w:spacing w:before="120" w:beforeLines="50"/>
      </w:pPr>
      <w:r>
        <w:t>施工期污染源强分析</w:t>
      </w:r>
    </w:p>
    <w:p w14:paraId="5B586A50">
      <w:pPr>
        <w:spacing w:line="360" w:lineRule="auto"/>
        <w:ind w:firstLine="480" w:firstLineChars="200"/>
        <w:rPr>
          <w:sz w:val="24"/>
        </w:rPr>
      </w:pPr>
      <w:r>
        <w:rPr>
          <w:sz w:val="24"/>
        </w:rPr>
        <w:t>建设内容包括管线施工和站场阀室施工。管线施工内容主要包括清理和平整施工带、开挖管沟、焊接管道、试压、防腐、下沟、管沟回填等。站场施工主要为场地平整及地基工程、主体建筑建设工程、道路以及其他附属设施施工建设工程等。施工中使用的机械主要有推土机、挖掘机、电焊机、切割机、吊管机、运输车辆等，由专业队伍完成。</w:t>
      </w:r>
    </w:p>
    <w:p w14:paraId="659A2F28">
      <w:pPr>
        <w:pStyle w:val="234"/>
        <w:ind w:firstLine="482"/>
        <w:rPr>
          <w:b/>
          <w:bCs/>
        </w:rPr>
      </w:pPr>
      <w:r>
        <w:rPr>
          <w:b/>
          <w:bCs/>
        </w:rPr>
        <w:t>（1）废气污染源分析</w:t>
      </w:r>
    </w:p>
    <w:p w14:paraId="64541503">
      <w:pPr>
        <w:spacing w:line="360" w:lineRule="auto"/>
        <w:ind w:firstLine="480" w:firstLineChars="200"/>
        <w:rPr>
          <w:sz w:val="24"/>
        </w:rPr>
      </w:pPr>
      <w:r>
        <w:rPr>
          <w:sz w:val="24"/>
        </w:rPr>
        <w:t>施工过程产生的废气污染源主要来自施工车辆的尾气排放，动力机械的柴油机烟气、车辆来往运输引起的道路扬尘</w:t>
      </w:r>
      <w:r>
        <w:rPr>
          <w:rFonts w:hint="eastAsia"/>
          <w:sz w:val="24"/>
        </w:rPr>
        <w:t>、</w:t>
      </w:r>
      <w:r>
        <w:rPr>
          <w:sz w:val="24"/>
        </w:rPr>
        <w:t>管道焊接防腐时产生的废气</w:t>
      </w:r>
      <w:r>
        <w:rPr>
          <w:rFonts w:hint="eastAsia"/>
          <w:sz w:val="24"/>
        </w:rPr>
        <w:t>、场站设备涂色和标识涂刷废气、28号阀室动火连接放空废气</w:t>
      </w:r>
      <w:r>
        <w:rPr>
          <w:sz w:val="24"/>
        </w:rPr>
        <w:t>等，主要废气污染物包括</w:t>
      </w:r>
      <w:r>
        <w:rPr>
          <w:rFonts w:hint="eastAsia"/>
          <w:sz w:val="24"/>
        </w:rPr>
        <w:t>PM</w:t>
      </w:r>
      <w:r>
        <w:rPr>
          <w:rFonts w:hint="eastAsia"/>
          <w:sz w:val="24"/>
          <w:vertAlign w:val="subscript"/>
        </w:rPr>
        <w:t>10</w:t>
      </w:r>
      <w:r>
        <w:rPr>
          <w:rFonts w:hint="eastAsia"/>
          <w:sz w:val="24"/>
        </w:rPr>
        <w:t>、PM</w:t>
      </w:r>
      <w:r>
        <w:rPr>
          <w:rFonts w:hint="eastAsia"/>
          <w:sz w:val="24"/>
          <w:vertAlign w:val="subscript"/>
        </w:rPr>
        <w:t>2.5</w:t>
      </w:r>
      <w:r>
        <w:rPr>
          <w:rFonts w:hint="eastAsia"/>
          <w:sz w:val="24"/>
        </w:rPr>
        <w:t>、THC、NOx、CO</w:t>
      </w:r>
      <w:r>
        <w:rPr>
          <w:sz w:val="24"/>
        </w:rPr>
        <w:t>、焊接烟尘</w:t>
      </w:r>
      <w:r>
        <w:rPr>
          <w:rFonts w:hint="eastAsia"/>
          <w:sz w:val="24"/>
        </w:rPr>
        <w:t>、VOCs</w:t>
      </w:r>
      <w:r>
        <w:rPr>
          <w:sz w:val="24"/>
        </w:rPr>
        <w:t>等。</w:t>
      </w:r>
    </w:p>
    <w:p w14:paraId="20522536">
      <w:pPr>
        <w:spacing w:line="360" w:lineRule="auto"/>
        <w:ind w:firstLine="480" w:firstLineChars="200"/>
        <w:rPr>
          <w:sz w:val="24"/>
        </w:rPr>
      </w:pPr>
      <w:r>
        <w:rPr>
          <w:sz w:val="24"/>
        </w:rPr>
        <w:fldChar w:fldCharType="begin"/>
      </w:r>
      <w:r>
        <w:rPr>
          <w:sz w:val="24"/>
        </w:rPr>
        <w:instrText xml:space="preserve"> = 1 \* GB3 </w:instrText>
      </w:r>
      <w:r>
        <w:rPr>
          <w:sz w:val="24"/>
        </w:rPr>
        <w:fldChar w:fldCharType="separate"/>
      </w:r>
      <w:r>
        <w:rPr>
          <w:rFonts w:hint="eastAsia" w:ascii="宋体" w:hAnsi="宋体" w:cs="宋体"/>
          <w:sz w:val="24"/>
        </w:rPr>
        <w:t>①</w:t>
      </w:r>
      <w:r>
        <w:rPr>
          <w:sz w:val="24"/>
        </w:rPr>
        <w:fldChar w:fldCharType="end"/>
      </w:r>
      <w:r>
        <w:rPr>
          <w:sz w:val="24"/>
        </w:rPr>
        <w:t>施工扬尘</w:t>
      </w:r>
    </w:p>
    <w:p w14:paraId="2FCE9B09">
      <w:pPr>
        <w:spacing w:line="360" w:lineRule="auto"/>
        <w:ind w:firstLine="480" w:firstLineChars="200"/>
        <w:rPr>
          <w:sz w:val="24"/>
        </w:rPr>
      </w:pPr>
      <w:r>
        <w:rPr>
          <w:sz w:val="24"/>
        </w:rPr>
        <w:t>本工程起尘环节较多，类比同类工程施工期监测情况，管线工程施工现场的近地面扬尘日均浓度在0.12-0.32mg/m</w:t>
      </w:r>
      <w:r>
        <w:rPr>
          <w:sz w:val="24"/>
          <w:vertAlign w:val="superscript"/>
        </w:rPr>
        <w:t>3</w:t>
      </w:r>
      <w:r>
        <w:rPr>
          <w:sz w:val="24"/>
        </w:rPr>
        <w:t>，工程所用钢管等材料均需从外运进，运输量较大。整个施工现场产生的扬尘易对近距离局部空气质量造成短时影响。本工程为线性工程，施工产生扬尘在施工现场和运输路线内无组织排放。</w:t>
      </w:r>
    </w:p>
    <w:p w14:paraId="6012A0F4">
      <w:pPr>
        <w:spacing w:line="360" w:lineRule="auto"/>
        <w:ind w:firstLine="480" w:firstLineChars="200"/>
        <w:rPr>
          <w:sz w:val="24"/>
        </w:rPr>
      </w:pPr>
      <w:r>
        <w:rPr>
          <w:sz w:val="24"/>
        </w:rPr>
        <w:fldChar w:fldCharType="begin"/>
      </w:r>
      <w:r>
        <w:rPr>
          <w:sz w:val="24"/>
        </w:rPr>
        <w:instrText xml:space="preserve"> = 2 \* GB3 </w:instrText>
      </w:r>
      <w:r>
        <w:rPr>
          <w:sz w:val="24"/>
        </w:rPr>
        <w:fldChar w:fldCharType="separate"/>
      </w:r>
      <w:r>
        <w:rPr>
          <w:rFonts w:hint="eastAsia" w:ascii="宋体" w:hAnsi="宋体" w:cs="宋体"/>
          <w:sz w:val="24"/>
        </w:rPr>
        <w:t>②</w:t>
      </w:r>
      <w:r>
        <w:rPr>
          <w:sz w:val="24"/>
        </w:rPr>
        <w:fldChar w:fldCharType="end"/>
      </w:r>
      <w:r>
        <w:rPr>
          <w:sz w:val="24"/>
        </w:rPr>
        <w:t>施工机械设备及车辆尾气</w:t>
      </w:r>
    </w:p>
    <w:p w14:paraId="1077C15C">
      <w:pPr>
        <w:spacing w:line="360" w:lineRule="auto"/>
        <w:ind w:firstLine="480" w:firstLineChars="200"/>
        <w:rPr>
          <w:sz w:val="24"/>
        </w:rPr>
      </w:pPr>
      <w:r>
        <w:rPr>
          <w:rFonts w:hint="eastAsia"/>
          <w:sz w:val="24"/>
        </w:rPr>
        <w:t>本工程的管线工程施工期约为180d，预计最多使用的燃油机械情况见表3</w:t>
      </w:r>
      <w:r>
        <w:rPr>
          <w:sz w:val="24"/>
        </w:rPr>
        <w:t>.</w:t>
      </w:r>
      <w:r>
        <w:rPr>
          <w:rFonts w:hint="eastAsia"/>
          <w:sz w:val="24"/>
        </w:rPr>
        <w:t>4-</w:t>
      </w:r>
      <w:r>
        <w:rPr>
          <w:sz w:val="24"/>
        </w:rPr>
        <w:t>3</w:t>
      </w:r>
      <w:r>
        <w:rPr>
          <w:rFonts w:hint="eastAsia"/>
          <w:sz w:val="24"/>
        </w:rPr>
        <w:t>。</w:t>
      </w:r>
    </w:p>
    <w:p w14:paraId="7F4AD1B1">
      <w:pPr>
        <w:pStyle w:val="904"/>
        <w:spacing w:before="120" w:beforeLines="50"/>
      </w:pPr>
      <w:r>
        <w:rPr>
          <w:rFonts w:hint="eastAsia"/>
        </w:rPr>
        <w:t>表3</w:t>
      </w:r>
      <w:r>
        <w:t>.</w:t>
      </w:r>
      <w:r>
        <w:rPr>
          <w:rFonts w:hint="eastAsia"/>
        </w:rPr>
        <w:t>4-</w:t>
      </w:r>
      <w:r>
        <w:t xml:space="preserve">3  </w:t>
      </w:r>
      <w:r>
        <w:rPr>
          <w:rFonts w:hint="eastAsia"/>
        </w:rPr>
        <w:t>施工期主要流动源一览表</w:t>
      </w:r>
    </w:p>
    <w:tbl>
      <w:tblPr>
        <w:tblStyle w:val="139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992"/>
        <w:gridCol w:w="843"/>
        <w:gridCol w:w="1854"/>
        <w:gridCol w:w="1349"/>
        <w:gridCol w:w="1349"/>
        <w:gridCol w:w="1349"/>
      </w:tblGrid>
      <w:tr w14:paraId="71FDE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14:paraId="07E53C49">
            <w:pPr>
              <w:pStyle w:val="1343"/>
            </w:pPr>
            <w:r>
              <w:rPr>
                <w:rFonts w:hint="eastAsia"/>
              </w:rPr>
              <w:t>序号</w:t>
            </w:r>
          </w:p>
        </w:tc>
        <w:tc>
          <w:tcPr>
            <w:tcW w:w="1992" w:type="dxa"/>
            <w:vAlign w:val="center"/>
          </w:tcPr>
          <w:p w14:paraId="6D13DD5C">
            <w:pPr>
              <w:pStyle w:val="1343"/>
            </w:pPr>
            <w:r>
              <w:rPr>
                <w:rFonts w:hint="eastAsia"/>
              </w:rPr>
              <w:t>设备名称</w:t>
            </w:r>
          </w:p>
        </w:tc>
        <w:tc>
          <w:tcPr>
            <w:tcW w:w="843" w:type="dxa"/>
            <w:vAlign w:val="center"/>
          </w:tcPr>
          <w:p w14:paraId="70AA9E1F">
            <w:pPr>
              <w:pStyle w:val="1343"/>
            </w:pPr>
            <w:r>
              <w:rPr>
                <w:rFonts w:hint="eastAsia"/>
              </w:rPr>
              <w:t>台数</w:t>
            </w:r>
          </w:p>
        </w:tc>
        <w:tc>
          <w:tcPr>
            <w:tcW w:w="1854" w:type="dxa"/>
            <w:vAlign w:val="center"/>
          </w:tcPr>
          <w:p w14:paraId="5B59B68A">
            <w:pPr>
              <w:pStyle w:val="1343"/>
            </w:pPr>
            <w:r>
              <w:rPr>
                <w:rFonts w:hint="eastAsia"/>
              </w:rPr>
              <w:t>功率（k</w:t>
            </w:r>
            <w:r>
              <w:t>W</w:t>
            </w:r>
            <w:r>
              <w:rPr>
                <w:rFonts w:hint="eastAsia"/>
              </w:rPr>
              <w:t>）</w:t>
            </w:r>
          </w:p>
        </w:tc>
        <w:tc>
          <w:tcPr>
            <w:tcW w:w="1349" w:type="dxa"/>
            <w:vAlign w:val="center"/>
          </w:tcPr>
          <w:p w14:paraId="2912484F">
            <w:pPr>
              <w:pStyle w:val="1343"/>
            </w:pPr>
            <w:r>
              <w:rPr>
                <w:rFonts w:hint="eastAsia"/>
              </w:rPr>
              <w:t>级别</w:t>
            </w:r>
          </w:p>
        </w:tc>
        <w:tc>
          <w:tcPr>
            <w:tcW w:w="1349" w:type="dxa"/>
            <w:vAlign w:val="center"/>
          </w:tcPr>
          <w:p w14:paraId="74782CE8">
            <w:pPr>
              <w:pStyle w:val="1343"/>
            </w:pPr>
            <w:r>
              <w:rPr>
                <w:rFonts w:hint="eastAsia"/>
              </w:rPr>
              <w:t>燃料</w:t>
            </w:r>
          </w:p>
        </w:tc>
        <w:tc>
          <w:tcPr>
            <w:tcW w:w="1349" w:type="dxa"/>
            <w:vAlign w:val="center"/>
          </w:tcPr>
          <w:p w14:paraId="7505E9F3">
            <w:pPr>
              <w:pStyle w:val="1343"/>
            </w:pPr>
            <w:r>
              <w:rPr>
                <w:rFonts w:hint="eastAsia"/>
              </w:rPr>
              <w:t>燃料用量kg</w:t>
            </w:r>
            <w:r>
              <w:t>/d</w:t>
            </w:r>
            <w:r>
              <w:rPr>
                <w:rFonts w:hint="eastAsia"/>
              </w:rPr>
              <w:t>·辆</w:t>
            </w:r>
          </w:p>
        </w:tc>
      </w:tr>
      <w:tr w14:paraId="41E6D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14:paraId="0F4EAAD5">
            <w:pPr>
              <w:pStyle w:val="1343"/>
            </w:pPr>
            <w:r>
              <w:rPr>
                <w:rFonts w:hint="eastAsia"/>
              </w:rPr>
              <w:t>1</w:t>
            </w:r>
          </w:p>
        </w:tc>
        <w:tc>
          <w:tcPr>
            <w:tcW w:w="1992" w:type="dxa"/>
            <w:vAlign w:val="center"/>
          </w:tcPr>
          <w:p w14:paraId="72E16626">
            <w:pPr>
              <w:pStyle w:val="1343"/>
            </w:pPr>
            <w:r>
              <w:rPr>
                <w:rFonts w:hint="eastAsia"/>
              </w:rPr>
              <w:t>挖掘机</w:t>
            </w:r>
          </w:p>
        </w:tc>
        <w:tc>
          <w:tcPr>
            <w:tcW w:w="843" w:type="dxa"/>
            <w:vAlign w:val="center"/>
          </w:tcPr>
          <w:p w14:paraId="587E0333">
            <w:pPr>
              <w:pStyle w:val="1343"/>
            </w:pPr>
            <w:r>
              <w:rPr>
                <w:rFonts w:hint="eastAsia"/>
              </w:rPr>
              <w:t>2</w:t>
            </w:r>
          </w:p>
        </w:tc>
        <w:tc>
          <w:tcPr>
            <w:tcW w:w="1854" w:type="dxa"/>
            <w:vAlign w:val="center"/>
          </w:tcPr>
          <w:p w14:paraId="1B288A39">
            <w:pPr>
              <w:pStyle w:val="1343"/>
            </w:pPr>
            <w:r>
              <w:rPr>
                <w:rFonts w:hint="eastAsia"/>
              </w:rPr>
              <w:t>1</w:t>
            </w:r>
            <w:r>
              <w:t>50</w:t>
            </w:r>
          </w:p>
        </w:tc>
        <w:tc>
          <w:tcPr>
            <w:tcW w:w="1349" w:type="dxa"/>
            <w:vAlign w:val="center"/>
          </w:tcPr>
          <w:p w14:paraId="42504D0E">
            <w:pPr>
              <w:pStyle w:val="1343"/>
            </w:pPr>
            <w:r>
              <w:rPr>
                <w:rFonts w:hint="eastAsia"/>
              </w:rPr>
              <w:t>国Ⅲ</w:t>
            </w:r>
          </w:p>
        </w:tc>
        <w:tc>
          <w:tcPr>
            <w:tcW w:w="1349" w:type="dxa"/>
            <w:vAlign w:val="center"/>
          </w:tcPr>
          <w:p w14:paraId="4AD06809">
            <w:pPr>
              <w:pStyle w:val="1343"/>
            </w:pPr>
            <w:r>
              <w:rPr>
                <w:rFonts w:hint="eastAsia"/>
              </w:rPr>
              <w:t>柴油</w:t>
            </w:r>
          </w:p>
        </w:tc>
        <w:tc>
          <w:tcPr>
            <w:tcW w:w="1349" w:type="dxa"/>
            <w:vAlign w:val="center"/>
          </w:tcPr>
          <w:p w14:paraId="407F5A54">
            <w:pPr>
              <w:pStyle w:val="1343"/>
            </w:pPr>
            <w:r>
              <w:rPr>
                <w:rFonts w:hint="eastAsia"/>
              </w:rPr>
              <w:t>1</w:t>
            </w:r>
            <w:r>
              <w:t>50</w:t>
            </w:r>
          </w:p>
        </w:tc>
      </w:tr>
      <w:tr w14:paraId="7560E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14:paraId="5E5804F3">
            <w:pPr>
              <w:pStyle w:val="1343"/>
            </w:pPr>
            <w:r>
              <w:rPr>
                <w:rFonts w:hint="eastAsia"/>
              </w:rPr>
              <w:t>2</w:t>
            </w:r>
          </w:p>
        </w:tc>
        <w:tc>
          <w:tcPr>
            <w:tcW w:w="1992" w:type="dxa"/>
            <w:vAlign w:val="center"/>
          </w:tcPr>
          <w:p w14:paraId="61662A01">
            <w:pPr>
              <w:pStyle w:val="1343"/>
            </w:pPr>
            <w:r>
              <w:rPr>
                <w:rFonts w:hint="eastAsia"/>
              </w:rPr>
              <w:t>装载机</w:t>
            </w:r>
          </w:p>
        </w:tc>
        <w:tc>
          <w:tcPr>
            <w:tcW w:w="843" w:type="dxa"/>
            <w:vAlign w:val="center"/>
          </w:tcPr>
          <w:p w14:paraId="42F52508">
            <w:pPr>
              <w:pStyle w:val="1343"/>
            </w:pPr>
            <w:r>
              <w:rPr>
                <w:rFonts w:hint="eastAsia"/>
              </w:rPr>
              <w:t>1</w:t>
            </w:r>
          </w:p>
        </w:tc>
        <w:tc>
          <w:tcPr>
            <w:tcW w:w="1854" w:type="dxa"/>
            <w:vAlign w:val="center"/>
          </w:tcPr>
          <w:p w14:paraId="7E36B77A">
            <w:pPr>
              <w:pStyle w:val="1343"/>
            </w:pPr>
            <w:r>
              <w:rPr>
                <w:rFonts w:hint="eastAsia"/>
              </w:rPr>
              <w:t>1</w:t>
            </w:r>
            <w:r>
              <w:t>60</w:t>
            </w:r>
          </w:p>
        </w:tc>
        <w:tc>
          <w:tcPr>
            <w:tcW w:w="1349" w:type="dxa"/>
            <w:vAlign w:val="center"/>
          </w:tcPr>
          <w:p w14:paraId="53A520ED">
            <w:pPr>
              <w:pStyle w:val="1343"/>
            </w:pPr>
            <w:r>
              <w:rPr>
                <w:rFonts w:hint="eastAsia"/>
              </w:rPr>
              <w:t>国Ⅲ</w:t>
            </w:r>
          </w:p>
        </w:tc>
        <w:tc>
          <w:tcPr>
            <w:tcW w:w="1349" w:type="dxa"/>
            <w:vAlign w:val="center"/>
          </w:tcPr>
          <w:p w14:paraId="40EB7E2F">
            <w:pPr>
              <w:pStyle w:val="1343"/>
            </w:pPr>
            <w:r>
              <w:rPr>
                <w:rFonts w:hint="eastAsia"/>
              </w:rPr>
              <w:t>柴油</w:t>
            </w:r>
          </w:p>
        </w:tc>
        <w:tc>
          <w:tcPr>
            <w:tcW w:w="1349" w:type="dxa"/>
            <w:vAlign w:val="center"/>
          </w:tcPr>
          <w:p w14:paraId="7B7BBC59">
            <w:pPr>
              <w:pStyle w:val="1343"/>
            </w:pPr>
            <w:r>
              <w:rPr>
                <w:rFonts w:hint="eastAsia"/>
              </w:rPr>
              <w:t>1</w:t>
            </w:r>
            <w:r>
              <w:t>20</w:t>
            </w:r>
          </w:p>
        </w:tc>
      </w:tr>
      <w:tr w14:paraId="6DC7B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14:paraId="72C57BA0">
            <w:pPr>
              <w:pStyle w:val="1343"/>
            </w:pPr>
            <w:r>
              <w:rPr>
                <w:rFonts w:hint="eastAsia"/>
              </w:rPr>
              <w:t>3</w:t>
            </w:r>
          </w:p>
        </w:tc>
        <w:tc>
          <w:tcPr>
            <w:tcW w:w="1992" w:type="dxa"/>
            <w:vAlign w:val="center"/>
          </w:tcPr>
          <w:p w14:paraId="2C049F04">
            <w:pPr>
              <w:pStyle w:val="1343"/>
            </w:pPr>
            <w:r>
              <w:rPr>
                <w:rFonts w:hint="eastAsia"/>
              </w:rPr>
              <w:t>2</w:t>
            </w:r>
            <w:r>
              <w:t>0</w:t>
            </w:r>
            <w:r>
              <w:rPr>
                <w:rFonts w:hint="eastAsia"/>
              </w:rPr>
              <w:t>t载重汽车</w:t>
            </w:r>
          </w:p>
        </w:tc>
        <w:tc>
          <w:tcPr>
            <w:tcW w:w="843" w:type="dxa"/>
            <w:vAlign w:val="center"/>
          </w:tcPr>
          <w:p w14:paraId="5B15E3A5">
            <w:pPr>
              <w:pStyle w:val="1343"/>
            </w:pPr>
            <w:r>
              <w:rPr>
                <w:rFonts w:hint="eastAsia"/>
              </w:rPr>
              <w:t>2</w:t>
            </w:r>
          </w:p>
        </w:tc>
        <w:tc>
          <w:tcPr>
            <w:tcW w:w="1854" w:type="dxa"/>
            <w:vAlign w:val="center"/>
          </w:tcPr>
          <w:p w14:paraId="7B5D608A">
            <w:pPr>
              <w:pStyle w:val="1343"/>
            </w:pPr>
            <w:r>
              <w:rPr>
                <w:rFonts w:hint="eastAsia"/>
              </w:rPr>
              <w:t>2</w:t>
            </w:r>
            <w:r>
              <w:t>47</w:t>
            </w:r>
          </w:p>
        </w:tc>
        <w:tc>
          <w:tcPr>
            <w:tcW w:w="1349" w:type="dxa"/>
            <w:vAlign w:val="center"/>
          </w:tcPr>
          <w:p w14:paraId="7F6FFC40">
            <w:pPr>
              <w:pStyle w:val="1343"/>
            </w:pPr>
            <w:r>
              <w:rPr>
                <w:rFonts w:hint="eastAsia"/>
              </w:rPr>
              <w:t>国Ⅲ</w:t>
            </w:r>
          </w:p>
        </w:tc>
        <w:tc>
          <w:tcPr>
            <w:tcW w:w="1349" w:type="dxa"/>
            <w:vAlign w:val="center"/>
          </w:tcPr>
          <w:p w14:paraId="5BEA58C0">
            <w:pPr>
              <w:pStyle w:val="1343"/>
            </w:pPr>
            <w:r>
              <w:rPr>
                <w:rFonts w:hint="eastAsia"/>
              </w:rPr>
              <w:t>柴油</w:t>
            </w:r>
          </w:p>
        </w:tc>
        <w:tc>
          <w:tcPr>
            <w:tcW w:w="1349" w:type="dxa"/>
            <w:vAlign w:val="center"/>
          </w:tcPr>
          <w:p w14:paraId="607E7900">
            <w:pPr>
              <w:pStyle w:val="1343"/>
            </w:pPr>
            <w:r>
              <w:rPr>
                <w:rFonts w:hint="eastAsia"/>
              </w:rPr>
              <w:t>1</w:t>
            </w:r>
            <w:r>
              <w:t>00</w:t>
            </w:r>
          </w:p>
        </w:tc>
      </w:tr>
      <w:tr w14:paraId="62774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14:paraId="453A0ACE">
            <w:pPr>
              <w:pStyle w:val="1343"/>
            </w:pPr>
            <w:r>
              <w:rPr>
                <w:rFonts w:hint="eastAsia"/>
              </w:rPr>
              <w:t>4</w:t>
            </w:r>
          </w:p>
        </w:tc>
        <w:tc>
          <w:tcPr>
            <w:tcW w:w="1992" w:type="dxa"/>
            <w:vAlign w:val="center"/>
          </w:tcPr>
          <w:p w14:paraId="444DC9B7">
            <w:pPr>
              <w:pStyle w:val="1343"/>
            </w:pPr>
            <w:r>
              <w:rPr>
                <w:rFonts w:hint="eastAsia"/>
              </w:rPr>
              <w:t>5</w:t>
            </w:r>
            <w:r>
              <w:t>0</w:t>
            </w:r>
            <w:r>
              <w:rPr>
                <w:rFonts w:hint="eastAsia"/>
              </w:rPr>
              <w:t>t吊车</w:t>
            </w:r>
          </w:p>
        </w:tc>
        <w:tc>
          <w:tcPr>
            <w:tcW w:w="843" w:type="dxa"/>
            <w:vAlign w:val="center"/>
          </w:tcPr>
          <w:p w14:paraId="512435F5">
            <w:pPr>
              <w:pStyle w:val="1343"/>
            </w:pPr>
            <w:r>
              <w:rPr>
                <w:rFonts w:hint="eastAsia"/>
              </w:rPr>
              <w:t>1</w:t>
            </w:r>
          </w:p>
        </w:tc>
        <w:tc>
          <w:tcPr>
            <w:tcW w:w="1854" w:type="dxa"/>
            <w:vAlign w:val="center"/>
          </w:tcPr>
          <w:p w14:paraId="56D47B90">
            <w:pPr>
              <w:pStyle w:val="1343"/>
            </w:pPr>
            <w:r>
              <w:rPr>
                <w:rFonts w:hint="eastAsia"/>
              </w:rPr>
              <w:t>2</w:t>
            </w:r>
            <w:r>
              <w:t>35</w:t>
            </w:r>
          </w:p>
        </w:tc>
        <w:tc>
          <w:tcPr>
            <w:tcW w:w="1349" w:type="dxa"/>
            <w:vAlign w:val="center"/>
          </w:tcPr>
          <w:p w14:paraId="5979182B">
            <w:pPr>
              <w:pStyle w:val="1343"/>
            </w:pPr>
            <w:r>
              <w:rPr>
                <w:rFonts w:hint="eastAsia"/>
              </w:rPr>
              <w:t>国Ⅲ</w:t>
            </w:r>
          </w:p>
        </w:tc>
        <w:tc>
          <w:tcPr>
            <w:tcW w:w="1349" w:type="dxa"/>
            <w:vAlign w:val="center"/>
          </w:tcPr>
          <w:p w14:paraId="10BC5E86">
            <w:pPr>
              <w:pStyle w:val="1343"/>
            </w:pPr>
            <w:r>
              <w:rPr>
                <w:rFonts w:hint="eastAsia"/>
              </w:rPr>
              <w:t>柴油</w:t>
            </w:r>
          </w:p>
        </w:tc>
        <w:tc>
          <w:tcPr>
            <w:tcW w:w="1349" w:type="dxa"/>
            <w:vAlign w:val="center"/>
          </w:tcPr>
          <w:p w14:paraId="0953A812">
            <w:pPr>
              <w:pStyle w:val="1343"/>
            </w:pPr>
            <w:r>
              <w:rPr>
                <w:rFonts w:hint="eastAsia"/>
              </w:rPr>
              <w:t>6</w:t>
            </w:r>
            <w:r>
              <w:t>0</w:t>
            </w:r>
          </w:p>
        </w:tc>
      </w:tr>
      <w:tr w14:paraId="1388A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14:paraId="198227BB">
            <w:pPr>
              <w:pStyle w:val="1343"/>
            </w:pPr>
            <w:r>
              <w:rPr>
                <w:rFonts w:hint="eastAsia"/>
              </w:rPr>
              <w:t>5</w:t>
            </w:r>
          </w:p>
        </w:tc>
        <w:tc>
          <w:tcPr>
            <w:tcW w:w="1992" w:type="dxa"/>
            <w:vAlign w:val="center"/>
          </w:tcPr>
          <w:p w14:paraId="30656435">
            <w:pPr>
              <w:pStyle w:val="1343"/>
            </w:pPr>
            <w:r>
              <w:rPr>
                <w:rFonts w:hint="eastAsia"/>
              </w:rPr>
              <w:t>混凝土搅拌机</w:t>
            </w:r>
          </w:p>
        </w:tc>
        <w:tc>
          <w:tcPr>
            <w:tcW w:w="843" w:type="dxa"/>
            <w:vAlign w:val="center"/>
          </w:tcPr>
          <w:p w14:paraId="15E216C4">
            <w:pPr>
              <w:pStyle w:val="1343"/>
            </w:pPr>
            <w:r>
              <w:rPr>
                <w:rFonts w:hint="eastAsia"/>
              </w:rPr>
              <w:t>1</w:t>
            </w:r>
          </w:p>
        </w:tc>
        <w:tc>
          <w:tcPr>
            <w:tcW w:w="1854" w:type="dxa"/>
            <w:vAlign w:val="center"/>
          </w:tcPr>
          <w:p w14:paraId="389C41CA">
            <w:pPr>
              <w:pStyle w:val="1343"/>
            </w:pPr>
            <w:r>
              <w:rPr>
                <w:rFonts w:hint="eastAsia"/>
              </w:rPr>
              <w:t>2</w:t>
            </w:r>
            <w:r>
              <w:t>10</w:t>
            </w:r>
          </w:p>
        </w:tc>
        <w:tc>
          <w:tcPr>
            <w:tcW w:w="1349" w:type="dxa"/>
            <w:vAlign w:val="center"/>
          </w:tcPr>
          <w:p w14:paraId="6D1CC672">
            <w:pPr>
              <w:pStyle w:val="1343"/>
            </w:pPr>
            <w:r>
              <w:rPr>
                <w:rFonts w:hint="eastAsia"/>
              </w:rPr>
              <w:t>国Ⅲ</w:t>
            </w:r>
          </w:p>
        </w:tc>
        <w:tc>
          <w:tcPr>
            <w:tcW w:w="1349" w:type="dxa"/>
            <w:vAlign w:val="center"/>
          </w:tcPr>
          <w:p w14:paraId="7AE3CE97">
            <w:pPr>
              <w:pStyle w:val="1343"/>
            </w:pPr>
            <w:r>
              <w:rPr>
                <w:rFonts w:hint="eastAsia"/>
              </w:rPr>
              <w:t>柴油</w:t>
            </w:r>
          </w:p>
        </w:tc>
        <w:tc>
          <w:tcPr>
            <w:tcW w:w="1349" w:type="dxa"/>
            <w:vAlign w:val="center"/>
          </w:tcPr>
          <w:p w14:paraId="37C581D2">
            <w:pPr>
              <w:pStyle w:val="1343"/>
            </w:pPr>
            <w:r>
              <w:rPr>
                <w:rFonts w:hint="eastAsia"/>
              </w:rPr>
              <w:t>5</w:t>
            </w:r>
            <w:r>
              <w:t>0</w:t>
            </w:r>
          </w:p>
        </w:tc>
      </w:tr>
      <w:tr w14:paraId="39CAA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14:paraId="0A66D491">
            <w:pPr>
              <w:pStyle w:val="1343"/>
            </w:pPr>
            <w:r>
              <w:rPr>
                <w:rFonts w:hint="eastAsia"/>
              </w:rPr>
              <w:t>6</w:t>
            </w:r>
          </w:p>
        </w:tc>
        <w:tc>
          <w:tcPr>
            <w:tcW w:w="1992" w:type="dxa"/>
            <w:vAlign w:val="center"/>
          </w:tcPr>
          <w:p w14:paraId="5959D83C">
            <w:pPr>
              <w:pStyle w:val="1343"/>
            </w:pPr>
            <w:r>
              <w:rPr>
                <w:rFonts w:hint="eastAsia"/>
              </w:rPr>
              <w:t>柴油发电机</w:t>
            </w:r>
          </w:p>
        </w:tc>
        <w:tc>
          <w:tcPr>
            <w:tcW w:w="843" w:type="dxa"/>
            <w:vAlign w:val="center"/>
          </w:tcPr>
          <w:p w14:paraId="6463FC7C">
            <w:pPr>
              <w:pStyle w:val="1343"/>
            </w:pPr>
            <w:r>
              <w:rPr>
                <w:rFonts w:hint="eastAsia"/>
              </w:rPr>
              <w:t>3</w:t>
            </w:r>
          </w:p>
        </w:tc>
        <w:tc>
          <w:tcPr>
            <w:tcW w:w="1854" w:type="dxa"/>
            <w:vAlign w:val="center"/>
          </w:tcPr>
          <w:p w14:paraId="27BCEDFA">
            <w:pPr>
              <w:pStyle w:val="1343"/>
            </w:pPr>
            <w:r>
              <w:rPr>
                <w:rFonts w:hint="eastAsia"/>
              </w:rPr>
              <w:t>5</w:t>
            </w:r>
            <w:r>
              <w:t>0</w:t>
            </w:r>
          </w:p>
        </w:tc>
        <w:tc>
          <w:tcPr>
            <w:tcW w:w="1349" w:type="dxa"/>
            <w:vAlign w:val="center"/>
          </w:tcPr>
          <w:p w14:paraId="3DD5F56B">
            <w:pPr>
              <w:pStyle w:val="1343"/>
            </w:pPr>
            <w:r>
              <w:rPr>
                <w:rFonts w:hint="eastAsia"/>
              </w:rPr>
              <w:t>国Ⅲ</w:t>
            </w:r>
          </w:p>
        </w:tc>
        <w:tc>
          <w:tcPr>
            <w:tcW w:w="1349" w:type="dxa"/>
            <w:vAlign w:val="center"/>
          </w:tcPr>
          <w:p w14:paraId="63A870A3">
            <w:pPr>
              <w:pStyle w:val="1343"/>
            </w:pPr>
            <w:r>
              <w:rPr>
                <w:rFonts w:hint="eastAsia"/>
              </w:rPr>
              <w:t>柴油</w:t>
            </w:r>
          </w:p>
        </w:tc>
        <w:tc>
          <w:tcPr>
            <w:tcW w:w="1349" w:type="dxa"/>
            <w:vAlign w:val="center"/>
          </w:tcPr>
          <w:p w14:paraId="52EC1037">
            <w:pPr>
              <w:pStyle w:val="1343"/>
            </w:pPr>
            <w:r>
              <w:rPr>
                <w:rFonts w:hint="eastAsia"/>
              </w:rPr>
              <w:t>8</w:t>
            </w:r>
            <w:r>
              <w:t>0</w:t>
            </w:r>
          </w:p>
        </w:tc>
      </w:tr>
    </w:tbl>
    <w:p w14:paraId="1A971DB1">
      <w:pPr>
        <w:snapToGrid w:val="0"/>
        <w:spacing w:before="120" w:beforeLines="50" w:line="360" w:lineRule="auto"/>
        <w:ind w:firstLine="480" w:firstLineChars="200"/>
        <w:rPr>
          <w:sz w:val="24"/>
        </w:rPr>
      </w:pPr>
      <w:r>
        <w:rPr>
          <w:rFonts w:hint="eastAsia"/>
          <w:sz w:val="24"/>
        </w:rPr>
        <w:t>根据《非道路移动源大气污染物排放清单编制技术指南（试行）》中非道路移动源机械排放因子，具体见表3</w:t>
      </w:r>
      <w:r>
        <w:rPr>
          <w:sz w:val="24"/>
        </w:rPr>
        <w:t>.</w:t>
      </w:r>
      <w:r>
        <w:rPr>
          <w:rFonts w:hint="eastAsia"/>
          <w:sz w:val="24"/>
        </w:rPr>
        <w:t>4-</w:t>
      </w:r>
      <w:r>
        <w:rPr>
          <w:sz w:val="24"/>
        </w:rPr>
        <w:t>4</w:t>
      </w:r>
      <w:r>
        <w:rPr>
          <w:rFonts w:hint="eastAsia"/>
          <w:sz w:val="24"/>
        </w:rPr>
        <w:t>。</w:t>
      </w:r>
    </w:p>
    <w:p w14:paraId="466CEE65">
      <w:pPr>
        <w:pStyle w:val="904"/>
      </w:pPr>
      <w:r>
        <w:rPr>
          <w:rFonts w:hint="eastAsia"/>
        </w:rPr>
        <w:t>表3</w:t>
      </w:r>
      <w:r>
        <w:t>.</w:t>
      </w:r>
      <w:r>
        <w:rPr>
          <w:rFonts w:hint="eastAsia"/>
        </w:rPr>
        <w:t>4-</w:t>
      </w:r>
      <w:r>
        <w:t xml:space="preserve">4  </w:t>
      </w:r>
      <w:r>
        <w:rPr>
          <w:rFonts w:hint="eastAsia"/>
        </w:rPr>
        <w:t>施工期主要流动源一览表（单位：g/kg燃料）</w:t>
      </w:r>
    </w:p>
    <w:tbl>
      <w:tblPr>
        <w:tblStyle w:val="139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6"/>
        <w:gridCol w:w="1276"/>
        <w:gridCol w:w="1276"/>
        <w:gridCol w:w="1417"/>
        <w:gridCol w:w="1077"/>
        <w:gridCol w:w="1349"/>
        <w:gridCol w:w="1349"/>
      </w:tblGrid>
      <w:tr w14:paraId="39D3B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Align w:val="center"/>
          </w:tcPr>
          <w:p w14:paraId="178CAC96">
            <w:pPr>
              <w:pStyle w:val="1343"/>
            </w:pPr>
            <w:r>
              <w:rPr>
                <w:rFonts w:hint="eastAsia"/>
              </w:rPr>
              <w:t>类别</w:t>
            </w:r>
          </w:p>
        </w:tc>
        <w:tc>
          <w:tcPr>
            <w:tcW w:w="1276" w:type="dxa"/>
            <w:vAlign w:val="center"/>
          </w:tcPr>
          <w:p w14:paraId="26F41F5C">
            <w:pPr>
              <w:pStyle w:val="1343"/>
            </w:pPr>
            <w:r>
              <w:rPr>
                <w:rFonts w:hint="eastAsia"/>
              </w:rPr>
              <w:t>级别</w:t>
            </w:r>
          </w:p>
        </w:tc>
        <w:tc>
          <w:tcPr>
            <w:tcW w:w="1276" w:type="dxa"/>
            <w:vAlign w:val="center"/>
          </w:tcPr>
          <w:p w14:paraId="20A48083">
            <w:pPr>
              <w:pStyle w:val="1343"/>
            </w:pPr>
            <w:r>
              <w:rPr>
                <w:rFonts w:hint="eastAsia"/>
              </w:rPr>
              <w:t>P</w:t>
            </w:r>
            <w:r>
              <w:t>M</w:t>
            </w:r>
            <w:r>
              <w:rPr>
                <w:vertAlign w:val="subscript"/>
              </w:rPr>
              <w:t>10</w:t>
            </w:r>
          </w:p>
        </w:tc>
        <w:tc>
          <w:tcPr>
            <w:tcW w:w="1417" w:type="dxa"/>
            <w:vAlign w:val="center"/>
          </w:tcPr>
          <w:p w14:paraId="613DA3A9">
            <w:pPr>
              <w:pStyle w:val="1343"/>
            </w:pPr>
            <w:r>
              <w:rPr>
                <w:rFonts w:hint="eastAsia"/>
              </w:rPr>
              <w:t>P</w:t>
            </w:r>
            <w:r>
              <w:t>M</w:t>
            </w:r>
            <w:r>
              <w:rPr>
                <w:vertAlign w:val="subscript"/>
              </w:rPr>
              <w:t>2.5</w:t>
            </w:r>
          </w:p>
        </w:tc>
        <w:tc>
          <w:tcPr>
            <w:tcW w:w="1077" w:type="dxa"/>
            <w:vAlign w:val="center"/>
          </w:tcPr>
          <w:p w14:paraId="1DD16273">
            <w:pPr>
              <w:pStyle w:val="1343"/>
            </w:pPr>
            <w:r>
              <w:rPr>
                <w:rFonts w:hint="eastAsia"/>
              </w:rPr>
              <w:t>T</w:t>
            </w:r>
            <w:r>
              <w:t>HC</w:t>
            </w:r>
          </w:p>
        </w:tc>
        <w:tc>
          <w:tcPr>
            <w:tcW w:w="1349" w:type="dxa"/>
            <w:vAlign w:val="center"/>
          </w:tcPr>
          <w:p w14:paraId="077829FD">
            <w:pPr>
              <w:pStyle w:val="1343"/>
            </w:pPr>
            <w:r>
              <w:rPr>
                <w:rFonts w:hint="eastAsia"/>
              </w:rPr>
              <w:t>N</w:t>
            </w:r>
            <w:r>
              <w:t>O</w:t>
            </w:r>
            <w:r>
              <w:rPr>
                <w:rFonts w:hint="eastAsia"/>
              </w:rPr>
              <w:t>x</w:t>
            </w:r>
          </w:p>
        </w:tc>
        <w:tc>
          <w:tcPr>
            <w:tcW w:w="1349" w:type="dxa"/>
            <w:vAlign w:val="center"/>
          </w:tcPr>
          <w:p w14:paraId="4157E748">
            <w:pPr>
              <w:pStyle w:val="1343"/>
            </w:pPr>
            <w:r>
              <w:rPr>
                <w:rFonts w:hint="eastAsia"/>
              </w:rPr>
              <w:t>C</w:t>
            </w:r>
            <w:r>
              <w:t>O</w:t>
            </w:r>
          </w:p>
        </w:tc>
      </w:tr>
      <w:tr w14:paraId="0452F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Align w:val="center"/>
          </w:tcPr>
          <w:p w14:paraId="34900F7D">
            <w:pPr>
              <w:pStyle w:val="1343"/>
            </w:pPr>
            <w:r>
              <w:rPr>
                <w:rFonts w:hint="eastAsia"/>
              </w:rPr>
              <w:t>G＜3</w:t>
            </w:r>
            <w:r>
              <w:t>7</w:t>
            </w:r>
            <w:r>
              <w:rPr>
                <w:rFonts w:hint="eastAsia"/>
              </w:rPr>
              <w:t>k</w:t>
            </w:r>
            <w:r>
              <w:t>W</w:t>
            </w:r>
          </w:p>
        </w:tc>
        <w:tc>
          <w:tcPr>
            <w:tcW w:w="1276" w:type="dxa"/>
            <w:vAlign w:val="center"/>
          </w:tcPr>
          <w:p w14:paraId="27518B86">
            <w:pPr>
              <w:pStyle w:val="1343"/>
            </w:pPr>
            <w:r>
              <w:rPr>
                <w:rFonts w:hint="eastAsia"/>
              </w:rPr>
              <w:t>国Ⅲ</w:t>
            </w:r>
          </w:p>
        </w:tc>
        <w:tc>
          <w:tcPr>
            <w:tcW w:w="1276" w:type="dxa"/>
            <w:vAlign w:val="center"/>
          </w:tcPr>
          <w:p w14:paraId="41221988">
            <w:pPr>
              <w:pStyle w:val="1343"/>
            </w:pPr>
            <w:r>
              <w:rPr>
                <w:rFonts w:hint="eastAsia"/>
              </w:rPr>
              <w:t>2</w:t>
            </w:r>
            <w:r>
              <w:t>.5</w:t>
            </w:r>
          </w:p>
        </w:tc>
        <w:tc>
          <w:tcPr>
            <w:tcW w:w="1417" w:type="dxa"/>
            <w:vAlign w:val="center"/>
          </w:tcPr>
          <w:p w14:paraId="71D80D02">
            <w:pPr>
              <w:pStyle w:val="1343"/>
            </w:pPr>
            <w:r>
              <w:rPr>
                <w:rFonts w:hint="eastAsia"/>
              </w:rPr>
              <w:t>2</w:t>
            </w:r>
            <w:r>
              <w:t>.38</w:t>
            </w:r>
          </w:p>
        </w:tc>
        <w:tc>
          <w:tcPr>
            <w:tcW w:w="1077" w:type="dxa"/>
            <w:vAlign w:val="center"/>
          </w:tcPr>
          <w:p w14:paraId="4462E6E1">
            <w:pPr>
              <w:pStyle w:val="1343"/>
            </w:pPr>
            <w:r>
              <w:rPr>
                <w:rFonts w:hint="eastAsia"/>
              </w:rPr>
              <w:t>5</w:t>
            </w:r>
            <w:r>
              <w:t>.00</w:t>
            </w:r>
          </w:p>
        </w:tc>
        <w:tc>
          <w:tcPr>
            <w:tcW w:w="1349" w:type="dxa"/>
            <w:vAlign w:val="center"/>
          </w:tcPr>
          <w:p w14:paraId="4F40CC85">
            <w:pPr>
              <w:pStyle w:val="1343"/>
            </w:pPr>
            <w:r>
              <w:rPr>
                <w:rFonts w:hint="eastAsia"/>
              </w:rPr>
              <w:t>2</w:t>
            </w:r>
            <w:r>
              <w:t>7.30</w:t>
            </w:r>
          </w:p>
        </w:tc>
        <w:tc>
          <w:tcPr>
            <w:tcW w:w="1349" w:type="dxa"/>
            <w:vAlign w:val="center"/>
          </w:tcPr>
          <w:p w14:paraId="4EF81463">
            <w:pPr>
              <w:pStyle w:val="1343"/>
            </w:pPr>
            <w:r>
              <w:rPr>
                <w:rFonts w:hint="eastAsia"/>
              </w:rPr>
              <w:t>2</w:t>
            </w:r>
            <w:r>
              <w:t>2.75</w:t>
            </w:r>
          </w:p>
        </w:tc>
      </w:tr>
      <w:tr w14:paraId="78158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Align w:val="center"/>
          </w:tcPr>
          <w:p w14:paraId="3656F693">
            <w:pPr>
              <w:pStyle w:val="1343"/>
            </w:pPr>
            <w:r>
              <w:rPr>
                <w:rFonts w:hint="eastAsia"/>
              </w:rPr>
              <w:t>37＜G＜75kW</w:t>
            </w:r>
          </w:p>
        </w:tc>
        <w:tc>
          <w:tcPr>
            <w:tcW w:w="1276" w:type="dxa"/>
            <w:vAlign w:val="center"/>
          </w:tcPr>
          <w:p w14:paraId="5A948C6C">
            <w:pPr>
              <w:pStyle w:val="1343"/>
            </w:pPr>
            <w:r>
              <w:rPr>
                <w:rFonts w:hint="eastAsia"/>
              </w:rPr>
              <w:t>国Ⅲ</w:t>
            </w:r>
          </w:p>
        </w:tc>
        <w:tc>
          <w:tcPr>
            <w:tcW w:w="1276" w:type="dxa"/>
            <w:vAlign w:val="center"/>
          </w:tcPr>
          <w:p w14:paraId="372B5F99">
            <w:pPr>
              <w:pStyle w:val="1343"/>
            </w:pPr>
            <w:r>
              <w:rPr>
                <w:rFonts w:hint="eastAsia"/>
              </w:rPr>
              <w:t>1</w:t>
            </w:r>
            <w:r>
              <w:t>.66</w:t>
            </w:r>
          </w:p>
        </w:tc>
        <w:tc>
          <w:tcPr>
            <w:tcW w:w="1417" w:type="dxa"/>
            <w:vAlign w:val="center"/>
          </w:tcPr>
          <w:p w14:paraId="196398C3">
            <w:pPr>
              <w:pStyle w:val="1343"/>
            </w:pPr>
            <w:r>
              <w:rPr>
                <w:rFonts w:hint="eastAsia"/>
              </w:rPr>
              <w:t>1</w:t>
            </w:r>
            <w:r>
              <w:t>.52</w:t>
            </w:r>
          </w:p>
        </w:tc>
        <w:tc>
          <w:tcPr>
            <w:tcW w:w="1077" w:type="dxa"/>
            <w:vAlign w:val="center"/>
          </w:tcPr>
          <w:p w14:paraId="17D2264F">
            <w:pPr>
              <w:pStyle w:val="1343"/>
            </w:pPr>
            <w:r>
              <w:rPr>
                <w:rFonts w:hint="eastAsia"/>
              </w:rPr>
              <w:t>4</w:t>
            </w:r>
            <w:r>
              <w:t>.76</w:t>
            </w:r>
          </w:p>
        </w:tc>
        <w:tc>
          <w:tcPr>
            <w:tcW w:w="1349" w:type="dxa"/>
            <w:vAlign w:val="center"/>
          </w:tcPr>
          <w:p w14:paraId="16E330FD">
            <w:pPr>
              <w:pStyle w:val="1343"/>
            </w:pPr>
            <w:r>
              <w:rPr>
                <w:rFonts w:hint="eastAsia"/>
              </w:rPr>
              <w:t>1</w:t>
            </w:r>
            <w:r>
              <w:t>6.67</w:t>
            </w:r>
          </w:p>
        </w:tc>
        <w:tc>
          <w:tcPr>
            <w:tcW w:w="1349" w:type="dxa"/>
            <w:vAlign w:val="center"/>
          </w:tcPr>
          <w:p w14:paraId="23391C32">
            <w:pPr>
              <w:pStyle w:val="1343"/>
            </w:pPr>
            <w:r>
              <w:rPr>
                <w:rFonts w:hint="eastAsia"/>
              </w:rPr>
              <w:t>2</w:t>
            </w:r>
            <w:r>
              <w:t>1.42</w:t>
            </w:r>
          </w:p>
        </w:tc>
      </w:tr>
      <w:tr w14:paraId="51ECF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Align w:val="center"/>
          </w:tcPr>
          <w:p w14:paraId="1FE77F5D">
            <w:pPr>
              <w:pStyle w:val="1343"/>
            </w:pPr>
            <w:r>
              <w:rPr>
                <w:rFonts w:hint="eastAsia"/>
              </w:rPr>
              <w:t>75＜G＜130kW</w:t>
            </w:r>
          </w:p>
        </w:tc>
        <w:tc>
          <w:tcPr>
            <w:tcW w:w="1276" w:type="dxa"/>
            <w:vAlign w:val="center"/>
          </w:tcPr>
          <w:p w14:paraId="6DEC53FA">
            <w:pPr>
              <w:pStyle w:val="1343"/>
            </w:pPr>
            <w:r>
              <w:rPr>
                <w:rFonts w:hint="eastAsia"/>
              </w:rPr>
              <w:t>国Ⅲ</w:t>
            </w:r>
          </w:p>
        </w:tc>
        <w:tc>
          <w:tcPr>
            <w:tcW w:w="1276" w:type="dxa"/>
            <w:vAlign w:val="center"/>
          </w:tcPr>
          <w:p w14:paraId="55EAD92B">
            <w:pPr>
              <w:pStyle w:val="1343"/>
            </w:pPr>
            <w:r>
              <w:rPr>
                <w:rFonts w:hint="eastAsia"/>
              </w:rPr>
              <w:t>1</w:t>
            </w:r>
            <w:r>
              <w:t>.22</w:t>
            </w:r>
          </w:p>
        </w:tc>
        <w:tc>
          <w:tcPr>
            <w:tcW w:w="1417" w:type="dxa"/>
            <w:vAlign w:val="center"/>
          </w:tcPr>
          <w:p w14:paraId="08AF6820">
            <w:pPr>
              <w:pStyle w:val="1343"/>
            </w:pPr>
            <w:r>
              <w:rPr>
                <w:rFonts w:hint="eastAsia"/>
              </w:rPr>
              <w:t>1</w:t>
            </w:r>
            <w:r>
              <w:t>.12</w:t>
            </w:r>
          </w:p>
        </w:tc>
        <w:tc>
          <w:tcPr>
            <w:tcW w:w="1077" w:type="dxa"/>
            <w:vAlign w:val="center"/>
          </w:tcPr>
          <w:p w14:paraId="6B2235F2">
            <w:pPr>
              <w:pStyle w:val="1343"/>
            </w:pPr>
            <w:r>
              <w:rPr>
                <w:rFonts w:hint="eastAsia"/>
              </w:rPr>
              <w:t>3</w:t>
            </w:r>
            <w:r>
              <w:t>.91</w:t>
            </w:r>
          </w:p>
        </w:tc>
        <w:tc>
          <w:tcPr>
            <w:tcW w:w="1349" w:type="dxa"/>
            <w:vAlign w:val="center"/>
          </w:tcPr>
          <w:p w14:paraId="1684A3FA">
            <w:pPr>
              <w:pStyle w:val="1343"/>
            </w:pPr>
            <w:r>
              <w:rPr>
                <w:rFonts w:hint="eastAsia"/>
              </w:rPr>
              <w:t>1</w:t>
            </w:r>
            <w:r>
              <w:t>3.66</w:t>
            </w:r>
          </w:p>
        </w:tc>
        <w:tc>
          <w:tcPr>
            <w:tcW w:w="1349" w:type="dxa"/>
            <w:vAlign w:val="center"/>
          </w:tcPr>
          <w:p w14:paraId="7635D1A4">
            <w:pPr>
              <w:pStyle w:val="1343"/>
            </w:pPr>
            <w:r>
              <w:rPr>
                <w:rFonts w:hint="eastAsia"/>
              </w:rPr>
              <w:t>2</w:t>
            </w:r>
            <w:r>
              <w:t>1.96</w:t>
            </w:r>
          </w:p>
        </w:tc>
      </w:tr>
      <w:tr w14:paraId="31CC3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Align w:val="center"/>
          </w:tcPr>
          <w:p w14:paraId="109055FE">
            <w:pPr>
              <w:pStyle w:val="1343"/>
            </w:pPr>
            <w:r>
              <w:rPr>
                <w:rFonts w:hint="eastAsia"/>
              </w:rPr>
              <w:t>G＞130kW</w:t>
            </w:r>
          </w:p>
        </w:tc>
        <w:tc>
          <w:tcPr>
            <w:tcW w:w="1276" w:type="dxa"/>
            <w:vAlign w:val="center"/>
          </w:tcPr>
          <w:p w14:paraId="6C34163D">
            <w:pPr>
              <w:pStyle w:val="1343"/>
            </w:pPr>
            <w:r>
              <w:rPr>
                <w:rFonts w:hint="eastAsia"/>
              </w:rPr>
              <w:t>国Ⅲ</w:t>
            </w:r>
          </w:p>
        </w:tc>
        <w:tc>
          <w:tcPr>
            <w:tcW w:w="1276" w:type="dxa"/>
            <w:vAlign w:val="center"/>
          </w:tcPr>
          <w:p w14:paraId="3C28DE28">
            <w:pPr>
              <w:pStyle w:val="1343"/>
            </w:pPr>
            <w:r>
              <w:rPr>
                <w:rFonts w:hint="eastAsia"/>
              </w:rPr>
              <w:t>0</w:t>
            </w:r>
            <w:r>
              <w:t>.90</w:t>
            </w:r>
          </w:p>
        </w:tc>
        <w:tc>
          <w:tcPr>
            <w:tcW w:w="1417" w:type="dxa"/>
            <w:vAlign w:val="center"/>
          </w:tcPr>
          <w:p w14:paraId="51E26DC1">
            <w:pPr>
              <w:pStyle w:val="1343"/>
            </w:pPr>
            <w:r>
              <w:rPr>
                <w:rFonts w:hint="eastAsia"/>
              </w:rPr>
              <w:t>0</w:t>
            </w:r>
            <w:r>
              <w:t>.80</w:t>
            </w:r>
          </w:p>
        </w:tc>
        <w:tc>
          <w:tcPr>
            <w:tcW w:w="1077" w:type="dxa"/>
            <w:vAlign w:val="center"/>
          </w:tcPr>
          <w:p w14:paraId="2E8B0917">
            <w:pPr>
              <w:pStyle w:val="1343"/>
            </w:pPr>
            <w:r>
              <w:rPr>
                <w:rFonts w:hint="eastAsia"/>
              </w:rPr>
              <w:t>1</w:t>
            </w:r>
            <w:r>
              <w:t>.00</w:t>
            </w:r>
          </w:p>
        </w:tc>
        <w:tc>
          <w:tcPr>
            <w:tcW w:w="1349" w:type="dxa"/>
            <w:vAlign w:val="center"/>
          </w:tcPr>
          <w:p w14:paraId="1E8DDBF6">
            <w:pPr>
              <w:pStyle w:val="1343"/>
            </w:pPr>
            <w:r>
              <w:rPr>
                <w:rFonts w:hint="eastAsia"/>
              </w:rPr>
              <w:t>1</w:t>
            </w:r>
            <w:r>
              <w:t>4.00</w:t>
            </w:r>
          </w:p>
        </w:tc>
        <w:tc>
          <w:tcPr>
            <w:tcW w:w="1349" w:type="dxa"/>
            <w:vAlign w:val="center"/>
          </w:tcPr>
          <w:p w14:paraId="0F60AC08">
            <w:pPr>
              <w:pStyle w:val="1343"/>
            </w:pPr>
            <w:r>
              <w:rPr>
                <w:rFonts w:hint="eastAsia"/>
              </w:rPr>
              <w:t>1</w:t>
            </w:r>
            <w:r>
              <w:t>5.00</w:t>
            </w:r>
          </w:p>
        </w:tc>
      </w:tr>
    </w:tbl>
    <w:p w14:paraId="0176EC65">
      <w:pPr>
        <w:snapToGrid w:val="0"/>
        <w:spacing w:before="120" w:beforeLines="50" w:line="360" w:lineRule="auto"/>
        <w:ind w:firstLine="480" w:firstLineChars="200"/>
        <w:rPr>
          <w:sz w:val="24"/>
        </w:rPr>
      </w:pPr>
      <w:r>
        <w:rPr>
          <w:rFonts w:hint="eastAsia"/>
          <w:sz w:val="24"/>
        </w:rPr>
        <w:t>计算拟建项目非道路移动源污染物排放情况见表3</w:t>
      </w:r>
      <w:r>
        <w:rPr>
          <w:sz w:val="24"/>
        </w:rPr>
        <w:t>.</w:t>
      </w:r>
      <w:r>
        <w:rPr>
          <w:rFonts w:hint="eastAsia"/>
          <w:sz w:val="24"/>
        </w:rPr>
        <w:t>4-</w:t>
      </w:r>
      <w:r>
        <w:rPr>
          <w:sz w:val="24"/>
        </w:rPr>
        <w:t>5</w:t>
      </w:r>
      <w:r>
        <w:rPr>
          <w:rFonts w:hint="eastAsia"/>
          <w:sz w:val="24"/>
        </w:rPr>
        <w:t>。</w:t>
      </w:r>
    </w:p>
    <w:p w14:paraId="5875418A">
      <w:pPr>
        <w:pStyle w:val="904"/>
      </w:pPr>
      <w:r>
        <w:rPr>
          <w:rFonts w:hint="eastAsia"/>
        </w:rPr>
        <w:t>表</w:t>
      </w:r>
      <w:r>
        <w:t>3.</w:t>
      </w:r>
      <w:r>
        <w:rPr>
          <w:rFonts w:hint="eastAsia"/>
        </w:rPr>
        <w:t>4-</w:t>
      </w:r>
      <w:r>
        <w:t xml:space="preserve">5  </w:t>
      </w:r>
      <w:r>
        <w:rPr>
          <w:rFonts w:hint="eastAsia"/>
        </w:rPr>
        <w:t>施工期主要流动源一览表（单位：g/d）</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1942"/>
        <w:gridCol w:w="1380"/>
        <w:gridCol w:w="1380"/>
        <w:gridCol w:w="1380"/>
        <w:gridCol w:w="1380"/>
        <w:gridCol w:w="1381"/>
      </w:tblGrid>
      <w:tr w14:paraId="66C29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Align w:val="center"/>
          </w:tcPr>
          <w:p w14:paraId="1EDB3146">
            <w:pPr>
              <w:pStyle w:val="1343"/>
            </w:pPr>
            <w:r>
              <w:rPr>
                <w:rFonts w:hint="eastAsia"/>
              </w:rPr>
              <w:t>序号</w:t>
            </w:r>
          </w:p>
        </w:tc>
        <w:tc>
          <w:tcPr>
            <w:tcW w:w="1004" w:type="pct"/>
            <w:vAlign w:val="center"/>
          </w:tcPr>
          <w:p w14:paraId="271EB767">
            <w:pPr>
              <w:pStyle w:val="1343"/>
            </w:pPr>
            <w:r>
              <w:rPr>
                <w:rFonts w:hint="eastAsia"/>
              </w:rPr>
              <w:t>设备名称</w:t>
            </w:r>
          </w:p>
        </w:tc>
        <w:tc>
          <w:tcPr>
            <w:tcW w:w="713" w:type="pct"/>
            <w:vAlign w:val="center"/>
          </w:tcPr>
          <w:p w14:paraId="04E18C9A">
            <w:pPr>
              <w:pStyle w:val="1343"/>
            </w:pPr>
            <w:r>
              <w:rPr>
                <w:rFonts w:hint="eastAsia"/>
              </w:rPr>
              <w:t>P</w:t>
            </w:r>
            <w:r>
              <w:t>M</w:t>
            </w:r>
            <w:r>
              <w:rPr>
                <w:vertAlign w:val="subscript"/>
              </w:rPr>
              <w:t>10</w:t>
            </w:r>
          </w:p>
        </w:tc>
        <w:tc>
          <w:tcPr>
            <w:tcW w:w="713" w:type="pct"/>
            <w:vAlign w:val="center"/>
          </w:tcPr>
          <w:p w14:paraId="38702815">
            <w:pPr>
              <w:pStyle w:val="1343"/>
            </w:pPr>
            <w:r>
              <w:rPr>
                <w:rFonts w:hint="eastAsia"/>
              </w:rPr>
              <w:t>P</w:t>
            </w:r>
            <w:r>
              <w:t>M</w:t>
            </w:r>
            <w:r>
              <w:rPr>
                <w:vertAlign w:val="subscript"/>
              </w:rPr>
              <w:t>2.5</w:t>
            </w:r>
          </w:p>
        </w:tc>
        <w:tc>
          <w:tcPr>
            <w:tcW w:w="713" w:type="pct"/>
            <w:vAlign w:val="center"/>
          </w:tcPr>
          <w:p w14:paraId="60B9F6CD">
            <w:pPr>
              <w:pStyle w:val="1343"/>
            </w:pPr>
            <w:r>
              <w:rPr>
                <w:rFonts w:hint="eastAsia"/>
              </w:rPr>
              <w:t>T</w:t>
            </w:r>
            <w:r>
              <w:t>HC</w:t>
            </w:r>
          </w:p>
        </w:tc>
        <w:tc>
          <w:tcPr>
            <w:tcW w:w="713" w:type="pct"/>
            <w:vAlign w:val="center"/>
          </w:tcPr>
          <w:p w14:paraId="050C4F1F">
            <w:pPr>
              <w:pStyle w:val="1343"/>
            </w:pPr>
            <w:r>
              <w:rPr>
                <w:rFonts w:hint="eastAsia"/>
              </w:rPr>
              <w:t>N</w:t>
            </w:r>
            <w:r>
              <w:t>O</w:t>
            </w:r>
            <w:r>
              <w:rPr>
                <w:rFonts w:hint="eastAsia"/>
              </w:rPr>
              <w:t>x</w:t>
            </w:r>
          </w:p>
        </w:tc>
        <w:tc>
          <w:tcPr>
            <w:tcW w:w="714" w:type="pct"/>
            <w:vAlign w:val="center"/>
          </w:tcPr>
          <w:p w14:paraId="3A9B9262">
            <w:pPr>
              <w:pStyle w:val="1343"/>
            </w:pPr>
            <w:r>
              <w:rPr>
                <w:rFonts w:hint="eastAsia"/>
              </w:rPr>
              <w:t>C</w:t>
            </w:r>
            <w:r>
              <w:t>O</w:t>
            </w:r>
          </w:p>
        </w:tc>
      </w:tr>
      <w:tr w14:paraId="22E88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Align w:val="center"/>
          </w:tcPr>
          <w:p w14:paraId="1C76EFF5">
            <w:pPr>
              <w:pStyle w:val="1343"/>
            </w:pPr>
            <w:r>
              <w:rPr>
                <w:rFonts w:hint="eastAsia"/>
              </w:rPr>
              <w:t>1</w:t>
            </w:r>
          </w:p>
        </w:tc>
        <w:tc>
          <w:tcPr>
            <w:tcW w:w="1004" w:type="pct"/>
            <w:vAlign w:val="center"/>
          </w:tcPr>
          <w:p w14:paraId="0594873D">
            <w:pPr>
              <w:pStyle w:val="1343"/>
            </w:pPr>
            <w:r>
              <w:rPr>
                <w:rFonts w:hint="eastAsia"/>
              </w:rPr>
              <w:t>挖掘机</w:t>
            </w:r>
          </w:p>
        </w:tc>
        <w:tc>
          <w:tcPr>
            <w:tcW w:w="1380" w:type="dxa"/>
            <w:vAlign w:val="center"/>
          </w:tcPr>
          <w:p w14:paraId="63137A2C">
            <w:pPr>
              <w:pStyle w:val="1343"/>
            </w:pPr>
            <w:r>
              <w:t>270</w:t>
            </w:r>
          </w:p>
        </w:tc>
        <w:tc>
          <w:tcPr>
            <w:tcW w:w="1380" w:type="dxa"/>
            <w:vAlign w:val="center"/>
          </w:tcPr>
          <w:p w14:paraId="5DB0A18F">
            <w:pPr>
              <w:widowControl/>
              <w:jc w:val="center"/>
              <w:textAlignment w:val="center"/>
            </w:pPr>
            <w:r>
              <w:rPr>
                <w:color w:val="000000"/>
                <w:kern w:val="0"/>
                <w:szCs w:val="21"/>
                <w:lang w:bidi="ar"/>
              </w:rPr>
              <w:t>240</w:t>
            </w:r>
          </w:p>
        </w:tc>
        <w:tc>
          <w:tcPr>
            <w:tcW w:w="1380" w:type="dxa"/>
            <w:vAlign w:val="center"/>
          </w:tcPr>
          <w:p w14:paraId="24CD644A">
            <w:pPr>
              <w:widowControl/>
              <w:jc w:val="center"/>
              <w:textAlignment w:val="center"/>
            </w:pPr>
            <w:r>
              <w:rPr>
                <w:color w:val="000000"/>
                <w:kern w:val="0"/>
                <w:szCs w:val="21"/>
                <w:lang w:bidi="ar"/>
              </w:rPr>
              <w:t>300</w:t>
            </w:r>
          </w:p>
        </w:tc>
        <w:tc>
          <w:tcPr>
            <w:tcW w:w="1380" w:type="dxa"/>
            <w:vAlign w:val="center"/>
          </w:tcPr>
          <w:p w14:paraId="0A6E9E20">
            <w:pPr>
              <w:widowControl/>
              <w:jc w:val="center"/>
              <w:textAlignment w:val="center"/>
            </w:pPr>
            <w:r>
              <w:rPr>
                <w:color w:val="000000"/>
                <w:kern w:val="0"/>
                <w:szCs w:val="21"/>
                <w:lang w:bidi="ar"/>
              </w:rPr>
              <w:t>4200</w:t>
            </w:r>
          </w:p>
        </w:tc>
        <w:tc>
          <w:tcPr>
            <w:tcW w:w="1381" w:type="dxa"/>
            <w:vAlign w:val="center"/>
          </w:tcPr>
          <w:p w14:paraId="25587CC1">
            <w:pPr>
              <w:widowControl/>
              <w:jc w:val="center"/>
              <w:textAlignment w:val="center"/>
            </w:pPr>
            <w:r>
              <w:rPr>
                <w:color w:val="000000"/>
                <w:kern w:val="0"/>
                <w:szCs w:val="21"/>
                <w:lang w:bidi="ar"/>
              </w:rPr>
              <w:t>4500</w:t>
            </w:r>
          </w:p>
        </w:tc>
      </w:tr>
      <w:tr w14:paraId="4BF4F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Align w:val="center"/>
          </w:tcPr>
          <w:p w14:paraId="0784A89F">
            <w:pPr>
              <w:pStyle w:val="1343"/>
            </w:pPr>
            <w:r>
              <w:rPr>
                <w:rFonts w:hint="eastAsia"/>
              </w:rPr>
              <w:t>2</w:t>
            </w:r>
          </w:p>
        </w:tc>
        <w:tc>
          <w:tcPr>
            <w:tcW w:w="1004" w:type="pct"/>
            <w:vAlign w:val="center"/>
          </w:tcPr>
          <w:p w14:paraId="41ED7EDA">
            <w:pPr>
              <w:pStyle w:val="1343"/>
            </w:pPr>
            <w:r>
              <w:rPr>
                <w:rFonts w:hint="eastAsia"/>
              </w:rPr>
              <w:t>装载机</w:t>
            </w:r>
          </w:p>
        </w:tc>
        <w:tc>
          <w:tcPr>
            <w:tcW w:w="1380" w:type="dxa"/>
            <w:vAlign w:val="center"/>
          </w:tcPr>
          <w:p w14:paraId="76A6F00D">
            <w:pPr>
              <w:pStyle w:val="1343"/>
            </w:pPr>
            <w:r>
              <w:t>108</w:t>
            </w:r>
          </w:p>
        </w:tc>
        <w:tc>
          <w:tcPr>
            <w:tcW w:w="1380" w:type="dxa"/>
            <w:vAlign w:val="center"/>
          </w:tcPr>
          <w:p w14:paraId="1D132739">
            <w:pPr>
              <w:widowControl/>
              <w:jc w:val="center"/>
              <w:textAlignment w:val="center"/>
            </w:pPr>
            <w:r>
              <w:rPr>
                <w:color w:val="000000"/>
                <w:kern w:val="0"/>
                <w:szCs w:val="21"/>
                <w:lang w:bidi="ar"/>
              </w:rPr>
              <w:t>96</w:t>
            </w:r>
          </w:p>
        </w:tc>
        <w:tc>
          <w:tcPr>
            <w:tcW w:w="1380" w:type="dxa"/>
            <w:vAlign w:val="center"/>
          </w:tcPr>
          <w:p w14:paraId="688339A4">
            <w:pPr>
              <w:widowControl/>
              <w:jc w:val="center"/>
              <w:textAlignment w:val="center"/>
            </w:pPr>
            <w:r>
              <w:rPr>
                <w:color w:val="000000"/>
                <w:kern w:val="0"/>
                <w:szCs w:val="21"/>
                <w:lang w:bidi="ar"/>
              </w:rPr>
              <w:t>120</w:t>
            </w:r>
          </w:p>
        </w:tc>
        <w:tc>
          <w:tcPr>
            <w:tcW w:w="1380" w:type="dxa"/>
            <w:vAlign w:val="center"/>
          </w:tcPr>
          <w:p w14:paraId="17A2A2EF">
            <w:pPr>
              <w:widowControl/>
              <w:jc w:val="center"/>
              <w:textAlignment w:val="center"/>
            </w:pPr>
            <w:r>
              <w:rPr>
                <w:color w:val="000000"/>
                <w:kern w:val="0"/>
                <w:szCs w:val="21"/>
                <w:lang w:bidi="ar"/>
              </w:rPr>
              <w:t>1680</w:t>
            </w:r>
          </w:p>
        </w:tc>
        <w:tc>
          <w:tcPr>
            <w:tcW w:w="1381" w:type="dxa"/>
            <w:vAlign w:val="center"/>
          </w:tcPr>
          <w:p w14:paraId="3F148B32">
            <w:pPr>
              <w:widowControl/>
              <w:jc w:val="center"/>
              <w:textAlignment w:val="center"/>
            </w:pPr>
            <w:r>
              <w:rPr>
                <w:color w:val="000000"/>
                <w:kern w:val="0"/>
                <w:szCs w:val="21"/>
                <w:lang w:bidi="ar"/>
              </w:rPr>
              <w:t>1800</w:t>
            </w:r>
          </w:p>
        </w:tc>
      </w:tr>
      <w:tr w14:paraId="038E8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Align w:val="center"/>
          </w:tcPr>
          <w:p w14:paraId="7ABF172F">
            <w:pPr>
              <w:pStyle w:val="1343"/>
            </w:pPr>
            <w:r>
              <w:rPr>
                <w:rFonts w:hint="eastAsia"/>
              </w:rPr>
              <w:t>3</w:t>
            </w:r>
          </w:p>
        </w:tc>
        <w:tc>
          <w:tcPr>
            <w:tcW w:w="1004" w:type="pct"/>
            <w:vAlign w:val="center"/>
          </w:tcPr>
          <w:p w14:paraId="3BC4E547">
            <w:pPr>
              <w:pStyle w:val="1343"/>
            </w:pPr>
            <w:r>
              <w:rPr>
                <w:rFonts w:hint="eastAsia"/>
              </w:rPr>
              <w:t>2</w:t>
            </w:r>
            <w:r>
              <w:t>0</w:t>
            </w:r>
            <w:r>
              <w:rPr>
                <w:rFonts w:hint="eastAsia"/>
              </w:rPr>
              <w:t>t载重汽车</w:t>
            </w:r>
          </w:p>
        </w:tc>
        <w:tc>
          <w:tcPr>
            <w:tcW w:w="1380" w:type="dxa"/>
            <w:vAlign w:val="center"/>
          </w:tcPr>
          <w:p w14:paraId="25F5DCF2">
            <w:pPr>
              <w:pStyle w:val="1343"/>
            </w:pPr>
            <w:r>
              <w:t>180</w:t>
            </w:r>
          </w:p>
        </w:tc>
        <w:tc>
          <w:tcPr>
            <w:tcW w:w="1380" w:type="dxa"/>
            <w:vAlign w:val="center"/>
          </w:tcPr>
          <w:p w14:paraId="3CFCC266">
            <w:pPr>
              <w:widowControl/>
              <w:jc w:val="center"/>
              <w:textAlignment w:val="center"/>
            </w:pPr>
            <w:r>
              <w:rPr>
                <w:color w:val="000000"/>
                <w:kern w:val="0"/>
                <w:szCs w:val="21"/>
                <w:lang w:bidi="ar"/>
              </w:rPr>
              <w:t>160</w:t>
            </w:r>
          </w:p>
        </w:tc>
        <w:tc>
          <w:tcPr>
            <w:tcW w:w="1380" w:type="dxa"/>
            <w:vAlign w:val="center"/>
          </w:tcPr>
          <w:p w14:paraId="79318A0A">
            <w:pPr>
              <w:widowControl/>
              <w:jc w:val="center"/>
              <w:textAlignment w:val="center"/>
            </w:pPr>
            <w:r>
              <w:rPr>
                <w:color w:val="000000"/>
                <w:kern w:val="0"/>
                <w:szCs w:val="21"/>
                <w:lang w:bidi="ar"/>
              </w:rPr>
              <w:t>200</w:t>
            </w:r>
          </w:p>
        </w:tc>
        <w:tc>
          <w:tcPr>
            <w:tcW w:w="1380" w:type="dxa"/>
            <w:vAlign w:val="center"/>
          </w:tcPr>
          <w:p w14:paraId="29A540C2">
            <w:pPr>
              <w:widowControl/>
              <w:jc w:val="center"/>
              <w:textAlignment w:val="center"/>
            </w:pPr>
            <w:r>
              <w:rPr>
                <w:color w:val="000000"/>
                <w:kern w:val="0"/>
                <w:szCs w:val="21"/>
                <w:lang w:bidi="ar"/>
              </w:rPr>
              <w:t>2800</w:t>
            </w:r>
          </w:p>
        </w:tc>
        <w:tc>
          <w:tcPr>
            <w:tcW w:w="1381" w:type="dxa"/>
            <w:vAlign w:val="center"/>
          </w:tcPr>
          <w:p w14:paraId="57278582">
            <w:pPr>
              <w:widowControl/>
              <w:jc w:val="center"/>
              <w:textAlignment w:val="center"/>
            </w:pPr>
            <w:r>
              <w:rPr>
                <w:color w:val="000000"/>
                <w:kern w:val="0"/>
                <w:szCs w:val="21"/>
                <w:lang w:bidi="ar"/>
              </w:rPr>
              <w:t>3000</w:t>
            </w:r>
          </w:p>
        </w:tc>
      </w:tr>
      <w:tr w14:paraId="69332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Align w:val="center"/>
          </w:tcPr>
          <w:p w14:paraId="2D0BF71D">
            <w:pPr>
              <w:pStyle w:val="1343"/>
            </w:pPr>
            <w:r>
              <w:rPr>
                <w:rFonts w:hint="eastAsia"/>
              </w:rPr>
              <w:t>4</w:t>
            </w:r>
          </w:p>
        </w:tc>
        <w:tc>
          <w:tcPr>
            <w:tcW w:w="1004" w:type="pct"/>
            <w:vAlign w:val="center"/>
          </w:tcPr>
          <w:p w14:paraId="051E36CA">
            <w:pPr>
              <w:pStyle w:val="1343"/>
            </w:pPr>
            <w:r>
              <w:rPr>
                <w:rFonts w:hint="eastAsia"/>
              </w:rPr>
              <w:t>5</w:t>
            </w:r>
            <w:r>
              <w:t>0</w:t>
            </w:r>
            <w:r>
              <w:rPr>
                <w:rFonts w:hint="eastAsia"/>
              </w:rPr>
              <w:t>t吊车</w:t>
            </w:r>
          </w:p>
        </w:tc>
        <w:tc>
          <w:tcPr>
            <w:tcW w:w="1380" w:type="dxa"/>
            <w:vAlign w:val="center"/>
          </w:tcPr>
          <w:p w14:paraId="5D6E505F">
            <w:pPr>
              <w:pStyle w:val="1343"/>
            </w:pPr>
            <w:r>
              <w:t>54</w:t>
            </w:r>
          </w:p>
        </w:tc>
        <w:tc>
          <w:tcPr>
            <w:tcW w:w="1380" w:type="dxa"/>
            <w:vAlign w:val="center"/>
          </w:tcPr>
          <w:p w14:paraId="1B4A7162">
            <w:pPr>
              <w:widowControl/>
              <w:jc w:val="center"/>
              <w:textAlignment w:val="center"/>
            </w:pPr>
            <w:r>
              <w:rPr>
                <w:color w:val="000000"/>
                <w:kern w:val="0"/>
                <w:szCs w:val="21"/>
                <w:lang w:bidi="ar"/>
              </w:rPr>
              <w:t>48</w:t>
            </w:r>
          </w:p>
        </w:tc>
        <w:tc>
          <w:tcPr>
            <w:tcW w:w="1380" w:type="dxa"/>
            <w:vAlign w:val="center"/>
          </w:tcPr>
          <w:p w14:paraId="0F6F4C15">
            <w:pPr>
              <w:widowControl/>
              <w:jc w:val="center"/>
              <w:textAlignment w:val="center"/>
            </w:pPr>
            <w:r>
              <w:rPr>
                <w:color w:val="000000"/>
                <w:kern w:val="0"/>
                <w:szCs w:val="21"/>
                <w:lang w:bidi="ar"/>
              </w:rPr>
              <w:t>60</w:t>
            </w:r>
          </w:p>
        </w:tc>
        <w:tc>
          <w:tcPr>
            <w:tcW w:w="1380" w:type="dxa"/>
            <w:vAlign w:val="center"/>
          </w:tcPr>
          <w:p w14:paraId="410C0006">
            <w:pPr>
              <w:widowControl/>
              <w:jc w:val="center"/>
              <w:textAlignment w:val="center"/>
            </w:pPr>
            <w:r>
              <w:rPr>
                <w:color w:val="000000"/>
                <w:kern w:val="0"/>
                <w:szCs w:val="21"/>
                <w:lang w:bidi="ar"/>
              </w:rPr>
              <w:t>840</w:t>
            </w:r>
          </w:p>
        </w:tc>
        <w:tc>
          <w:tcPr>
            <w:tcW w:w="1381" w:type="dxa"/>
            <w:vAlign w:val="center"/>
          </w:tcPr>
          <w:p w14:paraId="38BFC1E6">
            <w:pPr>
              <w:widowControl/>
              <w:jc w:val="center"/>
              <w:textAlignment w:val="center"/>
            </w:pPr>
            <w:r>
              <w:rPr>
                <w:color w:val="000000"/>
                <w:kern w:val="0"/>
                <w:szCs w:val="21"/>
                <w:lang w:bidi="ar"/>
              </w:rPr>
              <w:t>900</w:t>
            </w:r>
          </w:p>
        </w:tc>
      </w:tr>
      <w:tr w14:paraId="4C6A1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Align w:val="center"/>
          </w:tcPr>
          <w:p w14:paraId="677BBA3D">
            <w:pPr>
              <w:pStyle w:val="1343"/>
            </w:pPr>
            <w:r>
              <w:rPr>
                <w:rFonts w:hint="eastAsia"/>
              </w:rPr>
              <w:t>5</w:t>
            </w:r>
          </w:p>
        </w:tc>
        <w:tc>
          <w:tcPr>
            <w:tcW w:w="1004" w:type="pct"/>
            <w:vAlign w:val="center"/>
          </w:tcPr>
          <w:p w14:paraId="15AE4089">
            <w:pPr>
              <w:pStyle w:val="1343"/>
            </w:pPr>
            <w:r>
              <w:rPr>
                <w:rFonts w:hint="eastAsia"/>
              </w:rPr>
              <w:t>混凝土搅拌机</w:t>
            </w:r>
          </w:p>
        </w:tc>
        <w:tc>
          <w:tcPr>
            <w:tcW w:w="1380" w:type="dxa"/>
            <w:vAlign w:val="center"/>
          </w:tcPr>
          <w:p w14:paraId="1795EF33">
            <w:pPr>
              <w:pStyle w:val="1343"/>
            </w:pPr>
            <w:r>
              <w:t>45</w:t>
            </w:r>
          </w:p>
        </w:tc>
        <w:tc>
          <w:tcPr>
            <w:tcW w:w="1380" w:type="dxa"/>
            <w:vAlign w:val="center"/>
          </w:tcPr>
          <w:p w14:paraId="0C40D4DA">
            <w:pPr>
              <w:widowControl/>
              <w:jc w:val="center"/>
              <w:textAlignment w:val="center"/>
            </w:pPr>
            <w:r>
              <w:rPr>
                <w:color w:val="000000"/>
                <w:kern w:val="0"/>
                <w:szCs w:val="21"/>
                <w:lang w:bidi="ar"/>
              </w:rPr>
              <w:t>40</w:t>
            </w:r>
          </w:p>
        </w:tc>
        <w:tc>
          <w:tcPr>
            <w:tcW w:w="1380" w:type="dxa"/>
            <w:vAlign w:val="center"/>
          </w:tcPr>
          <w:p w14:paraId="4430DC02">
            <w:pPr>
              <w:widowControl/>
              <w:jc w:val="center"/>
              <w:textAlignment w:val="center"/>
            </w:pPr>
            <w:r>
              <w:rPr>
                <w:color w:val="000000"/>
                <w:kern w:val="0"/>
                <w:szCs w:val="21"/>
                <w:lang w:bidi="ar"/>
              </w:rPr>
              <w:t>50</w:t>
            </w:r>
          </w:p>
        </w:tc>
        <w:tc>
          <w:tcPr>
            <w:tcW w:w="1380" w:type="dxa"/>
            <w:vAlign w:val="center"/>
          </w:tcPr>
          <w:p w14:paraId="0EF988DD">
            <w:pPr>
              <w:widowControl/>
              <w:jc w:val="center"/>
              <w:textAlignment w:val="center"/>
            </w:pPr>
            <w:r>
              <w:rPr>
                <w:color w:val="000000"/>
                <w:kern w:val="0"/>
                <w:szCs w:val="21"/>
                <w:lang w:bidi="ar"/>
              </w:rPr>
              <w:t>700</w:t>
            </w:r>
          </w:p>
        </w:tc>
        <w:tc>
          <w:tcPr>
            <w:tcW w:w="1381" w:type="dxa"/>
            <w:vAlign w:val="center"/>
          </w:tcPr>
          <w:p w14:paraId="6AB27BB5">
            <w:pPr>
              <w:widowControl/>
              <w:jc w:val="center"/>
              <w:textAlignment w:val="center"/>
            </w:pPr>
            <w:r>
              <w:rPr>
                <w:color w:val="000000"/>
                <w:kern w:val="0"/>
                <w:szCs w:val="21"/>
                <w:lang w:bidi="ar"/>
              </w:rPr>
              <w:t>750</w:t>
            </w:r>
          </w:p>
        </w:tc>
      </w:tr>
      <w:tr w14:paraId="5F90C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 w:type="pct"/>
            <w:vAlign w:val="center"/>
          </w:tcPr>
          <w:p w14:paraId="644FF316">
            <w:pPr>
              <w:pStyle w:val="1343"/>
            </w:pPr>
            <w:r>
              <w:rPr>
                <w:rFonts w:hint="eastAsia"/>
              </w:rPr>
              <w:t>6</w:t>
            </w:r>
          </w:p>
        </w:tc>
        <w:tc>
          <w:tcPr>
            <w:tcW w:w="1004" w:type="pct"/>
            <w:vAlign w:val="center"/>
          </w:tcPr>
          <w:p w14:paraId="12E80FF8">
            <w:pPr>
              <w:pStyle w:val="1343"/>
            </w:pPr>
            <w:r>
              <w:rPr>
                <w:rFonts w:hint="eastAsia"/>
              </w:rPr>
              <w:t>柴油发电机</w:t>
            </w:r>
          </w:p>
        </w:tc>
        <w:tc>
          <w:tcPr>
            <w:tcW w:w="1380" w:type="dxa"/>
            <w:vAlign w:val="center"/>
          </w:tcPr>
          <w:p w14:paraId="7173C156">
            <w:pPr>
              <w:pStyle w:val="1343"/>
            </w:pPr>
            <w:r>
              <w:t>398.4</w:t>
            </w:r>
          </w:p>
        </w:tc>
        <w:tc>
          <w:tcPr>
            <w:tcW w:w="1380" w:type="dxa"/>
            <w:vAlign w:val="center"/>
          </w:tcPr>
          <w:p w14:paraId="65106704">
            <w:pPr>
              <w:widowControl/>
              <w:jc w:val="center"/>
              <w:textAlignment w:val="center"/>
            </w:pPr>
            <w:r>
              <w:rPr>
                <w:color w:val="000000"/>
                <w:kern w:val="0"/>
                <w:szCs w:val="21"/>
                <w:lang w:bidi="ar"/>
              </w:rPr>
              <w:t>364.8</w:t>
            </w:r>
          </w:p>
        </w:tc>
        <w:tc>
          <w:tcPr>
            <w:tcW w:w="1380" w:type="dxa"/>
            <w:vAlign w:val="center"/>
          </w:tcPr>
          <w:p w14:paraId="54CC071C">
            <w:pPr>
              <w:widowControl/>
              <w:jc w:val="center"/>
              <w:textAlignment w:val="center"/>
            </w:pPr>
            <w:r>
              <w:rPr>
                <w:color w:val="000000"/>
                <w:kern w:val="0"/>
                <w:szCs w:val="21"/>
                <w:lang w:bidi="ar"/>
              </w:rPr>
              <w:t>1142.4</w:t>
            </w:r>
          </w:p>
        </w:tc>
        <w:tc>
          <w:tcPr>
            <w:tcW w:w="1380" w:type="dxa"/>
            <w:vAlign w:val="center"/>
          </w:tcPr>
          <w:p w14:paraId="5F233DA9">
            <w:pPr>
              <w:widowControl/>
              <w:jc w:val="center"/>
              <w:textAlignment w:val="center"/>
            </w:pPr>
            <w:r>
              <w:rPr>
                <w:color w:val="000000"/>
                <w:kern w:val="0"/>
                <w:szCs w:val="21"/>
                <w:lang w:bidi="ar"/>
              </w:rPr>
              <w:t>4000.8</w:t>
            </w:r>
          </w:p>
        </w:tc>
        <w:tc>
          <w:tcPr>
            <w:tcW w:w="1381" w:type="dxa"/>
            <w:vAlign w:val="center"/>
          </w:tcPr>
          <w:p w14:paraId="0196C486">
            <w:pPr>
              <w:widowControl/>
              <w:jc w:val="center"/>
              <w:textAlignment w:val="center"/>
            </w:pPr>
            <w:r>
              <w:rPr>
                <w:color w:val="000000"/>
                <w:kern w:val="0"/>
                <w:szCs w:val="21"/>
                <w:lang w:bidi="ar"/>
              </w:rPr>
              <w:t>5140.8</w:t>
            </w:r>
          </w:p>
        </w:tc>
      </w:tr>
      <w:tr w14:paraId="61CBC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0" w:type="pct"/>
            <w:gridSpan w:val="2"/>
            <w:vAlign w:val="center"/>
          </w:tcPr>
          <w:p w14:paraId="4A44B59B">
            <w:pPr>
              <w:pStyle w:val="1343"/>
            </w:pPr>
            <w:r>
              <w:rPr>
                <w:rFonts w:hint="eastAsia"/>
              </w:rPr>
              <w:t>合计（g</w:t>
            </w:r>
            <w:r>
              <w:t>/d</w:t>
            </w:r>
            <w:r>
              <w:rPr>
                <w:rFonts w:hint="eastAsia"/>
              </w:rPr>
              <w:t>）</w:t>
            </w:r>
          </w:p>
        </w:tc>
        <w:tc>
          <w:tcPr>
            <w:tcW w:w="1380" w:type="dxa"/>
            <w:vAlign w:val="center"/>
          </w:tcPr>
          <w:p w14:paraId="754E9F61">
            <w:pPr>
              <w:pStyle w:val="1343"/>
            </w:pPr>
            <w:r>
              <w:rPr>
                <w:rFonts w:hint="eastAsia"/>
              </w:rPr>
              <w:t>1055.4</w:t>
            </w:r>
          </w:p>
        </w:tc>
        <w:tc>
          <w:tcPr>
            <w:tcW w:w="1380" w:type="dxa"/>
            <w:vAlign w:val="center"/>
          </w:tcPr>
          <w:p w14:paraId="39C855CF">
            <w:pPr>
              <w:widowControl/>
              <w:jc w:val="center"/>
              <w:textAlignment w:val="center"/>
            </w:pPr>
            <w:r>
              <w:rPr>
                <w:color w:val="000000"/>
                <w:kern w:val="0"/>
                <w:szCs w:val="21"/>
                <w:lang w:bidi="ar"/>
              </w:rPr>
              <w:t>948.8</w:t>
            </w:r>
          </w:p>
        </w:tc>
        <w:tc>
          <w:tcPr>
            <w:tcW w:w="1380" w:type="dxa"/>
            <w:vAlign w:val="center"/>
          </w:tcPr>
          <w:p w14:paraId="647A2642">
            <w:pPr>
              <w:widowControl/>
              <w:jc w:val="center"/>
              <w:textAlignment w:val="center"/>
            </w:pPr>
            <w:r>
              <w:rPr>
                <w:color w:val="000000"/>
                <w:kern w:val="0"/>
                <w:szCs w:val="21"/>
                <w:lang w:bidi="ar"/>
              </w:rPr>
              <w:t>1872.4</w:t>
            </w:r>
          </w:p>
        </w:tc>
        <w:tc>
          <w:tcPr>
            <w:tcW w:w="1380" w:type="dxa"/>
            <w:vAlign w:val="center"/>
          </w:tcPr>
          <w:p w14:paraId="6A6EFDC3">
            <w:pPr>
              <w:widowControl/>
              <w:jc w:val="center"/>
              <w:textAlignment w:val="center"/>
            </w:pPr>
            <w:r>
              <w:rPr>
                <w:color w:val="000000"/>
                <w:kern w:val="0"/>
                <w:szCs w:val="21"/>
                <w:lang w:bidi="ar"/>
              </w:rPr>
              <w:t>14220.8</w:t>
            </w:r>
          </w:p>
        </w:tc>
        <w:tc>
          <w:tcPr>
            <w:tcW w:w="1381" w:type="dxa"/>
            <w:vAlign w:val="center"/>
          </w:tcPr>
          <w:p w14:paraId="1E96263C">
            <w:pPr>
              <w:widowControl/>
              <w:jc w:val="center"/>
              <w:textAlignment w:val="center"/>
            </w:pPr>
            <w:r>
              <w:rPr>
                <w:color w:val="000000"/>
                <w:kern w:val="0"/>
                <w:szCs w:val="21"/>
                <w:lang w:bidi="ar"/>
              </w:rPr>
              <w:t>16090.8</w:t>
            </w:r>
          </w:p>
        </w:tc>
      </w:tr>
      <w:tr w14:paraId="729A1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0" w:type="pct"/>
            <w:gridSpan w:val="2"/>
            <w:vAlign w:val="center"/>
          </w:tcPr>
          <w:p w14:paraId="4E6C7258">
            <w:pPr>
              <w:pStyle w:val="1343"/>
            </w:pPr>
            <w:r>
              <w:rPr>
                <w:rFonts w:hint="eastAsia"/>
              </w:rPr>
              <w:t>总排放量合计（t）</w:t>
            </w:r>
          </w:p>
        </w:tc>
        <w:tc>
          <w:tcPr>
            <w:tcW w:w="713" w:type="pct"/>
            <w:vAlign w:val="center"/>
          </w:tcPr>
          <w:p w14:paraId="636EB49F">
            <w:pPr>
              <w:pStyle w:val="1343"/>
            </w:pPr>
            <w:r>
              <w:rPr>
                <w:rFonts w:hint="eastAsia"/>
              </w:rPr>
              <w:t>0.190</w:t>
            </w:r>
          </w:p>
        </w:tc>
        <w:tc>
          <w:tcPr>
            <w:tcW w:w="713" w:type="pct"/>
            <w:vAlign w:val="center"/>
          </w:tcPr>
          <w:p w14:paraId="7CD86E56">
            <w:pPr>
              <w:pStyle w:val="1343"/>
            </w:pPr>
            <w:r>
              <w:rPr>
                <w:rFonts w:hint="eastAsia"/>
              </w:rPr>
              <w:t>0.171</w:t>
            </w:r>
          </w:p>
        </w:tc>
        <w:tc>
          <w:tcPr>
            <w:tcW w:w="713" w:type="pct"/>
            <w:vAlign w:val="center"/>
          </w:tcPr>
          <w:p w14:paraId="6E9D1F48">
            <w:pPr>
              <w:pStyle w:val="1343"/>
            </w:pPr>
            <w:r>
              <w:rPr>
                <w:rFonts w:hint="eastAsia"/>
              </w:rPr>
              <w:t>0.337</w:t>
            </w:r>
          </w:p>
        </w:tc>
        <w:tc>
          <w:tcPr>
            <w:tcW w:w="713" w:type="pct"/>
            <w:vAlign w:val="center"/>
          </w:tcPr>
          <w:p w14:paraId="42F95E72">
            <w:pPr>
              <w:pStyle w:val="1343"/>
            </w:pPr>
            <w:r>
              <w:rPr>
                <w:rFonts w:hint="eastAsia"/>
              </w:rPr>
              <w:t>2.560</w:t>
            </w:r>
          </w:p>
        </w:tc>
        <w:tc>
          <w:tcPr>
            <w:tcW w:w="714" w:type="pct"/>
            <w:vAlign w:val="center"/>
          </w:tcPr>
          <w:p w14:paraId="255711EC">
            <w:pPr>
              <w:pStyle w:val="1343"/>
            </w:pPr>
            <w:r>
              <w:rPr>
                <w:rFonts w:hint="eastAsia"/>
              </w:rPr>
              <w:t>2.896</w:t>
            </w:r>
          </w:p>
        </w:tc>
      </w:tr>
    </w:tbl>
    <w:p w14:paraId="50FD5AAC">
      <w:pPr>
        <w:snapToGrid w:val="0"/>
        <w:spacing w:before="120" w:beforeLines="50" w:line="360" w:lineRule="auto"/>
        <w:ind w:firstLine="480" w:firstLineChars="200"/>
        <w:rPr>
          <w:sz w:val="24"/>
        </w:rPr>
      </w:pPr>
      <w:r>
        <w:rPr>
          <w:rFonts w:hint="eastAsia"/>
          <w:sz w:val="24"/>
        </w:rPr>
        <w:t>根据上表计算，本工程全线管道施工PM</w:t>
      </w:r>
      <w:r>
        <w:rPr>
          <w:rFonts w:hint="eastAsia"/>
          <w:sz w:val="24"/>
          <w:vertAlign w:val="subscript"/>
        </w:rPr>
        <w:t>10</w:t>
      </w:r>
      <w:r>
        <w:rPr>
          <w:rFonts w:hint="eastAsia"/>
          <w:sz w:val="24"/>
        </w:rPr>
        <w:t>、PM</w:t>
      </w:r>
      <w:r>
        <w:rPr>
          <w:rFonts w:hint="eastAsia"/>
          <w:sz w:val="24"/>
          <w:vertAlign w:val="subscript"/>
        </w:rPr>
        <w:t>2.5</w:t>
      </w:r>
      <w:r>
        <w:rPr>
          <w:rFonts w:hint="eastAsia"/>
          <w:sz w:val="24"/>
        </w:rPr>
        <w:t>、THC、NOx、CO排放总量分别为0.190t、0.171t、0.337t、2.560t、2.896t；该排放量为间歇性无组织排放。由于施工机械单车排放系数较大，但较分散且周边开阔，有利于气态污染物的扩散，因此施工期大气污染程度相对较轻。</w:t>
      </w:r>
    </w:p>
    <w:p w14:paraId="5CEC18B0">
      <w:pPr>
        <w:spacing w:line="360" w:lineRule="auto"/>
        <w:ind w:firstLine="480" w:firstLineChars="200"/>
        <w:rPr>
          <w:sz w:val="24"/>
        </w:rPr>
      </w:pPr>
      <w:r>
        <w:rPr>
          <w:sz w:val="24"/>
        </w:rPr>
        <w:fldChar w:fldCharType="begin"/>
      </w:r>
      <w:r>
        <w:rPr>
          <w:sz w:val="24"/>
        </w:rPr>
        <w:instrText xml:space="preserve"> = 3 \* GB3 </w:instrText>
      </w:r>
      <w:r>
        <w:rPr>
          <w:sz w:val="24"/>
        </w:rPr>
        <w:fldChar w:fldCharType="separate"/>
      </w:r>
      <w:r>
        <w:rPr>
          <w:rFonts w:hint="eastAsia" w:ascii="宋体" w:hAnsi="宋体" w:cs="宋体"/>
          <w:sz w:val="24"/>
        </w:rPr>
        <w:t>③</w:t>
      </w:r>
      <w:r>
        <w:rPr>
          <w:sz w:val="24"/>
        </w:rPr>
        <w:fldChar w:fldCharType="end"/>
      </w:r>
      <w:r>
        <w:rPr>
          <w:sz w:val="24"/>
        </w:rPr>
        <w:t>焊接烟尘</w:t>
      </w:r>
    </w:p>
    <w:p w14:paraId="38E8CA28">
      <w:pPr>
        <w:spacing w:line="360" w:lineRule="auto"/>
        <w:ind w:firstLine="480" w:firstLineChars="200"/>
        <w:rPr>
          <w:sz w:val="24"/>
        </w:rPr>
      </w:pPr>
      <w:r>
        <w:rPr>
          <w:sz w:val="24"/>
        </w:rPr>
        <w:t>本工程敷设管道较短，本工程管道12m设置1个焊口，则本工程</w:t>
      </w:r>
      <w:r>
        <w:rPr>
          <w:rFonts w:hint="eastAsia"/>
          <w:sz w:val="24"/>
        </w:rPr>
        <w:t>0.</w:t>
      </w:r>
      <w:r>
        <w:rPr>
          <w:rFonts w:hint="eastAsia"/>
          <w:sz w:val="24"/>
          <w:lang w:eastAsia="zh-CN"/>
        </w:rPr>
        <w:t>760</w:t>
      </w:r>
      <w:r>
        <w:rPr>
          <w:sz w:val="24"/>
        </w:rPr>
        <w:t>km管道共设置</w:t>
      </w:r>
      <w:r>
        <w:rPr>
          <w:rFonts w:hint="eastAsia"/>
          <w:sz w:val="24"/>
        </w:rPr>
        <w:t>64</w:t>
      </w:r>
      <w:r>
        <w:rPr>
          <w:sz w:val="24"/>
        </w:rPr>
        <w:t>道焊口，依据《油气管道焊接材料设计用量计算》（油气储运，2004，23(7)38～41，中国石油天然气管道工程有限公司 张振永），一道焊口焊条用量4.0kg，则本工程焊条使用量为</w:t>
      </w:r>
      <w:r>
        <w:rPr>
          <w:rFonts w:hint="eastAsia"/>
          <w:sz w:val="24"/>
        </w:rPr>
        <w:t>256kg</w:t>
      </w:r>
      <w:r>
        <w:rPr>
          <w:sz w:val="24"/>
        </w:rPr>
        <w:t>。</w:t>
      </w:r>
      <w:r>
        <w:rPr>
          <w:rFonts w:hint="eastAsia"/>
          <w:sz w:val="24"/>
        </w:rPr>
        <w:t>根据《排放源统计调查产排污核算方法和系数手册》(公告2021年第24号)》中“33金属制品业等九个行业系数表中09焊接”中采用实芯焊丝焊接过程焊接烟尘产生系数为9.19kg/吨-原料</w:t>
      </w:r>
      <w:r>
        <w:rPr>
          <w:sz w:val="24"/>
        </w:rPr>
        <w:t>，因此，工程焊接烟尘产生量为0.</w:t>
      </w:r>
      <w:r>
        <w:rPr>
          <w:rFonts w:hint="eastAsia"/>
          <w:sz w:val="24"/>
        </w:rPr>
        <w:t>002</w:t>
      </w:r>
      <w:r>
        <w:rPr>
          <w:sz w:val="24"/>
        </w:rPr>
        <w:t>t。由于工程施工均在野外露天施工，难以采用收集装置进行收集，但焊接工序操作时间段，产生量小，位置分散，环境开阔，有利于焊烟的扩散，并且焊接对周围环境空气的影响随着焊接工序的结束很快消失。</w:t>
      </w:r>
    </w:p>
    <w:p w14:paraId="09D057B0">
      <w:pPr>
        <w:spacing w:line="360" w:lineRule="auto"/>
        <w:ind w:firstLine="480" w:firstLineChars="200"/>
        <w:rPr>
          <w:sz w:val="24"/>
        </w:rPr>
      </w:pPr>
      <w:r>
        <w:rPr>
          <w:sz w:val="24"/>
        </w:rPr>
        <w:fldChar w:fldCharType="begin"/>
      </w:r>
      <w:r>
        <w:rPr>
          <w:sz w:val="24"/>
        </w:rPr>
        <w:instrText xml:space="preserve"> = 4 \* GB3 </w:instrText>
      </w:r>
      <w:r>
        <w:rPr>
          <w:sz w:val="24"/>
        </w:rPr>
        <w:fldChar w:fldCharType="separate"/>
      </w:r>
      <w:r>
        <w:rPr>
          <w:rFonts w:hint="eastAsia" w:ascii="宋体" w:hAnsi="宋体" w:cs="宋体"/>
          <w:sz w:val="24"/>
        </w:rPr>
        <w:t>④</w:t>
      </w:r>
      <w:r>
        <w:rPr>
          <w:sz w:val="24"/>
        </w:rPr>
        <w:fldChar w:fldCharType="end"/>
      </w:r>
      <w:r>
        <w:rPr>
          <w:sz w:val="24"/>
        </w:rPr>
        <w:t>防腐废气</w:t>
      </w:r>
    </w:p>
    <w:p w14:paraId="601EE9D5">
      <w:pPr>
        <w:pStyle w:val="234"/>
      </w:pPr>
      <w:r>
        <w:t>本工程敷设管道均采用工厂预制件，现场施工现场不进行管道防腐。</w:t>
      </w:r>
    </w:p>
    <w:p w14:paraId="7FFE9E16">
      <w:pPr>
        <w:pStyle w:val="234"/>
      </w:pPr>
      <w:r>
        <w:t>根据本工程管道12m设置1个焊口，则本工程</w:t>
      </w:r>
      <w:r>
        <w:rPr>
          <w:rFonts w:hint="eastAsia"/>
        </w:rPr>
        <w:t>0.</w:t>
      </w:r>
      <w:r>
        <w:rPr>
          <w:rFonts w:hint="eastAsia"/>
          <w:lang w:eastAsia="zh-CN"/>
        </w:rPr>
        <w:t>760</w:t>
      </w:r>
      <w:r>
        <w:t>km管道共需焊接</w:t>
      </w:r>
      <w:r>
        <w:rPr>
          <w:rFonts w:hint="eastAsia"/>
        </w:rPr>
        <w:t>64</w:t>
      </w:r>
      <w:r>
        <w:t>道焊口，补口选用聚乙烯热收缩带补口。对于</w:t>
      </w:r>
      <w:r>
        <w:rPr>
          <w:rFonts w:hint="eastAsia"/>
        </w:rPr>
        <w:t>三层</w:t>
      </w:r>
      <w:r>
        <w:t>PE防腐层的管段的损伤，损伤处直径≤30mm时，可采用聚乙烯补伤片进行补伤。直径＞30mm的损伤，先用补伤片进行补伤，然后采用热收缩带包覆。补口、补伤采用液化气火焰加热方式，边加热边缠绕补口带，</w:t>
      </w:r>
      <w:r>
        <w:rPr>
          <w:rFonts w:eastAsia="Times New Roman"/>
          <w:spacing w:val="-1"/>
        </w:rPr>
        <w:t>PE</w:t>
      </w:r>
      <w:r>
        <w:rPr>
          <w:spacing w:val="-1"/>
        </w:rPr>
        <w:t>材料加热后可挥发出少量单体，产生有机废气(以非甲烷总烃计)。</w:t>
      </w:r>
    </w:p>
    <w:p w14:paraId="693BD072">
      <w:pPr>
        <w:pStyle w:val="234"/>
      </w:pPr>
      <w:r>
        <w:t>本工程补口所用三层结构聚乙烯防腐涂层(3PE)是由底层环氧粉末涂层、中间层共聚物胶黏剂、面层聚乙烯专用料等构成。</w:t>
      </w:r>
      <w:r>
        <w:rPr>
          <w:i/>
          <w:iCs/>
          <w:color w:val="auto"/>
          <w:u w:val="single"/>
        </w:rPr>
        <w:t>根据工程</w:t>
      </w:r>
      <w:r>
        <w:rPr>
          <w:rFonts w:hint="eastAsia"/>
          <w:i/>
          <w:iCs/>
          <w:color w:val="auto"/>
          <w:u w:val="single"/>
        </w:rPr>
        <w:t>初步设计</w:t>
      </w:r>
      <w:r>
        <w:t>施工补口及补伤防腐材料(聚乙烯片)用量为</w:t>
      </w:r>
      <w:r>
        <w:rPr>
          <w:rFonts w:hint="eastAsia"/>
        </w:rPr>
        <w:t>0.5</w:t>
      </w:r>
      <w:r>
        <w:t>t，根据《管道3PE防腐涂层聚乙烯专用料的热性能研究》(唐谊平等 宝钢技术，2010，第5期（34～37）研究结果，聚乙烯的熔点温度约140℃左右，在3PE涂层的涂敷过程中，PE操作温度一般在230~240℃，且240℃时聚乙烯专用料的质量分数为99.1%，因此参考国内长输管线施工经验，施工过程中非甲烷总烃无组织排放量按防腐补口材料用量的0.9%计算，因此本工程防腐补口施工过程中的非甲烷总烃排放量为0.</w:t>
      </w:r>
      <w:r>
        <w:rPr>
          <w:rFonts w:hint="eastAsia"/>
        </w:rPr>
        <w:t>005</w:t>
      </w:r>
      <w:r>
        <w:t>t。</w:t>
      </w:r>
    </w:p>
    <w:p w14:paraId="6A7C04ED">
      <w:pPr>
        <w:spacing w:line="360" w:lineRule="auto"/>
        <w:ind w:firstLine="480" w:firstLineChars="200"/>
        <w:rPr>
          <w:sz w:val="24"/>
        </w:rPr>
      </w:pPr>
      <w:r>
        <w:rPr>
          <w:sz w:val="24"/>
        </w:rPr>
        <w:fldChar w:fldCharType="begin"/>
      </w:r>
      <w:r>
        <w:rPr>
          <w:sz w:val="24"/>
        </w:rPr>
        <w:instrText xml:space="preserve"> = 5 \* GB3 </w:instrText>
      </w:r>
      <w:r>
        <w:rPr>
          <w:sz w:val="24"/>
        </w:rPr>
        <w:fldChar w:fldCharType="separate"/>
      </w:r>
      <w:r>
        <w:rPr>
          <w:rFonts w:hint="eastAsia" w:ascii="宋体" w:hAnsi="宋体" w:cs="宋体"/>
          <w:sz w:val="24"/>
        </w:rPr>
        <w:t>⑤</w:t>
      </w:r>
      <w:r>
        <w:rPr>
          <w:sz w:val="24"/>
        </w:rPr>
        <w:fldChar w:fldCharType="end"/>
      </w:r>
      <w:r>
        <w:rPr>
          <w:sz w:val="24"/>
        </w:rPr>
        <w:t>放空天然气</w:t>
      </w:r>
    </w:p>
    <w:p w14:paraId="547BE1C3">
      <w:pPr>
        <w:spacing w:line="360" w:lineRule="auto"/>
        <w:ind w:firstLine="480" w:firstLineChars="200"/>
        <w:rPr>
          <w:sz w:val="24"/>
        </w:rPr>
      </w:pPr>
      <w:r>
        <w:rPr>
          <w:sz w:val="24"/>
        </w:rPr>
        <w:t>本工程</w:t>
      </w:r>
      <w:r>
        <w:rPr>
          <w:rFonts w:hint="eastAsia"/>
          <w:sz w:val="24"/>
        </w:rPr>
        <w:t>在已建28号阀室的基础上进行分输，为实现分输功能，需对28号阀室区域内管道进行动火连接</w:t>
      </w:r>
      <w:r>
        <w:rPr>
          <w:sz w:val="24"/>
        </w:rPr>
        <w:t>。</w:t>
      </w:r>
      <w:r>
        <w:rPr>
          <w:i/>
          <w:iCs/>
          <w:color w:val="auto"/>
          <w:sz w:val="24"/>
          <w:u w:val="single"/>
        </w:rPr>
        <w:t>根据工程</w:t>
      </w:r>
      <w:r>
        <w:rPr>
          <w:rFonts w:hint="eastAsia"/>
          <w:i/>
          <w:iCs/>
          <w:color w:val="auto"/>
          <w:sz w:val="24"/>
          <w:u w:val="single"/>
        </w:rPr>
        <w:t>初步设计</w:t>
      </w:r>
      <w:r>
        <w:rPr>
          <w:rFonts w:hint="eastAsia"/>
          <w:sz w:val="24"/>
        </w:rPr>
        <w:t>28号阀室动火</w:t>
      </w:r>
      <w:r>
        <w:rPr>
          <w:sz w:val="24"/>
        </w:rPr>
        <w:t>放空天然气量为1.</w:t>
      </w:r>
      <w:r>
        <w:rPr>
          <w:rFonts w:hint="eastAsia"/>
          <w:sz w:val="24"/>
        </w:rPr>
        <w:t>60</w:t>
      </w:r>
      <w:r>
        <w:rPr>
          <w:sz w:val="24"/>
        </w:rPr>
        <w:t>t。</w:t>
      </w:r>
    </w:p>
    <w:p w14:paraId="6519DB50">
      <w:pPr>
        <w:spacing w:line="360" w:lineRule="auto"/>
        <w:ind w:firstLine="480" w:firstLineChars="200"/>
        <w:rPr>
          <w:sz w:val="24"/>
        </w:rPr>
      </w:pPr>
      <w:r>
        <w:rPr>
          <w:rFonts w:hint="eastAsia"/>
          <w:sz w:val="24"/>
        </w:rPr>
        <w:t>⑥场站涂装废气</w:t>
      </w:r>
    </w:p>
    <w:p w14:paraId="37676D98">
      <w:pPr>
        <w:spacing w:line="360" w:lineRule="auto"/>
        <w:ind w:firstLine="480" w:firstLineChars="200"/>
        <w:rPr>
          <w:sz w:val="24"/>
        </w:rPr>
      </w:pPr>
      <w:r>
        <w:rPr>
          <w:rFonts w:hint="eastAsia"/>
          <w:sz w:val="24"/>
        </w:rPr>
        <w:t>耒阳分输站建成后需对站内地上管道、设备、钢结构等进行涂色和标识涂刷，使用的涂装材料为油漆，此过程会挥发少量VOCs废气，涂装作业露天进行，废气无组织排放。</w:t>
      </w:r>
    </w:p>
    <w:p w14:paraId="24264629">
      <w:pPr>
        <w:jc w:val="center"/>
        <w:rPr>
          <w:b/>
          <w:bCs/>
          <w:sz w:val="24"/>
        </w:rPr>
      </w:pPr>
      <w:r>
        <w:rPr>
          <w:rFonts w:eastAsia="黑体"/>
          <w:snapToGrid w:val="0"/>
          <w:kern w:val="0"/>
          <w:sz w:val="24"/>
        </w:rPr>
        <w:t>表3.</w:t>
      </w:r>
      <w:r>
        <w:rPr>
          <w:rFonts w:hint="eastAsia" w:eastAsia="黑体"/>
          <w:snapToGrid w:val="0"/>
          <w:kern w:val="0"/>
          <w:sz w:val="24"/>
        </w:rPr>
        <w:t>4</w:t>
      </w:r>
      <w:r>
        <w:rPr>
          <w:rFonts w:eastAsia="黑体"/>
          <w:snapToGrid w:val="0"/>
          <w:kern w:val="0"/>
          <w:sz w:val="24"/>
        </w:rPr>
        <w:t>-6施工期废气产生和排放情况</w:t>
      </w:r>
    </w:p>
    <w:tbl>
      <w:tblPr>
        <w:tblStyle w:val="8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409"/>
        <w:gridCol w:w="1704"/>
        <w:gridCol w:w="3304"/>
        <w:gridCol w:w="2039"/>
      </w:tblGrid>
      <w:tr w14:paraId="6852A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74" w:type="pct"/>
            <w:vAlign w:val="center"/>
          </w:tcPr>
          <w:p w14:paraId="10111B9A">
            <w:pPr>
              <w:jc w:val="center"/>
              <w:rPr>
                <w:b/>
                <w:szCs w:val="21"/>
              </w:rPr>
            </w:pPr>
            <w:r>
              <w:rPr>
                <w:b/>
                <w:szCs w:val="21"/>
              </w:rPr>
              <w:t>废气名称</w:t>
            </w:r>
          </w:p>
        </w:tc>
        <w:tc>
          <w:tcPr>
            <w:tcW w:w="901" w:type="pct"/>
            <w:vAlign w:val="center"/>
          </w:tcPr>
          <w:p w14:paraId="763205B3">
            <w:pPr>
              <w:jc w:val="center"/>
              <w:rPr>
                <w:b/>
                <w:szCs w:val="21"/>
              </w:rPr>
            </w:pPr>
            <w:r>
              <w:rPr>
                <w:b/>
                <w:szCs w:val="21"/>
              </w:rPr>
              <w:t>产生浓度</w:t>
            </w:r>
          </w:p>
        </w:tc>
        <w:tc>
          <w:tcPr>
            <w:tcW w:w="1747" w:type="pct"/>
            <w:vAlign w:val="center"/>
          </w:tcPr>
          <w:p w14:paraId="65D0C568">
            <w:pPr>
              <w:jc w:val="center"/>
              <w:rPr>
                <w:b/>
                <w:szCs w:val="21"/>
              </w:rPr>
            </w:pPr>
            <w:r>
              <w:rPr>
                <w:b/>
                <w:szCs w:val="21"/>
              </w:rPr>
              <w:t>产生量</w:t>
            </w:r>
          </w:p>
        </w:tc>
        <w:tc>
          <w:tcPr>
            <w:tcW w:w="1078" w:type="pct"/>
            <w:vAlign w:val="center"/>
          </w:tcPr>
          <w:p w14:paraId="31B95A34">
            <w:pPr>
              <w:jc w:val="center"/>
              <w:rPr>
                <w:b/>
                <w:szCs w:val="21"/>
              </w:rPr>
            </w:pPr>
            <w:r>
              <w:rPr>
                <w:b/>
                <w:szCs w:val="21"/>
              </w:rPr>
              <w:t>排放方式\去向</w:t>
            </w:r>
          </w:p>
        </w:tc>
      </w:tr>
      <w:tr w14:paraId="2C8AA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74" w:type="pct"/>
            <w:vAlign w:val="center"/>
          </w:tcPr>
          <w:p w14:paraId="712DFF2A">
            <w:pPr>
              <w:jc w:val="center"/>
              <w:rPr>
                <w:szCs w:val="21"/>
              </w:rPr>
            </w:pPr>
            <w:r>
              <w:rPr>
                <w:szCs w:val="21"/>
              </w:rPr>
              <w:t>扬尘</w:t>
            </w:r>
          </w:p>
        </w:tc>
        <w:tc>
          <w:tcPr>
            <w:tcW w:w="901" w:type="pct"/>
            <w:vAlign w:val="center"/>
          </w:tcPr>
          <w:p w14:paraId="4817CB97">
            <w:pPr>
              <w:jc w:val="center"/>
              <w:rPr>
                <w:szCs w:val="21"/>
              </w:rPr>
            </w:pPr>
            <w:r>
              <w:rPr>
                <w:szCs w:val="21"/>
              </w:rPr>
              <w:t>0.12-0.32mg/m</w:t>
            </w:r>
            <w:r>
              <w:rPr>
                <w:szCs w:val="21"/>
                <w:vertAlign w:val="superscript"/>
              </w:rPr>
              <w:t>3</w:t>
            </w:r>
          </w:p>
        </w:tc>
        <w:tc>
          <w:tcPr>
            <w:tcW w:w="1747" w:type="pct"/>
            <w:vAlign w:val="center"/>
          </w:tcPr>
          <w:p w14:paraId="5690FEAD">
            <w:pPr>
              <w:jc w:val="center"/>
              <w:rPr>
                <w:szCs w:val="21"/>
              </w:rPr>
            </w:pPr>
            <w:r>
              <w:rPr>
                <w:szCs w:val="21"/>
              </w:rPr>
              <w:t>/</w:t>
            </w:r>
          </w:p>
        </w:tc>
        <w:tc>
          <w:tcPr>
            <w:tcW w:w="1078" w:type="pct"/>
            <w:vAlign w:val="center"/>
          </w:tcPr>
          <w:p w14:paraId="6BCE53BF">
            <w:pPr>
              <w:jc w:val="center"/>
              <w:rPr>
                <w:szCs w:val="21"/>
              </w:rPr>
            </w:pPr>
            <w:r>
              <w:rPr>
                <w:szCs w:val="21"/>
              </w:rPr>
              <w:t>无组织排放</w:t>
            </w:r>
          </w:p>
        </w:tc>
      </w:tr>
      <w:tr w14:paraId="5FB1B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74" w:type="pct"/>
            <w:vAlign w:val="center"/>
          </w:tcPr>
          <w:p w14:paraId="6FF3C4FB">
            <w:pPr>
              <w:jc w:val="center"/>
              <w:rPr>
                <w:szCs w:val="21"/>
              </w:rPr>
            </w:pPr>
            <w:r>
              <w:rPr>
                <w:szCs w:val="21"/>
              </w:rPr>
              <w:t>施工机械设备及车辆尾气</w:t>
            </w:r>
          </w:p>
        </w:tc>
        <w:tc>
          <w:tcPr>
            <w:tcW w:w="901" w:type="pct"/>
            <w:vAlign w:val="center"/>
          </w:tcPr>
          <w:p w14:paraId="39236C02">
            <w:pPr>
              <w:jc w:val="center"/>
              <w:rPr>
                <w:szCs w:val="21"/>
              </w:rPr>
            </w:pPr>
            <w:r>
              <w:rPr>
                <w:szCs w:val="21"/>
              </w:rPr>
              <w:t>/</w:t>
            </w:r>
          </w:p>
        </w:tc>
        <w:tc>
          <w:tcPr>
            <w:tcW w:w="1747" w:type="pct"/>
            <w:vAlign w:val="center"/>
          </w:tcPr>
          <w:p w14:paraId="4F208997">
            <w:pPr>
              <w:jc w:val="center"/>
              <w:rPr>
                <w:szCs w:val="21"/>
              </w:rPr>
            </w:pPr>
            <w:r>
              <w:rPr>
                <w:rFonts w:hint="eastAsia"/>
                <w:szCs w:val="21"/>
              </w:rPr>
              <w:t>PM</w:t>
            </w:r>
            <w:r>
              <w:rPr>
                <w:rFonts w:hint="eastAsia"/>
                <w:szCs w:val="21"/>
                <w:vertAlign w:val="subscript"/>
              </w:rPr>
              <w:t>10</w:t>
            </w:r>
            <w:r>
              <w:rPr>
                <w:szCs w:val="21"/>
              </w:rPr>
              <w:t>0.</w:t>
            </w:r>
            <w:r>
              <w:rPr>
                <w:rFonts w:hint="eastAsia"/>
                <w:szCs w:val="21"/>
              </w:rPr>
              <w:t>190t、PM</w:t>
            </w:r>
            <w:r>
              <w:rPr>
                <w:rFonts w:hint="eastAsia"/>
                <w:szCs w:val="21"/>
                <w:vertAlign w:val="subscript"/>
              </w:rPr>
              <w:t>2.5</w:t>
            </w:r>
            <w:r>
              <w:rPr>
                <w:szCs w:val="21"/>
              </w:rPr>
              <w:t>0.</w:t>
            </w:r>
            <w:r>
              <w:rPr>
                <w:rFonts w:hint="eastAsia"/>
                <w:szCs w:val="21"/>
              </w:rPr>
              <w:t>171t、THC0.337t、NOx2.560t、CO2.896t</w:t>
            </w:r>
          </w:p>
        </w:tc>
        <w:tc>
          <w:tcPr>
            <w:tcW w:w="1078" w:type="pct"/>
            <w:vAlign w:val="center"/>
          </w:tcPr>
          <w:p w14:paraId="13B6DA70">
            <w:pPr>
              <w:jc w:val="center"/>
              <w:rPr>
                <w:szCs w:val="21"/>
              </w:rPr>
            </w:pPr>
            <w:r>
              <w:rPr>
                <w:szCs w:val="21"/>
              </w:rPr>
              <w:t>无组织排放</w:t>
            </w:r>
          </w:p>
        </w:tc>
      </w:tr>
      <w:tr w14:paraId="64BDF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74" w:type="pct"/>
            <w:vAlign w:val="center"/>
          </w:tcPr>
          <w:p w14:paraId="4FEFD5AC">
            <w:pPr>
              <w:jc w:val="center"/>
              <w:rPr>
                <w:szCs w:val="21"/>
              </w:rPr>
            </w:pPr>
            <w:r>
              <w:rPr>
                <w:szCs w:val="21"/>
              </w:rPr>
              <w:t>焊接烟尘</w:t>
            </w:r>
          </w:p>
        </w:tc>
        <w:tc>
          <w:tcPr>
            <w:tcW w:w="901" w:type="pct"/>
            <w:vAlign w:val="center"/>
          </w:tcPr>
          <w:p w14:paraId="7229E760">
            <w:pPr>
              <w:jc w:val="center"/>
              <w:rPr>
                <w:szCs w:val="21"/>
              </w:rPr>
            </w:pPr>
            <w:r>
              <w:rPr>
                <w:szCs w:val="21"/>
              </w:rPr>
              <w:t>/</w:t>
            </w:r>
          </w:p>
        </w:tc>
        <w:tc>
          <w:tcPr>
            <w:tcW w:w="1747" w:type="pct"/>
            <w:vAlign w:val="center"/>
          </w:tcPr>
          <w:p w14:paraId="684DFC71">
            <w:pPr>
              <w:jc w:val="center"/>
              <w:rPr>
                <w:szCs w:val="21"/>
              </w:rPr>
            </w:pPr>
            <w:r>
              <w:rPr>
                <w:szCs w:val="21"/>
              </w:rPr>
              <w:t>0.</w:t>
            </w:r>
            <w:r>
              <w:rPr>
                <w:rFonts w:hint="eastAsia"/>
                <w:szCs w:val="21"/>
              </w:rPr>
              <w:t>002</w:t>
            </w:r>
            <w:r>
              <w:rPr>
                <w:szCs w:val="21"/>
              </w:rPr>
              <w:t>t</w:t>
            </w:r>
          </w:p>
        </w:tc>
        <w:tc>
          <w:tcPr>
            <w:tcW w:w="1078" w:type="pct"/>
            <w:vAlign w:val="center"/>
          </w:tcPr>
          <w:p w14:paraId="72497453">
            <w:pPr>
              <w:jc w:val="center"/>
              <w:rPr>
                <w:szCs w:val="21"/>
              </w:rPr>
            </w:pPr>
            <w:r>
              <w:rPr>
                <w:szCs w:val="21"/>
              </w:rPr>
              <w:t>无组织排放</w:t>
            </w:r>
          </w:p>
        </w:tc>
      </w:tr>
      <w:tr w14:paraId="1179E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74" w:type="pct"/>
            <w:vAlign w:val="center"/>
          </w:tcPr>
          <w:p w14:paraId="01770314">
            <w:pPr>
              <w:jc w:val="center"/>
              <w:rPr>
                <w:szCs w:val="21"/>
              </w:rPr>
            </w:pPr>
            <w:r>
              <w:rPr>
                <w:szCs w:val="21"/>
              </w:rPr>
              <w:t>防腐废气</w:t>
            </w:r>
          </w:p>
        </w:tc>
        <w:tc>
          <w:tcPr>
            <w:tcW w:w="901" w:type="pct"/>
            <w:vAlign w:val="center"/>
          </w:tcPr>
          <w:p w14:paraId="0E6E4B9D">
            <w:pPr>
              <w:jc w:val="center"/>
              <w:rPr>
                <w:szCs w:val="21"/>
              </w:rPr>
            </w:pPr>
            <w:r>
              <w:rPr>
                <w:szCs w:val="21"/>
              </w:rPr>
              <w:t>/</w:t>
            </w:r>
          </w:p>
        </w:tc>
        <w:tc>
          <w:tcPr>
            <w:tcW w:w="1747" w:type="pct"/>
            <w:vAlign w:val="center"/>
          </w:tcPr>
          <w:p w14:paraId="539837E8">
            <w:pPr>
              <w:jc w:val="center"/>
              <w:rPr>
                <w:szCs w:val="21"/>
              </w:rPr>
            </w:pPr>
            <w:r>
              <w:rPr>
                <w:szCs w:val="21"/>
              </w:rPr>
              <w:t>0.</w:t>
            </w:r>
            <w:r>
              <w:rPr>
                <w:rFonts w:hint="eastAsia"/>
                <w:szCs w:val="21"/>
              </w:rPr>
              <w:t>005</w:t>
            </w:r>
            <w:r>
              <w:rPr>
                <w:szCs w:val="21"/>
              </w:rPr>
              <w:t>t</w:t>
            </w:r>
          </w:p>
        </w:tc>
        <w:tc>
          <w:tcPr>
            <w:tcW w:w="1078" w:type="pct"/>
            <w:vAlign w:val="center"/>
          </w:tcPr>
          <w:p w14:paraId="75051333">
            <w:pPr>
              <w:jc w:val="center"/>
              <w:rPr>
                <w:szCs w:val="21"/>
              </w:rPr>
            </w:pPr>
            <w:r>
              <w:rPr>
                <w:szCs w:val="21"/>
              </w:rPr>
              <w:t>无组织排放</w:t>
            </w:r>
          </w:p>
        </w:tc>
      </w:tr>
      <w:tr w14:paraId="43E13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74" w:type="pct"/>
            <w:vAlign w:val="center"/>
          </w:tcPr>
          <w:p w14:paraId="44FFE86C">
            <w:pPr>
              <w:jc w:val="center"/>
              <w:rPr>
                <w:szCs w:val="21"/>
              </w:rPr>
            </w:pPr>
            <w:r>
              <w:rPr>
                <w:rFonts w:hint="eastAsia"/>
                <w:szCs w:val="21"/>
              </w:rPr>
              <w:t>场站涂装废气</w:t>
            </w:r>
          </w:p>
        </w:tc>
        <w:tc>
          <w:tcPr>
            <w:tcW w:w="901" w:type="pct"/>
            <w:vAlign w:val="center"/>
          </w:tcPr>
          <w:p w14:paraId="61538568">
            <w:pPr>
              <w:jc w:val="center"/>
              <w:rPr>
                <w:szCs w:val="21"/>
              </w:rPr>
            </w:pPr>
            <w:r>
              <w:rPr>
                <w:rFonts w:hint="eastAsia"/>
                <w:szCs w:val="21"/>
              </w:rPr>
              <w:t>/</w:t>
            </w:r>
          </w:p>
        </w:tc>
        <w:tc>
          <w:tcPr>
            <w:tcW w:w="1747" w:type="pct"/>
            <w:vAlign w:val="center"/>
          </w:tcPr>
          <w:p w14:paraId="33E13BB5">
            <w:pPr>
              <w:jc w:val="center"/>
              <w:rPr>
                <w:szCs w:val="21"/>
              </w:rPr>
            </w:pPr>
            <w:r>
              <w:rPr>
                <w:rFonts w:hint="eastAsia"/>
                <w:szCs w:val="21"/>
              </w:rPr>
              <w:t>少量</w:t>
            </w:r>
          </w:p>
        </w:tc>
        <w:tc>
          <w:tcPr>
            <w:tcW w:w="1078" w:type="pct"/>
            <w:vAlign w:val="center"/>
          </w:tcPr>
          <w:p w14:paraId="7CAE3AB5">
            <w:pPr>
              <w:jc w:val="center"/>
              <w:rPr>
                <w:szCs w:val="21"/>
              </w:rPr>
            </w:pPr>
            <w:r>
              <w:rPr>
                <w:szCs w:val="21"/>
              </w:rPr>
              <w:t>无组织排放</w:t>
            </w:r>
          </w:p>
        </w:tc>
      </w:tr>
      <w:tr w14:paraId="35332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74" w:type="pct"/>
            <w:vAlign w:val="center"/>
          </w:tcPr>
          <w:p w14:paraId="0088A249">
            <w:pPr>
              <w:jc w:val="center"/>
              <w:rPr>
                <w:szCs w:val="21"/>
              </w:rPr>
            </w:pPr>
            <w:r>
              <w:rPr>
                <w:szCs w:val="21"/>
              </w:rPr>
              <w:t>放空天然气</w:t>
            </w:r>
          </w:p>
        </w:tc>
        <w:tc>
          <w:tcPr>
            <w:tcW w:w="901" w:type="pct"/>
            <w:vAlign w:val="center"/>
          </w:tcPr>
          <w:p w14:paraId="5CA8C027">
            <w:pPr>
              <w:jc w:val="center"/>
              <w:rPr>
                <w:szCs w:val="21"/>
              </w:rPr>
            </w:pPr>
            <w:r>
              <w:rPr>
                <w:szCs w:val="21"/>
              </w:rPr>
              <w:t>/</w:t>
            </w:r>
          </w:p>
        </w:tc>
        <w:tc>
          <w:tcPr>
            <w:tcW w:w="1747" w:type="pct"/>
            <w:vAlign w:val="center"/>
          </w:tcPr>
          <w:p w14:paraId="5010A96C">
            <w:pPr>
              <w:jc w:val="center"/>
              <w:rPr>
                <w:rFonts w:eastAsiaTheme="minorEastAsia"/>
                <w:szCs w:val="21"/>
              </w:rPr>
            </w:pPr>
            <w:r>
              <w:rPr>
                <w:rFonts w:hint="eastAsia" w:eastAsiaTheme="minorEastAsia"/>
                <w:szCs w:val="21"/>
              </w:rPr>
              <w:t>1.60</w:t>
            </w:r>
            <w:r>
              <w:rPr>
                <w:rFonts w:eastAsiaTheme="minorEastAsia"/>
                <w:szCs w:val="21"/>
              </w:rPr>
              <w:t>t</w:t>
            </w:r>
          </w:p>
        </w:tc>
        <w:tc>
          <w:tcPr>
            <w:tcW w:w="1078" w:type="pct"/>
            <w:vAlign w:val="center"/>
          </w:tcPr>
          <w:p w14:paraId="1EBF15EB">
            <w:pPr>
              <w:jc w:val="center"/>
              <w:rPr>
                <w:szCs w:val="21"/>
              </w:rPr>
            </w:pPr>
            <w:r>
              <w:rPr>
                <w:szCs w:val="21"/>
              </w:rPr>
              <w:t>站外</w:t>
            </w:r>
            <w:r>
              <w:t>放空</w:t>
            </w:r>
            <w:r>
              <w:rPr>
                <w:rFonts w:hint="eastAsia"/>
              </w:rPr>
              <w:t>立管冷放空</w:t>
            </w:r>
            <w:r>
              <w:rPr>
                <w:szCs w:val="21"/>
              </w:rPr>
              <w:t>排放</w:t>
            </w:r>
          </w:p>
        </w:tc>
      </w:tr>
    </w:tbl>
    <w:p w14:paraId="0CF66C81">
      <w:pPr>
        <w:pStyle w:val="234"/>
        <w:ind w:firstLine="482"/>
        <w:rPr>
          <w:b/>
          <w:bCs/>
        </w:rPr>
      </w:pPr>
      <w:r>
        <w:rPr>
          <w:b/>
          <w:bCs/>
        </w:rPr>
        <w:t>（2）废水污染源分析</w:t>
      </w:r>
    </w:p>
    <w:p w14:paraId="310C7B32">
      <w:pPr>
        <w:spacing w:line="360" w:lineRule="auto"/>
        <w:ind w:firstLine="480" w:firstLineChars="200"/>
        <w:rPr>
          <w:sz w:val="24"/>
        </w:rPr>
      </w:pPr>
      <w:r>
        <w:rPr>
          <w:sz w:val="24"/>
        </w:rPr>
        <w:t>施工期废水主要来自施工人员生活污水、管道试压排水。</w:t>
      </w:r>
    </w:p>
    <w:p w14:paraId="3B80DD47">
      <w:pPr>
        <w:pStyle w:val="234"/>
      </w:pPr>
      <w:r>
        <w:fldChar w:fldCharType="begin"/>
      </w:r>
      <w:r>
        <w:instrText xml:space="preserve"> = 1 \* GB3 </w:instrText>
      </w:r>
      <w:r>
        <w:fldChar w:fldCharType="separate"/>
      </w:r>
      <w:r>
        <w:rPr>
          <w:rFonts w:hint="eastAsia" w:ascii="宋体" w:hAnsi="宋体" w:cs="宋体"/>
        </w:rPr>
        <w:t>①</w:t>
      </w:r>
      <w:r>
        <w:fldChar w:fldCharType="end"/>
      </w:r>
      <w:r>
        <w:t>施工生活污水</w:t>
      </w:r>
    </w:p>
    <w:p w14:paraId="11D35C21">
      <w:pPr>
        <w:pStyle w:val="234"/>
      </w:pPr>
      <w:r>
        <w:t>施工人员会产生一定量的生活污水。本工程预计施工人员按</w:t>
      </w:r>
      <w:r>
        <w:rPr>
          <w:rFonts w:hint="eastAsia"/>
        </w:rPr>
        <w:t>3</w:t>
      </w:r>
      <w:r>
        <w:t>0人计，施工生活用水参照</w:t>
      </w:r>
      <w:r>
        <w:rPr>
          <w:rFonts w:hint="eastAsia"/>
        </w:rPr>
        <w:t>湖南省地方标准</w:t>
      </w:r>
      <w:r>
        <w:t>《用水定额》(DB43/T388-2020)中</w:t>
      </w:r>
      <w:r>
        <w:rPr>
          <w:rFonts w:hint="eastAsia"/>
        </w:rPr>
        <w:t>农村居民生活-分散式供水通用值9</w:t>
      </w:r>
      <w:r>
        <w:t>0L/(人·d)，生活污水产生量按75L/人•日计，</w:t>
      </w:r>
      <w:r>
        <w:rPr>
          <w:rFonts w:hint="eastAsia"/>
        </w:rPr>
        <w:t>本工程施工期约6个月，</w:t>
      </w:r>
      <w:r>
        <w:t>因此本工程全线施工期生活污水产生约</w:t>
      </w:r>
      <w:r>
        <w:rPr>
          <w:rFonts w:hint="eastAsia"/>
        </w:rPr>
        <w:t>405</w:t>
      </w:r>
      <w:r>
        <w:t>m</w:t>
      </w:r>
      <w:r>
        <w:rPr>
          <w:vertAlign w:val="superscript"/>
        </w:rPr>
        <w:t>3</w:t>
      </w:r>
      <w:r>
        <w:t>。生活污水</w:t>
      </w:r>
      <w:r>
        <w:rPr>
          <w:rFonts w:hint="eastAsia"/>
        </w:rPr>
        <w:t>排入当地农村现有设施处理。</w:t>
      </w:r>
    </w:p>
    <w:p w14:paraId="6292D169">
      <w:pPr>
        <w:tabs>
          <w:tab w:val="left" w:pos="6663"/>
        </w:tabs>
        <w:spacing w:line="360" w:lineRule="auto"/>
        <w:ind w:firstLine="420" w:firstLineChars="200"/>
        <w:rPr>
          <w:sz w:val="24"/>
        </w:rPr>
      </w:pPr>
      <w:r>
        <w:fldChar w:fldCharType="begin"/>
      </w:r>
      <w:r>
        <w:instrText xml:space="preserve"> = 2 \* GB3 </w:instrText>
      </w:r>
      <w:r>
        <w:fldChar w:fldCharType="separate"/>
      </w:r>
      <w:r>
        <w:rPr>
          <w:rFonts w:hint="eastAsia" w:ascii="宋体" w:hAnsi="宋体" w:cs="宋体"/>
        </w:rPr>
        <w:t>②</w:t>
      </w:r>
      <w:r>
        <w:fldChar w:fldCharType="end"/>
      </w:r>
      <w:r>
        <w:rPr>
          <w:sz w:val="24"/>
        </w:rPr>
        <w:t>管道试压排水</w:t>
      </w:r>
    </w:p>
    <w:p w14:paraId="7FC99A3F">
      <w:pPr>
        <w:pStyle w:val="234"/>
      </w:pPr>
      <w:r>
        <w:rPr>
          <w:rFonts w:hint="eastAsia"/>
        </w:rPr>
        <w:t>本工程</w:t>
      </w:r>
      <w:r>
        <w:t>试压用水采用无腐蚀性的清洁水，</w:t>
      </w:r>
      <w:r>
        <w:rPr>
          <w:rFonts w:hint="eastAsia"/>
        </w:rPr>
        <w:t>因管线较短，因此不分段试压，</w:t>
      </w:r>
      <w:r>
        <w:t>试压水用量一般为充满整个管</w:t>
      </w:r>
      <w:r>
        <w:rPr>
          <w:spacing w:val="-1"/>
        </w:rPr>
        <w:t>道容积的</w:t>
      </w:r>
      <w:r>
        <w:rPr>
          <w:rFonts w:eastAsia="Times New Roman"/>
          <w:spacing w:val="-1"/>
        </w:rPr>
        <w:t>1.1</w:t>
      </w:r>
      <w:r>
        <w:rPr>
          <w:spacing w:val="-1"/>
        </w:rPr>
        <w:t>倍，</w:t>
      </w:r>
      <w:r>
        <w:t>本工程试压用水总量为</w:t>
      </w:r>
      <w:r>
        <w:rPr>
          <w:rFonts w:hint="eastAsia"/>
        </w:rPr>
        <w:t>64.1</w:t>
      </w:r>
      <w:r>
        <w:t>m</w:t>
      </w:r>
      <w:r>
        <w:rPr>
          <w:vertAlign w:val="superscript"/>
        </w:rPr>
        <w:t>3</w:t>
      </w:r>
      <w:r>
        <w:t>，试压排水产生系数按0.95计</w:t>
      </w:r>
      <w:r>
        <w:rPr>
          <w:rFonts w:hint="eastAsia"/>
        </w:rPr>
        <w:t>，</w:t>
      </w:r>
      <w:r>
        <w:t>则试压排水总量为</w:t>
      </w:r>
      <w:r>
        <w:rPr>
          <w:rFonts w:hint="eastAsia"/>
        </w:rPr>
        <w:t>60.9</w:t>
      </w:r>
      <w:r>
        <w:t>m</w:t>
      </w:r>
      <w:r>
        <w:rPr>
          <w:vertAlign w:val="superscript"/>
        </w:rPr>
        <w:t>3</w:t>
      </w:r>
      <w:r>
        <w:rPr>
          <w:rFonts w:hint="eastAsia"/>
        </w:rPr>
        <w:t>。</w:t>
      </w:r>
    </w:p>
    <w:p w14:paraId="17721129">
      <w:pPr>
        <w:pStyle w:val="234"/>
      </w:pPr>
      <w:r>
        <w:rPr>
          <w:rFonts w:hint="eastAsia"/>
        </w:rPr>
        <w:t>试压前已进行清管工艺，排除管道内的杂物，类比西气东输及其他同类项目试压排水监测结果可知，试压排水</w:t>
      </w:r>
      <w:r>
        <w:t>中除含少量的悬浮物外，</w:t>
      </w:r>
      <w:r>
        <w:rPr>
          <w:rFonts w:hint="eastAsia"/>
        </w:rPr>
        <w:t>无石油类、防腐剂等</w:t>
      </w:r>
      <w:r>
        <w:t>其它污染物。</w:t>
      </w:r>
      <w:r>
        <w:rPr>
          <w:rFonts w:hint="eastAsia"/>
        </w:rPr>
        <w:t>本工程试压排水经过滤</w:t>
      </w:r>
      <w:r>
        <w:t>处理后回用于农田灌溉、道路洒水等</w:t>
      </w:r>
      <w:r>
        <w:rPr>
          <w:rFonts w:hint="eastAsia"/>
        </w:rPr>
        <w:t>。</w:t>
      </w:r>
    </w:p>
    <w:p w14:paraId="36609BC3">
      <w:pPr>
        <w:jc w:val="center"/>
        <w:rPr>
          <w:b/>
          <w:bCs/>
          <w:sz w:val="24"/>
        </w:rPr>
      </w:pPr>
      <w:r>
        <w:rPr>
          <w:rFonts w:eastAsia="黑体"/>
          <w:snapToGrid w:val="0"/>
          <w:kern w:val="0"/>
          <w:sz w:val="24"/>
        </w:rPr>
        <w:t>表3.</w:t>
      </w:r>
      <w:r>
        <w:rPr>
          <w:rFonts w:hint="eastAsia" w:eastAsia="黑体"/>
          <w:snapToGrid w:val="0"/>
          <w:kern w:val="0"/>
          <w:sz w:val="24"/>
        </w:rPr>
        <w:t>4</w:t>
      </w:r>
      <w:r>
        <w:rPr>
          <w:rFonts w:eastAsia="黑体"/>
          <w:snapToGrid w:val="0"/>
          <w:kern w:val="0"/>
          <w:sz w:val="24"/>
        </w:rPr>
        <w:t>-7 施工期废水产生和排放情况</w:t>
      </w:r>
    </w:p>
    <w:tbl>
      <w:tblPr>
        <w:tblStyle w:val="88"/>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95"/>
        <w:gridCol w:w="1212"/>
        <w:gridCol w:w="785"/>
        <w:gridCol w:w="1022"/>
        <w:gridCol w:w="1122"/>
        <w:gridCol w:w="870"/>
        <w:gridCol w:w="899"/>
        <w:gridCol w:w="2346"/>
      </w:tblGrid>
      <w:tr w14:paraId="4DC62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32" w:type="pct"/>
            <w:vMerge w:val="restart"/>
            <w:vAlign w:val="center"/>
          </w:tcPr>
          <w:p w14:paraId="2311033E">
            <w:pPr>
              <w:jc w:val="center"/>
              <w:rPr>
                <w:b/>
                <w:szCs w:val="21"/>
              </w:rPr>
            </w:pPr>
            <w:r>
              <w:rPr>
                <w:b/>
                <w:szCs w:val="21"/>
              </w:rPr>
              <w:t>废水来源</w:t>
            </w:r>
          </w:p>
        </w:tc>
        <w:tc>
          <w:tcPr>
            <w:tcW w:w="641" w:type="pct"/>
            <w:vMerge w:val="restart"/>
            <w:vAlign w:val="center"/>
          </w:tcPr>
          <w:p w14:paraId="3B780468">
            <w:pPr>
              <w:jc w:val="center"/>
              <w:rPr>
                <w:b/>
                <w:szCs w:val="21"/>
              </w:rPr>
            </w:pPr>
            <w:r>
              <w:rPr>
                <w:b/>
                <w:szCs w:val="21"/>
              </w:rPr>
              <w:t>污染物名称</w:t>
            </w:r>
          </w:p>
        </w:tc>
        <w:tc>
          <w:tcPr>
            <w:tcW w:w="955" w:type="pct"/>
            <w:gridSpan w:val="2"/>
            <w:vAlign w:val="center"/>
          </w:tcPr>
          <w:p w14:paraId="11DCF51D">
            <w:pPr>
              <w:jc w:val="center"/>
              <w:rPr>
                <w:b/>
                <w:szCs w:val="21"/>
              </w:rPr>
            </w:pPr>
            <w:r>
              <w:rPr>
                <w:rFonts w:hint="eastAsia"/>
                <w:b/>
                <w:szCs w:val="21"/>
              </w:rPr>
              <w:t>产生量</w:t>
            </w:r>
          </w:p>
        </w:tc>
        <w:tc>
          <w:tcPr>
            <w:tcW w:w="593" w:type="pct"/>
            <w:vMerge w:val="restart"/>
            <w:vAlign w:val="center"/>
          </w:tcPr>
          <w:p w14:paraId="21B243E4">
            <w:pPr>
              <w:jc w:val="center"/>
              <w:rPr>
                <w:b/>
                <w:szCs w:val="21"/>
              </w:rPr>
            </w:pPr>
            <w:r>
              <w:rPr>
                <w:b/>
                <w:szCs w:val="21"/>
              </w:rPr>
              <w:t>治理措施</w:t>
            </w:r>
          </w:p>
        </w:tc>
        <w:tc>
          <w:tcPr>
            <w:tcW w:w="935" w:type="pct"/>
            <w:gridSpan w:val="2"/>
            <w:vAlign w:val="center"/>
          </w:tcPr>
          <w:p w14:paraId="62E6BB7D">
            <w:pPr>
              <w:jc w:val="center"/>
              <w:rPr>
                <w:b/>
                <w:szCs w:val="21"/>
              </w:rPr>
            </w:pPr>
            <w:r>
              <w:rPr>
                <w:rFonts w:hint="eastAsia"/>
                <w:b/>
                <w:szCs w:val="21"/>
              </w:rPr>
              <w:t>排放量</w:t>
            </w:r>
          </w:p>
        </w:tc>
        <w:tc>
          <w:tcPr>
            <w:tcW w:w="1240" w:type="pct"/>
            <w:vMerge w:val="restart"/>
            <w:vAlign w:val="center"/>
          </w:tcPr>
          <w:p w14:paraId="24138483">
            <w:pPr>
              <w:jc w:val="center"/>
              <w:rPr>
                <w:b/>
                <w:szCs w:val="21"/>
              </w:rPr>
            </w:pPr>
            <w:r>
              <w:rPr>
                <w:b/>
                <w:szCs w:val="21"/>
              </w:rPr>
              <w:t>排放方式\去向</w:t>
            </w:r>
          </w:p>
        </w:tc>
      </w:tr>
      <w:tr w14:paraId="5A1CE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32" w:type="pct"/>
            <w:vMerge w:val="continue"/>
            <w:vAlign w:val="center"/>
          </w:tcPr>
          <w:p w14:paraId="47380384">
            <w:pPr>
              <w:snapToGrid w:val="0"/>
              <w:jc w:val="center"/>
              <w:rPr>
                <w:szCs w:val="21"/>
              </w:rPr>
            </w:pPr>
          </w:p>
        </w:tc>
        <w:tc>
          <w:tcPr>
            <w:tcW w:w="641" w:type="pct"/>
            <w:vMerge w:val="continue"/>
            <w:vAlign w:val="center"/>
          </w:tcPr>
          <w:p w14:paraId="4C45DFB1">
            <w:pPr>
              <w:snapToGrid w:val="0"/>
              <w:jc w:val="center"/>
              <w:rPr>
                <w:szCs w:val="21"/>
              </w:rPr>
            </w:pPr>
          </w:p>
        </w:tc>
        <w:tc>
          <w:tcPr>
            <w:tcW w:w="415" w:type="pct"/>
            <w:vAlign w:val="center"/>
          </w:tcPr>
          <w:p w14:paraId="7D231566">
            <w:pPr>
              <w:jc w:val="center"/>
              <w:rPr>
                <w:b/>
                <w:szCs w:val="21"/>
              </w:rPr>
            </w:pPr>
            <w:r>
              <w:rPr>
                <w:b/>
                <w:szCs w:val="21"/>
              </w:rPr>
              <w:t>浓度</w:t>
            </w:r>
          </w:p>
          <w:p w14:paraId="7F34AE18">
            <w:pPr>
              <w:jc w:val="center"/>
              <w:rPr>
                <w:b/>
                <w:szCs w:val="21"/>
              </w:rPr>
            </w:pPr>
            <w:r>
              <w:rPr>
                <w:b/>
                <w:szCs w:val="21"/>
              </w:rPr>
              <w:t>(mg/L)</w:t>
            </w:r>
          </w:p>
        </w:tc>
        <w:tc>
          <w:tcPr>
            <w:tcW w:w="540" w:type="pct"/>
            <w:vAlign w:val="center"/>
          </w:tcPr>
          <w:p w14:paraId="4D1939AF">
            <w:pPr>
              <w:jc w:val="center"/>
              <w:rPr>
                <w:b/>
                <w:szCs w:val="21"/>
              </w:rPr>
            </w:pPr>
            <w:r>
              <w:rPr>
                <w:rFonts w:hint="eastAsia"/>
                <w:b/>
                <w:szCs w:val="21"/>
              </w:rPr>
              <w:t>废水</w:t>
            </w:r>
            <w:r>
              <w:rPr>
                <w:b/>
                <w:szCs w:val="21"/>
              </w:rPr>
              <w:t>量</w:t>
            </w:r>
          </w:p>
          <w:p w14:paraId="28993AD9">
            <w:pPr>
              <w:jc w:val="center"/>
              <w:rPr>
                <w:b/>
                <w:szCs w:val="21"/>
              </w:rPr>
            </w:pPr>
            <w:r>
              <w:rPr>
                <w:b/>
                <w:szCs w:val="21"/>
              </w:rPr>
              <w:t>（t）</w:t>
            </w:r>
          </w:p>
        </w:tc>
        <w:tc>
          <w:tcPr>
            <w:tcW w:w="593" w:type="pct"/>
            <w:vMerge w:val="continue"/>
            <w:vAlign w:val="center"/>
          </w:tcPr>
          <w:p w14:paraId="6BEB60D2">
            <w:pPr>
              <w:snapToGrid w:val="0"/>
              <w:jc w:val="center"/>
              <w:rPr>
                <w:szCs w:val="21"/>
              </w:rPr>
            </w:pPr>
          </w:p>
        </w:tc>
        <w:tc>
          <w:tcPr>
            <w:tcW w:w="460" w:type="pct"/>
            <w:vAlign w:val="center"/>
          </w:tcPr>
          <w:p w14:paraId="481A1B48">
            <w:pPr>
              <w:jc w:val="center"/>
              <w:rPr>
                <w:b/>
                <w:szCs w:val="21"/>
              </w:rPr>
            </w:pPr>
            <w:r>
              <w:rPr>
                <w:b/>
                <w:szCs w:val="21"/>
              </w:rPr>
              <w:t>浓度</w:t>
            </w:r>
          </w:p>
          <w:p w14:paraId="4CA87F0E">
            <w:pPr>
              <w:jc w:val="center"/>
              <w:rPr>
                <w:b/>
                <w:szCs w:val="21"/>
              </w:rPr>
            </w:pPr>
            <w:r>
              <w:rPr>
                <w:b/>
                <w:szCs w:val="21"/>
              </w:rPr>
              <w:t>(mg/L)</w:t>
            </w:r>
          </w:p>
        </w:tc>
        <w:tc>
          <w:tcPr>
            <w:tcW w:w="475" w:type="pct"/>
            <w:vAlign w:val="center"/>
          </w:tcPr>
          <w:p w14:paraId="137BD457">
            <w:pPr>
              <w:jc w:val="center"/>
              <w:rPr>
                <w:b/>
                <w:szCs w:val="21"/>
              </w:rPr>
            </w:pPr>
            <w:r>
              <w:rPr>
                <w:rFonts w:hint="eastAsia"/>
                <w:b/>
                <w:szCs w:val="21"/>
              </w:rPr>
              <w:t>废水</w:t>
            </w:r>
            <w:r>
              <w:rPr>
                <w:b/>
                <w:szCs w:val="21"/>
              </w:rPr>
              <w:t>量</w:t>
            </w:r>
          </w:p>
          <w:p w14:paraId="1EF62D61">
            <w:pPr>
              <w:jc w:val="center"/>
              <w:rPr>
                <w:b/>
                <w:szCs w:val="21"/>
              </w:rPr>
            </w:pPr>
            <w:r>
              <w:rPr>
                <w:b/>
                <w:szCs w:val="21"/>
              </w:rPr>
              <w:t>（t）</w:t>
            </w:r>
          </w:p>
        </w:tc>
        <w:tc>
          <w:tcPr>
            <w:tcW w:w="1240" w:type="pct"/>
            <w:vMerge w:val="continue"/>
            <w:vAlign w:val="center"/>
          </w:tcPr>
          <w:p w14:paraId="403AE343">
            <w:pPr>
              <w:snapToGrid w:val="0"/>
              <w:jc w:val="center"/>
              <w:rPr>
                <w:szCs w:val="21"/>
              </w:rPr>
            </w:pPr>
          </w:p>
        </w:tc>
      </w:tr>
      <w:tr w14:paraId="23204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32" w:type="pct"/>
            <w:vMerge w:val="restart"/>
            <w:vAlign w:val="center"/>
          </w:tcPr>
          <w:p w14:paraId="2F252FFD">
            <w:pPr>
              <w:jc w:val="center"/>
              <w:rPr>
                <w:szCs w:val="21"/>
              </w:rPr>
            </w:pPr>
            <w:r>
              <w:rPr>
                <w:szCs w:val="21"/>
              </w:rPr>
              <w:t>生活污水</w:t>
            </w:r>
          </w:p>
        </w:tc>
        <w:tc>
          <w:tcPr>
            <w:tcW w:w="641" w:type="pct"/>
            <w:vAlign w:val="center"/>
          </w:tcPr>
          <w:p w14:paraId="37E991E5">
            <w:pPr>
              <w:jc w:val="center"/>
              <w:rPr>
                <w:szCs w:val="21"/>
              </w:rPr>
            </w:pPr>
            <w:r>
              <w:t>废水量</w:t>
            </w:r>
          </w:p>
        </w:tc>
        <w:tc>
          <w:tcPr>
            <w:tcW w:w="415" w:type="pct"/>
            <w:vAlign w:val="center"/>
          </w:tcPr>
          <w:p w14:paraId="750ABA97">
            <w:pPr>
              <w:jc w:val="center"/>
              <w:rPr>
                <w:szCs w:val="21"/>
              </w:rPr>
            </w:pPr>
            <w:r>
              <w:t>/</w:t>
            </w:r>
          </w:p>
        </w:tc>
        <w:tc>
          <w:tcPr>
            <w:tcW w:w="540" w:type="pct"/>
            <w:vAlign w:val="center"/>
          </w:tcPr>
          <w:p w14:paraId="016092DE">
            <w:pPr>
              <w:jc w:val="center"/>
              <w:rPr>
                <w:szCs w:val="21"/>
              </w:rPr>
            </w:pPr>
            <w:r>
              <w:rPr>
                <w:rFonts w:hint="eastAsia"/>
              </w:rPr>
              <w:t>405</w:t>
            </w:r>
          </w:p>
        </w:tc>
        <w:tc>
          <w:tcPr>
            <w:tcW w:w="593" w:type="pct"/>
            <w:vMerge w:val="restart"/>
            <w:vAlign w:val="center"/>
          </w:tcPr>
          <w:p w14:paraId="36DA50FC">
            <w:pPr>
              <w:jc w:val="center"/>
              <w:rPr>
                <w:szCs w:val="21"/>
              </w:rPr>
            </w:pPr>
            <w:r>
              <w:rPr>
                <w:szCs w:val="21"/>
              </w:rPr>
              <w:t>依托现有生活污水治理设施</w:t>
            </w:r>
          </w:p>
        </w:tc>
        <w:tc>
          <w:tcPr>
            <w:tcW w:w="460" w:type="pct"/>
            <w:vAlign w:val="center"/>
          </w:tcPr>
          <w:p w14:paraId="43C7BD9A">
            <w:pPr>
              <w:jc w:val="center"/>
              <w:rPr>
                <w:szCs w:val="21"/>
              </w:rPr>
            </w:pPr>
            <w:r>
              <w:t>/</w:t>
            </w:r>
          </w:p>
        </w:tc>
        <w:tc>
          <w:tcPr>
            <w:tcW w:w="475" w:type="pct"/>
            <w:vAlign w:val="center"/>
          </w:tcPr>
          <w:p w14:paraId="7CAB3EA9">
            <w:pPr>
              <w:jc w:val="center"/>
              <w:rPr>
                <w:szCs w:val="21"/>
              </w:rPr>
            </w:pPr>
            <w:r>
              <w:rPr>
                <w:rFonts w:hint="eastAsia"/>
              </w:rPr>
              <w:t>405</w:t>
            </w:r>
          </w:p>
        </w:tc>
        <w:tc>
          <w:tcPr>
            <w:tcW w:w="1240" w:type="pct"/>
            <w:vMerge w:val="restart"/>
            <w:vAlign w:val="center"/>
          </w:tcPr>
          <w:p w14:paraId="1BA8E6C3">
            <w:pPr>
              <w:jc w:val="center"/>
              <w:rPr>
                <w:szCs w:val="21"/>
              </w:rPr>
            </w:pPr>
            <w:r>
              <w:rPr>
                <w:rFonts w:hint="eastAsia"/>
              </w:rPr>
              <w:t>不设施工营地，</w:t>
            </w:r>
            <w:r>
              <w:t>施工生活污水</w:t>
            </w:r>
            <w:r>
              <w:rPr>
                <w:rFonts w:hint="eastAsia"/>
              </w:rPr>
              <w:t>排入当地农村现有设施处理</w:t>
            </w:r>
          </w:p>
        </w:tc>
      </w:tr>
      <w:tr w14:paraId="345CE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32" w:type="pct"/>
            <w:vMerge w:val="continue"/>
            <w:vAlign w:val="center"/>
          </w:tcPr>
          <w:p w14:paraId="62BD1C3F">
            <w:pPr>
              <w:snapToGrid w:val="0"/>
              <w:jc w:val="center"/>
              <w:rPr>
                <w:szCs w:val="21"/>
              </w:rPr>
            </w:pPr>
          </w:p>
        </w:tc>
        <w:tc>
          <w:tcPr>
            <w:tcW w:w="641" w:type="pct"/>
            <w:vAlign w:val="center"/>
          </w:tcPr>
          <w:p w14:paraId="5E6A79E0">
            <w:pPr>
              <w:jc w:val="center"/>
              <w:rPr>
                <w:szCs w:val="21"/>
              </w:rPr>
            </w:pPr>
            <w:r>
              <w:t>COD</w:t>
            </w:r>
          </w:p>
        </w:tc>
        <w:tc>
          <w:tcPr>
            <w:tcW w:w="415" w:type="pct"/>
            <w:vAlign w:val="center"/>
          </w:tcPr>
          <w:p w14:paraId="18CCF272">
            <w:pPr>
              <w:jc w:val="center"/>
              <w:rPr>
                <w:szCs w:val="21"/>
              </w:rPr>
            </w:pPr>
            <w:r>
              <w:t>350</w:t>
            </w:r>
          </w:p>
        </w:tc>
        <w:tc>
          <w:tcPr>
            <w:tcW w:w="540" w:type="pct"/>
            <w:vAlign w:val="center"/>
          </w:tcPr>
          <w:p w14:paraId="1A0E5DA4">
            <w:pPr>
              <w:jc w:val="center"/>
              <w:rPr>
                <w:szCs w:val="21"/>
              </w:rPr>
            </w:pPr>
            <w:r>
              <w:t>0.</w:t>
            </w:r>
            <w:r>
              <w:rPr>
                <w:rFonts w:hint="eastAsia"/>
              </w:rPr>
              <w:t>142</w:t>
            </w:r>
          </w:p>
        </w:tc>
        <w:tc>
          <w:tcPr>
            <w:tcW w:w="593" w:type="pct"/>
            <w:vMerge w:val="continue"/>
            <w:vAlign w:val="center"/>
          </w:tcPr>
          <w:p w14:paraId="69B4FD20">
            <w:pPr>
              <w:jc w:val="center"/>
              <w:rPr>
                <w:szCs w:val="21"/>
              </w:rPr>
            </w:pPr>
          </w:p>
        </w:tc>
        <w:tc>
          <w:tcPr>
            <w:tcW w:w="460" w:type="pct"/>
            <w:vAlign w:val="center"/>
          </w:tcPr>
          <w:p w14:paraId="6AA671DE">
            <w:pPr>
              <w:jc w:val="center"/>
              <w:rPr>
                <w:szCs w:val="21"/>
              </w:rPr>
            </w:pPr>
            <w:r>
              <w:t>350</w:t>
            </w:r>
          </w:p>
        </w:tc>
        <w:tc>
          <w:tcPr>
            <w:tcW w:w="475" w:type="pct"/>
            <w:vAlign w:val="center"/>
          </w:tcPr>
          <w:p w14:paraId="745D551C">
            <w:pPr>
              <w:jc w:val="center"/>
              <w:rPr>
                <w:szCs w:val="21"/>
              </w:rPr>
            </w:pPr>
            <w:r>
              <w:t>0.</w:t>
            </w:r>
            <w:r>
              <w:rPr>
                <w:rFonts w:hint="eastAsia"/>
              </w:rPr>
              <w:t>142</w:t>
            </w:r>
          </w:p>
        </w:tc>
        <w:tc>
          <w:tcPr>
            <w:tcW w:w="1240" w:type="pct"/>
            <w:vMerge w:val="continue"/>
            <w:vAlign w:val="center"/>
          </w:tcPr>
          <w:p w14:paraId="7F874B20">
            <w:pPr>
              <w:snapToGrid w:val="0"/>
              <w:jc w:val="center"/>
              <w:rPr>
                <w:szCs w:val="21"/>
              </w:rPr>
            </w:pPr>
          </w:p>
        </w:tc>
      </w:tr>
      <w:tr w14:paraId="0D4E9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32" w:type="pct"/>
            <w:vMerge w:val="continue"/>
            <w:vAlign w:val="center"/>
          </w:tcPr>
          <w:p w14:paraId="6010E5FC">
            <w:pPr>
              <w:snapToGrid w:val="0"/>
              <w:jc w:val="center"/>
              <w:rPr>
                <w:szCs w:val="21"/>
              </w:rPr>
            </w:pPr>
          </w:p>
        </w:tc>
        <w:tc>
          <w:tcPr>
            <w:tcW w:w="641" w:type="pct"/>
            <w:vAlign w:val="center"/>
          </w:tcPr>
          <w:p w14:paraId="24C7DB11">
            <w:pPr>
              <w:jc w:val="center"/>
              <w:rPr>
                <w:szCs w:val="21"/>
              </w:rPr>
            </w:pPr>
            <w:r>
              <w:t>氨氮</w:t>
            </w:r>
          </w:p>
        </w:tc>
        <w:tc>
          <w:tcPr>
            <w:tcW w:w="415" w:type="pct"/>
            <w:vAlign w:val="center"/>
          </w:tcPr>
          <w:p w14:paraId="4F8DBF7E">
            <w:pPr>
              <w:jc w:val="center"/>
              <w:rPr>
                <w:szCs w:val="21"/>
              </w:rPr>
            </w:pPr>
            <w:r>
              <w:t>30</w:t>
            </w:r>
          </w:p>
        </w:tc>
        <w:tc>
          <w:tcPr>
            <w:tcW w:w="540" w:type="pct"/>
            <w:vAlign w:val="center"/>
          </w:tcPr>
          <w:p w14:paraId="1AA6F7B2">
            <w:pPr>
              <w:jc w:val="center"/>
              <w:rPr>
                <w:szCs w:val="21"/>
              </w:rPr>
            </w:pPr>
            <w:r>
              <w:t>0.0</w:t>
            </w:r>
            <w:r>
              <w:rPr>
                <w:rFonts w:hint="eastAsia"/>
              </w:rPr>
              <w:t>12</w:t>
            </w:r>
          </w:p>
        </w:tc>
        <w:tc>
          <w:tcPr>
            <w:tcW w:w="593" w:type="pct"/>
            <w:vMerge w:val="continue"/>
            <w:vAlign w:val="center"/>
          </w:tcPr>
          <w:p w14:paraId="7415C973">
            <w:pPr>
              <w:jc w:val="center"/>
              <w:rPr>
                <w:szCs w:val="21"/>
              </w:rPr>
            </w:pPr>
          </w:p>
        </w:tc>
        <w:tc>
          <w:tcPr>
            <w:tcW w:w="460" w:type="pct"/>
            <w:vAlign w:val="center"/>
          </w:tcPr>
          <w:p w14:paraId="457ADE26">
            <w:pPr>
              <w:jc w:val="center"/>
              <w:rPr>
                <w:szCs w:val="21"/>
              </w:rPr>
            </w:pPr>
            <w:r>
              <w:t>30</w:t>
            </w:r>
          </w:p>
        </w:tc>
        <w:tc>
          <w:tcPr>
            <w:tcW w:w="475" w:type="pct"/>
            <w:vAlign w:val="center"/>
          </w:tcPr>
          <w:p w14:paraId="71291FB9">
            <w:pPr>
              <w:jc w:val="center"/>
              <w:rPr>
                <w:szCs w:val="21"/>
              </w:rPr>
            </w:pPr>
            <w:r>
              <w:t>0.0</w:t>
            </w:r>
            <w:r>
              <w:rPr>
                <w:rFonts w:hint="eastAsia"/>
              </w:rPr>
              <w:t>12</w:t>
            </w:r>
          </w:p>
        </w:tc>
        <w:tc>
          <w:tcPr>
            <w:tcW w:w="1240" w:type="pct"/>
            <w:vMerge w:val="continue"/>
            <w:vAlign w:val="center"/>
          </w:tcPr>
          <w:p w14:paraId="56F2BEAD">
            <w:pPr>
              <w:snapToGrid w:val="0"/>
              <w:jc w:val="center"/>
              <w:rPr>
                <w:szCs w:val="21"/>
              </w:rPr>
            </w:pPr>
          </w:p>
        </w:tc>
      </w:tr>
      <w:tr w14:paraId="4D670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32" w:type="pct"/>
            <w:vMerge w:val="continue"/>
            <w:vAlign w:val="center"/>
          </w:tcPr>
          <w:p w14:paraId="2E07E6BB">
            <w:pPr>
              <w:snapToGrid w:val="0"/>
              <w:jc w:val="center"/>
              <w:rPr>
                <w:szCs w:val="21"/>
              </w:rPr>
            </w:pPr>
          </w:p>
        </w:tc>
        <w:tc>
          <w:tcPr>
            <w:tcW w:w="641" w:type="pct"/>
            <w:vAlign w:val="center"/>
          </w:tcPr>
          <w:p w14:paraId="12CC036C">
            <w:pPr>
              <w:jc w:val="center"/>
              <w:rPr>
                <w:szCs w:val="21"/>
              </w:rPr>
            </w:pPr>
            <w:r>
              <w:t>总磷</w:t>
            </w:r>
          </w:p>
        </w:tc>
        <w:tc>
          <w:tcPr>
            <w:tcW w:w="415" w:type="pct"/>
            <w:vAlign w:val="center"/>
          </w:tcPr>
          <w:p w14:paraId="2292CACB">
            <w:pPr>
              <w:jc w:val="center"/>
              <w:rPr>
                <w:szCs w:val="21"/>
              </w:rPr>
            </w:pPr>
            <w:r>
              <w:t>5</w:t>
            </w:r>
          </w:p>
        </w:tc>
        <w:tc>
          <w:tcPr>
            <w:tcW w:w="540" w:type="pct"/>
            <w:vAlign w:val="center"/>
          </w:tcPr>
          <w:p w14:paraId="522599E4">
            <w:pPr>
              <w:jc w:val="center"/>
              <w:rPr>
                <w:szCs w:val="21"/>
              </w:rPr>
            </w:pPr>
            <w:r>
              <w:t>0.00</w:t>
            </w:r>
            <w:r>
              <w:rPr>
                <w:rFonts w:hint="eastAsia"/>
              </w:rPr>
              <w:t>2</w:t>
            </w:r>
          </w:p>
        </w:tc>
        <w:tc>
          <w:tcPr>
            <w:tcW w:w="593" w:type="pct"/>
            <w:vMerge w:val="continue"/>
            <w:vAlign w:val="center"/>
          </w:tcPr>
          <w:p w14:paraId="18B8341C">
            <w:pPr>
              <w:jc w:val="center"/>
              <w:rPr>
                <w:szCs w:val="21"/>
              </w:rPr>
            </w:pPr>
          </w:p>
        </w:tc>
        <w:tc>
          <w:tcPr>
            <w:tcW w:w="460" w:type="pct"/>
            <w:vAlign w:val="center"/>
          </w:tcPr>
          <w:p w14:paraId="7030CA9B">
            <w:pPr>
              <w:jc w:val="center"/>
              <w:rPr>
                <w:szCs w:val="21"/>
              </w:rPr>
            </w:pPr>
            <w:r>
              <w:t>5</w:t>
            </w:r>
          </w:p>
        </w:tc>
        <w:tc>
          <w:tcPr>
            <w:tcW w:w="475" w:type="pct"/>
            <w:vAlign w:val="center"/>
          </w:tcPr>
          <w:p w14:paraId="4943F6D2">
            <w:pPr>
              <w:jc w:val="center"/>
              <w:rPr>
                <w:szCs w:val="21"/>
              </w:rPr>
            </w:pPr>
            <w:r>
              <w:t>0.00</w:t>
            </w:r>
            <w:r>
              <w:rPr>
                <w:rFonts w:hint="eastAsia"/>
              </w:rPr>
              <w:t>2</w:t>
            </w:r>
          </w:p>
        </w:tc>
        <w:tc>
          <w:tcPr>
            <w:tcW w:w="1240" w:type="pct"/>
            <w:vMerge w:val="continue"/>
            <w:vAlign w:val="center"/>
          </w:tcPr>
          <w:p w14:paraId="2713FBE9">
            <w:pPr>
              <w:snapToGrid w:val="0"/>
              <w:jc w:val="center"/>
              <w:rPr>
                <w:szCs w:val="21"/>
              </w:rPr>
            </w:pPr>
          </w:p>
        </w:tc>
      </w:tr>
      <w:tr w14:paraId="5B7FB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32" w:type="pct"/>
            <w:vAlign w:val="center"/>
          </w:tcPr>
          <w:p w14:paraId="5A7DE1CF">
            <w:pPr>
              <w:snapToGrid w:val="0"/>
              <w:jc w:val="center"/>
              <w:rPr>
                <w:szCs w:val="21"/>
              </w:rPr>
            </w:pPr>
            <w:r>
              <w:rPr>
                <w:szCs w:val="21"/>
              </w:rPr>
              <w:t>管道试压排水</w:t>
            </w:r>
          </w:p>
        </w:tc>
        <w:tc>
          <w:tcPr>
            <w:tcW w:w="641" w:type="pct"/>
            <w:vAlign w:val="center"/>
          </w:tcPr>
          <w:p w14:paraId="12EDDF94">
            <w:pPr>
              <w:jc w:val="center"/>
              <w:rPr>
                <w:szCs w:val="21"/>
              </w:rPr>
            </w:pPr>
            <w:r>
              <w:rPr>
                <w:szCs w:val="21"/>
              </w:rPr>
              <w:t>废水量</w:t>
            </w:r>
          </w:p>
        </w:tc>
        <w:tc>
          <w:tcPr>
            <w:tcW w:w="415" w:type="pct"/>
            <w:vAlign w:val="center"/>
          </w:tcPr>
          <w:p w14:paraId="4EAF0525">
            <w:pPr>
              <w:jc w:val="center"/>
              <w:rPr>
                <w:szCs w:val="21"/>
              </w:rPr>
            </w:pPr>
            <w:r>
              <w:rPr>
                <w:szCs w:val="21"/>
              </w:rPr>
              <w:t>-</w:t>
            </w:r>
            <w:r>
              <w:rPr>
                <w:rFonts w:hint="eastAsia"/>
                <w:szCs w:val="21"/>
              </w:rPr>
              <w:t>-</w:t>
            </w:r>
          </w:p>
        </w:tc>
        <w:tc>
          <w:tcPr>
            <w:tcW w:w="540" w:type="pct"/>
            <w:vAlign w:val="center"/>
          </w:tcPr>
          <w:p w14:paraId="5DD871B3">
            <w:pPr>
              <w:jc w:val="center"/>
              <w:rPr>
                <w:szCs w:val="21"/>
              </w:rPr>
            </w:pPr>
            <w:r>
              <w:rPr>
                <w:rFonts w:hint="eastAsia" w:eastAsiaTheme="minorEastAsia"/>
                <w:szCs w:val="21"/>
              </w:rPr>
              <w:t>60.9</w:t>
            </w:r>
          </w:p>
        </w:tc>
        <w:tc>
          <w:tcPr>
            <w:tcW w:w="593" w:type="pct"/>
            <w:vAlign w:val="center"/>
          </w:tcPr>
          <w:p w14:paraId="1E05151A">
            <w:pPr>
              <w:snapToGrid w:val="0"/>
              <w:jc w:val="center"/>
              <w:rPr>
                <w:szCs w:val="21"/>
              </w:rPr>
            </w:pPr>
            <w:r>
              <w:rPr>
                <w:rFonts w:hint="eastAsia"/>
                <w:szCs w:val="21"/>
              </w:rPr>
              <w:t>过滤</w:t>
            </w:r>
            <w:r>
              <w:rPr>
                <w:szCs w:val="21"/>
              </w:rPr>
              <w:t>处理</w:t>
            </w:r>
          </w:p>
        </w:tc>
        <w:tc>
          <w:tcPr>
            <w:tcW w:w="460" w:type="pct"/>
            <w:vAlign w:val="center"/>
          </w:tcPr>
          <w:p w14:paraId="2A8ADF3C">
            <w:pPr>
              <w:jc w:val="center"/>
              <w:rPr>
                <w:szCs w:val="21"/>
              </w:rPr>
            </w:pPr>
            <w:r>
              <w:rPr>
                <w:szCs w:val="21"/>
              </w:rPr>
              <w:t>-</w:t>
            </w:r>
            <w:r>
              <w:rPr>
                <w:rFonts w:hint="eastAsia"/>
                <w:szCs w:val="21"/>
              </w:rPr>
              <w:t>-</w:t>
            </w:r>
          </w:p>
        </w:tc>
        <w:tc>
          <w:tcPr>
            <w:tcW w:w="475" w:type="pct"/>
            <w:vAlign w:val="center"/>
          </w:tcPr>
          <w:p w14:paraId="49BF176E">
            <w:pPr>
              <w:jc w:val="center"/>
              <w:rPr>
                <w:szCs w:val="21"/>
              </w:rPr>
            </w:pPr>
            <w:r>
              <w:rPr>
                <w:rFonts w:hint="eastAsia" w:eastAsia="等线"/>
                <w:szCs w:val="21"/>
              </w:rPr>
              <w:t>60.9</w:t>
            </w:r>
          </w:p>
        </w:tc>
        <w:tc>
          <w:tcPr>
            <w:tcW w:w="1240" w:type="pct"/>
            <w:vAlign w:val="center"/>
          </w:tcPr>
          <w:p w14:paraId="082284EA">
            <w:pPr>
              <w:snapToGrid w:val="0"/>
              <w:jc w:val="center"/>
              <w:rPr>
                <w:szCs w:val="21"/>
              </w:rPr>
            </w:pPr>
            <w:r>
              <w:rPr>
                <w:rFonts w:hint="eastAsia"/>
              </w:rPr>
              <w:t>过滤</w:t>
            </w:r>
            <w:r>
              <w:t>处理后回用于农田灌溉、道路洒水等</w:t>
            </w:r>
            <w:r>
              <w:rPr>
                <w:rFonts w:hint="eastAsia"/>
              </w:rPr>
              <w:t>。</w:t>
            </w:r>
          </w:p>
        </w:tc>
      </w:tr>
    </w:tbl>
    <w:p w14:paraId="52E97B98">
      <w:pPr>
        <w:pStyle w:val="234"/>
        <w:spacing w:before="120" w:beforeLines="50"/>
        <w:ind w:firstLine="482"/>
        <w:rPr>
          <w:b/>
          <w:bCs/>
        </w:rPr>
      </w:pPr>
      <w:r>
        <w:rPr>
          <w:b/>
          <w:bCs/>
        </w:rPr>
        <w:t>（3）噪声污染源分析</w:t>
      </w:r>
    </w:p>
    <w:p w14:paraId="26D7DF01">
      <w:pPr>
        <w:spacing w:line="360" w:lineRule="auto"/>
        <w:ind w:firstLine="480" w:firstLineChars="200"/>
        <w:rPr>
          <w:sz w:val="24"/>
        </w:rPr>
      </w:pPr>
      <w:r>
        <w:rPr>
          <w:rFonts w:hint="eastAsia"/>
          <w:sz w:val="24"/>
        </w:rPr>
        <w:t>本工程施工期噪声主要包括施工机械和施工车辆噪声、28号阀室动火连接放空噪声。</w:t>
      </w:r>
    </w:p>
    <w:p w14:paraId="794F0559">
      <w:pPr>
        <w:spacing w:line="360" w:lineRule="auto"/>
        <w:ind w:firstLine="480" w:firstLineChars="200"/>
        <w:rPr>
          <w:sz w:val="24"/>
        </w:rPr>
      </w:pPr>
      <w:r>
        <w:rPr>
          <w:rFonts w:hint="eastAsia"/>
          <w:sz w:val="24"/>
        </w:rPr>
        <w:t>28号阀室区域内管道进行动火连接时需放空天然气，放空噪声强度在95~105dB(A)。</w:t>
      </w:r>
    </w:p>
    <w:p w14:paraId="0A5F4CF8">
      <w:pPr>
        <w:spacing w:line="360" w:lineRule="auto"/>
        <w:ind w:firstLine="480" w:firstLineChars="200"/>
        <w:rPr>
          <w:sz w:val="24"/>
        </w:rPr>
      </w:pPr>
      <w:r>
        <w:rPr>
          <w:sz w:val="24"/>
        </w:rPr>
        <w:t>管材的运输、场地的平整、管沟开挖、站场建设等施工过程中，因使用各种机械工具和车辆而产生噪声污染，其排放强度根据装卸、运输的车辆和工具的型号不同有所不同，一般约81~100dB(A)，具有间断性和暂时性。</w:t>
      </w:r>
      <w:r>
        <w:rPr>
          <w:rFonts w:hint="eastAsia"/>
          <w:sz w:val="24"/>
        </w:rPr>
        <w:t>参照《环境噪声与振动控制工程技术导则》（H</w:t>
      </w:r>
      <w:r>
        <w:rPr>
          <w:sz w:val="24"/>
        </w:rPr>
        <w:t>J 2034-2013</w:t>
      </w:r>
      <w:r>
        <w:rPr>
          <w:rFonts w:hint="eastAsia"/>
          <w:sz w:val="24"/>
        </w:rPr>
        <w:t>）及</w:t>
      </w:r>
      <w:r>
        <w:rPr>
          <w:sz w:val="24"/>
        </w:rPr>
        <w:t>类比同类工程施工机械的噪声源强，确定本工程施工机械的噪声源强见表3.</w:t>
      </w:r>
      <w:r>
        <w:rPr>
          <w:rFonts w:hint="eastAsia"/>
          <w:sz w:val="24"/>
        </w:rPr>
        <w:t>4</w:t>
      </w:r>
      <w:r>
        <w:rPr>
          <w:sz w:val="24"/>
        </w:rPr>
        <w:t>-8。</w:t>
      </w:r>
    </w:p>
    <w:p w14:paraId="58841ECE">
      <w:pPr>
        <w:pStyle w:val="904"/>
      </w:pPr>
      <w:r>
        <w:t>表3.</w:t>
      </w:r>
      <w:r>
        <w:rPr>
          <w:rFonts w:hint="eastAsia"/>
        </w:rPr>
        <w:t>4</w:t>
      </w:r>
      <w:r>
        <w:t>-8 施工机具噪声源强一览表</w:t>
      </w:r>
    </w:p>
    <w:tbl>
      <w:tblPr>
        <w:tblStyle w:val="88"/>
        <w:tblW w:w="501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44"/>
        <w:gridCol w:w="2608"/>
        <w:gridCol w:w="2320"/>
        <w:gridCol w:w="2320"/>
        <w:gridCol w:w="1487"/>
      </w:tblGrid>
      <w:tr w14:paraId="4A5C0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93" w:type="pct"/>
            <w:vAlign w:val="center"/>
          </w:tcPr>
          <w:p w14:paraId="3CCA4715">
            <w:pPr>
              <w:jc w:val="center"/>
            </w:pPr>
            <w:r>
              <w:t>序号</w:t>
            </w:r>
          </w:p>
        </w:tc>
        <w:tc>
          <w:tcPr>
            <w:tcW w:w="1375" w:type="pct"/>
            <w:vAlign w:val="center"/>
          </w:tcPr>
          <w:p w14:paraId="2EFB60B8">
            <w:pPr>
              <w:jc w:val="center"/>
            </w:pPr>
            <w:r>
              <w:t>机械、车辆名称</w:t>
            </w:r>
          </w:p>
        </w:tc>
        <w:tc>
          <w:tcPr>
            <w:tcW w:w="1223" w:type="pct"/>
            <w:vAlign w:val="center"/>
          </w:tcPr>
          <w:p w14:paraId="7369CC8A">
            <w:pPr>
              <w:jc w:val="center"/>
            </w:pPr>
            <w:r>
              <w:rPr>
                <w:rFonts w:hint="eastAsia"/>
              </w:rPr>
              <w:t>测点距离（m）</w:t>
            </w:r>
          </w:p>
        </w:tc>
        <w:tc>
          <w:tcPr>
            <w:tcW w:w="1223" w:type="pct"/>
            <w:vAlign w:val="center"/>
          </w:tcPr>
          <w:p w14:paraId="07959296">
            <w:pPr>
              <w:jc w:val="center"/>
            </w:pPr>
            <w:r>
              <w:t>噪声值(dB(A))</w:t>
            </w:r>
          </w:p>
        </w:tc>
        <w:tc>
          <w:tcPr>
            <w:tcW w:w="784" w:type="pct"/>
            <w:vAlign w:val="center"/>
          </w:tcPr>
          <w:p w14:paraId="29D83A61">
            <w:pPr>
              <w:jc w:val="center"/>
            </w:pPr>
            <w:r>
              <w:t>产生方式</w:t>
            </w:r>
          </w:p>
        </w:tc>
      </w:tr>
      <w:tr w14:paraId="56283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93" w:type="pct"/>
            <w:vAlign w:val="center"/>
          </w:tcPr>
          <w:p w14:paraId="7FE475F3">
            <w:pPr>
              <w:jc w:val="center"/>
            </w:pPr>
            <w:r>
              <w:t>1</w:t>
            </w:r>
          </w:p>
        </w:tc>
        <w:tc>
          <w:tcPr>
            <w:tcW w:w="1375" w:type="pct"/>
            <w:vAlign w:val="center"/>
          </w:tcPr>
          <w:p w14:paraId="1853F281">
            <w:pPr>
              <w:jc w:val="center"/>
            </w:pPr>
            <w:r>
              <w:t>挖掘机</w:t>
            </w:r>
          </w:p>
        </w:tc>
        <w:tc>
          <w:tcPr>
            <w:tcW w:w="1223" w:type="pct"/>
            <w:vAlign w:val="center"/>
          </w:tcPr>
          <w:p w14:paraId="3DFFAB08">
            <w:pPr>
              <w:jc w:val="center"/>
            </w:pPr>
            <w:r>
              <w:t>5</w:t>
            </w:r>
          </w:p>
        </w:tc>
        <w:tc>
          <w:tcPr>
            <w:tcW w:w="1223" w:type="pct"/>
            <w:vAlign w:val="center"/>
          </w:tcPr>
          <w:p w14:paraId="5FEC86E2">
            <w:pPr>
              <w:jc w:val="center"/>
            </w:pPr>
            <w:r>
              <w:t>90</w:t>
            </w:r>
          </w:p>
        </w:tc>
        <w:tc>
          <w:tcPr>
            <w:tcW w:w="784" w:type="pct"/>
            <w:vAlign w:val="center"/>
          </w:tcPr>
          <w:p w14:paraId="357B506B">
            <w:pPr>
              <w:jc w:val="center"/>
            </w:pPr>
            <w:r>
              <w:t>间歇</w:t>
            </w:r>
          </w:p>
        </w:tc>
      </w:tr>
      <w:tr w14:paraId="22CE7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93" w:type="pct"/>
            <w:vAlign w:val="center"/>
          </w:tcPr>
          <w:p w14:paraId="2F22D44B">
            <w:pPr>
              <w:jc w:val="center"/>
            </w:pPr>
            <w:r>
              <w:t>2</w:t>
            </w:r>
          </w:p>
        </w:tc>
        <w:tc>
          <w:tcPr>
            <w:tcW w:w="1375" w:type="pct"/>
            <w:vAlign w:val="center"/>
          </w:tcPr>
          <w:p w14:paraId="0D45C45D">
            <w:pPr>
              <w:jc w:val="center"/>
            </w:pPr>
            <w:r>
              <w:t>推土机</w:t>
            </w:r>
          </w:p>
        </w:tc>
        <w:tc>
          <w:tcPr>
            <w:tcW w:w="1223" w:type="pct"/>
            <w:vAlign w:val="center"/>
          </w:tcPr>
          <w:p w14:paraId="59E37B43">
            <w:pPr>
              <w:jc w:val="center"/>
            </w:pPr>
            <w:r>
              <w:t>5</w:t>
            </w:r>
          </w:p>
        </w:tc>
        <w:tc>
          <w:tcPr>
            <w:tcW w:w="1223" w:type="pct"/>
            <w:vAlign w:val="center"/>
          </w:tcPr>
          <w:p w14:paraId="4168345C">
            <w:pPr>
              <w:jc w:val="center"/>
            </w:pPr>
            <w:r>
              <w:t>88</w:t>
            </w:r>
          </w:p>
        </w:tc>
        <w:tc>
          <w:tcPr>
            <w:tcW w:w="784" w:type="pct"/>
            <w:vAlign w:val="center"/>
          </w:tcPr>
          <w:p w14:paraId="30330C83">
            <w:pPr>
              <w:jc w:val="center"/>
            </w:pPr>
            <w:r>
              <w:t>间歇</w:t>
            </w:r>
          </w:p>
        </w:tc>
      </w:tr>
      <w:tr w14:paraId="2B382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93" w:type="pct"/>
            <w:vAlign w:val="center"/>
          </w:tcPr>
          <w:p w14:paraId="3EFD04A1">
            <w:pPr>
              <w:jc w:val="center"/>
            </w:pPr>
            <w:r>
              <w:t>3</w:t>
            </w:r>
          </w:p>
        </w:tc>
        <w:tc>
          <w:tcPr>
            <w:tcW w:w="1375" w:type="pct"/>
            <w:vAlign w:val="center"/>
          </w:tcPr>
          <w:p w14:paraId="18E1CC81">
            <w:pPr>
              <w:jc w:val="center"/>
            </w:pPr>
            <w:r>
              <w:t>电焊机</w:t>
            </w:r>
          </w:p>
        </w:tc>
        <w:tc>
          <w:tcPr>
            <w:tcW w:w="1223" w:type="pct"/>
            <w:vAlign w:val="center"/>
          </w:tcPr>
          <w:p w14:paraId="29C1B9AC">
            <w:pPr>
              <w:jc w:val="center"/>
            </w:pPr>
            <w:r>
              <w:t>5</w:t>
            </w:r>
          </w:p>
        </w:tc>
        <w:tc>
          <w:tcPr>
            <w:tcW w:w="1223" w:type="pct"/>
            <w:vAlign w:val="center"/>
          </w:tcPr>
          <w:p w14:paraId="15F5667B">
            <w:pPr>
              <w:jc w:val="center"/>
            </w:pPr>
            <w:r>
              <w:t>85</w:t>
            </w:r>
          </w:p>
        </w:tc>
        <w:tc>
          <w:tcPr>
            <w:tcW w:w="784" w:type="pct"/>
            <w:vAlign w:val="center"/>
          </w:tcPr>
          <w:p w14:paraId="3AEC4E12">
            <w:pPr>
              <w:jc w:val="center"/>
            </w:pPr>
            <w:r>
              <w:t>间歇</w:t>
            </w:r>
          </w:p>
        </w:tc>
      </w:tr>
      <w:tr w14:paraId="02F64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93" w:type="pct"/>
            <w:vAlign w:val="center"/>
          </w:tcPr>
          <w:p w14:paraId="2C5492B5">
            <w:pPr>
              <w:jc w:val="center"/>
            </w:pPr>
            <w:r>
              <w:t>4</w:t>
            </w:r>
          </w:p>
        </w:tc>
        <w:tc>
          <w:tcPr>
            <w:tcW w:w="1375" w:type="pct"/>
            <w:vAlign w:val="center"/>
          </w:tcPr>
          <w:p w14:paraId="0808945D">
            <w:pPr>
              <w:jc w:val="center"/>
            </w:pPr>
            <w:r>
              <w:t>轮式装载机</w:t>
            </w:r>
          </w:p>
        </w:tc>
        <w:tc>
          <w:tcPr>
            <w:tcW w:w="1223" w:type="pct"/>
            <w:vAlign w:val="center"/>
          </w:tcPr>
          <w:p w14:paraId="04EC1E14">
            <w:pPr>
              <w:jc w:val="center"/>
            </w:pPr>
            <w:r>
              <w:t>5</w:t>
            </w:r>
          </w:p>
        </w:tc>
        <w:tc>
          <w:tcPr>
            <w:tcW w:w="1223" w:type="pct"/>
            <w:vAlign w:val="center"/>
          </w:tcPr>
          <w:p w14:paraId="329C1DAA">
            <w:pPr>
              <w:jc w:val="center"/>
            </w:pPr>
            <w:r>
              <w:t>95</w:t>
            </w:r>
          </w:p>
        </w:tc>
        <w:tc>
          <w:tcPr>
            <w:tcW w:w="784" w:type="pct"/>
            <w:vAlign w:val="center"/>
          </w:tcPr>
          <w:p w14:paraId="507C429B">
            <w:pPr>
              <w:jc w:val="center"/>
            </w:pPr>
            <w:r>
              <w:t>间歇</w:t>
            </w:r>
          </w:p>
        </w:tc>
      </w:tr>
      <w:tr w14:paraId="4F13E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93" w:type="pct"/>
            <w:vAlign w:val="center"/>
          </w:tcPr>
          <w:p w14:paraId="55FB9C8B">
            <w:pPr>
              <w:jc w:val="center"/>
            </w:pPr>
            <w:r>
              <w:t>5</w:t>
            </w:r>
          </w:p>
        </w:tc>
        <w:tc>
          <w:tcPr>
            <w:tcW w:w="1375" w:type="pct"/>
            <w:vAlign w:val="center"/>
          </w:tcPr>
          <w:p w14:paraId="6923B217">
            <w:pPr>
              <w:jc w:val="center"/>
            </w:pPr>
            <w:r>
              <w:t>吊管机</w:t>
            </w:r>
          </w:p>
        </w:tc>
        <w:tc>
          <w:tcPr>
            <w:tcW w:w="1223" w:type="pct"/>
            <w:vAlign w:val="center"/>
          </w:tcPr>
          <w:p w14:paraId="075569F5">
            <w:pPr>
              <w:jc w:val="center"/>
            </w:pPr>
            <w:r>
              <w:t>5</w:t>
            </w:r>
          </w:p>
        </w:tc>
        <w:tc>
          <w:tcPr>
            <w:tcW w:w="1223" w:type="pct"/>
            <w:vAlign w:val="center"/>
          </w:tcPr>
          <w:p w14:paraId="3C97C027">
            <w:pPr>
              <w:jc w:val="center"/>
            </w:pPr>
            <w:r>
              <w:t>81</w:t>
            </w:r>
          </w:p>
        </w:tc>
        <w:tc>
          <w:tcPr>
            <w:tcW w:w="784" w:type="pct"/>
            <w:vAlign w:val="center"/>
          </w:tcPr>
          <w:p w14:paraId="2EEC17F6">
            <w:pPr>
              <w:jc w:val="center"/>
            </w:pPr>
            <w:r>
              <w:t>间歇</w:t>
            </w:r>
          </w:p>
        </w:tc>
      </w:tr>
      <w:tr w14:paraId="1A1F7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93" w:type="pct"/>
            <w:vAlign w:val="center"/>
          </w:tcPr>
          <w:p w14:paraId="27CA1478">
            <w:pPr>
              <w:jc w:val="center"/>
            </w:pPr>
            <w:r>
              <w:t>6</w:t>
            </w:r>
          </w:p>
        </w:tc>
        <w:tc>
          <w:tcPr>
            <w:tcW w:w="1375" w:type="pct"/>
            <w:vAlign w:val="center"/>
          </w:tcPr>
          <w:p w14:paraId="0E7FAB2F">
            <w:pPr>
              <w:jc w:val="center"/>
            </w:pPr>
            <w:r>
              <w:t>柴油发电机组</w:t>
            </w:r>
          </w:p>
        </w:tc>
        <w:tc>
          <w:tcPr>
            <w:tcW w:w="1223" w:type="pct"/>
            <w:vAlign w:val="center"/>
          </w:tcPr>
          <w:p w14:paraId="15E2D9D0">
            <w:pPr>
              <w:jc w:val="center"/>
            </w:pPr>
            <w:r>
              <w:t>5</w:t>
            </w:r>
          </w:p>
        </w:tc>
        <w:tc>
          <w:tcPr>
            <w:tcW w:w="1223" w:type="pct"/>
            <w:vAlign w:val="center"/>
          </w:tcPr>
          <w:p w14:paraId="58F353D8">
            <w:pPr>
              <w:jc w:val="center"/>
            </w:pPr>
            <w:r>
              <w:t>100</w:t>
            </w:r>
          </w:p>
        </w:tc>
        <w:tc>
          <w:tcPr>
            <w:tcW w:w="784" w:type="pct"/>
            <w:vAlign w:val="center"/>
          </w:tcPr>
          <w:p w14:paraId="56A9D4C4">
            <w:pPr>
              <w:jc w:val="center"/>
            </w:pPr>
            <w:r>
              <w:t>间歇</w:t>
            </w:r>
          </w:p>
        </w:tc>
      </w:tr>
      <w:tr w14:paraId="09B0D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93" w:type="pct"/>
            <w:vAlign w:val="center"/>
          </w:tcPr>
          <w:p w14:paraId="692A3B05">
            <w:pPr>
              <w:jc w:val="center"/>
            </w:pPr>
            <w:r>
              <w:t>7</w:t>
            </w:r>
          </w:p>
        </w:tc>
        <w:tc>
          <w:tcPr>
            <w:tcW w:w="1375" w:type="pct"/>
            <w:vAlign w:val="center"/>
          </w:tcPr>
          <w:p w14:paraId="3D2F1427">
            <w:pPr>
              <w:jc w:val="center"/>
            </w:pPr>
            <w:r>
              <w:t>混凝土搅拌机</w:t>
            </w:r>
          </w:p>
        </w:tc>
        <w:tc>
          <w:tcPr>
            <w:tcW w:w="1223" w:type="pct"/>
            <w:vAlign w:val="center"/>
          </w:tcPr>
          <w:p w14:paraId="1D8BACF5">
            <w:pPr>
              <w:jc w:val="center"/>
            </w:pPr>
            <w:r>
              <w:t>5</w:t>
            </w:r>
          </w:p>
        </w:tc>
        <w:tc>
          <w:tcPr>
            <w:tcW w:w="1223" w:type="pct"/>
            <w:vAlign w:val="center"/>
          </w:tcPr>
          <w:p w14:paraId="74C359D9">
            <w:pPr>
              <w:jc w:val="center"/>
            </w:pPr>
            <w:r>
              <w:t>95</w:t>
            </w:r>
          </w:p>
        </w:tc>
        <w:tc>
          <w:tcPr>
            <w:tcW w:w="784" w:type="pct"/>
            <w:vAlign w:val="center"/>
          </w:tcPr>
          <w:p w14:paraId="725B5559">
            <w:pPr>
              <w:jc w:val="center"/>
            </w:pPr>
            <w:r>
              <w:t>间歇</w:t>
            </w:r>
          </w:p>
        </w:tc>
      </w:tr>
      <w:tr w14:paraId="71C2D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93" w:type="pct"/>
            <w:vAlign w:val="center"/>
          </w:tcPr>
          <w:p w14:paraId="70309EC1">
            <w:pPr>
              <w:jc w:val="center"/>
            </w:pPr>
            <w:r>
              <w:t>8</w:t>
            </w:r>
          </w:p>
        </w:tc>
        <w:tc>
          <w:tcPr>
            <w:tcW w:w="1375" w:type="pct"/>
            <w:vAlign w:val="center"/>
          </w:tcPr>
          <w:p w14:paraId="72AC78E5">
            <w:pPr>
              <w:jc w:val="center"/>
            </w:pPr>
            <w:r>
              <w:t>切割机</w:t>
            </w:r>
          </w:p>
        </w:tc>
        <w:tc>
          <w:tcPr>
            <w:tcW w:w="1223" w:type="pct"/>
            <w:vAlign w:val="center"/>
          </w:tcPr>
          <w:p w14:paraId="3A1AEE5F">
            <w:pPr>
              <w:jc w:val="center"/>
            </w:pPr>
            <w:r>
              <w:t>5</w:t>
            </w:r>
          </w:p>
        </w:tc>
        <w:tc>
          <w:tcPr>
            <w:tcW w:w="1223" w:type="pct"/>
            <w:vAlign w:val="center"/>
          </w:tcPr>
          <w:p w14:paraId="1378ACEB">
            <w:pPr>
              <w:jc w:val="center"/>
            </w:pPr>
            <w:r>
              <w:t>95</w:t>
            </w:r>
          </w:p>
        </w:tc>
        <w:tc>
          <w:tcPr>
            <w:tcW w:w="784" w:type="pct"/>
            <w:vAlign w:val="center"/>
          </w:tcPr>
          <w:p w14:paraId="5AA6711E">
            <w:pPr>
              <w:jc w:val="center"/>
            </w:pPr>
            <w:r>
              <w:t>间歇</w:t>
            </w:r>
          </w:p>
        </w:tc>
      </w:tr>
      <w:tr w14:paraId="55D16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93" w:type="pct"/>
            <w:vAlign w:val="center"/>
          </w:tcPr>
          <w:p w14:paraId="3FBCC5AB">
            <w:pPr>
              <w:jc w:val="center"/>
            </w:pPr>
            <w:r>
              <w:t>9</w:t>
            </w:r>
          </w:p>
        </w:tc>
        <w:tc>
          <w:tcPr>
            <w:tcW w:w="1375" w:type="pct"/>
            <w:vAlign w:val="center"/>
          </w:tcPr>
          <w:p w14:paraId="0C79875C">
            <w:pPr>
              <w:jc w:val="center"/>
            </w:pPr>
            <w:r>
              <w:t>混凝土振捣棒</w:t>
            </w:r>
          </w:p>
        </w:tc>
        <w:tc>
          <w:tcPr>
            <w:tcW w:w="1223" w:type="pct"/>
            <w:vAlign w:val="center"/>
          </w:tcPr>
          <w:p w14:paraId="2FB95C19">
            <w:pPr>
              <w:jc w:val="center"/>
            </w:pPr>
            <w:r>
              <w:t>5</w:t>
            </w:r>
          </w:p>
        </w:tc>
        <w:tc>
          <w:tcPr>
            <w:tcW w:w="1223" w:type="pct"/>
            <w:vAlign w:val="center"/>
          </w:tcPr>
          <w:p w14:paraId="06501148">
            <w:pPr>
              <w:jc w:val="center"/>
            </w:pPr>
            <w:r>
              <w:t>88</w:t>
            </w:r>
          </w:p>
        </w:tc>
        <w:tc>
          <w:tcPr>
            <w:tcW w:w="784" w:type="pct"/>
            <w:vAlign w:val="center"/>
          </w:tcPr>
          <w:p w14:paraId="410949CD">
            <w:pPr>
              <w:jc w:val="center"/>
            </w:pPr>
            <w:r>
              <w:t>间歇</w:t>
            </w:r>
          </w:p>
        </w:tc>
      </w:tr>
      <w:tr w14:paraId="6BA68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93" w:type="pct"/>
            <w:vAlign w:val="center"/>
          </w:tcPr>
          <w:p w14:paraId="249EE360">
            <w:pPr>
              <w:jc w:val="center"/>
            </w:pPr>
            <w:r>
              <w:t>10</w:t>
            </w:r>
          </w:p>
        </w:tc>
        <w:tc>
          <w:tcPr>
            <w:tcW w:w="1375" w:type="pct"/>
            <w:vAlign w:val="center"/>
          </w:tcPr>
          <w:p w14:paraId="12458E68">
            <w:pPr>
              <w:jc w:val="center"/>
            </w:pPr>
            <w:r>
              <w:rPr>
                <w:rFonts w:hint="eastAsia"/>
              </w:rPr>
              <w:t>液压顶管机</w:t>
            </w:r>
          </w:p>
        </w:tc>
        <w:tc>
          <w:tcPr>
            <w:tcW w:w="1223" w:type="pct"/>
            <w:vAlign w:val="center"/>
          </w:tcPr>
          <w:p w14:paraId="722E2912">
            <w:pPr>
              <w:jc w:val="center"/>
            </w:pPr>
            <w:r>
              <w:rPr>
                <w:rFonts w:hint="eastAsia"/>
              </w:rPr>
              <w:t>5</w:t>
            </w:r>
          </w:p>
        </w:tc>
        <w:tc>
          <w:tcPr>
            <w:tcW w:w="1223" w:type="pct"/>
            <w:vAlign w:val="center"/>
          </w:tcPr>
          <w:p w14:paraId="0F3EEE6B">
            <w:pPr>
              <w:jc w:val="center"/>
            </w:pPr>
            <w:r>
              <w:rPr>
                <w:rFonts w:hint="eastAsia"/>
              </w:rPr>
              <w:t>90</w:t>
            </w:r>
          </w:p>
        </w:tc>
        <w:tc>
          <w:tcPr>
            <w:tcW w:w="784" w:type="pct"/>
            <w:vAlign w:val="center"/>
          </w:tcPr>
          <w:p w14:paraId="19A2DB1B">
            <w:pPr>
              <w:jc w:val="center"/>
            </w:pPr>
            <w:r>
              <w:t>间歇</w:t>
            </w:r>
          </w:p>
        </w:tc>
      </w:tr>
      <w:tr w14:paraId="2FE19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93" w:type="pct"/>
            <w:vAlign w:val="center"/>
          </w:tcPr>
          <w:p w14:paraId="6C08DBD7">
            <w:pPr>
              <w:jc w:val="center"/>
            </w:pPr>
            <w:r>
              <w:rPr>
                <w:rFonts w:hint="eastAsia"/>
              </w:rPr>
              <w:t>11</w:t>
            </w:r>
          </w:p>
        </w:tc>
        <w:tc>
          <w:tcPr>
            <w:tcW w:w="1375" w:type="pct"/>
            <w:vAlign w:val="center"/>
          </w:tcPr>
          <w:p w14:paraId="221BAEFC">
            <w:pPr>
              <w:jc w:val="center"/>
            </w:pPr>
            <w:r>
              <w:rPr>
                <w:rFonts w:hint="eastAsia"/>
              </w:rPr>
              <w:t>运输车辆</w:t>
            </w:r>
          </w:p>
        </w:tc>
        <w:tc>
          <w:tcPr>
            <w:tcW w:w="1223" w:type="pct"/>
            <w:vAlign w:val="center"/>
          </w:tcPr>
          <w:p w14:paraId="0E0A46FE">
            <w:pPr>
              <w:jc w:val="center"/>
            </w:pPr>
            <w:r>
              <w:t>5</w:t>
            </w:r>
          </w:p>
        </w:tc>
        <w:tc>
          <w:tcPr>
            <w:tcW w:w="1223" w:type="pct"/>
            <w:vAlign w:val="center"/>
          </w:tcPr>
          <w:p w14:paraId="6717F6C4">
            <w:pPr>
              <w:jc w:val="center"/>
            </w:pPr>
            <w:r>
              <w:rPr>
                <w:rFonts w:hint="eastAsia"/>
              </w:rPr>
              <w:t>9</w:t>
            </w:r>
            <w:r>
              <w:t>0</w:t>
            </w:r>
          </w:p>
        </w:tc>
        <w:tc>
          <w:tcPr>
            <w:tcW w:w="784" w:type="pct"/>
            <w:vAlign w:val="center"/>
          </w:tcPr>
          <w:p w14:paraId="68CF2835">
            <w:pPr>
              <w:jc w:val="center"/>
            </w:pPr>
            <w:r>
              <w:t>间歇</w:t>
            </w:r>
          </w:p>
        </w:tc>
      </w:tr>
    </w:tbl>
    <w:p w14:paraId="767FF544">
      <w:pPr>
        <w:pStyle w:val="234"/>
        <w:snapToGrid w:val="0"/>
        <w:spacing w:before="120" w:beforeLines="50"/>
        <w:ind w:firstLine="482"/>
        <w:rPr>
          <w:b/>
          <w:bCs/>
        </w:rPr>
      </w:pPr>
      <w:r>
        <w:rPr>
          <w:b/>
          <w:bCs/>
        </w:rPr>
        <w:t>（4）固体废物污染源分析</w:t>
      </w:r>
    </w:p>
    <w:p w14:paraId="5BFA491A">
      <w:pPr>
        <w:pStyle w:val="234"/>
      </w:pPr>
      <w:r>
        <w:t>施工期固体废物主要为施工废料</w:t>
      </w:r>
      <w:r>
        <w:rPr>
          <w:rFonts w:hint="eastAsia"/>
        </w:rPr>
        <w:t>、清管废渣、建筑垃圾、废油漆桶</w:t>
      </w:r>
      <w:r>
        <w:t>和生活垃圾，无弃土弃渣。</w:t>
      </w:r>
    </w:p>
    <w:p w14:paraId="1C368006">
      <w:pPr>
        <w:spacing w:line="360" w:lineRule="auto"/>
        <w:ind w:firstLine="480" w:firstLineChars="200"/>
        <w:rPr>
          <w:sz w:val="24"/>
        </w:rPr>
      </w:pPr>
      <w:r>
        <w:rPr>
          <w:sz w:val="24"/>
        </w:rPr>
        <w:fldChar w:fldCharType="begin"/>
      </w:r>
      <w:r>
        <w:rPr>
          <w:sz w:val="24"/>
        </w:rPr>
        <w:instrText xml:space="preserve"> = 1 \* GB3 </w:instrText>
      </w:r>
      <w:r>
        <w:rPr>
          <w:sz w:val="24"/>
        </w:rPr>
        <w:fldChar w:fldCharType="separate"/>
      </w:r>
      <w:r>
        <w:rPr>
          <w:rFonts w:hint="eastAsia" w:ascii="宋体" w:hAnsi="宋体" w:cs="宋体"/>
          <w:sz w:val="24"/>
        </w:rPr>
        <w:t>①</w:t>
      </w:r>
      <w:r>
        <w:rPr>
          <w:sz w:val="24"/>
        </w:rPr>
        <w:fldChar w:fldCharType="end"/>
      </w:r>
      <w:r>
        <w:rPr>
          <w:sz w:val="24"/>
        </w:rPr>
        <w:t>施工废料</w:t>
      </w:r>
    </w:p>
    <w:p w14:paraId="1D752AC5">
      <w:pPr>
        <w:spacing w:line="360" w:lineRule="auto"/>
        <w:ind w:firstLine="480" w:firstLineChars="200"/>
        <w:rPr>
          <w:sz w:val="24"/>
        </w:rPr>
      </w:pPr>
      <w:r>
        <w:rPr>
          <w:sz w:val="24"/>
        </w:rPr>
        <w:t>施工废料主要包括焊接作业中产生废焊条焊渣、防腐作业中产生的废防腐材料</w:t>
      </w:r>
      <w:r>
        <w:rPr>
          <w:rFonts w:hint="eastAsia"/>
          <w:sz w:val="24"/>
        </w:rPr>
        <w:t>、清管产生的</w:t>
      </w:r>
      <w:r>
        <w:rPr>
          <w:sz w:val="24"/>
        </w:rPr>
        <w:t>焊渣</w:t>
      </w:r>
      <w:r>
        <w:rPr>
          <w:rFonts w:hint="eastAsia"/>
          <w:sz w:val="24"/>
        </w:rPr>
        <w:t>、</w:t>
      </w:r>
      <w:r>
        <w:rPr>
          <w:sz w:val="24"/>
        </w:rPr>
        <w:t>氧化铁及施工过程中产生的废混凝土等。根据类比调查，施工废料的产生量按0.2t/km估算，本工程管道全长</w:t>
      </w:r>
      <w:r>
        <w:rPr>
          <w:rFonts w:hint="eastAsia"/>
          <w:sz w:val="24"/>
        </w:rPr>
        <w:t>0.</w:t>
      </w:r>
      <w:r>
        <w:rPr>
          <w:rFonts w:hint="eastAsia"/>
          <w:sz w:val="24"/>
          <w:lang w:eastAsia="zh-CN"/>
        </w:rPr>
        <w:t>760</w:t>
      </w:r>
      <w:r>
        <w:rPr>
          <w:sz w:val="24"/>
        </w:rPr>
        <w:t>km，则施工过程产生的施工废料总量约为</w:t>
      </w:r>
      <w:r>
        <w:rPr>
          <w:rFonts w:hint="eastAsia"/>
          <w:sz w:val="24"/>
        </w:rPr>
        <w:t>0.15</w:t>
      </w:r>
      <w:r>
        <w:rPr>
          <w:sz w:val="24"/>
        </w:rPr>
        <w:t>t。施工废料部分回收利用，剩余废料交由工业废物回收单位处置。</w:t>
      </w:r>
    </w:p>
    <w:p w14:paraId="5E351841">
      <w:pPr>
        <w:spacing w:line="360" w:lineRule="auto"/>
        <w:ind w:firstLine="480" w:firstLineChars="200"/>
        <w:rPr>
          <w:sz w:val="24"/>
        </w:rPr>
      </w:pPr>
      <w:r>
        <w:rPr>
          <w:sz w:val="24"/>
        </w:rPr>
        <w:fldChar w:fldCharType="begin"/>
      </w:r>
      <w:r>
        <w:rPr>
          <w:sz w:val="24"/>
        </w:rPr>
        <w:instrText xml:space="preserve"> = 2 \* GB3 </w:instrText>
      </w:r>
      <w:r>
        <w:rPr>
          <w:sz w:val="24"/>
        </w:rPr>
        <w:fldChar w:fldCharType="separate"/>
      </w:r>
      <w:r>
        <w:rPr>
          <w:rFonts w:hint="eastAsia" w:ascii="宋体" w:hAnsi="宋体" w:cs="宋体"/>
          <w:sz w:val="24"/>
        </w:rPr>
        <w:t>②</w:t>
      </w:r>
      <w:r>
        <w:rPr>
          <w:sz w:val="24"/>
        </w:rPr>
        <w:fldChar w:fldCharType="end"/>
      </w:r>
      <w:r>
        <w:rPr>
          <w:rFonts w:hint="eastAsia"/>
          <w:sz w:val="24"/>
        </w:rPr>
        <w:t>清管废渣</w:t>
      </w:r>
    </w:p>
    <w:p w14:paraId="404D3578">
      <w:pPr>
        <w:spacing w:line="360" w:lineRule="auto"/>
        <w:ind w:firstLine="480" w:firstLineChars="200"/>
        <w:rPr>
          <w:sz w:val="24"/>
        </w:rPr>
      </w:pPr>
      <w:r>
        <w:rPr>
          <w:rFonts w:hint="eastAsia"/>
          <w:sz w:val="24"/>
        </w:rPr>
        <w:t>按照《油气管道工程清管试压及干燥技术规定》（DEC-OGP-G-PL-011-2020-1）的规定，本项目管道清管次数不应少于2次。第一次管段清洗采用的清管器应根据清管方案现场确定，第二次无内涂层的管道采用钢丝刷清管器，清除焊渣和氧化铁。本工程采用临时清管装置进行清管，根据同类型管道工程施工经验，清管废渣产生量按最大0.3kg/10km计，本工程管道0.</w:t>
      </w:r>
      <w:r>
        <w:rPr>
          <w:rFonts w:hint="eastAsia"/>
          <w:sz w:val="24"/>
          <w:lang w:eastAsia="zh-CN"/>
        </w:rPr>
        <w:t>760</w:t>
      </w:r>
      <w:r>
        <w:rPr>
          <w:rFonts w:hint="eastAsia"/>
          <w:sz w:val="24"/>
        </w:rPr>
        <w:t>km，清管废渣产生量为0.02kg，属于一般固废，及时清运至环卫部门指定地点集中处置。</w:t>
      </w:r>
    </w:p>
    <w:p w14:paraId="3581DE1B">
      <w:pPr>
        <w:spacing w:line="360" w:lineRule="auto"/>
        <w:ind w:firstLine="480" w:firstLineChars="200"/>
        <w:rPr>
          <w:sz w:val="24"/>
        </w:rPr>
      </w:pPr>
      <w:r>
        <w:rPr>
          <w:sz w:val="24"/>
        </w:rPr>
        <w:fldChar w:fldCharType="begin"/>
      </w:r>
      <w:r>
        <w:rPr>
          <w:sz w:val="24"/>
        </w:rPr>
        <w:instrText xml:space="preserve"> = 3 \* GB3 </w:instrText>
      </w:r>
      <w:r>
        <w:rPr>
          <w:sz w:val="24"/>
        </w:rPr>
        <w:fldChar w:fldCharType="separate"/>
      </w:r>
      <w:r>
        <w:rPr>
          <w:rFonts w:hint="eastAsia" w:ascii="宋体" w:hAnsi="宋体" w:cs="宋体"/>
          <w:sz w:val="24"/>
        </w:rPr>
        <w:t>③</w:t>
      </w:r>
      <w:r>
        <w:rPr>
          <w:sz w:val="24"/>
        </w:rPr>
        <w:fldChar w:fldCharType="end"/>
      </w:r>
      <w:r>
        <w:rPr>
          <w:rFonts w:hint="eastAsia"/>
          <w:sz w:val="24"/>
        </w:rPr>
        <w:t>建筑垃圾</w:t>
      </w:r>
    </w:p>
    <w:p w14:paraId="095E2D42">
      <w:pPr>
        <w:spacing w:line="360" w:lineRule="auto"/>
        <w:ind w:firstLine="480" w:firstLineChars="200"/>
        <w:rPr>
          <w:sz w:val="24"/>
        </w:rPr>
      </w:pPr>
      <w:r>
        <w:rPr>
          <w:rFonts w:hint="eastAsia"/>
          <w:sz w:val="24"/>
        </w:rPr>
        <w:t>本工程管线无拆迁工程，仅在28号阀室改造和耒阳分输站建设过程中产生少量建筑垃圾，经估算，建筑垃圾产生量为</w:t>
      </w:r>
      <w:r>
        <w:rPr>
          <w:sz w:val="24"/>
        </w:rPr>
        <w:t>25</w:t>
      </w:r>
      <w:r>
        <w:rPr>
          <w:rFonts w:hint="eastAsia"/>
          <w:sz w:val="24"/>
        </w:rPr>
        <w:t>t，建筑垃圾清运至当地政府指定建筑垃圾消纳场进行处理。</w:t>
      </w:r>
    </w:p>
    <w:p w14:paraId="6920E489">
      <w:pPr>
        <w:spacing w:line="360" w:lineRule="auto"/>
        <w:ind w:firstLine="480" w:firstLineChars="200"/>
        <w:rPr>
          <w:sz w:val="24"/>
        </w:rPr>
      </w:pPr>
      <w:r>
        <w:rPr>
          <w:rFonts w:hint="eastAsia"/>
          <w:sz w:val="24"/>
        </w:rPr>
        <w:t>④废油漆桶</w:t>
      </w:r>
    </w:p>
    <w:p w14:paraId="2D96C0E3">
      <w:pPr>
        <w:spacing w:line="360" w:lineRule="auto"/>
        <w:ind w:firstLine="480" w:firstLineChars="200"/>
        <w:rPr>
          <w:sz w:val="24"/>
        </w:rPr>
      </w:pPr>
      <w:r>
        <w:rPr>
          <w:rFonts w:hint="eastAsia"/>
          <w:sz w:val="24"/>
        </w:rPr>
        <w:t>耒阳分输站建成后需对站内地上管道、设备、钢结构等进行涂色和标识，使用的涂装材料为油漆，会产生少量废油漆桶，属于危险废物，及时委托有资质单位处置。</w:t>
      </w:r>
    </w:p>
    <w:p w14:paraId="1A5A9379">
      <w:pPr>
        <w:spacing w:line="360" w:lineRule="auto"/>
        <w:ind w:firstLine="480" w:firstLineChars="200"/>
        <w:rPr>
          <w:sz w:val="24"/>
        </w:rPr>
      </w:pPr>
      <w:r>
        <w:rPr>
          <w:rFonts w:hint="eastAsia"/>
          <w:sz w:val="24"/>
        </w:rPr>
        <w:t>⑤</w:t>
      </w:r>
      <w:r>
        <w:rPr>
          <w:sz w:val="24"/>
        </w:rPr>
        <w:t>生活垃圾</w:t>
      </w:r>
    </w:p>
    <w:p w14:paraId="671F2434">
      <w:pPr>
        <w:spacing w:line="360" w:lineRule="auto"/>
        <w:ind w:firstLine="480" w:firstLineChars="200"/>
        <w:rPr>
          <w:sz w:val="24"/>
        </w:rPr>
      </w:pPr>
      <w:r>
        <w:rPr>
          <w:rFonts w:hint="eastAsia"/>
          <w:sz w:val="24"/>
        </w:rPr>
        <w:t>本工程管道及站场施工期施工人员高峰期约30人，施工期约6个月，生活垃圾产生量以0.6kg/（人·d）计，则</w:t>
      </w:r>
      <w:r>
        <w:rPr>
          <w:sz w:val="24"/>
        </w:rPr>
        <w:t>生活垃圾产生为</w:t>
      </w:r>
      <w:r>
        <w:rPr>
          <w:rFonts w:hint="eastAsia"/>
          <w:sz w:val="24"/>
        </w:rPr>
        <w:t>3.24</w:t>
      </w:r>
      <w:r>
        <w:rPr>
          <w:sz w:val="24"/>
        </w:rPr>
        <w:t>t。生活垃圾</w:t>
      </w:r>
      <w:r>
        <w:rPr>
          <w:rFonts w:hint="eastAsia"/>
          <w:sz w:val="24"/>
        </w:rPr>
        <w:t>经分类收集后，交当地环卫部门处置</w:t>
      </w:r>
      <w:r>
        <w:rPr>
          <w:sz w:val="24"/>
        </w:rPr>
        <w:t>。</w:t>
      </w:r>
    </w:p>
    <w:p w14:paraId="2D1D2B10">
      <w:pPr>
        <w:spacing w:line="360" w:lineRule="auto"/>
        <w:ind w:firstLine="480" w:firstLineChars="200"/>
        <w:rPr>
          <w:sz w:val="24"/>
        </w:rPr>
      </w:pPr>
      <w:r>
        <w:rPr>
          <w:sz w:val="24"/>
        </w:rPr>
        <w:t>施工期固废产生情况见表3.</w:t>
      </w:r>
      <w:r>
        <w:rPr>
          <w:rFonts w:hint="eastAsia"/>
          <w:sz w:val="24"/>
        </w:rPr>
        <w:t>4</w:t>
      </w:r>
      <w:r>
        <w:rPr>
          <w:sz w:val="24"/>
        </w:rPr>
        <w:t>-9。</w:t>
      </w:r>
    </w:p>
    <w:p w14:paraId="6272B583">
      <w:pPr>
        <w:pStyle w:val="904"/>
      </w:pPr>
      <w:r>
        <w:t>表3.</w:t>
      </w:r>
      <w:r>
        <w:rPr>
          <w:rFonts w:hint="eastAsia"/>
        </w:rPr>
        <w:t>4</w:t>
      </w:r>
      <w:r>
        <w:t>-9施工期固体废物分析结果汇总表</w:t>
      </w:r>
    </w:p>
    <w:tbl>
      <w:tblPr>
        <w:tblStyle w:val="88"/>
        <w:tblW w:w="507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53"/>
        <w:gridCol w:w="967"/>
        <w:gridCol w:w="1011"/>
        <w:gridCol w:w="1044"/>
        <w:gridCol w:w="1046"/>
        <w:gridCol w:w="707"/>
        <w:gridCol w:w="1769"/>
        <w:gridCol w:w="777"/>
        <w:gridCol w:w="1828"/>
      </w:tblGrid>
      <w:tr w14:paraId="203F3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36" w:type="pct"/>
            <w:vAlign w:val="center"/>
          </w:tcPr>
          <w:p w14:paraId="709A296D">
            <w:pPr>
              <w:jc w:val="center"/>
            </w:pPr>
            <w:r>
              <w:t>序号</w:t>
            </w:r>
          </w:p>
        </w:tc>
        <w:tc>
          <w:tcPr>
            <w:tcW w:w="503" w:type="pct"/>
            <w:vAlign w:val="center"/>
          </w:tcPr>
          <w:p w14:paraId="5CC1FD85">
            <w:pPr>
              <w:jc w:val="center"/>
            </w:pPr>
            <w:r>
              <w:t>固废名称</w:t>
            </w:r>
          </w:p>
        </w:tc>
        <w:tc>
          <w:tcPr>
            <w:tcW w:w="526" w:type="pct"/>
            <w:vAlign w:val="center"/>
          </w:tcPr>
          <w:p w14:paraId="7DC327BD">
            <w:pPr>
              <w:jc w:val="center"/>
            </w:pPr>
            <w:r>
              <w:t>属性</w:t>
            </w:r>
          </w:p>
        </w:tc>
        <w:tc>
          <w:tcPr>
            <w:tcW w:w="543" w:type="pct"/>
            <w:vAlign w:val="center"/>
          </w:tcPr>
          <w:p w14:paraId="10C458B5">
            <w:pPr>
              <w:jc w:val="center"/>
            </w:pPr>
            <w:r>
              <w:rPr>
                <w:rFonts w:hint="eastAsia"/>
              </w:rPr>
              <w:t>代码</w:t>
            </w:r>
          </w:p>
        </w:tc>
        <w:tc>
          <w:tcPr>
            <w:tcW w:w="544" w:type="pct"/>
            <w:vAlign w:val="center"/>
          </w:tcPr>
          <w:p w14:paraId="178BFA66">
            <w:pPr>
              <w:jc w:val="center"/>
            </w:pPr>
            <w:r>
              <w:t>产生工序</w:t>
            </w:r>
          </w:p>
        </w:tc>
        <w:tc>
          <w:tcPr>
            <w:tcW w:w="368" w:type="pct"/>
            <w:vAlign w:val="center"/>
          </w:tcPr>
          <w:p w14:paraId="733A0DD8">
            <w:pPr>
              <w:jc w:val="center"/>
            </w:pPr>
            <w:r>
              <w:t>形态</w:t>
            </w:r>
          </w:p>
        </w:tc>
        <w:tc>
          <w:tcPr>
            <w:tcW w:w="920" w:type="pct"/>
            <w:vAlign w:val="center"/>
          </w:tcPr>
          <w:p w14:paraId="3B5402C1">
            <w:pPr>
              <w:jc w:val="center"/>
            </w:pPr>
            <w:r>
              <w:t>主要成分</w:t>
            </w:r>
          </w:p>
        </w:tc>
        <w:tc>
          <w:tcPr>
            <w:tcW w:w="404" w:type="pct"/>
            <w:vAlign w:val="center"/>
          </w:tcPr>
          <w:p w14:paraId="71A1D417">
            <w:pPr>
              <w:jc w:val="center"/>
            </w:pPr>
            <w:r>
              <w:t>估算产生量</w:t>
            </w:r>
          </w:p>
        </w:tc>
        <w:tc>
          <w:tcPr>
            <w:tcW w:w="951" w:type="pct"/>
            <w:vAlign w:val="center"/>
          </w:tcPr>
          <w:p w14:paraId="008E6262">
            <w:pPr>
              <w:jc w:val="center"/>
            </w:pPr>
            <w:r>
              <w:t>处置方式</w:t>
            </w:r>
          </w:p>
        </w:tc>
      </w:tr>
      <w:tr w14:paraId="29721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0" w:hRule="atLeast"/>
        </w:trPr>
        <w:tc>
          <w:tcPr>
            <w:tcW w:w="236" w:type="pct"/>
            <w:vMerge w:val="restart"/>
            <w:vAlign w:val="center"/>
          </w:tcPr>
          <w:p w14:paraId="79D0025A">
            <w:pPr>
              <w:jc w:val="center"/>
            </w:pPr>
            <w:r>
              <w:rPr>
                <w:rFonts w:hint="eastAsia"/>
              </w:rPr>
              <w:t>1</w:t>
            </w:r>
          </w:p>
        </w:tc>
        <w:tc>
          <w:tcPr>
            <w:tcW w:w="503" w:type="pct"/>
            <w:vMerge w:val="restart"/>
            <w:vAlign w:val="center"/>
          </w:tcPr>
          <w:p w14:paraId="0A8FC817">
            <w:pPr>
              <w:jc w:val="center"/>
            </w:pPr>
            <w:r>
              <w:t>施工废料</w:t>
            </w:r>
          </w:p>
        </w:tc>
        <w:tc>
          <w:tcPr>
            <w:tcW w:w="526" w:type="pct"/>
            <w:vMerge w:val="restart"/>
            <w:vAlign w:val="center"/>
          </w:tcPr>
          <w:p w14:paraId="1BF14A20">
            <w:pPr>
              <w:jc w:val="center"/>
            </w:pPr>
            <w:r>
              <w:t>一般固体废物</w:t>
            </w:r>
          </w:p>
        </w:tc>
        <w:tc>
          <w:tcPr>
            <w:tcW w:w="543" w:type="pct"/>
            <w:vAlign w:val="center"/>
          </w:tcPr>
          <w:p w14:paraId="0A6A3276">
            <w:pPr>
              <w:jc w:val="center"/>
            </w:pPr>
            <w:r>
              <w:rPr>
                <w:rFonts w:hint="eastAsia"/>
              </w:rPr>
              <w:t>900-001-S17</w:t>
            </w:r>
          </w:p>
        </w:tc>
        <w:tc>
          <w:tcPr>
            <w:tcW w:w="544" w:type="pct"/>
            <w:vMerge w:val="restart"/>
            <w:vAlign w:val="center"/>
          </w:tcPr>
          <w:p w14:paraId="0C8365E4">
            <w:pPr>
              <w:jc w:val="center"/>
            </w:pPr>
            <w:r>
              <w:t>管道施工</w:t>
            </w:r>
          </w:p>
        </w:tc>
        <w:tc>
          <w:tcPr>
            <w:tcW w:w="368" w:type="pct"/>
            <w:vMerge w:val="restart"/>
            <w:vAlign w:val="center"/>
          </w:tcPr>
          <w:p w14:paraId="558F6E1A">
            <w:pPr>
              <w:jc w:val="center"/>
            </w:pPr>
            <w:r>
              <w:t>固态</w:t>
            </w:r>
          </w:p>
        </w:tc>
        <w:tc>
          <w:tcPr>
            <w:tcW w:w="920" w:type="pct"/>
            <w:vAlign w:val="center"/>
          </w:tcPr>
          <w:p w14:paraId="2C8F8568">
            <w:pPr>
              <w:jc w:val="center"/>
            </w:pPr>
            <w:r>
              <w:rPr>
                <w:rFonts w:hint="eastAsia"/>
              </w:rPr>
              <w:t>废焊条焊渣</w:t>
            </w:r>
          </w:p>
        </w:tc>
        <w:tc>
          <w:tcPr>
            <w:tcW w:w="404" w:type="pct"/>
            <w:vMerge w:val="restart"/>
            <w:vAlign w:val="center"/>
          </w:tcPr>
          <w:p w14:paraId="3CAD09D8">
            <w:pPr>
              <w:jc w:val="center"/>
            </w:pPr>
            <w:r>
              <w:rPr>
                <w:rFonts w:hint="eastAsia"/>
              </w:rPr>
              <w:t>0.15</w:t>
            </w:r>
            <w:r>
              <w:t>t</w:t>
            </w:r>
          </w:p>
        </w:tc>
        <w:tc>
          <w:tcPr>
            <w:tcW w:w="951" w:type="pct"/>
            <w:vMerge w:val="restart"/>
            <w:vAlign w:val="center"/>
          </w:tcPr>
          <w:p w14:paraId="3C505414">
            <w:pPr>
              <w:jc w:val="center"/>
            </w:pPr>
            <w:r>
              <w:t>部分回收利用，剩余废料交由工业废物回收单位处置</w:t>
            </w:r>
          </w:p>
        </w:tc>
      </w:tr>
      <w:tr w14:paraId="70933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0" w:hRule="atLeast"/>
        </w:trPr>
        <w:tc>
          <w:tcPr>
            <w:tcW w:w="236" w:type="pct"/>
            <w:vMerge w:val="continue"/>
            <w:vAlign w:val="center"/>
          </w:tcPr>
          <w:p w14:paraId="56C17A05">
            <w:pPr>
              <w:jc w:val="center"/>
            </w:pPr>
          </w:p>
        </w:tc>
        <w:tc>
          <w:tcPr>
            <w:tcW w:w="503" w:type="pct"/>
            <w:vMerge w:val="continue"/>
            <w:vAlign w:val="center"/>
          </w:tcPr>
          <w:p w14:paraId="2C1039DA">
            <w:pPr>
              <w:jc w:val="center"/>
            </w:pPr>
          </w:p>
        </w:tc>
        <w:tc>
          <w:tcPr>
            <w:tcW w:w="526" w:type="pct"/>
            <w:vMerge w:val="continue"/>
            <w:vAlign w:val="center"/>
          </w:tcPr>
          <w:p w14:paraId="5CC3CD14">
            <w:pPr>
              <w:jc w:val="center"/>
            </w:pPr>
          </w:p>
        </w:tc>
        <w:tc>
          <w:tcPr>
            <w:tcW w:w="543" w:type="pct"/>
            <w:vAlign w:val="center"/>
          </w:tcPr>
          <w:p w14:paraId="393F7733">
            <w:pPr>
              <w:jc w:val="center"/>
            </w:pPr>
            <w:r>
              <w:rPr>
                <w:rFonts w:hint="eastAsia"/>
              </w:rPr>
              <w:t>900-011-S17</w:t>
            </w:r>
          </w:p>
        </w:tc>
        <w:tc>
          <w:tcPr>
            <w:tcW w:w="544" w:type="pct"/>
            <w:vMerge w:val="continue"/>
            <w:vAlign w:val="center"/>
          </w:tcPr>
          <w:p w14:paraId="75E53B29">
            <w:pPr>
              <w:jc w:val="center"/>
            </w:pPr>
          </w:p>
        </w:tc>
        <w:tc>
          <w:tcPr>
            <w:tcW w:w="368" w:type="pct"/>
            <w:vMerge w:val="continue"/>
            <w:vAlign w:val="center"/>
          </w:tcPr>
          <w:p w14:paraId="0E8A2CBF">
            <w:pPr>
              <w:jc w:val="center"/>
            </w:pPr>
          </w:p>
        </w:tc>
        <w:tc>
          <w:tcPr>
            <w:tcW w:w="920" w:type="pct"/>
            <w:vAlign w:val="center"/>
          </w:tcPr>
          <w:p w14:paraId="1256B26C">
            <w:pPr>
              <w:jc w:val="center"/>
            </w:pPr>
            <w:r>
              <w:rPr>
                <w:rFonts w:hint="eastAsia"/>
              </w:rPr>
              <w:t>防腐作业中产生的废防腐材料</w:t>
            </w:r>
          </w:p>
        </w:tc>
        <w:tc>
          <w:tcPr>
            <w:tcW w:w="404" w:type="pct"/>
            <w:vMerge w:val="continue"/>
            <w:vAlign w:val="center"/>
          </w:tcPr>
          <w:p w14:paraId="58A9CC63">
            <w:pPr>
              <w:jc w:val="center"/>
            </w:pPr>
          </w:p>
        </w:tc>
        <w:tc>
          <w:tcPr>
            <w:tcW w:w="951" w:type="pct"/>
            <w:vMerge w:val="continue"/>
            <w:vAlign w:val="center"/>
          </w:tcPr>
          <w:p w14:paraId="2E7DA4E2">
            <w:pPr>
              <w:jc w:val="center"/>
            </w:pPr>
          </w:p>
        </w:tc>
      </w:tr>
      <w:tr w14:paraId="3F703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0" w:hRule="atLeast"/>
        </w:trPr>
        <w:tc>
          <w:tcPr>
            <w:tcW w:w="236" w:type="pct"/>
            <w:vMerge w:val="continue"/>
            <w:vAlign w:val="center"/>
          </w:tcPr>
          <w:p w14:paraId="7F03809E">
            <w:pPr>
              <w:jc w:val="center"/>
            </w:pPr>
          </w:p>
        </w:tc>
        <w:tc>
          <w:tcPr>
            <w:tcW w:w="503" w:type="pct"/>
            <w:vMerge w:val="continue"/>
            <w:vAlign w:val="center"/>
          </w:tcPr>
          <w:p w14:paraId="413F3AA4">
            <w:pPr>
              <w:jc w:val="center"/>
            </w:pPr>
          </w:p>
        </w:tc>
        <w:tc>
          <w:tcPr>
            <w:tcW w:w="526" w:type="pct"/>
            <w:vMerge w:val="continue"/>
            <w:vAlign w:val="center"/>
          </w:tcPr>
          <w:p w14:paraId="14291B13">
            <w:pPr>
              <w:jc w:val="center"/>
            </w:pPr>
          </w:p>
        </w:tc>
        <w:tc>
          <w:tcPr>
            <w:tcW w:w="543" w:type="pct"/>
            <w:vAlign w:val="center"/>
          </w:tcPr>
          <w:p w14:paraId="2277BA6C">
            <w:pPr>
              <w:jc w:val="center"/>
            </w:pPr>
            <w:r>
              <w:rPr>
                <w:rFonts w:hint="eastAsia"/>
              </w:rPr>
              <w:t>900-001-S72</w:t>
            </w:r>
          </w:p>
        </w:tc>
        <w:tc>
          <w:tcPr>
            <w:tcW w:w="544" w:type="pct"/>
            <w:vMerge w:val="continue"/>
            <w:vAlign w:val="center"/>
          </w:tcPr>
          <w:p w14:paraId="593CB048">
            <w:pPr>
              <w:jc w:val="center"/>
            </w:pPr>
          </w:p>
        </w:tc>
        <w:tc>
          <w:tcPr>
            <w:tcW w:w="368" w:type="pct"/>
            <w:vMerge w:val="continue"/>
            <w:vAlign w:val="center"/>
          </w:tcPr>
          <w:p w14:paraId="6DC97371">
            <w:pPr>
              <w:jc w:val="center"/>
            </w:pPr>
          </w:p>
        </w:tc>
        <w:tc>
          <w:tcPr>
            <w:tcW w:w="920" w:type="pct"/>
            <w:vAlign w:val="center"/>
          </w:tcPr>
          <w:p w14:paraId="0FB6C803">
            <w:pPr>
              <w:jc w:val="center"/>
            </w:pPr>
            <w:r>
              <w:rPr>
                <w:rFonts w:hint="eastAsia"/>
              </w:rPr>
              <w:t>施工过程中产生的废混凝土等</w:t>
            </w:r>
          </w:p>
        </w:tc>
        <w:tc>
          <w:tcPr>
            <w:tcW w:w="404" w:type="pct"/>
            <w:vMerge w:val="continue"/>
            <w:vAlign w:val="center"/>
          </w:tcPr>
          <w:p w14:paraId="792272D2">
            <w:pPr>
              <w:jc w:val="center"/>
            </w:pPr>
          </w:p>
        </w:tc>
        <w:tc>
          <w:tcPr>
            <w:tcW w:w="951" w:type="pct"/>
            <w:vMerge w:val="continue"/>
            <w:vAlign w:val="center"/>
          </w:tcPr>
          <w:p w14:paraId="48C1F2C1">
            <w:pPr>
              <w:jc w:val="center"/>
            </w:pPr>
          </w:p>
        </w:tc>
      </w:tr>
      <w:tr w14:paraId="1384B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36" w:type="pct"/>
            <w:vAlign w:val="center"/>
          </w:tcPr>
          <w:p w14:paraId="2507C56D">
            <w:pPr>
              <w:jc w:val="center"/>
            </w:pPr>
            <w:r>
              <w:t>2</w:t>
            </w:r>
          </w:p>
        </w:tc>
        <w:tc>
          <w:tcPr>
            <w:tcW w:w="503" w:type="pct"/>
            <w:vAlign w:val="center"/>
          </w:tcPr>
          <w:p w14:paraId="79998B95">
            <w:pPr>
              <w:jc w:val="center"/>
            </w:pPr>
            <w:r>
              <w:rPr>
                <w:rFonts w:hint="eastAsia"/>
              </w:rPr>
              <w:t>清管废渣</w:t>
            </w:r>
          </w:p>
        </w:tc>
        <w:tc>
          <w:tcPr>
            <w:tcW w:w="526" w:type="pct"/>
            <w:vAlign w:val="center"/>
          </w:tcPr>
          <w:p w14:paraId="4FF04B40">
            <w:pPr>
              <w:jc w:val="center"/>
            </w:pPr>
            <w:r>
              <w:t>一般固体废物</w:t>
            </w:r>
          </w:p>
        </w:tc>
        <w:tc>
          <w:tcPr>
            <w:tcW w:w="543" w:type="pct"/>
            <w:vAlign w:val="center"/>
          </w:tcPr>
          <w:p w14:paraId="72698FF3">
            <w:pPr>
              <w:jc w:val="center"/>
            </w:pPr>
            <w:r>
              <w:rPr>
                <w:rFonts w:hint="eastAsia"/>
              </w:rPr>
              <w:t>900-001-S17</w:t>
            </w:r>
          </w:p>
        </w:tc>
        <w:tc>
          <w:tcPr>
            <w:tcW w:w="544" w:type="pct"/>
            <w:vAlign w:val="center"/>
          </w:tcPr>
          <w:p w14:paraId="0B7A6120">
            <w:pPr>
              <w:jc w:val="center"/>
            </w:pPr>
            <w:r>
              <w:t>管道</w:t>
            </w:r>
            <w:r>
              <w:rPr>
                <w:rFonts w:hint="eastAsia"/>
              </w:rPr>
              <w:t>清管</w:t>
            </w:r>
          </w:p>
        </w:tc>
        <w:tc>
          <w:tcPr>
            <w:tcW w:w="368" w:type="pct"/>
            <w:vAlign w:val="center"/>
          </w:tcPr>
          <w:p w14:paraId="06B90776">
            <w:pPr>
              <w:jc w:val="center"/>
            </w:pPr>
            <w:r>
              <w:t>固态</w:t>
            </w:r>
          </w:p>
        </w:tc>
        <w:tc>
          <w:tcPr>
            <w:tcW w:w="920" w:type="pct"/>
            <w:vAlign w:val="center"/>
          </w:tcPr>
          <w:p w14:paraId="2F234396">
            <w:pPr>
              <w:jc w:val="center"/>
            </w:pPr>
            <w:r>
              <w:rPr>
                <w:rFonts w:hint="eastAsia"/>
              </w:rPr>
              <w:t>焊渣、氧化铁等</w:t>
            </w:r>
          </w:p>
        </w:tc>
        <w:tc>
          <w:tcPr>
            <w:tcW w:w="404" w:type="pct"/>
            <w:vAlign w:val="center"/>
          </w:tcPr>
          <w:p w14:paraId="1561C544">
            <w:pPr>
              <w:jc w:val="center"/>
            </w:pPr>
            <w:r>
              <w:rPr>
                <w:rFonts w:hint="eastAsia"/>
              </w:rPr>
              <w:t>0.02kg</w:t>
            </w:r>
          </w:p>
        </w:tc>
        <w:tc>
          <w:tcPr>
            <w:tcW w:w="951" w:type="pct"/>
            <w:vAlign w:val="center"/>
          </w:tcPr>
          <w:p w14:paraId="6A82F43C">
            <w:pPr>
              <w:jc w:val="center"/>
            </w:pPr>
            <w:r>
              <w:t>交当地环卫部门处置</w:t>
            </w:r>
          </w:p>
        </w:tc>
      </w:tr>
      <w:tr w14:paraId="594E4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36" w:type="pct"/>
            <w:vAlign w:val="center"/>
          </w:tcPr>
          <w:p w14:paraId="69A22460">
            <w:pPr>
              <w:jc w:val="center"/>
            </w:pPr>
            <w:r>
              <w:rPr>
                <w:rFonts w:hint="eastAsia"/>
              </w:rPr>
              <w:t>3</w:t>
            </w:r>
          </w:p>
        </w:tc>
        <w:tc>
          <w:tcPr>
            <w:tcW w:w="503" w:type="pct"/>
            <w:vAlign w:val="center"/>
          </w:tcPr>
          <w:p w14:paraId="5B27E170">
            <w:pPr>
              <w:jc w:val="center"/>
            </w:pPr>
            <w:r>
              <w:rPr>
                <w:rFonts w:hint="eastAsia"/>
              </w:rPr>
              <w:t>建筑垃圾</w:t>
            </w:r>
          </w:p>
        </w:tc>
        <w:tc>
          <w:tcPr>
            <w:tcW w:w="526" w:type="pct"/>
            <w:vAlign w:val="center"/>
          </w:tcPr>
          <w:p w14:paraId="1763E5D0">
            <w:pPr>
              <w:jc w:val="center"/>
            </w:pPr>
            <w:r>
              <w:rPr>
                <w:rFonts w:hint="eastAsia"/>
              </w:rPr>
              <w:t>建筑垃圾</w:t>
            </w:r>
          </w:p>
        </w:tc>
        <w:tc>
          <w:tcPr>
            <w:tcW w:w="543" w:type="pct"/>
            <w:vAlign w:val="center"/>
          </w:tcPr>
          <w:p w14:paraId="4B20D6E5">
            <w:pPr>
              <w:jc w:val="center"/>
            </w:pPr>
            <w:r>
              <w:rPr>
                <w:rFonts w:hint="eastAsia"/>
              </w:rPr>
              <w:t>900-001-S72</w:t>
            </w:r>
          </w:p>
        </w:tc>
        <w:tc>
          <w:tcPr>
            <w:tcW w:w="544" w:type="pct"/>
            <w:vAlign w:val="center"/>
          </w:tcPr>
          <w:p w14:paraId="77A8BB80">
            <w:pPr>
              <w:jc w:val="center"/>
            </w:pPr>
            <w:r>
              <w:rPr>
                <w:rFonts w:hint="eastAsia"/>
              </w:rPr>
              <w:t>场站施工</w:t>
            </w:r>
          </w:p>
        </w:tc>
        <w:tc>
          <w:tcPr>
            <w:tcW w:w="368" w:type="pct"/>
            <w:vAlign w:val="center"/>
          </w:tcPr>
          <w:p w14:paraId="5F3353B0">
            <w:pPr>
              <w:jc w:val="center"/>
            </w:pPr>
            <w:r>
              <w:t>固态</w:t>
            </w:r>
          </w:p>
        </w:tc>
        <w:tc>
          <w:tcPr>
            <w:tcW w:w="920" w:type="pct"/>
            <w:vAlign w:val="center"/>
          </w:tcPr>
          <w:p w14:paraId="2C681E1A">
            <w:pPr>
              <w:jc w:val="center"/>
            </w:pPr>
            <w:r>
              <w:t>砖块、混凝土等</w:t>
            </w:r>
          </w:p>
        </w:tc>
        <w:tc>
          <w:tcPr>
            <w:tcW w:w="404" w:type="pct"/>
            <w:vAlign w:val="center"/>
          </w:tcPr>
          <w:p w14:paraId="191F3D59">
            <w:pPr>
              <w:jc w:val="center"/>
            </w:pPr>
            <w:r>
              <w:rPr>
                <w:rFonts w:hint="eastAsia"/>
              </w:rPr>
              <w:t>2</w:t>
            </w:r>
            <w:r>
              <w:t>5</w:t>
            </w:r>
            <w:r>
              <w:rPr>
                <w:rFonts w:hint="eastAsia"/>
              </w:rPr>
              <w:t>t</w:t>
            </w:r>
          </w:p>
        </w:tc>
        <w:tc>
          <w:tcPr>
            <w:tcW w:w="951" w:type="pct"/>
            <w:vAlign w:val="center"/>
          </w:tcPr>
          <w:p w14:paraId="5CD447AC">
            <w:pPr>
              <w:jc w:val="center"/>
            </w:pPr>
            <w:r>
              <w:t>建筑垃圾清运至当地政府指定建筑垃圾消纳场进行处理</w:t>
            </w:r>
          </w:p>
        </w:tc>
      </w:tr>
      <w:tr w14:paraId="58941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36" w:type="pct"/>
            <w:vAlign w:val="center"/>
          </w:tcPr>
          <w:p w14:paraId="7A716BBE">
            <w:pPr>
              <w:jc w:val="center"/>
            </w:pPr>
            <w:r>
              <w:rPr>
                <w:rFonts w:hint="eastAsia"/>
              </w:rPr>
              <w:t>4</w:t>
            </w:r>
          </w:p>
        </w:tc>
        <w:tc>
          <w:tcPr>
            <w:tcW w:w="503" w:type="pct"/>
            <w:vAlign w:val="center"/>
          </w:tcPr>
          <w:p w14:paraId="3C840047">
            <w:pPr>
              <w:jc w:val="center"/>
            </w:pPr>
            <w:r>
              <w:rPr>
                <w:rFonts w:hint="eastAsia"/>
              </w:rPr>
              <w:t>废油漆桶</w:t>
            </w:r>
          </w:p>
        </w:tc>
        <w:tc>
          <w:tcPr>
            <w:tcW w:w="526" w:type="pct"/>
            <w:vAlign w:val="center"/>
          </w:tcPr>
          <w:p w14:paraId="331CF3B1">
            <w:pPr>
              <w:jc w:val="center"/>
            </w:pPr>
            <w:r>
              <w:rPr>
                <w:rFonts w:hint="eastAsia"/>
              </w:rPr>
              <w:t>危险废物</w:t>
            </w:r>
          </w:p>
        </w:tc>
        <w:tc>
          <w:tcPr>
            <w:tcW w:w="543" w:type="pct"/>
            <w:vAlign w:val="center"/>
          </w:tcPr>
          <w:p w14:paraId="19F4FB7F">
            <w:pPr>
              <w:jc w:val="center"/>
            </w:pPr>
            <w:r>
              <w:rPr>
                <w:rFonts w:hint="eastAsia"/>
              </w:rPr>
              <w:t>900-041-49</w:t>
            </w:r>
          </w:p>
        </w:tc>
        <w:tc>
          <w:tcPr>
            <w:tcW w:w="544" w:type="pct"/>
            <w:vAlign w:val="center"/>
          </w:tcPr>
          <w:p w14:paraId="7DFA65C9">
            <w:pPr>
              <w:jc w:val="center"/>
            </w:pPr>
            <w:r>
              <w:rPr>
                <w:rFonts w:hint="eastAsia"/>
              </w:rPr>
              <w:t>场站涂装</w:t>
            </w:r>
          </w:p>
        </w:tc>
        <w:tc>
          <w:tcPr>
            <w:tcW w:w="368" w:type="pct"/>
            <w:vAlign w:val="center"/>
          </w:tcPr>
          <w:p w14:paraId="7CD30E43">
            <w:pPr>
              <w:jc w:val="center"/>
            </w:pPr>
            <w:r>
              <w:rPr>
                <w:rFonts w:hint="eastAsia"/>
              </w:rPr>
              <w:t>固态</w:t>
            </w:r>
          </w:p>
        </w:tc>
        <w:tc>
          <w:tcPr>
            <w:tcW w:w="920" w:type="pct"/>
            <w:vAlign w:val="center"/>
          </w:tcPr>
          <w:p w14:paraId="20EAACD6">
            <w:pPr>
              <w:jc w:val="center"/>
            </w:pPr>
            <w:r>
              <w:rPr>
                <w:rFonts w:hint="eastAsia"/>
              </w:rPr>
              <w:t>铁桶、油漆（含有机溶剂）</w:t>
            </w:r>
          </w:p>
        </w:tc>
        <w:tc>
          <w:tcPr>
            <w:tcW w:w="404" w:type="pct"/>
            <w:vAlign w:val="center"/>
          </w:tcPr>
          <w:p w14:paraId="2B3C462B">
            <w:pPr>
              <w:jc w:val="center"/>
            </w:pPr>
            <w:r>
              <w:rPr>
                <w:rFonts w:hint="eastAsia"/>
              </w:rPr>
              <w:t>少量</w:t>
            </w:r>
          </w:p>
        </w:tc>
        <w:tc>
          <w:tcPr>
            <w:tcW w:w="951" w:type="pct"/>
            <w:vAlign w:val="center"/>
          </w:tcPr>
          <w:p w14:paraId="33935D65">
            <w:pPr>
              <w:jc w:val="center"/>
            </w:pPr>
            <w:r>
              <w:rPr>
                <w:rFonts w:hint="eastAsia"/>
              </w:rPr>
              <w:t>及时委托有资质单位处置</w:t>
            </w:r>
          </w:p>
        </w:tc>
      </w:tr>
      <w:tr w14:paraId="523CB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36" w:type="pct"/>
            <w:vAlign w:val="center"/>
          </w:tcPr>
          <w:p w14:paraId="3CF32DA2">
            <w:pPr>
              <w:jc w:val="center"/>
            </w:pPr>
            <w:r>
              <w:rPr>
                <w:rFonts w:hint="eastAsia"/>
              </w:rPr>
              <w:t>5</w:t>
            </w:r>
          </w:p>
        </w:tc>
        <w:tc>
          <w:tcPr>
            <w:tcW w:w="503" w:type="pct"/>
            <w:vAlign w:val="center"/>
          </w:tcPr>
          <w:p w14:paraId="6A24FF1B">
            <w:pPr>
              <w:jc w:val="center"/>
            </w:pPr>
            <w:r>
              <w:t>生活垃圾</w:t>
            </w:r>
          </w:p>
        </w:tc>
        <w:tc>
          <w:tcPr>
            <w:tcW w:w="526" w:type="pct"/>
            <w:vAlign w:val="center"/>
          </w:tcPr>
          <w:p w14:paraId="62452C7C">
            <w:pPr>
              <w:jc w:val="center"/>
            </w:pPr>
            <w:r>
              <w:t>生活垃圾</w:t>
            </w:r>
          </w:p>
        </w:tc>
        <w:tc>
          <w:tcPr>
            <w:tcW w:w="543" w:type="pct"/>
            <w:vAlign w:val="center"/>
          </w:tcPr>
          <w:p w14:paraId="4F4869DA">
            <w:pPr>
              <w:jc w:val="center"/>
            </w:pPr>
            <w:r>
              <w:rPr>
                <w:rFonts w:hint="eastAsia"/>
              </w:rPr>
              <w:t>900-002-S61</w:t>
            </w:r>
          </w:p>
        </w:tc>
        <w:tc>
          <w:tcPr>
            <w:tcW w:w="544" w:type="pct"/>
            <w:vAlign w:val="center"/>
          </w:tcPr>
          <w:p w14:paraId="722D023A">
            <w:pPr>
              <w:jc w:val="center"/>
            </w:pPr>
            <w:r>
              <w:t>日常生活</w:t>
            </w:r>
          </w:p>
        </w:tc>
        <w:tc>
          <w:tcPr>
            <w:tcW w:w="368" w:type="pct"/>
            <w:vAlign w:val="center"/>
          </w:tcPr>
          <w:p w14:paraId="644E91FF">
            <w:pPr>
              <w:jc w:val="center"/>
            </w:pPr>
            <w:r>
              <w:t>固态</w:t>
            </w:r>
          </w:p>
        </w:tc>
        <w:tc>
          <w:tcPr>
            <w:tcW w:w="920" w:type="pct"/>
            <w:vAlign w:val="center"/>
          </w:tcPr>
          <w:p w14:paraId="47238977">
            <w:pPr>
              <w:jc w:val="center"/>
            </w:pPr>
            <w:r>
              <w:rPr>
                <w:rFonts w:hint="eastAsia"/>
              </w:rPr>
              <w:t>瓜果皮、菜渣、废纸等</w:t>
            </w:r>
            <w:r>
              <w:t>生活垃圾</w:t>
            </w:r>
          </w:p>
        </w:tc>
        <w:tc>
          <w:tcPr>
            <w:tcW w:w="404" w:type="pct"/>
            <w:vAlign w:val="center"/>
          </w:tcPr>
          <w:p w14:paraId="06D843F1">
            <w:pPr>
              <w:jc w:val="center"/>
            </w:pPr>
            <w:r>
              <w:rPr>
                <w:rFonts w:hint="eastAsia"/>
              </w:rPr>
              <w:t>3.24</w:t>
            </w:r>
            <w:r>
              <w:t>t</w:t>
            </w:r>
          </w:p>
        </w:tc>
        <w:tc>
          <w:tcPr>
            <w:tcW w:w="951" w:type="pct"/>
            <w:vAlign w:val="center"/>
          </w:tcPr>
          <w:p w14:paraId="73B9EE3E">
            <w:pPr>
              <w:jc w:val="center"/>
            </w:pPr>
            <w:r>
              <w:t>经分类收集后，交当地环卫部门处置</w:t>
            </w:r>
          </w:p>
        </w:tc>
      </w:tr>
    </w:tbl>
    <w:p w14:paraId="67D85B18">
      <w:pPr>
        <w:pStyle w:val="7"/>
        <w:snapToGrid w:val="0"/>
        <w:spacing w:before="120" w:beforeLines="50"/>
      </w:pPr>
      <w:r>
        <w:t>施工期污染物排放汇总</w:t>
      </w:r>
    </w:p>
    <w:p w14:paraId="2DDD81D0">
      <w:pPr>
        <w:spacing w:line="360" w:lineRule="auto"/>
        <w:ind w:firstLine="480" w:firstLineChars="200"/>
        <w:rPr>
          <w:sz w:val="24"/>
        </w:rPr>
      </w:pPr>
      <w:r>
        <w:rPr>
          <w:sz w:val="24"/>
        </w:rPr>
        <w:t>本工程施工期污染物排放情况详见表3.</w:t>
      </w:r>
      <w:r>
        <w:rPr>
          <w:rFonts w:hint="eastAsia"/>
          <w:sz w:val="24"/>
        </w:rPr>
        <w:t>4</w:t>
      </w:r>
      <w:r>
        <w:rPr>
          <w:sz w:val="24"/>
        </w:rPr>
        <w:t>-10。</w:t>
      </w:r>
    </w:p>
    <w:p w14:paraId="364D4B94">
      <w:pPr>
        <w:pStyle w:val="904"/>
      </w:pPr>
      <w:r>
        <w:t>表3.</w:t>
      </w:r>
      <w:r>
        <w:rPr>
          <w:rFonts w:hint="eastAsia"/>
        </w:rPr>
        <w:t>4</w:t>
      </w:r>
      <w:r>
        <w:t>-10 施工期污染物排放量汇总表</w:t>
      </w:r>
    </w:p>
    <w:tbl>
      <w:tblPr>
        <w:tblStyle w:val="88"/>
        <w:tblW w:w="507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86"/>
        <w:gridCol w:w="347"/>
        <w:gridCol w:w="1217"/>
        <w:gridCol w:w="1672"/>
        <w:gridCol w:w="1620"/>
        <w:gridCol w:w="1175"/>
        <w:gridCol w:w="3075"/>
      </w:tblGrid>
      <w:tr w14:paraId="286BD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4" w:type="pct"/>
            <w:vAlign w:val="center"/>
          </w:tcPr>
          <w:p w14:paraId="17FABA64">
            <w:pPr>
              <w:pStyle w:val="1343"/>
            </w:pPr>
            <w:r>
              <w:t>时段</w:t>
            </w:r>
          </w:p>
        </w:tc>
        <w:tc>
          <w:tcPr>
            <w:tcW w:w="815" w:type="pct"/>
            <w:gridSpan w:val="2"/>
            <w:vAlign w:val="center"/>
          </w:tcPr>
          <w:p w14:paraId="7BA5E053">
            <w:pPr>
              <w:pStyle w:val="1343"/>
            </w:pPr>
            <w:r>
              <w:t>污染源</w:t>
            </w:r>
          </w:p>
        </w:tc>
        <w:tc>
          <w:tcPr>
            <w:tcW w:w="871" w:type="pct"/>
            <w:vAlign w:val="center"/>
          </w:tcPr>
          <w:p w14:paraId="7AD956CC">
            <w:pPr>
              <w:pStyle w:val="1343"/>
            </w:pPr>
            <w:r>
              <w:t>主要污染物</w:t>
            </w:r>
          </w:p>
        </w:tc>
        <w:tc>
          <w:tcPr>
            <w:tcW w:w="844" w:type="pct"/>
            <w:vAlign w:val="center"/>
          </w:tcPr>
          <w:p w14:paraId="361F4B2C">
            <w:pPr>
              <w:pStyle w:val="1343"/>
            </w:pPr>
            <w:r>
              <w:t>排放量</w:t>
            </w:r>
          </w:p>
        </w:tc>
        <w:tc>
          <w:tcPr>
            <w:tcW w:w="612" w:type="pct"/>
            <w:vAlign w:val="center"/>
          </w:tcPr>
          <w:p w14:paraId="016BA823">
            <w:pPr>
              <w:pStyle w:val="1343"/>
            </w:pPr>
            <w:r>
              <w:rPr>
                <w:rFonts w:hint="eastAsia"/>
              </w:rPr>
              <w:t>排放规律</w:t>
            </w:r>
          </w:p>
        </w:tc>
        <w:tc>
          <w:tcPr>
            <w:tcW w:w="1602" w:type="pct"/>
            <w:vAlign w:val="center"/>
          </w:tcPr>
          <w:p w14:paraId="4DCB7D73">
            <w:pPr>
              <w:pStyle w:val="1343"/>
            </w:pPr>
            <w:r>
              <w:rPr>
                <w:rFonts w:hint="eastAsia"/>
              </w:rPr>
              <w:t>排放去向</w:t>
            </w:r>
          </w:p>
        </w:tc>
      </w:tr>
      <w:tr w14:paraId="0E49B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4" w:type="pct"/>
            <w:vMerge w:val="restart"/>
            <w:vAlign w:val="center"/>
          </w:tcPr>
          <w:p w14:paraId="0BF49DD7">
            <w:pPr>
              <w:pStyle w:val="1343"/>
            </w:pPr>
            <w:r>
              <w:t>施工期</w:t>
            </w:r>
          </w:p>
        </w:tc>
        <w:tc>
          <w:tcPr>
            <w:tcW w:w="181" w:type="pct"/>
            <w:vMerge w:val="restart"/>
            <w:vAlign w:val="center"/>
          </w:tcPr>
          <w:p w14:paraId="751751AB">
            <w:pPr>
              <w:pStyle w:val="1343"/>
            </w:pPr>
            <w:r>
              <w:t>废气</w:t>
            </w:r>
          </w:p>
        </w:tc>
        <w:tc>
          <w:tcPr>
            <w:tcW w:w="634" w:type="pct"/>
            <w:vAlign w:val="center"/>
          </w:tcPr>
          <w:p w14:paraId="6EC829F3">
            <w:pPr>
              <w:pStyle w:val="1343"/>
            </w:pPr>
            <w:r>
              <w:t>施工机械、车辆尾气</w:t>
            </w:r>
          </w:p>
        </w:tc>
        <w:tc>
          <w:tcPr>
            <w:tcW w:w="871" w:type="pct"/>
            <w:vAlign w:val="center"/>
          </w:tcPr>
          <w:p w14:paraId="7E5A123C">
            <w:pPr>
              <w:pStyle w:val="1343"/>
            </w:pPr>
            <w:r>
              <w:t>SO</w:t>
            </w:r>
            <w:r>
              <w:rPr>
                <w:vertAlign w:val="subscript"/>
              </w:rPr>
              <w:t>2</w:t>
            </w:r>
            <w:r>
              <w:t>、NO</w:t>
            </w:r>
            <w:r>
              <w:rPr>
                <w:vertAlign w:val="subscript"/>
              </w:rPr>
              <w:t>2</w:t>
            </w:r>
            <w:r>
              <w:t>、颗粒物、烃类</w:t>
            </w:r>
          </w:p>
        </w:tc>
        <w:tc>
          <w:tcPr>
            <w:tcW w:w="844" w:type="pct"/>
            <w:vAlign w:val="center"/>
          </w:tcPr>
          <w:p w14:paraId="1CC7E1D7">
            <w:pPr>
              <w:pStyle w:val="1343"/>
            </w:pPr>
            <w:r>
              <w:rPr>
                <w:rFonts w:hint="eastAsia"/>
              </w:rPr>
              <w:t>PM</w:t>
            </w:r>
            <w:r>
              <w:rPr>
                <w:rFonts w:hint="eastAsia"/>
                <w:vertAlign w:val="subscript"/>
              </w:rPr>
              <w:t>10</w:t>
            </w:r>
            <w:r>
              <w:rPr>
                <w:rFonts w:hint="eastAsia"/>
              </w:rPr>
              <w:t xml:space="preserve">  </w:t>
            </w:r>
            <w:r>
              <w:t>0.</w:t>
            </w:r>
            <w:r>
              <w:rPr>
                <w:rFonts w:hint="eastAsia"/>
              </w:rPr>
              <w:t>190t</w:t>
            </w:r>
          </w:p>
          <w:p w14:paraId="5F4005CA">
            <w:pPr>
              <w:pStyle w:val="1343"/>
            </w:pPr>
            <w:r>
              <w:rPr>
                <w:rFonts w:hint="eastAsia"/>
              </w:rPr>
              <w:t>PM</w:t>
            </w:r>
            <w:r>
              <w:rPr>
                <w:rFonts w:hint="eastAsia"/>
                <w:vertAlign w:val="subscript"/>
              </w:rPr>
              <w:t>2.5</w:t>
            </w:r>
            <w:r>
              <w:rPr>
                <w:rFonts w:hint="eastAsia"/>
              </w:rPr>
              <w:t xml:space="preserve">  </w:t>
            </w:r>
            <w:r>
              <w:t>0</w:t>
            </w:r>
            <w:r>
              <w:rPr>
                <w:rFonts w:hint="eastAsia"/>
              </w:rPr>
              <w:t>.171t</w:t>
            </w:r>
          </w:p>
          <w:p w14:paraId="0952A105">
            <w:pPr>
              <w:pStyle w:val="1343"/>
            </w:pPr>
            <w:r>
              <w:rPr>
                <w:rFonts w:hint="eastAsia"/>
              </w:rPr>
              <w:t xml:space="preserve">THC  </w:t>
            </w:r>
            <w:r>
              <w:t>0.</w:t>
            </w:r>
            <w:r>
              <w:rPr>
                <w:rFonts w:hint="eastAsia"/>
              </w:rPr>
              <w:t>337t</w:t>
            </w:r>
          </w:p>
          <w:p w14:paraId="3296E8A9">
            <w:pPr>
              <w:pStyle w:val="1343"/>
            </w:pPr>
            <w:r>
              <w:rPr>
                <w:rFonts w:hint="eastAsia"/>
              </w:rPr>
              <w:t>NOx  2.560t</w:t>
            </w:r>
          </w:p>
          <w:p w14:paraId="526714D2">
            <w:pPr>
              <w:pStyle w:val="1343"/>
            </w:pPr>
            <w:r>
              <w:rPr>
                <w:rFonts w:hint="eastAsia"/>
              </w:rPr>
              <w:t>CO  2.896t</w:t>
            </w:r>
          </w:p>
        </w:tc>
        <w:tc>
          <w:tcPr>
            <w:tcW w:w="612" w:type="pct"/>
            <w:vAlign w:val="center"/>
          </w:tcPr>
          <w:p w14:paraId="6E6029C8">
            <w:pPr>
              <w:pStyle w:val="1343"/>
            </w:pPr>
            <w:r>
              <w:rPr>
                <w:rFonts w:hint="eastAsia"/>
              </w:rPr>
              <w:t>间断</w:t>
            </w:r>
          </w:p>
        </w:tc>
        <w:tc>
          <w:tcPr>
            <w:tcW w:w="1602" w:type="pct"/>
            <w:vMerge w:val="restart"/>
            <w:vAlign w:val="center"/>
          </w:tcPr>
          <w:p w14:paraId="1DA1C45B">
            <w:pPr>
              <w:pStyle w:val="1343"/>
            </w:pPr>
            <w:r>
              <w:rPr>
                <w:rFonts w:hint="eastAsia"/>
              </w:rPr>
              <w:t>环境空气</w:t>
            </w:r>
          </w:p>
        </w:tc>
      </w:tr>
      <w:tr w14:paraId="734AC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4" w:type="pct"/>
            <w:vMerge w:val="continue"/>
            <w:vAlign w:val="center"/>
          </w:tcPr>
          <w:p w14:paraId="33D6F93D">
            <w:pPr>
              <w:pStyle w:val="1343"/>
            </w:pPr>
          </w:p>
        </w:tc>
        <w:tc>
          <w:tcPr>
            <w:tcW w:w="181" w:type="pct"/>
            <w:vMerge w:val="continue"/>
            <w:vAlign w:val="center"/>
          </w:tcPr>
          <w:p w14:paraId="3074CBAA">
            <w:pPr>
              <w:pStyle w:val="1343"/>
            </w:pPr>
          </w:p>
        </w:tc>
        <w:tc>
          <w:tcPr>
            <w:tcW w:w="634" w:type="pct"/>
            <w:vAlign w:val="center"/>
          </w:tcPr>
          <w:p w14:paraId="6095C23C">
            <w:pPr>
              <w:pStyle w:val="1343"/>
            </w:pPr>
            <w:r>
              <w:t>施工扬尘</w:t>
            </w:r>
          </w:p>
        </w:tc>
        <w:tc>
          <w:tcPr>
            <w:tcW w:w="871" w:type="pct"/>
            <w:vAlign w:val="center"/>
          </w:tcPr>
          <w:p w14:paraId="13F32F3D">
            <w:pPr>
              <w:pStyle w:val="1343"/>
            </w:pPr>
            <w:r>
              <w:t>TSP</w:t>
            </w:r>
          </w:p>
        </w:tc>
        <w:tc>
          <w:tcPr>
            <w:tcW w:w="844" w:type="pct"/>
            <w:vAlign w:val="center"/>
          </w:tcPr>
          <w:p w14:paraId="23405FA5">
            <w:pPr>
              <w:pStyle w:val="1343"/>
            </w:pPr>
            <w:r>
              <w:t>—</w:t>
            </w:r>
          </w:p>
        </w:tc>
        <w:tc>
          <w:tcPr>
            <w:tcW w:w="612" w:type="pct"/>
            <w:vAlign w:val="center"/>
          </w:tcPr>
          <w:p w14:paraId="4EEAC074">
            <w:pPr>
              <w:pStyle w:val="1343"/>
            </w:pPr>
            <w:r>
              <w:rPr>
                <w:rFonts w:hint="eastAsia"/>
              </w:rPr>
              <w:t>间断</w:t>
            </w:r>
          </w:p>
        </w:tc>
        <w:tc>
          <w:tcPr>
            <w:tcW w:w="1602" w:type="pct"/>
            <w:vMerge w:val="continue"/>
            <w:vAlign w:val="center"/>
          </w:tcPr>
          <w:p w14:paraId="1F2D8D82">
            <w:pPr>
              <w:pStyle w:val="1343"/>
            </w:pPr>
          </w:p>
        </w:tc>
      </w:tr>
      <w:tr w14:paraId="27823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4" w:type="pct"/>
            <w:vMerge w:val="continue"/>
            <w:vAlign w:val="center"/>
          </w:tcPr>
          <w:p w14:paraId="0336D144">
            <w:pPr>
              <w:pStyle w:val="1343"/>
            </w:pPr>
          </w:p>
        </w:tc>
        <w:tc>
          <w:tcPr>
            <w:tcW w:w="181" w:type="pct"/>
            <w:vMerge w:val="continue"/>
            <w:vAlign w:val="center"/>
          </w:tcPr>
          <w:p w14:paraId="575759AF">
            <w:pPr>
              <w:pStyle w:val="1343"/>
            </w:pPr>
          </w:p>
        </w:tc>
        <w:tc>
          <w:tcPr>
            <w:tcW w:w="634" w:type="pct"/>
            <w:vAlign w:val="center"/>
          </w:tcPr>
          <w:p w14:paraId="6D6CDD26">
            <w:pPr>
              <w:pStyle w:val="1343"/>
            </w:pPr>
            <w:r>
              <w:t>焊接烟尘</w:t>
            </w:r>
          </w:p>
        </w:tc>
        <w:tc>
          <w:tcPr>
            <w:tcW w:w="871" w:type="pct"/>
            <w:vAlign w:val="center"/>
          </w:tcPr>
          <w:p w14:paraId="1AEC30BF">
            <w:pPr>
              <w:pStyle w:val="1343"/>
            </w:pPr>
            <w:r>
              <w:t>颗粒物</w:t>
            </w:r>
          </w:p>
        </w:tc>
        <w:tc>
          <w:tcPr>
            <w:tcW w:w="844" w:type="pct"/>
            <w:vAlign w:val="center"/>
          </w:tcPr>
          <w:p w14:paraId="217D4192">
            <w:pPr>
              <w:pStyle w:val="1343"/>
            </w:pPr>
            <w:r>
              <w:t>0.</w:t>
            </w:r>
            <w:r>
              <w:rPr>
                <w:rFonts w:hint="eastAsia"/>
              </w:rPr>
              <w:t>002</w:t>
            </w:r>
            <w:r>
              <w:t>t</w:t>
            </w:r>
          </w:p>
        </w:tc>
        <w:tc>
          <w:tcPr>
            <w:tcW w:w="612" w:type="pct"/>
            <w:vAlign w:val="center"/>
          </w:tcPr>
          <w:p w14:paraId="2CF8D83A">
            <w:pPr>
              <w:pStyle w:val="1343"/>
            </w:pPr>
            <w:r>
              <w:rPr>
                <w:rFonts w:hint="eastAsia"/>
              </w:rPr>
              <w:t>间断</w:t>
            </w:r>
          </w:p>
        </w:tc>
        <w:tc>
          <w:tcPr>
            <w:tcW w:w="1602" w:type="pct"/>
            <w:vMerge w:val="continue"/>
            <w:vAlign w:val="center"/>
          </w:tcPr>
          <w:p w14:paraId="605BA7E2">
            <w:pPr>
              <w:pStyle w:val="1343"/>
            </w:pPr>
          </w:p>
        </w:tc>
      </w:tr>
      <w:tr w14:paraId="16DE5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4" w:type="pct"/>
            <w:vMerge w:val="continue"/>
            <w:vAlign w:val="center"/>
          </w:tcPr>
          <w:p w14:paraId="4DA26930">
            <w:pPr>
              <w:pStyle w:val="1343"/>
            </w:pPr>
          </w:p>
        </w:tc>
        <w:tc>
          <w:tcPr>
            <w:tcW w:w="181" w:type="pct"/>
            <w:vMerge w:val="continue"/>
            <w:vAlign w:val="center"/>
          </w:tcPr>
          <w:p w14:paraId="2927CE49">
            <w:pPr>
              <w:pStyle w:val="1343"/>
            </w:pPr>
          </w:p>
        </w:tc>
        <w:tc>
          <w:tcPr>
            <w:tcW w:w="634" w:type="pct"/>
            <w:vAlign w:val="center"/>
          </w:tcPr>
          <w:p w14:paraId="3903C5D6">
            <w:pPr>
              <w:pStyle w:val="1343"/>
            </w:pPr>
            <w:r>
              <w:t>防腐废气</w:t>
            </w:r>
          </w:p>
        </w:tc>
        <w:tc>
          <w:tcPr>
            <w:tcW w:w="871" w:type="pct"/>
            <w:vAlign w:val="center"/>
          </w:tcPr>
          <w:p w14:paraId="5CD50D7A">
            <w:pPr>
              <w:pStyle w:val="1343"/>
            </w:pPr>
            <w:r>
              <w:t>非甲烷总烃</w:t>
            </w:r>
          </w:p>
        </w:tc>
        <w:tc>
          <w:tcPr>
            <w:tcW w:w="844" w:type="pct"/>
            <w:vAlign w:val="center"/>
          </w:tcPr>
          <w:p w14:paraId="43A63D96">
            <w:pPr>
              <w:pStyle w:val="1343"/>
            </w:pPr>
            <w:r>
              <w:t>0.</w:t>
            </w:r>
            <w:r>
              <w:rPr>
                <w:rFonts w:hint="eastAsia"/>
              </w:rPr>
              <w:t>005</w:t>
            </w:r>
            <w:r>
              <w:t>t</w:t>
            </w:r>
          </w:p>
        </w:tc>
        <w:tc>
          <w:tcPr>
            <w:tcW w:w="612" w:type="pct"/>
            <w:vAlign w:val="center"/>
          </w:tcPr>
          <w:p w14:paraId="333FEEB6">
            <w:pPr>
              <w:pStyle w:val="1343"/>
            </w:pPr>
            <w:r>
              <w:rPr>
                <w:rFonts w:hint="eastAsia"/>
              </w:rPr>
              <w:t>间断</w:t>
            </w:r>
          </w:p>
        </w:tc>
        <w:tc>
          <w:tcPr>
            <w:tcW w:w="1602" w:type="pct"/>
            <w:vMerge w:val="continue"/>
            <w:vAlign w:val="center"/>
          </w:tcPr>
          <w:p w14:paraId="29279EA6">
            <w:pPr>
              <w:pStyle w:val="1343"/>
            </w:pPr>
          </w:p>
        </w:tc>
      </w:tr>
      <w:tr w14:paraId="1F62E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4" w:type="pct"/>
            <w:vMerge w:val="continue"/>
            <w:vAlign w:val="center"/>
          </w:tcPr>
          <w:p w14:paraId="6291DA1A">
            <w:pPr>
              <w:pStyle w:val="1343"/>
            </w:pPr>
          </w:p>
        </w:tc>
        <w:tc>
          <w:tcPr>
            <w:tcW w:w="181" w:type="pct"/>
            <w:vMerge w:val="continue"/>
            <w:vAlign w:val="center"/>
          </w:tcPr>
          <w:p w14:paraId="23232584">
            <w:pPr>
              <w:pStyle w:val="1343"/>
            </w:pPr>
          </w:p>
        </w:tc>
        <w:tc>
          <w:tcPr>
            <w:tcW w:w="634" w:type="pct"/>
            <w:vAlign w:val="center"/>
          </w:tcPr>
          <w:p w14:paraId="0018DADF">
            <w:pPr>
              <w:pStyle w:val="1343"/>
            </w:pPr>
            <w:r>
              <w:rPr>
                <w:rFonts w:hint="eastAsia"/>
              </w:rPr>
              <w:t>涂装废气</w:t>
            </w:r>
          </w:p>
        </w:tc>
        <w:tc>
          <w:tcPr>
            <w:tcW w:w="871" w:type="pct"/>
            <w:vAlign w:val="center"/>
          </w:tcPr>
          <w:p w14:paraId="2D179961">
            <w:pPr>
              <w:pStyle w:val="1343"/>
            </w:pPr>
            <w:r>
              <w:rPr>
                <w:rFonts w:hint="eastAsia"/>
              </w:rPr>
              <w:t>VOCs</w:t>
            </w:r>
          </w:p>
        </w:tc>
        <w:tc>
          <w:tcPr>
            <w:tcW w:w="844" w:type="pct"/>
            <w:vAlign w:val="center"/>
          </w:tcPr>
          <w:p w14:paraId="1F50CD27">
            <w:pPr>
              <w:pStyle w:val="1343"/>
            </w:pPr>
            <w:r>
              <w:rPr>
                <w:rFonts w:hint="eastAsia"/>
              </w:rPr>
              <w:t>少量</w:t>
            </w:r>
          </w:p>
        </w:tc>
        <w:tc>
          <w:tcPr>
            <w:tcW w:w="612" w:type="pct"/>
            <w:vAlign w:val="center"/>
          </w:tcPr>
          <w:p w14:paraId="251BD960">
            <w:pPr>
              <w:pStyle w:val="1343"/>
            </w:pPr>
            <w:r>
              <w:rPr>
                <w:rFonts w:hint="eastAsia"/>
              </w:rPr>
              <w:t>间断</w:t>
            </w:r>
          </w:p>
        </w:tc>
        <w:tc>
          <w:tcPr>
            <w:tcW w:w="1602" w:type="pct"/>
            <w:vMerge w:val="continue"/>
            <w:vAlign w:val="center"/>
          </w:tcPr>
          <w:p w14:paraId="64B2194F">
            <w:pPr>
              <w:pStyle w:val="1343"/>
            </w:pPr>
          </w:p>
        </w:tc>
      </w:tr>
      <w:tr w14:paraId="73368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4" w:type="pct"/>
            <w:vMerge w:val="continue"/>
            <w:vAlign w:val="center"/>
          </w:tcPr>
          <w:p w14:paraId="709631F4">
            <w:pPr>
              <w:pStyle w:val="1343"/>
            </w:pPr>
          </w:p>
        </w:tc>
        <w:tc>
          <w:tcPr>
            <w:tcW w:w="181" w:type="pct"/>
            <w:vMerge w:val="continue"/>
            <w:vAlign w:val="center"/>
          </w:tcPr>
          <w:p w14:paraId="0CC8C045">
            <w:pPr>
              <w:pStyle w:val="1343"/>
            </w:pPr>
          </w:p>
        </w:tc>
        <w:tc>
          <w:tcPr>
            <w:tcW w:w="634" w:type="pct"/>
            <w:vAlign w:val="center"/>
          </w:tcPr>
          <w:p w14:paraId="71DE5B14">
            <w:pPr>
              <w:pStyle w:val="1343"/>
            </w:pPr>
            <w:r>
              <w:t>放空天然气</w:t>
            </w:r>
          </w:p>
        </w:tc>
        <w:tc>
          <w:tcPr>
            <w:tcW w:w="871" w:type="pct"/>
            <w:vAlign w:val="center"/>
          </w:tcPr>
          <w:p w14:paraId="07CA6C43">
            <w:pPr>
              <w:pStyle w:val="1343"/>
            </w:pPr>
            <w:r>
              <w:t>甲烷、烃类</w:t>
            </w:r>
          </w:p>
        </w:tc>
        <w:tc>
          <w:tcPr>
            <w:tcW w:w="844" w:type="pct"/>
            <w:vAlign w:val="center"/>
          </w:tcPr>
          <w:p w14:paraId="58249EDE">
            <w:pPr>
              <w:pStyle w:val="1343"/>
            </w:pPr>
            <w:r>
              <w:rPr>
                <w:rFonts w:hint="eastAsia"/>
              </w:rPr>
              <w:t>1.60</w:t>
            </w:r>
            <w:r>
              <w:t>t</w:t>
            </w:r>
          </w:p>
        </w:tc>
        <w:tc>
          <w:tcPr>
            <w:tcW w:w="612" w:type="pct"/>
            <w:vAlign w:val="center"/>
          </w:tcPr>
          <w:p w14:paraId="52553020">
            <w:pPr>
              <w:pStyle w:val="1343"/>
            </w:pPr>
            <w:r>
              <w:rPr>
                <w:rFonts w:hint="eastAsia"/>
              </w:rPr>
              <w:t>间断</w:t>
            </w:r>
          </w:p>
        </w:tc>
        <w:tc>
          <w:tcPr>
            <w:tcW w:w="1602" w:type="pct"/>
            <w:vMerge w:val="continue"/>
            <w:vAlign w:val="center"/>
          </w:tcPr>
          <w:p w14:paraId="4412869A">
            <w:pPr>
              <w:pStyle w:val="1343"/>
            </w:pPr>
          </w:p>
        </w:tc>
      </w:tr>
      <w:tr w14:paraId="41C57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4" w:type="pct"/>
            <w:vMerge w:val="continue"/>
            <w:vAlign w:val="center"/>
          </w:tcPr>
          <w:p w14:paraId="6C216581">
            <w:pPr>
              <w:pStyle w:val="1343"/>
            </w:pPr>
          </w:p>
        </w:tc>
        <w:tc>
          <w:tcPr>
            <w:tcW w:w="181" w:type="pct"/>
            <w:vMerge w:val="restart"/>
            <w:vAlign w:val="center"/>
          </w:tcPr>
          <w:p w14:paraId="4C0A74FC">
            <w:pPr>
              <w:pStyle w:val="1343"/>
            </w:pPr>
            <w:r>
              <w:t>废水</w:t>
            </w:r>
          </w:p>
        </w:tc>
        <w:tc>
          <w:tcPr>
            <w:tcW w:w="634" w:type="pct"/>
            <w:vAlign w:val="center"/>
          </w:tcPr>
          <w:p w14:paraId="5BCCB05B">
            <w:pPr>
              <w:pStyle w:val="1343"/>
              <w:rPr>
                <w:rFonts w:ascii="Times New Roman" w:hAnsi="Times New Roman" w:eastAsia="宋体" w:cs="Times New Roman"/>
                <w:snapToGrid w:val="0"/>
                <w:sz w:val="21"/>
                <w:szCs w:val="21"/>
                <w:lang w:val="en-US" w:eastAsia="zh-CN" w:bidi="ar-SA"/>
              </w:rPr>
            </w:pPr>
            <w:r>
              <w:t>施工人员生活污水</w:t>
            </w:r>
          </w:p>
        </w:tc>
        <w:tc>
          <w:tcPr>
            <w:tcW w:w="871" w:type="pct"/>
            <w:vAlign w:val="center"/>
          </w:tcPr>
          <w:p w14:paraId="1473ADFF">
            <w:pPr>
              <w:pStyle w:val="1343"/>
              <w:rPr>
                <w:rFonts w:ascii="Times New Roman" w:hAnsi="Times New Roman" w:eastAsia="宋体" w:cs="Times New Roman"/>
                <w:snapToGrid w:val="0"/>
                <w:sz w:val="21"/>
                <w:szCs w:val="21"/>
                <w:lang w:val="en-US" w:eastAsia="zh-CN" w:bidi="ar-SA"/>
              </w:rPr>
            </w:pPr>
            <w:r>
              <w:t>COD、氨氮、SS</w:t>
            </w:r>
          </w:p>
        </w:tc>
        <w:tc>
          <w:tcPr>
            <w:tcW w:w="844" w:type="pct"/>
            <w:vAlign w:val="center"/>
          </w:tcPr>
          <w:p w14:paraId="57B8D8F9">
            <w:pPr>
              <w:pStyle w:val="1343"/>
              <w:rPr>
                <w:rFonts w:ascii="Times New Roman" w:hAnsi="Times New Roman" w:eastAsia="宋体" w:cs="Times New Roman"/>
                <w:snapToGrid w:val="0"/>
                <w:sz w:val="21"/>
                <w:szCs w:val="21"/>
                <w:lang w:val="en-US" w:eastAsia="zh-CN" w:bidi="ar-SA"/>
              </w:rPr>
            </w:pPr>
            <w:r>
              <w:rPr>
                <w:rFonts w:hint="eastAsia"/>
              </w:rPr>
              <w:t>405</w:t>
            </w:r>
            <w:r>
              <w:t>m</w:t>
            </w:r>
            <w:r>
              <w:rPr>
                <w:vertAlign w:val="superscript"/>
              </w:rPr>
              <w:t>3</w:t>
            </w:r>
          </w:p>
        </w:tc>
        <w:tc>
          <w:tcPr>
            <w:tcW w:w="612" w:type="pct"/>
            <w:vAlign w:val="center"/>
          </w:tcPr>
          <w:p w14:paraId="0B2096EA">
            <w:pPr>
              <w:pStyle w:val="1343"/>
              <w:rPr>
                <w:rFonts w:ascii="Times New Roman" w:hAnsi="Times New Roman" w:eastAsia="宋体" w:cs="Times New Roman"/>
                <w:snapToGrid w:val="0"/>
                <w:sz w:val="21"/>
                <w:szCs w:val="21"/>
                <w:lang w:val="en-US" w:eastAsia="zh-CN" w:bidi="ar-SA"/>
              </w:rPr>
            </w:pPr>
            <w:r>
              <w:rPr>
                <w:rFonts w:hint="eastAsia"/>
              </w:rPr>
              <w:t>间断</w:t>
            </w:r>
          </w:p>
        </w:tc>
        <w:tc>
          <w:tcPr>
            <w:tcW w:w="1602" w:type="pct"/>
            <w:vAlign w:val="center"/>
          </w:tcPr>
          <w:p w14:paraId="36879A8F">
            <w:pPr>
              <w:pStyle w:val="1343"/>
              <w:rPr>
                <w:rFonts w:ascii="Times New Roman" w:hAnsi="Times New Roman" w:eastAsia="宋体" w:cs="Times New Roman"/>
                <w:snapToGrid w:val="0"/>
                <w:sz w:val="21"/>
                <w:szCs w:val="21"/>
                <w:lang w:val="en-US" w:eastAsia="zh-CN" w:bidi="ar-SA"/>
              </w:rPr>
            </w:pPr>
            <w:r>
              <w:rPr>
                <w:rFonts w:hint="eastAsia"/>
              </w:rPr>
              <w:t>不设施工营地，</w:t>
            </w:r>
            <w:r>
              <w:t>施工生活污水</w:t>
            </w:r>
            <w:r>
              <w:rPr>
                <w:rFonts w:hint="eastAsia"/>
              </w:rPr>
              <w:t>排入当地农村现有设施处理</w:t>
            </w:r>
          </w:p>
        </w:tc>
      </w:tr>
      <w:tr w14:paraId="7406A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4" w:type="pct"/>
            <w:vMerge w:val="continue"/>
            <w:vAlign w:val="center"/>
          </w:tcPr>
          <w:p w14:paraId="243BC2FD">
            <w:pPr>
              <w:pStyle w:val="1343"/>
            </w:pPr>
          </w:p>
        </w:tc>
        <w:tc>
          <w:tcPr>
            <w:tcW w:w="181" w:type="pct"/>
            <w:vMerge w:val="continue"/>
            <w:vAlign w:val="center"/>
          </w:tcPr>
          <w:p w14:paraId="3CEF28D5">
            <w:pPr>
              <w:pStyle w:val="1343"/>
            </w:pPr>
          </w:p>
        </w:tc>
        <w:tc>
          <w:tcPr>
            <w:tcW w:w="634" w:type="pct"/>
            <w:vAlign w:val="center"/>
          </w:tcPr>
          <w:p w14:paraId="65381424">
            <w:pPr>
              <w:pStyle w:val="1343"/>
            </w:pPr>
            <w:r>
              <w:t>管道试压排水</w:t>
            </w:r>
          </w:p>
        </w:tc>
        <w:tc>
          <w:tcPr>
            <w:tcW w:w="871" w:type="pct"/>
            <w:vAlign w:val="center"/>
          </w:tcPr>
          <w:p w14:paraId="29B5BA1D">
            <w:pPr>
              <w:pStyle w:val="1343"/>
            </w:pPr>
            <w:r>
              <w:t>SS</w:t>
            </w:r>
          </w:p>
        </w:tc>
        <w:tc>
          <w:tcPr>
            <w:tcW w:w="844" w:type="pct"/>
            <w:vAlign w:val="center"/>
          </w:tcPr>
          <w:p w14:paraId="131CC39A">
            <w:pPr>
              <w:pStyle w:val="1343"/>
            </w:pPr>
            <w:r>
              <w:rPr>
                <w:rFonts w:hint="eastAsia"/>
              </w:rPr>
              <w:t>60.9</w:t>
            </w:r>
            <w:r>
              <w:t>m</w:t>
            </w:r>
            <w:r>
              <w:rPr>
                <w:vertAlign w:val="superscript"/>
              </w:rPr>
              <w:t>3</w:t>
            </w:r>
          </w:p>
        </w:tc>
        <w:tc>
          <w:tcPr>
            <w:tcW w:w="612" w:type="pct"/>
            <w:vAlign w:val="center"/>
          </w:tcPr>
          <w:p w14:paraId="7367FC08">
            <w:pPr>
              <w:pStyle w:val="1343"/>
            </w:pPr>
            <w:r>
              <w:rPr>
                <w:rFonts w:hint="eastAsia"/>
              </w:rPr>
              <w:t>间断</w:t>
            </w:r>
          </w:p>
        </w:tc>
        <w:tc>
          <w:tcPr>
            <w:tcW w:w="1602" w:type="pct"/>
            <w:vAlign w:val="center"/>
          </w:tcPr>
          <w:p w14:paraId="03EA0C75">
            <w:pPr>
              <w:pStyle w:val="1343"/>
            </w:pPr>
            <w:r>
              <w:rPr>
                <w:rFonts w:hint="eastAsia"/>
              </w:rPr>
              <w:t>过滤</w:t>
            </w:r>
            <w:r>
              <w:t>处理后回用于农田灌溉、道路洒水等</w:t>
            </w:r>
          </w:p>
        </w:tc>
      </w:tr>
      <w:tr w14:paraId="405EC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4" w:type="pct"/>
            <w:vMerge w:val="continue"/>
            <w:vAlign w:val="center"/>
          </w:tcPr>
          <w:p w14:paraId="4E5F9D6D">
            <w:pPr>
              <w:pStyle w:val="1343"/>
            </w:pPr>
          </w:p>
        </w:tc>
        <w:tc>
          <w:tcPr>
            <w:tcW w:w="181" w:type="pct"/>
            <w:vMerge w:val="restart"/>
            <w:vAlign w:val="center"/>
          </w:tcPr>
          <w:p w14:paraId="5EAAEB27">
            <w:pPr>
              <w:pStyle w:val="1343"/>
            </w:pPr>
            <w:r>
              <w:t>固体</w:t>
            </w:r>
          </w:p>
          <w:p w14:paraId="6B61862A">
            <w:pPr>
              <w:pStyle w:val="1343"/>
            </w:pPr>
            <w:r>
              <w:t>废物</w:t>
            </w:r>
          </w:p>
        </w:tc>
        <w:tc>
          <w:tcPr>
            <w:tcW w:w="634" w:type="pct"/>
            <w:vAlign w:val="center"/>
          </w:tcPr>
          <w:p w14:paraId="2C57A550">
            <w:pPr>
              <w:pStyle w:val="1343"/>
            </w:pPr>
            <w:r>
              <w:t>施工废料</w:t>
            </w:r>
          </w:p>
        </w:tc>
        <w:tc>
          <w:tcPr>
            <w:tcW w:w="871" w:type="pct"/>
            <w:vAlign w:val="center"/>
          </w:tcPr>
          <w:p w14:paraId="74779553">
            <w:pPr>
              <w:pStyle w:val="1343"/>
            </w:pPr>
            <w:r>
              <w:rPr>
                <w:rFonts w:hint="eastAsia"/>
              </w:rPr>
              <w:t>废焊条焊渣、防腐作业中产生的废防腐材料及施工过程中产生的废混凝土</w:t>
            </w:r>
          </w:p>
        </w:tc>
        <w:tc>
          <w:tcPr>
            <w:tcW w:w="844" w:type="pct"/>
            <w:vAlign w:val="center"/>
          </w:tcPr>
          <w:p w14:paraId="04A3AB83">
            <w:pPr>
              <w:pStyle w:val="1343"/>
            </w:pPr>
            <w:r>
              <w:rPr>
                <w:rFonts w:hint="eastAsia"/>
              </w:rPr>
              <w:t>0.15</w:t>
            </w:r>
            <w:r>
              <w:t>t</w:t>
            </w:r>
          </w:p>
        </w:tc>
        <w:tc>
          <w:tcPr>
            <w:tcW w:w="612" w:type="pct"/>
            <w:vAlign w:val="center"/>
          </w:tcPr>
          <w:p w14:paraId="627EF5A1">
            <w:pPr>
              <w:pStyle w:val="1343"/>
            </w:pPr>
            <w:r>
              <w:rPr>
                <w:rFonts w:hint="eastAsia"/>
              </w:rPr>
              <w:t>间断</w:t>
            </w:r>
          </w:p>
        </w:tc>
        <w:tc>
          <w:tcPr>
            <w:tcW w:w="1602" w:type="pct"/>
            <w:vAlign w:val="center"/>
          </w:tcPr>
          <w:p w14:paraId="70FC35E2">
            <w:pPr>
              <w:pStyle w:val="1343"/>
            </w:pPr>
            <w:r>
              <w:t>部分回收利用，剩余废料委托工业废物回收单位处置</w:t>
            </w:r>
          </w:p>
        </w:tc>
      </w:tr>
      <w:tr w14:paraId="4EB6F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4" w:type="pct"/>
            <w:vMerge w:val="continue"/>
            <w:vAlign w:val="center"/>
          </w:tcPr>
          <w:p w14:paraId="6B03D454">
            <w:pPr>
              <w:pStyle w:val="1343"/>
            </w:pPr>
          </w:p>
        </w:tc>
        <w:tc>
          <w:tcPr>
            <w:tcW w:w="181" w:type="pct"/>
            <w:vMerge w:val="continue"/>
            <w:vAlign w:val="center"/>
          </w:tcPr>
          <w:p w14:paraId="06F56130">
            <w:pPr>
              <w:pStyle w:val="1343"/>
            </w:pPr>
          </w:p>
        </w:tc>
        <w:tc>
          <w:tcPr>
            <w:tcW w:w="634" w:type="pct"/>
            <w:vAlign w:val="center"/>
          </w:tcPr>
          <w:p w14:paraId="63A49F48">
            <w:pPr>
              <w:pStyle w:val="1343"/>
            </w:pPr>
            <w:r>
              <w:rPr>
                <w:rFonts w:hint="eastAsia"/>
              </w:rPr>
              <w:t>清管废渣</w:t>
            </w:r>
          </w:p>
        </w:tc>
        <w:tc>
          <w:tcPr>
            <w:tcW w:w="871" w:type="pct"/>
            <w:vAlign w:val="center"/>
          </w:tcPr>
          <w:p w14:paraId="4D0BAF66">
            <w:pPr>
              <w:pStyle w:val="1343"/>
            </w:pPr>
            <w:r>
              <w:rPr>
                <w:rFonts w:hint="eastAsia"/>
              </w:rPr>
              <w:t>焊渣、氧化铁等</w:t>
            </w:r>
          </w:p>
        </w:tc>
        <w:tc>
          <w:tcPr>
            <w:tcW w:w="844" w:type="pct"/>
            <w:vAlign w:val="center"/>
          </w:tcPr>
          <w:p w14:paraId="3750A0DD">
            <w:pPr>
              <w:pStyle w:val="1343"/>
            </w:pPr>
            <w:r>
              <w:rPr>
                <w:rFonts w:hint="eastAsia"/>
              </w:rPr>
              <w:t>0.02kg</w:t>
            </w:r>
          </w:p>
        </w:tc>
        <w:tc>
          <w:tcPr>
            <w:tcW w:w="612" w:type="pct"/>
            <w:vAlign w:val="center"/>
          </w:tcPr>
          <w:p w14:paraId="65AF7FA3">
            <w:pPr>
              <w:pStyle w:val="1343"/>
            </w:pPr>
            <w:r>
              <w:rPr>
                <w:rFonts w:hint="eastAsia"/>
              </w:rPr>
              <w:t>间断</w:t>
            </w:r>
          </w:p>
        </w:tc>
        <w:tc>
          <w:tcPr>
            <w:tcW w:w="1602" w:type="pct"/>
            <w:vAlign w:val="center"/>
          </w:tcPr>
          <w:p w14:paraId="2B935E6E">
            <w:pPr>
              <w:pStyle w:val="1343"/>
            </w:pPr>
            <w:r>
              <w:t>交当地环卫部门处置</w:t>
            </w:r>
          </w:p>
        </w:tc>
      </w:tr>
      <w:tr w14:paraId="4448D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4" w:type="pct"/>
            <w:vMerge w:val="continue"/>
            <w:vAlign w:val="center"/>
          </w:tcPr>
          <w:p w14:paraId="4D584EE6">
            <w:pPr>
              <w:pStyle w:val="1343"/>
            </w:pPr>
          </w:p>
        </w:tc>
        <w:tc>
          <w:tcPr>
            <w:tcW w:w="181" w:type="pct"/>
            <w:vMerge w:val="continue"/>
            <w:vAlign w:val="center"/>
          </w:tcPr>
          <w:p w14:paraId="6403E3AE">
            <w:pPr>
              <w:pStyle w:val="1343"/>
            </w:pPr>
          </w:p>
        </w:tc>
        <w:tc>
          <w:tcPr>
            <w:tcW w:w="634" w:type="pct"/>
            <w:vAlign w:val="center"/>
          </w:tcPr>
          <w:p w14:paraId="0609AF14">
            <w:pPr>
              <w:pStyle w:val="1343"/>
            </w:pPr>
            <w:r>
              <w:rPr>
                <w:rFonts w:hint="eastAsia"/>
              </w:rPr>
              <w:t>建筑垃圾</w:t>
            </w:r>
          </w:p>
        </w:tc>
        <w:tc>
          <w:tcPr>
            <w:tcW w:w="871" w:type="pct"/>
            <w:vAlign w:val="center"/>
          </w:tcPr>
          <w:p w14:paraId="482558E5">
            <w:pPr>
              <w:pStyle w:val="1343"/>
            </w:pPr>
            <w:r>
              <w:t>砖块、混凝土等</w:t>
            </w:r>
          </w:p>
        </w:tc>
        <w:tc>
          <w:tcPr>
            <w:tcW w:w="844" w:type="pct"/>
            <w:vAlign w:val="center"/>
          </w:tcPr>
          <w:p w14:paraId="5EAA7827">
            <w:pPr>
              <w:pStyle w:val="1343"/>
            </w:pPr>
            <w:r>
              <w:rPr>
                <w:rFonts w:hint="eastAsia"/>
              </w:rPr>
              <w:t>2</w:t>
            </w:r>
            <w:r>
              <w:t>5</w:t>
            </w:r>
            <w:r>
              <w:rPr>
                <w:rFonts w:hint="eastAsia"/>
              </w:rPr>
              <w:t>t</w:t>
            </w:r>
          </w:p>
        </w:tc>
        <w:tc>
          <w:tcPr>
            <w:tcW w:w="612" w:type="pct"/>
            <w:vAlign w:val="center"/>
          </w:tcPr>
          <w:p w14:paraId="17C26D50">
            <w:pPr>
              <w:pStyle w:val="1343"/>
            </w:pPr>
            <w:r>
              <w:rPr>
                <w:rFonts w:hint="eastAsia"/>
              </w:rPr>
              <w:t>间断</w:t>
            </w:r>
          </w:p>
        </w:tc>
        <w:tc>
          <w:tcPr>
            <w:tcW w:w="1602" w:type="pct"/>
            <w:vAlign w:val="center"/>
          </w:tcPr>
          <w:p w14:paraId="477DED68">
            <w:pPr>
              <w:pStyle w:val="1343"/>
            </w:pPr>
            <w:r>
              <w:t>建筑垃圾清运至当地政府指定建筑垃圾消纳场进行处理</w:t>
            </w:r>
          </w:p>
        </w:tc>
      </w:tr>
      <w:tr w14:paraId="2A9E6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4" w:type="pct"/>
            <w:vMerge w:val="continue"/>
            <w:vAlign w:val="center"/>
          </w:tcPr>
          <w:p w14:paraId="621615A9">
            <w:pPr>
              <w:pStyle w:val="1343"/>
            </w:pPr>
          </w:p>
        </w:tc>
        <w:tc>
          <w:tcPr>
            <w:tcW w:w="181" w:type="pct"/>
            <w:vMerge w:val="continue"/>
            <w:vAlign w:val="center"/>
          </w:tcPr>
          <w:p w14:paraId="1BC15D76">
            <w:pPr>
              <w:pStyle w:val="1343"/>
            </w:pPr>
          </w:p>
        </w:tc>
        <w:tc>
          <w:tcPr>
            <w:tcW w:w="634" w:type="pct"/>
            <w:vAlign w:val="center"/>
          </w:tcPr>
          <w:p w14:paraId="53E38DCB">
            <w:pPr>
              <w:pStyle w:val="1343"/>
            </w:pPr>
            <w:r>
              <w:rPr>
                <w:rFonts w:hint="eastAsia"/>
              </w:rPr>
              <w:t>废油漆桶</w:t>
            </w:r>
          </w:p>
        </w:tc>
        <w:tc>
          <w:tcPr>
            <w:tcW w:w="871" w:type="pct"/>
            <w:vAlign w:val="center"/>
          </w:tcPr>
          <w:p w14:paraId="5D6C8A27">
            <w:pPr>
              <w:pStyle w:val="1343"/>
            </w:pPr>
            <w:r>
              <w:rPr>
                <w:rFonts w:hint="eastAsia"/>
              </w:rPr>
              <w:t>铁桶、油漆（含有机溶剂）</w:t>
            </w:r>
          </w:p>
        </w:tc>
        <w:tc>
          <w:tcPr>
            <w:tcW w:w="844" w:type="pct"/>
            <w:vAlign w:val="center"/>
          </w:tcPr>
          <w:p w14:paraId="41BBAAC9">
            <w:pPr>
              <w:pStyle w:val="1343"/>
            </w:pPr>
            <w:r>
              <w:rPr>
                <w:rFonts w:hint="eastAsia"/>
              </w:rPr>
              <w:t>少量</w:t>
            </w:r>
          </w:p>
        </w:tc>
        <w:tc>
          <w:tcPr>
            <w:tcW w:w="612" w:type="pct"/>
            <w:vAlign w:val="center"/>
          </w:tcPr>
          <w:p w14:paraId="4C83E3AC">
            <w:pPr>
              <w:pStyle w:val="1343"/>
            </w:pPr>
            <w:r>
              <w:rPr>
                <w:rFonts w:hint="eastAsia"/>
              </w:rPr>
              <w:t>间断</w:t>
            </w:r>
          </w:p>
        </w:tc>
        <w:tc>
          <w:tcPr>
            <w:tcW w:w="1602" w:type="pct"/>
            <w:vAlign w:val="center"/>
          </w:tcPr>
          <w:p w14:paraId="7DF5B5C1">
            <w:pPr>
              <w:pStyle w:val="1343"/>
            </w:pPr>
            <w:r>
              <w:rPr>
                <w:rFonts w:hint="eastAsia"/>
              </w:rPr>
              <w:t>及时委托有资质单位处置</w:t>
            </w:r>
          </w:p>
        </w:tc>
      </w:tr>
      <w:tr w14:paraId="09DFC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4" w:type="pct"/>
            <w:vMerge w:val="continue"/>
            <w:vAlign w:val="center"/>
          </w:tcPr>
          <w:p w14:paraId="003DCC56">
            <w:pPr>
              <w:pStyle w:val="1343"/>
            </w:pPr>
          </w:p>
        </w:tc>
        <w:tc>
          <w:tcPr>
            <w:tcW w:w="181" w:type="pct"/>
            <w:vMerge w:val="continue"/>
            <w:vAlign w:val="center"/>
          </w:tcPr>
          <w:p w14:paraId="37648567">
            <w:pPr>
              <w:pStyle w:val="1343"/>
            </w:pPr>
          </w:p>
        </w:tc>
        <w:tc>
          <w:tcPr>
            <w:tcW w:w="634" w:type="pct"/>
            <w:vAlign w:val="center"/>
          </w:tcPr>
          <w:p w14:paraId="1613F7D8">
            <w:pPr>
              <w:pStyle w:val="1343"/>
            </w:pPr>
            <w:r>
              <w:t>生活垃圾</w:t>
            </w:r>
          </w:p>
        </w:tc>
        <w:tc>
          <w:tcPr>
            <w:tcW w:w="871" w:type="pct"/>
            <w:vAlign w:val="center"/>
          </w:tcPr>
          <w:p w14:paraId="13ACD965">
            <w:pPr>
              <w:pStyle w:val="1343"/>
            </w:pPr>
            <w:r>
              <w:rPr>
                <w:rFonts w:hint="eastAsia"/>
              </w:rPr>
              <w:t>瓜果皮、菜渣、废纸等</w:t>
            </w:r>
            <w:r>
              <w:t>生活垃圾</w:t>
            </w:r>
          </w:p>
        </w:tc>
        <w:tc>
          <w:tcPr>
            <w:tcW w:w="844" w:type="pct"/>
            <w:vAlign w:val="center"/>
          </w:tcPr>
          <w:p w14:paraId="19DE0913">
            <w:pPr>
              <w:pStyle w:val="1343"/>
            </w:pPr>
            <w:r>
              <w:rPr>
                <w:rFonts w:hint="eastAsia"/>
              </w:rPr>
              <w:t>3.24</w:t>
            </w:r>
            <w:r>
              <w:t>t</w:t>
            </w:r>
          </w:p>
        </w:tc>
        <w:tc>
          <w:tcPr>
            <w:tcW w:w="612" w:type="pct"/>
            <w:vAlign w:val="center"/>
          </w:tcPr>
          <w:p w14:paraId="5F9967D8">
            <w:pPr>
              <w:pStyle w:val="1343"/>
            </w:pPr>
            <w:r>
              <w:rPr>
                <w:rFonts w:hint="eastAsia"/>
              </w:rPr>
              <w:t>间断</w:t>
            </w:r>
          </w:p>
        </w:tc>
        <w:tc>
          <w:tcPr>
            <w:tcW w:w="1602" w:type="pct"/>
            <w:vAlign w:val="center"/>
          </w:tcPr>
          <w:p w14:paraId="4C2984C6">
            <w:pPr>
              <w:pStyle w:val="1343"/>
            </w:pPr>
            <w:r>
              <w:t>经分类收集后，交当地环卫部门处置</w:t>
            </w:r>
          </w:p>
        </w:tc>
      </w:tr>
      <w:tr w14:paraId="3E2B6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4" w:type="pct"/>
            <w:vMerge w:val="continue"/>
            <w:vAlign w:val="center"/>
          </w:tcPr>
          <w:p w14:paraId="534BAE1B">
            <w:pPr>
              <w:pStyle w:val="1343"/>
            </w:pPr>
          </w:p>
        </w:tc>
        <w:tc>
          <w:tcPr>
            <w:tcW w:w="181" w:type="pct"/>
            <w:vMerge w:val="restart"/>
            <w:vAlign w:val="center"/>
          </w:tcPr>
          <w:p w14:paraId="1AED9EDC">
            <w:pPr>
              <w:pStyle w:val="1343"/>
            </w:pPr>
            <w:r>
              <w:t>噪声</w:t>
            </w:r>
          </w:p>
        </w:tc>
        <w:tc>
          <w:tcPr>
            <w:tcW w:w="634" w:type="pct"/>
            <w:vAlign w:val="center"/>
          </w:tcPr>
          <w:p w14:paraId="315E327F">
            <w:pPr>
              <w:pStyle w:val="1343"/>
            </w:pPr>
            <w:r>
              <w:t>施工噪声</w:t>
            </w:r>
          </w:p>
        </w:tc>
        <w:tc>
          <w:tcPr>
            <w:tcW w:w="871" w:type="pct"/>
            <w:vAlign w:val="center"/>
          </w:tcPr>
          <w:p w14:paraId="50009DE4">
            <w:pPr>
              <w:pStyle w:val="1343"/>
            </w:pPr>
            <w:r>
              <w:t>施工噪声</w:t>
            </w:r>
          </w:p>
        </w:tc>
        <w:tc>
          <w:tcPr>
            <w:tcW w:w="844" w:type="pct"/>
            <w:vAlign w:val="center"/>
          </w:tcPr>
          <w:p w14:paraId="099BEB48">
            <w:pPr>
              <w:pStyle w:val="1343"/>
            </w:pPr>
            <w:r>
              <w:t>噪声值81~100dB(A)</w:t>
            </w:r>
          </w:p>
        </w:tc>
        <w:tc>
          <w:tcPr>
            <w:tcW w:w="612" w:type="pct"/>
            <w:vAlign w:val="center"/>
          </w:tcPr>
          <w:p w14:paraId="36ABCD75">
            <w:pPr>
              <w:pStyle w:val="1343"/>
            </w:pPr>
            <w:r>
              <w:rPr>
                <w:rFonts w:hint="eastAsia"/>
              </w:rPr>
              <w:t>间断</w:t>
            </w:r>
          </w:p>
        </w:tc>
        <w:tc>
          <w:tcPr>
            <w:tcW w:w="1602" w:type="pct"/>
            <w:vAlign w:val="center"/>
          </w:tcPr>
          <w:p w14:paraId="5523D661">
            <w:pPr>
              <w:pStyle w:val="1343"/>
            </w:pPr>
            <w:r>
              <w:rPr>
                <w:rFonts w:hint="eastAsia"/>
              </w:rPr>
              <w:t>合理安排施工时间、禁止夜间施工等高噪声作业、修建围挡及临时降噪声屏障等</w:t>
            </w:r>
          </w:p>
        </w:tc>
      </w:tr>
      <w:tr w14:paraId="429DD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4" w:type="pct"/>
            <w:vMerge w:val="continue"/>
            <w:vAlign w:val="center"/>
          </w:tcPr>
          <w:p w14:paraId="598EFA69">
            <w:pPr>
              <w:pStyle w:val="1343"/>
            </w:pPr>
          </w:p>
        </w:tc>
        <w:tc>
          <w:tcPr>
            <w:tcW w:w="181" w:type="pct"/>
            <w:vMerge w:val="continue"/>
            <w:vAlign w:val="center"/>
          </w:tcPr>
          <w:p w14:paraId="5250FEF8">
            <w:pPr>
              <w:pStyle w:val="1343"/>
            </w:pPr>
          </w:p>
        </w:tc>
        <w:tc>
          <w:tcPr>
            <w:tcW w:w="634" w:type="pct"/>
            <w:vAlign w:val="center"/>
          </w:tcPr>
          <w:p w14:paraId="34FF94AE">
            <w:pPr>
              <w:pStyle w:val="1343"/>
            </w:pPr>
            <w:r>
              <w:rPr>
                <w:rFonts w:hint="eastAsia"/>
              </w:rPr>
              <w:t>放空噪声</w:t>
            </w:r>
          </w:p>
        </w:tc>
        <w:tc>
          <w:tcPr>
            <w:tcW w:w="871" w:type="pct"/>
            <w:vAlign w:val="center"/>
          </w:tcPr>
          <w:p w14:paraId="5A264EFB">
            <w:pPr>
              <w:pStyle w:val="1343"/>
            </w:pPr>
            <w:r>
              <w:rPr>
                <w:rFonts w:hint="eastAsia"/>
              </w:rPr>
              <w:t>放空噪声</w:t>
            </w:r>
          </w:p>
        </w:tc>
        <w:tc>
          <w:tcPr>
            <w:tcW w:w="844" w:type="pct"/>
            <w:vAlign w:val="center"/>
          </w:tcPr>
          <w:p w14:paraId="6062B421">
            <w:pPr>
              <w:pStyle w:val="1343"/>
            </w:pPr>
            <w:r>
              <w:rPr>
                <w:rFonts w:hint="eastAsia"/>
              </w:rPr>
              <w:t>噪声值95</w:t>
            </w:r>
            <w:r>
              <w:t>~10</w:t>
            </w:r>
            <w:r>
              <w:rPr>
                <w:rFonts w:hint="eastAsia"/>
              </w:rPr>
              <w:t>5</w:t>
            </w:r>
            <w:r>
              <w:t>dB(A)</w:t>
            </w:r>
          </w:p>
        </w:tc>
        <w:tc>
          <w:tcPr>
            <w:tcW w:w="612" w:type="pct"/>
            <w:vAlign w:val="center"/>
          </w:tcPr>
          <w:p w14:paraId="2A326423">
            <w:pPr>
              <w:pStyle w:val="1343"/>
            </w:pPr>
            <w:r>
              <w:rPr>
                <w:rFonts w:hint="eastAsia"/>
              </w:rPr>
              <w:t>瞬时</w:t>
            </w:r>
          </w:p>
        </w:tc>
        <w:tc>
          <w:tcPr>
            <w:tcW w:w="1602" w:type="pct"/>
            <w:vAlign w:val="center"/>
          </w:tcPr>
          <w:p w14:paraId="17996965">
            <w:pPr>
              <w:pStyle w:val="1343"/>
            </w:pPr>
            <w:r>
              <w:rPr>
                <w:rFonts w:hint="eastAsia"/>
              </w:rPr>
              <w:t>合理安排放空时间，及时告知周围居民</w:t>
            </w:r>
          </w:p>
        </w:tc>
      </w:tr>
    </w:tbl>
    <w:p w14:paraId="40F72F89">
      <w:pPr>
        <w:ind w:left="1680" w:firstLine="420"/>
      </w:pPr>
    </w:p>
    <w:p w14:paraId="7C56C2D0">
      <w:pPr>
        <w:pStyle w:val="5"/>
        <w:rPr>
          <w:color w:val="auto"/>
        </w:rPr>
      </w:pPr>
      <w:r>
        <w:rPr>
          <w:color w:val="auto"/>
        </w:rPr>
        <w:t>运营期</w:t>
      </w:r>
    </w:p>
    <w:p w14:paraId="59BC6B86">
      <w:pPr>
        <w:pStyle w:val="7"/>
      </w:pPr>
      <w:r>
        <w:t>运营期工艺流程及产污环节</w:t>
      </w:r>
    </w:p>
    <w:p w14:paraId="052BFBC5">
      <w:pPr>
        <w:spacing w:line="360" w:lineRule="auto"/>
        <w:ind w:firstLine="480" w:firstLineChars="200"/>
        <w:rPr>
          <w:sz w:val="24"/>
        </w:rPr>
      </w:pPr>
      <w:r>
        <w:rPr>
          <w:rFonts w:hint="eastAsia"/>
          <w:sz w:val="24"/>
        </w:rPr>
        <w:t>（</w:t>
      </w:r>
      <w:r>
        <w:rPr>
          <w:sz w:val="24"/>
        </w:rPr>
        <w:t>1</w:t>
      </w:r>
      <w:r>
        <w:rPr>
          <w:rFonts w:hint="eastAsia"/>
          <w:sz w:val="24"/>
        </w:rPr>
        <w:t>）工艺流程描述</w:t>
      </w:r>
    </w:p>
    <w:p w14:paraId="6A711657">
      <w:pPr>
        <w:spacing w:line="360" w:lineRule="auto"/>
        <w:ind w:firstLine="480" w:firstLineChars="200"/>
        <w:rPr>
          <w:sz w:val="24"/>
        </w:rPr>
      </w:pPr>
      <w:r>
        <w:rPr>
          <w:sz w:val="24"/>
        </w:rPr>
        <w:t>正常运行期间，本管道工程全线采用密闭输送工艺，因此，对环境的影响主要来自本工程</w:t>
      </w:r>
      <w:r>
        <w:rPr>
          <w:rFonts w:hint="eastAsia"/>
          <w:sz w:val="24"/>
        </w:rPr>
        <w:t>28号阀室改造部分及新建耒阳分输站</w:t>
      </w:r>
      <w:r>
        <w:rPr>
          <w:sz w:val="24"/>
        </w:rPr>
        <w:t>的排污。</w:t>
      </w:r>
    </w:p>
    <w:p w14:paraId="0EF55BDF">
      <w:pPr>
        <w:spacing w:line="360" w:lineRule="auto"/>
        <w:ind w:firstLine="480" w:firstLineChars="200"/>
        <w:rPr>
          <w:sz w:val="24"/>
        </w:rPr>
      </w:pPr>
      <w:r>
        <w:rPr>
          <w:sz w:val="24"/>
        </w:rPr>
        <w:t>运营期</w:t>
      </w:r>
      <w:r>
        <w:rPr>
          <w:rFonts w:hint="eastAsia"/>
          <w:sz w:val="24"/>
        </w:rPr>
        <w:t>耒阳分输站及28号阀室</w:t>
      </w:r>
      <w:r>
        <w:rPr>
          <w:sz w:val="24"/>
        </w:rPr>
        <w:t>工艺流程及产污环节</w:t>
      </w:r>
      <w:r>
        <w:rPr>
          <w:rFonts w:hint="eastAsia"/>
          <w:sz w:val="24"/>
        </w:rPr>
        <w:t>分别</w:t>
      </w:r>
      <w:r>
        <w:rPr>
          <w:sz w:val="24"/>
        </w:rPr>
        <w:t>见图3.</w:t>
      </w:r>
      <w:r>
        <w:rPr>
          <w:rFonts w:hint="eastAsia"/>
          <w:sz w:val="24"/>
        </w:rPr>
        <w:t>4-6、图3.4-7</w:t>
      </w:r>
      <w:r>
        <w:rPr>
          <w:sz w:val="24"/>
        </w:rPr>
        <w:t>。</w:t>
      </w:r>
    </w:p>
    <w:p w14:paraId="175F2E1F">
      <w:pPr>
        <w:spacing w:line="360" w:lineRule="auto"/>
        <w:ind w:firstLine="480" w:firstLineChars="200"/>
        <w:rPr>
          <w:sz w:val="24"/>
        </w:rPr>
        <w:sectPr>
          <w:pgSz w:w="11910" w:h="16840"/>
          <w:pgMar w:top="1400" w:right="1180" w:bottom="1420" w:left="1280" w:header="822" w:footer="850" w:gutter="0"/>
          <w:cols w:space="720" w:num="1"/>
          <w:docGrid w:linePitch="286" w:charSpace="0"/>
        </w:sectPr>
      </w:pPr>
    </w:p>
    <w:p w14:paraId="2ADE838A">
      <w:pPr>
        <w:spacing w:line="360" w:lineRule="auto"/>
        <w:jc w:val="center"/>
      </w:pPr>
      <w:r>
        <w:rPr>
          <w:rFonts w:hint="eastAsia"/>
        </w:rPr>
        <w:drawing>
          <wp:inline distT="0" distB="0" distL="114300" distR="114300">
            <wp:extent cx="8882380" cy="5057775"/>
            <wp:effectExtent l="0" t="0" r="13970" b="9525"/>
            <wp:docPr id="53" name="图片 53" descr="b65706ba48752173385a440fb02e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b65706ba48752173385a440fb02e418"/>
                    <pic:cNvPicPr>
                      <a:picLocks noChangeAspect="1"/>
                    </pic:cNvPicPr>
                  </pic:nvPicPr>
                  <pic:blipFill>
                    <a:blip r:embed="rId57"/>
                    <a:stretch>
                      <a:fillRect/>
                    </a:stretch>
                  </pic:blipFill>
                  <pic:spPr>
                    <a:xfrm>
                      <a:off x="0" y="0"/>
                      <a:ext cx="8882380" cy="5057775"/>
                    </a:xfrm>
                    <a:prstGeom prst="rect">
                      <a:avLst/>
                    </a:prstGeom>
                  </pic:spPr>
                </pic:pic>
              </a:graphicData>
            </a:graphic>
          </wp:inline>
        </w:drawing>
      </w:r>
    </w:p>
    <w:p w14:paraId="4121C8CA">
      <w:pPr>
        <w:pStyle w:val="904"/>
        <w:spacing w:line="360" w:lineRule="auto"/>
        <w:sectPr>
          <w:pgSz w:w="16838" w:h="11906" w:orient="landscape"/>
          <w:pgMar w:top="1280" w:right="1400" w:bottom="1180" w:left="1420" w:header="822" w:footer="850" w:gutter="0"/>
          <w:cols w:space="720" w:num="1"/>
          <w:docGrid w:linePitch="286" w:charSpace="0"/>
        </w:sectPr>
      </w:pPr>
      <w:r>
        <w:t>图3.</w:t>
      </w:r>
      <w:r>
        <w:rPr>
          <w:rFonts w:hint="eastAsia"/>
        </w:rPr>
        <w:t>4-6</w:t>
      </w:r>
      <w:r>
        <w:t xml:space="preserve">  运营期</w:t>
      </w:r>
      <w:r>
        <w:rPr>
          <w:rFonts w:hint="eastAsia"/>
        </w:rPr>
        <w:t>耒阳分输站</w:t>
      </w:r>
      <w:r>
        <w:t>工艺流程及产污环节图</w:t>
      </w:r>
    </w:p>
    <w:p w14:paraId="0B998465">
      <w:pPr>
        <w:pStyle w:val="904"/>
        <w:spacing w:line="360" w:lineRule="auto"/>
      </w:pPr>
      <w:r>
        <w:rPr>
          <w:rFonts w:hint="eastAsia"/>
        </w:rPr>
        <w:drawing>
          <wp:inline distT="0" distB="0" distL="114300" distR="114300">
            <wp:extent cx="8885555" cy="5082540"/>
            <wp:effectExtent l="0" t="0" r="10795" b="3810"/>
            <wp:docPr id="56" name="图片 56" descr="8a63aec2ba3e5f81d5f643a2ecf00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8a63aec2ba3e5f81d5f643a2ecf008d"/>
                    <pic:cNvPicPr>
                      <a:picLocks noChangeAspect="1"/>
                    </pic:cNvPicPr>
                  </pic:nvPicPr>
                  <pic:blipFill>
                    <a:blip r:embed="rId58"/>
                    <a:stretch>
                      <a:fillRect/>
                    </a:stretch>
                  </pic:blipFill>
                  <pic:spPr>
                    <a:xfrm>
                      <a:off x="0" y="0"/>
                      <a:ext cx="8885555" cy="5082540"/>
                    </a:xfrm>
                    <a:prstGeom prst="rect">
                      <a:avLst/>
                    </a:prstGeom>
                  </pic:spPr>
                </pic:pic>
              </a:graphicData>
            </a:graphic>
          </wp:inline>
        </w:drawing>
      </w:r>
    </w:p>
    <w:p w14:paraId="245AD785">
      <w:pPr>
        <w:pStyle w:val="904"/>
        <w:spacing w:line="360" w:lineRule="auto"/>
      </w:pPr>
    </w:p>
    <w:p w14:paraId="16B4E533">
      <w:pPr>
        <w:pStyle w:val="904"/>
        <w:spacing w:line="360" w:lineRule="auto"/>
        <w:sectPr>
          <w:pgSz w:w="16838" w:h="11906" w:orient="landscape"/>
          <w:pgMar w:top="1280" w:right="1400" w:bottom="1180" w:left="1420" w:header="822" w:footer="850" w:gutter="0"/>
          <w:cols w:space="720" w:num="1"/>
          <w:docGrid w:linePitch="286" w:charSpace="0"/>
        </w:sectPr>
      </w:pPr>
      <w:r>
        <w:t>图3.</w:t>
      </w:r>
      <w:r>
        <w:rPr>
          <w:rFonts w:hint="eastAsia"/>
        </w:rPr>
        <w:t xml:space="preserve">4-7 </w:t>
      </w:r>
      <w:r>
        <w:t xml:space="preserve"> 运营期</w:t>
      </w:r>
      <w:r>
        <w:rPr>
          <w:rFonts w:hint="eastAsia"/>
        </w:rPr>
        <w:t>28号阀室</w:t>
      </w:r>
      <w:r>
        <w:t>工艺流程及产污环节图</w:t>
      </w:r>
    </w:p>
    <w:p w14:paraId="56D2891A">
      <w:pPr>
        <w:pStyle w:val="7"/>
      </w:pPr>
      <w:bookmarkStart w:id="152" w:name="_bookmark18"/>
      <w:bookmarkEnd w:id="152"/>
      <w:r>
        <w:t>正常工况下污染源强分析</w:t>
      </w:r>
    </w:p>
    <w:p w14:paraId="7D8CC75F">
      <w:pPr>
        <w:pStyle w:val="234"/>
      </w:pPr>
      <w:r>
        <w:t>（1）大气污染物产生及排放情况</w:t>
      </w:r>
    </w:p>
    <w:p w14:paraId="04D6C431">
      <w:pPr>
        <w:adjustRightInd w:val="0"/>
        <w:snapToGrid w:val="0"/>
        <w:spacing w:line="360" w:lineRule="auto"/>
        <w:ind w:firstLine="480" w:firstLineChars="200"/>
        <w:rPr>
          <w:sz w:val="24"/>
        </w:rPr>
      </w:pPr>
      <w:r>
        <w:rPr>
          <w:sz w:val="24"/>
        </w:rPr>
        <w:t>本工程输气管道均为密闭输送，正常工况时无废气产生。天然气在管道内存在一定的压力，输送至场站后进行过滤分离、调压过程中压力将有所下</w:t>
      </w:r>
      <w:r>
        <w:rPr>
          <w:rFonts w:hint="eastAsia"/>
          <w:sz w:val="24"/>
        </w:rPr>
        <w:t>降</w:t>
      </w:r>
      <w:r>
        <w:rPr>
          <w:sz w:val="24"/>
        </w:rPr>
        <w:t>，随着压力的下降会有少量的天然气产生，从阀门、泄压设备、法兰连接件等处动静密封点泄漏出来散逸至大气中。</w:t>
      </w:r>
    </w:p>
    <w:p w14:paraId="55C7BEEB">
      <w:pPr>
        <w:adjustRightInd w:val="0"/>
        <w:snapToGrid w:val="0"/>
        <w:spacing w:line="360" w:lineRule="auto"/>
        <w:ind w:firstLine="480" w:firstLineChars="200"/>
        <w:rPr>
          <w:sz w:val="24"/>
        </w:rPr>
      </w:pPr>
      <w:r>
        <w:rPr>
          <w:sz w:val="24"/>
        </w:rPr>
        <w:t>本工程天然气组成主要为甲烷、少量的非甲烷总烃及极少量的N</w:t>
      </w:r>
      <w:r>
        <w:rPr>
          <w:sz w:val="24"/>
          <w:vertAlign w:val="subscript"/>
        </w:rPr>
        <w:t>2</w:t>
      </w:r>
      <w:r>
        <w:rPr>
          <w:sz w:val="24"/>
        </w:rPr>
        <w:t>、CO等，场站内天然气无组织排放主要来自于设备动静密封点泄漏，以非甲烷总烃计。根据《环境影响评价技术导则 大气环境》(HJ2.2-2018)7.2.1：新建项目的污染源调查，依据HJ2.1、HJ130、HJ942、行业排污许可证申请与核发技术规范及各污染源源强核算技术指南，并结合工程分析从严确定污染物排放量。</w:t>
      </w:r>
    </w:p>
    <w:p w14:paraId="576B97F9">
      <w:pPr>
        <w:adjustRightInd w:val="0"/>
        <w:snapToGrid w:val="0"/>
        <w:spacing w:line="360" w:lineRule="auto"/>
        <w:ind w:firstLine="480" w:firstLineChars="200"/>
        <w:rPr>
          <w:rFonts w:hint="default" w:ascii="Times New Roman" w:hAnsi="Times New Roman" w:eastAsia="宋体" w:cs="Times New Roman"/>
          <w:i/>
          <w:iCs/>
          <w:color w:val="auto"/>
          <w:sz w:val="24"/>
          <w:highlight w:val="none"/>
          <w:u w:val="single"/>
          <w:lang w:val="en-US"/>
        </w:rPr>
      </w:pPr>
      <w:r>
        <w:rPr>
          <w:rFonts w:hint="default" w:ascii="Times New Roman" w:hAnsi="Times New Roman" w:eastAsia="宋体" w:cs="Times New Roman"/>
          <w:i/>
          <w:iCs/>
          <w:color w:val="auto"/>
          <w:sz w:val="24"/>
          <w:highlight w:val="none"/>
          <w:u w:val="single"/>
          <w:lang w:val="en-US"/>
        </w:rPr>
        <w:t>根据本工程特点，本工程站场正常工况下排放的废气主要为设备与管线组件密封点无组织挥发的</w:t>
      </w:r>
      <w:r>
        <w:rPr>
          <w:rFonts w:hint="default" w:ascii="Times New Roman" w:hAnsi="Times New Roman" w:eastAsia="宋体" w:cs="Times New Roman"/>
          <w:i/>
          <w:iCs/>
          <w:color w:val="auto"/>
          <w:sz w:val="24"/>
          <w:highlight w:val="none"/>
          <w:u w:val="single"/>
          <w:lang w:val="en-US" w:eastAsia="zh-CN"/>
        </w:rPr>
        <w:t>天然气，</w:t>
      </w:r>
      <w:r>
        <w:rPr>
          <w:rFonts w:hint="default" w:ascii="Times New Roman" w:hAnsi="Times New Roman" w:eastAsia="宋体" w:cs="Times New Roman"/>
          <w:i/>
          <w:iCs/>
          <w:color w:val="auto"/>
          <w:sz w:val="24"/>
          <w:highlight w:val="none"/>
          <w:u w:val="single"/>
          <w:lang w:val="en-US"/>
        </w:rPr>
        <w:t>主要成分为</w:t>
      </w:r>
      <w:r>
        <w:rPr>
          <w:rFonts w:hint="default" w:ascii="Times New Roman" w:hAnsi="Times New Roman" w:eastAsia="宋体" w:cs="Times New Roman"/>
          <w:i/>
          <w:iCs/>
          <w:color w:val="auto"/>
          <w:sz w:val="24"/>
          <w:highlight w:val="none"/>
          <w:u w:val="single"/>
          <w:lang w:val="en-US" w:eastAsia="zh-CN"/>
        </w:rPr>
        <w:t>总烃</w:t>
      </w:r>
      <w:r>
        <w:rPr>
          <w:rFonts w:hint="default" w:ascii="Times New Roman" w:hAnsi="Times New Roman" w:eastAsia="宋体" w:cs="Times New Roman"/>
          <w:i/>
          <w:iCs/>
          <w:color w:val="auto"/>
          <w:sz w:val="24"/>
          <w:highlight w:val="none"/>
          <w:u w:val="single"/>
          <w:lang w:val="en-US"/>
        </w:rPr>
        <w:t>，</w:t>
      </w:r>
      <w:r>
        <w:rPr>
          <w:rFonts w:hint="default" w:ascii="Times New Roman" w:hAnsi="Times New Roman" w:eastAsia="宋体" w:cs="Times New Roman"/>
          <w:i/>
          <w:iCs/>
          <w:color w:val="auto"/>
          <w:sz w:val="24"/>
          <w:highlight w:val="none"/>
          <w:u w:val="single"/>
          <w:lang w:val="en-US" w:eastAsia="zh-CN"/>
        </w:rPr>
        <w:t>包含</w:t>
      </w:r>
      <w:r>
        <w:rPr>
          <w:rFonts w:hint="default" w:ascii="Times New Roman" w:hAnsi="Times New Roman" w:eastAsia="宋体" w:cs="Times New Roman"/>
          <w:i/>
          <w:iCs/>
          <w:color w:val="auto"/>
          <w:sz w:val="24"/>
          <w:highlight w:val="none"/>
          <w:u w:val="single"/>
          <w:lang w:val="en-US"/>
        </w:rPr>
        <w:t>极少量的非甲烷总烃</w:t>
      </w:r>
      <w:r>
        <w:rPr>
          <w:rFonts w:hint="default" w:ascii="Times New Roman" w:hAnsi="Times New Roman" w:eastAsia="宋体" w:cs="Times New Roman"/>
          <w:i/>
          <w:iCs/>
          <w:color w:val="auto"/>
          <w:sz w:val="24"/>
          <w:highlight w:val="none"/>
          <w:u w:val="single"/>
          <w:lang w:val="en-US" w:eastAsia="zh-CN"/>
        </w:rPr>
        <w:t>，</w:t>
      </w:r>
      <w:r>
        <w:rPr>
          <w:rFonts w:hint="default" w:ascii="Times New Roman" w:hAnsi="Times New Roman" w:eastAsia="宋体" w:cs="Times New Roman"/>
          <w:i/>
          <w:iCs/>
          <w:color w:val="auto"/>
          <w:sz w:val="24"/>
          <w:highlight w:val="none"/>
          <w:u w:val="single"/>
          <w:lang w:val="en-US"/>
        </w:rPr>
        <w:t>参照《排污许可证申请与核发技术规范 石化工业》(HJ853-2017)中“设备与管线组件密封点泄漏挥发性有机物年许可排放量”中</w:t>
      </w:r>
      <w:r>
        <w:rPr>
          <w:rFonts w:hint="default" w:ascii="Times New Roman" w:hAnsi="Times New Roman" w:eastAsia="宋体" w:cs="Times New Roman"/>
          <w:i/>
          <w:iCs/>
          <w:color w:val="auto"/>
          <w:sz w:val="24"/>
          <w:highlight w:val="none"/>
          <w:u w:val="single"/>
          <w:lang w:val="en-US" w:eastAsia="zh-CN"/>
        </w:rPr>
        <w:t>石油炼制</w:t>
      </w:r>
      <w:r>
        <w:rPr>
          <w:rFonts w:hint="default" w:ascii="Times New Roman" w:hAnsi="Times New Roman" w:eastAsia="宋体" w:cs="Times New Roman"/>
          <w:i/>
          <w:iCs/>
          <w:color w:val="auto"/>
          <w:sz w:val="24"/>
          <w:highlight w:val="none"/>
          <w:u w:val="single"/>
          <w:lang w:val="en-US"/>
        </w:rPr>
        <w:t>工业的核算方法，项目设备与管线组件的设置情况、取值参数及本工程站场</w:t>
      </w:r>
      <w:r>
        <w:rPr>
          <w:rFonts w:hint="default" w:ascii="Times New Roman" w:hAnsi="Times New Roman" w:eastAsia="宋体" w:cs="Times New Roman"/>
          <w:i/>
          <w:iCs/>
          <w:color w:val="auto"/>
          <w:sz w:val="24"/>
          <w:highlight w:val="none"/>
          <w:u w:val="single"/>
          <w:lang w:val="en-US" w:eastAsia="zh-CN"/>
        </w:rPr>
        <w:t>、阀室</w:t>
      </w:r>
      <w:r>
        <w:rPr>
          <w:rFonts w:hint="default" w:ascii="Times New Roman" w:hAnsi="Times New Roman" w:eastAsia="宋体" w:cs="Times New Roman"/>
          <w:i/>
          <w:iCs/>
          <w:color w:val="auto"/>
          <w:sz w:val="24"/>
          <w:highlight w:val="none"/>
          <w:u w:val="single"/>
          <w:lang w:val="en-US"/>
        </w:rPr>
        <w:t>无组织排放量等情况详见表</w:t>
      </w:r>
      <w:r>
        <w:rPr>
          <w:rFonts w:hint="eastAsia" w:ascii="Times New Roman" w:hAnsi="Times New Roman" w:eastAsia="宋体" w:cs="Times New Roman"/>
          <w:i/>
          <w:iCs/>
          <w:color w:val="auto"/>
          <w:sz w:val="24"/>
          <w:highlight w:val="none"/>
          <w:u w:val="single"/>
          <w:lang w:val="en-US" w:eastAsia="zh-CN"/>
        </w:rPr>
        <w:t>3.4-11</w:t>
      </w:r>
      <w:r>
        <w:rPr>
          <w:rFonts w:hint="default" w:ascii="Times New Roman" w:hAnsi="Times New Roman" w:eastAsia="宋体" w:cs="Times New Roman"/>
          <w:i/>
          <w:iCs/>
          <w:color w:val="auto"/>
          <w:sz w:val="24"/>
          <w:highlight w:val="none"/>
          <w:u w:val="single"/>
          <w:lang w:val="en-US"/>
        </w:rPr>
        <w:t>。</w:t>
      </w:r>
    </w:p>
    <w:p w14:paraId="7F9C917D">
      <w:pPr>
        <w:pStyle w:val="904"/>
        <w:rPr>
          <w:i/>
          <w:iCs/>
          <w:color w:val="auto"/>
          <w:highlight w:val="none"/>
          <w:u w:val="single"/>
        </w:rPr>
      </w:pPr>
      <w:r>
        <w:rPr>
          <w:i/>
          <w:iCs/>
          <w:color w:val="auto"/>
          <w:highlight w:val="none"/>
          <w:u w:val="single"/>
        </w:rPr>
        <w:t>表3.</w:t>
      </w:r>
      <w:r>
        <w:rPr>
          <w:rFonts w:hint="eastAsia"/>
          <w:i/>
          <w:iCs/>
          <w:color w:val="auto"/>
          <w:highlight w:val="none"/>
          <w:u w:val="single"/>
        </w:rPr>
        <w:t>4</w:t>
      </w:r>
      <w:r>
        <w:rPr>
          <w:i/>
          <w:iCs/>
          <w:color w:val="auto"/>
          <w:highlight w:val="none"/>
          <w:u w:val="single"/>
        </w:rPr>
        <w:t>-11  站场无组织排放计算参数及源强核算结果分析表</w:t>
      </w:r>
    </w:p>
    <w:tbl>
      <w:tblPr>
        <w:tblStyle w:val="88"/>
        <w:tblW w:w="5195"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06"/>
        <w:gridCol w:w="617"/>
        <w:gridCol w:w="1091"/>
        <w:gridCol w:w="1805"/>
        <w:gridCol w:w="1661"/>
        <w:gridCol w:w="1549"/>
        <w:gridCol w:w="1144"/>
        <w:gridCol w:w="1156"/>
      </w:tblGrid>
      <w:tr w14:paraId="6397DE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5" w:hRule="atLeast"/>
        </w:trPr>
        <w:tc>
          <w:tcPr>
            <w:tcW w:w="410" w:type="pct"/>
            <w:noWrap w:val="0"/>
            <w:vAlign w:val="center"/>
          </w:tcPr>
          <w:p w14:paraId="44D3D35D">
            <w:pPr>
              <w:pStyle w:val="3085"/>
              <w:adjustRightInd w:val="0"/>
              <w:snapToGrid w:val="0"/>
              <w:rPr>
                <w:rFonts w:hint="default" w:ascii="Times New Roman" w:hAnsi="Times New Roman" w:cs="Times New Roman"/>
                <w:i/>
                <w:iCs/>
                <w:color w:val="auto"/>
                <w:szCs w:val="21"/>
                <w:highlight w:val="none"/>
                <w:u w:val="single"/>
                <w:lang w:val="en-US"/>
              </w:rPr>
            </w:pPr>
            <w:r>
              <w:rPr>
                <w:rFonts w:hint="default" w:ascii="Times New Roman" w:hAnsi="Times New Roman" w:cs="Times New Roman"/>
                <w:i/>
                <w:iCs/>
                <w:color w:val="auto"/>
                <w:szCs w:val="21"/>
                <w:highlight w:val="none"/>
                <w:u w:val="single"/>
                <w:lang w:val="en-US"/>
              </w:rPr>
              <w:t>污染源</w:t>
            </w:r>
          </w:p>
        </w:tc>
        <w:tc>
          <w:tcPr>
            <w:tcW w:w="314" w:type="pct"/>
            <w:noWrap w:val="0"/>
            <w:vAlign w:val="center"/>
          </w:tcPr>
          <w:p w14:paraId="73046F21">
            <w:pPr>
              <w:pStyle w:val="3085"/>
              <w:adjustRightInd w:val="0"/>
              <w:snapToGrid w:val="0"/>
              <w:rPr>
                <w:rFonts w:hint="default" w:ascii="Times New Roman" w:hAnsi="Times New Roman" w:cs="Times New Roman"/>
                <w:i/>
                <w:iCs/>
                <w:color w:val="auto"/>
                <w:szCs w:val="21"/>
                <w:highlight w:val="none"/>
                <w:u w:val="single"/>
                <w:lang w:val="en-US"/>
              </w:rPr>
            </w:pPr>
            <w:r>
              <w:rPr>
                <w:rFonts w:hint="default" w:ascii="Times New Roman" w:hAnsi="Times New Roman" w:cs="Times New Roman"/>
                <w:i/>
                <w:iCs/>
                <w:color w:val="auto"/>
                <w:szCs w:val="21"/>
                <w:highlight w:val="none"/>
                <w:u w:val="single"/>
                <w:lang w:val="en-US"/>
              </w:rPr>
              <w:t>设备类型</w:t>
            </w:r>
          </w:p>
        </w:tc>
        <w:tc>
          <w:tcPr>
            <w:tcW w:w="555" w:type="pct"/>
            <w:noWrap w:val="0"/>
            <w:vAlign w:val="center"/>
          </w:tcPr>
          <w:p w14:paraId="6AAA37EC">
            <w:pPr>
              <w:pStyle w:val="3085"/>
              <w:adjustRightInd w:val="0"/>
              <w:snapToGrid w:val="0"/>
              <w:rPr>
                <w:rFonts w:hint="default" w:ascii="Times New Roman" w:hAnsi="Times New Roman" w:cs="Times New Roman"/>
                <w:i/>
                <w:iCs/>
                <w:color w:val="auto"/>
                <w:szCs w:val="21"/>
                <w:highlight w:val="none"/>
                <w:u w:val="single"/>
                <w:lang w:val="en-US"/>
              </w:rPr>
            </w:pPr>
            <w:r>
              <w:rPr>
                <w:rFonts w:hint="default" w:ascii="Times New Roman" w:hAnsi="Times New Roman" w:cs="Times New Roman"/>
                <w:i/>
                <w:iCs/>
                <w:color w:val="auto"/>
                <w:szCs w:val="21"/>
                <w:highlight w:val="none"/>
                <w:u w:val="single"/>
                <w:lang w:val="en-US"/>
              </w:rPr>
              <w:t>设备数量</w:t>
            </w:r>
          </w:p>
          <w:p w14:paraId="7DF64443">
            <w:pPr>
              <w:pStyle w:val="3085"/>
              <w:adjustRightInd w:val="0"/>
              <w:snapToGrid w:val="0"/>
              <w:rPr>
                <w:rFonts w:hint="default" w:ascii="Times New Roman" w:hAnsi="Times New Roman" w:cs="Times New Roman"/>
                <w:i/>
                <w:iCs/>
                <w:color w:val="auto"/>
                <w:szCs w:val="21"/>
                <w:highlight w:val="none"/>
                <w:u w:val="single"/>
                <w:lang w:val="en-US"/>
              </w:rPr>
            </w:pPr>
            <w:r>
              <w:rPr>
                <w:rFonts w:hint="default" w:ascii="Times New Roman" w:hAnsi="Times New Roman" w:cs="Times New Roman"/>
                <w:i/>
                <w:iCs/>
                <w:color w:val="auto"/>
                <w:szCs w:val="21"/>
                <w:highlight w:val="none"/>
                <w:u w:val="single"/>
                <w:lang w:val="en-US"/>
              </w:rPr>
              <w:t>/个</w:t>
            </w:r>
          </w:p>
        </w:tc>
        <w:tc>
          <w:tcPr>
            <w:tcW w:w="918" w:type="pct"/>
            <w:noWrap w:val="0"/>
            <w:vAlign w:val="center"/>
          </w:tcPr>
          <w:p w14:paraId="21D7FB0F">
            <w:pPr>
              <w:pStyle w:val="3085"/>
              <w:adjustRightInd w:val="0"/>
              <w:snapToGrid w:val="0"/>
              <w:rPr>
                <w:rFonts w:hint="default" w:ascii="Times New Roman" w:hAnsi="Times New Roman" w:cs="Times New Roman"/>
                <w:i/>
                <w:iCs/>
                <w:color w:val="auto"/>
                <w:szCs w:val="21"/>
                <w:highlight w:val="none"/>
                <w:u w:val="single"/>
                <w:lang w:val="en-US"/>
              </w:rPr>
            </w:pPr>
            <w:r>
              <w:rPr>
                <w:rFonts w:hint="default" w:ascii="Times New Roman" w:hAnsi="Times New Roman" w:cs="Times New Roman"/>
                <w:i/>
                <w:iCs/>
                <w:color w:val="auto"/>
                <w:szCs w:val="21"/>
                <w:highlight w:val="none"/>
                <w:u w:val="single"/>
                <w:lang w:val="en-US"/>
              </w:rPr>
              <w:t>排放速率e</w:t>
            </w:r>
            <w:r>
              <w:rPr>
                <w:rFonts w:hint="default" w:ascii="Times New Roman" w:hAnsi="Times New Roman" w:cs="Times New Roman"/>
                <w:i/>
                <w:iCs/>
                <w:color w:val="auto"/>
                <w:szCs w:val="21"/>
                <w:highlight w:val="none"/>
                <w:u w:val="single"/>
                <w:vertAlign w:val="subscript"/>
                <w:lang w:val="en-US"/>
              </w:rPr>
              <w:t>TOC，i</w:t>
            </w:r>
            <w:r>
              <w:rPr>
                <w:rFonts w:hint="default" w:ascii="Times New Roman" w:hAnsi="Times New Roman" w:cs="Times New Roman"/>
                <w:i/>
                <w:iCs/>
                <w:color w:val="auto"/>
                <w:szCs w:val="21"/>
                <w:highlight w:val="none"/>
                <w:u w:val="single"/>
                <w:lang w:val="en-US"/>
              </w:rPr>
              <w:t>/(kg/h/排放源)</w:t>
            </w:r>
          </w:p>
        </w:tc>
        <w:tc>
          <w:tcPr>
            <w:tcW w:w="845" w:type="pct"/>
            <w:noWrap w:val="0"/>
            <w:vAlign w:val="center"/>
          </w:tcPr>
          <w:p w14:paraId="3BF85906">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排放</w:t>
            </w:r>
            <w:r>
              <w:rPr>
                <w:rFonts w:hint="default" w:ascii="Times New Roman" w:hAnsi="Times New Roman" w:cs="Times New Roman"/>
                <w:i/>
                <w:iCs/>
                <w:color w:val="auto"/>
                <w:szCs w:val="21"/>
                <w:highlight w:val="none"/>
                <w:u w:val="single"/>
                <w:lang w:val="en-US"/>
              </w:rPr>
              <w:t>速率kg/h</w:t>
            </w:r>
          </w:p>
        </w:tc>
        <w:tc>
          <w:tcPr>
            <w:tcW w:w="788" w:type="pct"/>
            <w:noWrap w:val="0"/>
            <w:vAlign w:val="center"/>
          </w:tcPr>
          <w:p w14:paraId="6CB5E317">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排放</w:t>
            </w:r>
            <w:r>
              <w:rPr>
                <w:rFonts w:hint="default" w:ascii="Times New Roman" w:hAnsi="Times New Roman" w:cs="Times New Roman"/>
                <w:i/>
                <w:iCs/>
                <w:color w:val="auto"/>
                <w:szCs w:val="21"/>
                <w:highlight w:val="none"/>
                <w:u w:val="single"/>
                <w:lang w:val="en-US"/>
              </w:rPr>
              <w:t>量t/a</w:t>
            </w:r>
          </w:p>
        </w:tc>
        <w:tc>
          <w:tcPr>
            <w:tcW w:w="582" w:type="pct"/>
            <w:noWrap w:val="0"/>
            <w:vAlign w:val="center"/>
          </w:tcPr>
          <w:p w14:paraId="6A67716C">
            <w:pPr>
              <w:pStyle w:val="3085"/>
              <w:adjustRightInd w:val="0"/>
              <w:snapToGrid w:val="0"/>
              <w:rPr>
                <w:rFonts w:hint="default" w:ascii="Times New Roman" w:hAnsi="Times New Roman" w:cs="Times New Roman"/>
                <w:i/>
                <w:iCs/>
                <w:color w:val="auto"/>
                <w:szCs w:val="21"/>
                <w:highlight w:val="none"/>
                <w:u w:val="single"/>
                <w:lang w:val="en-US"/>
              </w:rPr>
            </w:pPr>
            <w:r>
              <w:rPr>
                <w:rFonts w:hint="default" w:ascii="Times New Roman" w:hAnsi="Times New Roman" w:cs="Times New Roman"/>
                <w:i/>
                <w:iCs/>
                <w:color w:val="auto"/>
                <w:szCs w:val="21"/>
                <w:highlight w:val="none"/>
                <w:u w:val="single"/>
                <w:lang w:val="en-US"/>
              </w:rPr>
              <w:t>排放</w:t>
            </w:r>
          </w:p>
          <w:p w14:paraId="4D61FE51">
            <w:pPr>
              <w:pStyle w:val="3085"/>
              <w:adjustRightInd w:val="0"/>
              <w:snapToGrid w:val="0"/>
              <w:rPr>
                <w:rFonts w:hint="default" w:ascii="Times New Roman" w:hAnsi="Times New Roman" w:cs="Times New Roman"/>
                <w:i/>
                <w:iCs/>
                <w:color w:val="auto"/>
                <w:szCs w:val="21"/>
                <w:highlight w:val="none"/>
                <w:u w:val="single"/>
                <w:lang w:val="en-US"/>
              </w:rPr>
            </w:pPr>
            <w:r>
              <w:rPr>
                <w:rFonts w:hint="default" w:ascii="Times New Roman" w:hAnsi="Times New Roman" w:cs="Times New Roman"/>
                <w:i/>
                <w:iCs/>
                <w:color w:val="auto"/>
                <w:szCs w:val="21"/>
                <w:highlight w:val="none"/>
                <w:u w:val="single"/>
                <w:lang w:val="en-US"/>
              </w:rPr>
              <w:t>规律</w:t>
            </w:r>
          </w:p>
        </w:tc>
        <w:tc>
          <w:tcPr>
            <w:tcW w:w="585" w:type="pct"/>
            <w:noWrap w:val="0"/>
            <w:vAlign w:val="center"/>
          </w:tcPr>
          <w:p w14:paraId="4AA42A66">
            <w:pPr>
              <w:pStyle w:val="3085"/>
              <w:adjustRightInd w:val="0"/>
              <w:snapToGrid w:val="0"/>
              <w:rPr>
                <w:rFonts w:hint="default" w:ascii="Times New Roman" w:hAnsi="Times New Roman" w:cs="Times New Roman"/>
                <w:i/>
                <w:iCs/>
                <w:color w:val="auto"/>
                <w:szCs w:val="21"/>
                <w:highlight w:val="none"/>
                <w:u w:val="single"/>
                <w:lang w:val="en-US"/>
              </w:rPr>
            </w:pPr>
            <w:r>
              <w:rPr>
                <w:rFonts w:hint="default" w:ascii="Times New Roman" w:hAnsi="Times New Roman" w:cs="Times New Roman"/>
                <w:i/>
                <w:iCs/>
                <w:color w:val="auto"/>
                <w:szCs w:val="21"/>
                <w:highlight w:val="none"/>
                <w:u w:val="single"/>
                <w:lang w:val="en-US"/>
              </w:rPr>
              <w:t>排放时间</w:t>
            </w:r>
          </w:p>
          <w:p w14:paraId="4CB77103">
            <w:pPr>
              <w:pStyle w:val="3085"/>
              <w:adjustRightInd w:val="0"/>
              <w:snapToGrid w:val="0"/>
              <w:rPr>
                <w:rFonts w:hint="default" w:ascii="Times New Roman" w:hAnsi="Times New Roman" w:cs="Times New Roman"/>
                <w:i/>
                <w:iCs/>
                <w:color w:val="auto"/>
                <w:szCs w:val="21"/>
                <w:highlight w:val="none"/>
                <w:u w:val="single"/>
                <w:lang w:val="en-US"/>
              </w:rPr>
            </w:pPr>
            <w:r>
              <w:rPr>
                <w:rFonts w:hint="default" w:ascii="Times New Roman" w:hAnsi="Times New Roman" w:cs="Times New Roman"/>
                <w:i/>
                <w:iCs/>
                <w:color w:val="auto"/>
                <w:szCs w:val="21"/>
                <w:highlight w:val="none"/>
                <w:u w:val="single"/>
                <w:lang w:val="en-US"/>
              </w:rPr>
              <w:t>h/a</w:t>
            </w:r>
          </w:p>
        </w:tc>
      </w:tr>
      <w:tr w14:paraId="7D6D43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410" w:type="pct"/>
            <w:vMerge w:val="restart"/>
            <w:noWrap w:val="0"/>
            <w:vAlign w:val="center"/>
          </w:tcPr>
          <w:p w14:paraId="50902FAC">
            <w:pPr>
              <w:pStyle w:val="1343"/>
              <w:rPr>
                <w:rFonts w:hint="default" w:ascii="Times New Roman" w:hAnsi="Times New Roman" w:cs="Times New Roman"/>
                <w:i/>
                <w:iCs/>
                <w:color w:val="auto"/>
                <w:szCs w:val="21"/>
                <w:highlight w:val="none"/>
                <w:u w:val="single"/>
              </w:rPr>
            </w:pPr>
            <w:r>
              <w:rPr>
                <w:rFonts w:hint="eastAsia"/>
                <w:i/>
                <w:iCs/>
                <w:color w:val="auto"/>
                <w:highlight w:val="none"/>
                <w:u w:val="single"/>
              </w:rPr>
              <w:t>耒阳分输站</w:t>
            </w:r>
          </w:p>
        </w:tc>
        <w:tc>
          <w:tcPr>
            <w:tcW w:w="314" w:type="pct"/>
            <w:noWrap w:val="0"/>
            <w:vAlign w:val="center"/>
          </w:tcPr>
          <w:p w14:paraId="3B37C149">
            <w:pPr>
              <w:pStyle w:val="3085"/>
              <w:adjustRightInd w:val="0"/>
              <w:snapToGrid w:val="0"/>
              <w:rPr>
                <w:rFonts w:hint="default" w:ascii="Times New Roman" w:hAnsi="Times New Roman" w:cs="Times New Roman"/>
                <w:i/>
                <w:iCs/>
                <w:color w:val="auto"/>
                <w:szCs w:val="21"/>
                <w:highlight w:val="none"/>
                <w:u w:val="single"/>
                <w:lang w:val="en-US"/>
              </w:rPr>
            </w:pPr>
            <w:r>
              <w:rPr>
                <w:rFonts w:hint="default" w:ascii="Times New Roman" w:hAnsi="Times New Roman" w:cs="Times New Roman"/>
                <w:i/>
                <w:iCs/>
                <w:color w:val="auto"/>
                <w:szCs w:val="21"/>
                <w:highlight w:val="none"/>
                <w:u w:val="single"/>
                <w:lang w:val="en-US"/>
              </w:rPr>
              <w:t>阀门</w:t>
            </w:r>
          </w:p>
        </w:tc>
        <w:tc>
          <w:tcPr>
            <w:tcW w:w="555" w:type="pct"/>
            <w:noWrap w:val="0"/>
            <w:vAlign w:val="center"/>
          </w:tcPr>
          <w:p w14:paraId="534C1A61">
            <w:pPr>
              <w:pStyle w:val="3085"/>
              <w:adjustRightInd w:val="0"/>
              <w:snapToGrid w:val="0"/>
              <w:rPr>
                <w:rFonts w:hint="default" w:ascii="Times New Roman" w:hAnsi="Times New Roman" w:eastAsia="宋体" w:cs="Times New Roman"/>
                <w:i/>
                <w:iCs/>
                <w:color w:val="auto"/>
                <w:szCs w:val="21"/>
                <w:highlight w:val="none"/>
                <w:u w:val="single"/>
                <w:lang w:val="en-US" w:eastAsia="zh-CN"/>
              </w:rPr>
            </w:pPr>
            <w:r>
              <w:rPr>
                <w:rFonts w:hint="eastAsia" w:ascii="Times New Roman" w:hAnsi="Times New Roman" w:eastAsia="宋体" w:cs="Times New Roman"/>
                <w:i/>
                <w:iCs/>
                <w:color w:val="auto"/>
                <w:szCs w:val="21"/>
                <w:highlight w:val="none"/>
                <w:u w:val="single"/>
                <w:lang w:val="en-US" w:eastAsia="zh-CN"/>
              </w:rPr>
              <w:t>78</w:t>
            </w:r>
          </w:p>
        </w:tc>
        <w:tc>
          <w:tcPr>
            <w:tcW w:w="918" w:type="pct"/>
            <w:noWrap w:val="0"/>
            <w:vAlign w:val="center"/>
          </w:tcPr>
          <w:p w14:paraId="2EBFA167">
            <w:pPr>
              <w:pStyle w:val="3085"/>
              <w:adjustRightInd w:val="0"/>
              <w:snapToGrid w:val="0"/>
              <w:rPr>
                <w:rFonts w:hint="default" w:ascii="Times New Roman" w:hAnsi="Times New Roman" w:eastAsia="宋体"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0.064</w:t>
            </w:r>
          </w:p>
        </w:tc>
        <w:tc>
          <w:tcPr>
            <w:tcW w:w="845" w:type="pct"/>
            <w:noWrap w:val="0"/>
            <w:vAlign w:val="center"/>
          </w:tcPr>
          <w:p w14:paraId="4A81E471">
            <w:pPr>
              <w:widowControl/>
              <w:jc w:val="center"/>
              <w:textAlignment w:val="center"/>
              <w:rPr>
                <w:rFonts w:hint="default" w:ascii="Times New Roman" w:hAnsi="Times New Roman" w:eastAsia="宋体" w:cs="Times New Roman"/>
                <w:i/>
                <w:iCs/>
                <w:color w:val="auto"/>
                <w:szCs w:val="21"/>
                <w:highlight w:val="none"/>
                <w:u w:val="single"/>
                <w:lang w:val="en-US" w:eastAsia="zh-CN"/>
              </w:rPr>
            </w:pPr>
            <w:r>
              <w:rPr>
                <w:rFonts w:hint="eastAsia" w:ascii="Times New Roman" w:hAnsi="Times New Roman" w:eastAsia="宋体" w:cs="Times New Roman"/>
                <w:i/>
                <w:iCs/>
                <w:color w:val="auto"/>
                <w:szCs w:val="21"/>
                <w:highlight w:val="none"/>
                <w:u w:val="single"/>
                <w:lang w:val="en-US" w:eastAsia="zh-CN"/>
              </w:rPr>
              <w:t>0.0013</w:t>
            </w:r>
          </w:p>
        </w:tc>
        <w:tc>
          <w:tcPr>
            <w:tcW w:w="788" w:type="pct"/>
            <w:noWrap w:val="0"/>
            <w:vAlign w:val="center"/>
          </w:tcPr>
          <w:p w14:paraId="11E1F4D1">
            <w:pPr>
              <w:widowControl/>
              <w:jc w:val="center"/>
              <w:textAlignment w:val="center"/>
              <w:rPr>
                <w:rFonts w:hint="default" w:ascii="Times New Roman" w:hAnsi="Times New Roman" w:eastAsia="宋体" w:cs="Times New Roman"/>
                <w:i/>
                <w:iCs/>
                <w:color w:val="auto"/>
                <w:szCs w:val="21"/>
                <w:highlight w:val="none"/>
                <w:u w:val="single"/>
                <w:lang w:val="en-US" w:eastAsia="zh-CN"/>
              </w:rPr>
            </w:pPr>
            <w:r>
              <w:rPr>
                <w:rFonts w:hint="eastAsia" w:ascii="Times New Roman" w:hAnsi="Times New Roman" w:eastAsia="宋体" w:cs="Times New Roman"/>
                <w:i/>
                <w:iCs/>
                <w:color w:val="auto"/>
                <w:szCs w:val="21"/>
                <w:highlight w:val="none"/>
                <w:u w:val="single"/>
                <w:lang w:val="en-US" w:eastAsia="zh-CN"/>
              </w:rPr>
              <w:t>0.011</w:t>
            </w:r>
          </w:p>
        </w:tc>
        <w:tc>
          <w:tcPr>
            <w:tcW w:w="582" w:type="pct"/>
            <w:noWrap w:val="0"/>
            <w:vAlign w:val="center"/>
          </w:tcPr>
          <w:p w14:paraId="3489ACA9">
            <w:pPr>
              <w:pStyle w:val="3085"/>
              <w:adjustRightInd w:val="0"/>
              <w:snapToGrid w:val="0"/>
              <w:rPr>
                <w:rFonts w:hint="default" w:ascii="Times New Roman" w:hAnsi="Times New Roman" w:cs="Times New Roman"/>
                <w:i/>
                <w:iCs/>
                <w:color w:val="auto"/>
                <w:szCs w:val="21"/>
                <w:highlight w:val="none"/>
                <w:u w:val="single"/>
                <w:lang w:val="en-US"/>
              </w:rPr>
            </w:pPr>
            <w:r>
              <w:rPr>
                <w:rFonts w:hint="default" w:ascii="Times New Roman" w:hAnsi="Times New Roman" w:cs="Times New Roman"/>
                <w:i/>
                <w:iCs/>
                <w:color w:val="auto"/>
                <w:szCs w:val="21"/>
                <w:highlight w:val="none"/>
                <w:u w:val="single"/>
                <w:lang w:val="en-US"/>
              </w:rPr>
              <w:t>连续</w:t>
            </w:r>
          </w:p>
        </w:tc>
        <w:tc>
          <w:tcPr>
            <w:tcW w:w="585" w:type="pct"/>
            <w:noWrap w:val="0"/>
            <w:vAlign w:val="center"/>
          </w:tcPr>
          <w:p w14:paraId="3B9FF2FF">
            <w:pPr>
              <w:pStyle w:val="3085"/>
              <w:adjustRightInd w:val="0"/>
              <w:snapToGrid w:val="0"/>
              <w:rPr>
                <w:rFonts w:hint="default" w:ascii="Times New Roman" w:hAnsi="Times New Roman" w:eastAsia="宋体" w:cs="Times New Roman"/>
                <w:i/>
                <w:iCs/>
                <w:color w:val="auto"/>
                <w:szCs w:val="21"/>
                <w:highlight w:val="none"/>
                <w:u w:val="single"/>
                <w:lang w:val="en-US" w:eastAsia="zh-CN"/>
              </w:rPr>
            </w:pPr>
            <w:r>
              <w:rPr>
                <w:rFonts w:hint="eastAsia" w:ascii="Times New Roman" w:hAnsi="Times New Roman" w:cs="Times New Roman"/>
                <w:i/>
                <w:iCs/>
                <w:color w:val="auto"/>
                <w:szCs w:val="21"/>
                <w:highlight w:val="none"/>
                <w:u w:val="single"/>
                <w:lang w:val="en-US" w:eastAsia="zh-CN"/>
              </w:rPr>
              <w:t>8760</w:t>
            </w:r>
          </w:p>
        </w:tc>
      </w:tr>
      <w:tr w14:paraId="46EB89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0" w:type="pct"/>
            <w:vMerge w:val="continue"/>
            <w:noWrap w:val="0"/>
            <w:vAlign w:val="center"/>
          </w:tcPr>
          <w:p w14:paraId="3474725C">
            <w:pPr>
              <w:pStyle w:val="3085"/>
              <w:adjustRightInd w:val="0"/>
              <w:snapToGrid w:val="0"/>
              <w:rPr>
                <w:rFonts w:hint="default" w:ascii="Times New Roman" w:hAnsi="Times New Roman" w:cs="Times New Roman"/>
                <w:i/>
                <w:iCs/>
                <w:color w:val="auto"/>
                <w:szCs w:val="21"/>
                <w:highlight w:val="none"/>
                <w:u w:val="single"/>
              </w:rPr>
            </w:pPr>
          </w:p>
        </w:tc>
        <w:tc>
          <w:tcPr>
            <w:tcW w:w="314" w:type="pct"/>
            <w:noWrap w:val="0"/>
            <w:vAlign w:val="center"/>
          </w:tcPr>
          <w:p w14:paraId="32809121">
            <w:pPr>
              <w:pStyle w:val="3085"/>
              <w:adjustRightInd w:val="0"/>
              <w:snapToGrid w:val="0"/>
              <w:rPr>
                <w:rFonts w:hint="default" w:ascii="Times New Roman" w:hAnsi="Times New Roman" w:eastAsia="宋体"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法兰</w:t>
            </w:r>
          </w:p>
        </w:tc>
        <w:tc>
          <w:tcPr>
            <w:tcW w:w="555" w:type="pct"/>
            <w:noWrap w:val="0"/>
            <w:vAlign w:val="center"/>
          </w:tcPr>
          <w:p w14:paraId="5E71621B">
            <w:pPr>
              <w:pStyle w:val="3085"/>
              <w:adjustRightInd w:val="0"/>
              <w:snapToGrid w:val="0"/>
              <w:rPr>
                <w:rFonts w:hint="default" w:ascii="Times New Roman" w:hAnsi="Times New Roman" w:eastAsia="宋体" w:cs="Times New Roman"/>
                <w:i/>
                <w:iCs/>
                <w:color w:val="auto"/>
                <w:szCs w:val="21"/>
                <w:highlight w:val="none"/>
                <w:u w:val="single"/>
                <w:lang w:val="en-US" w:eastAsia="zh-CN"/>
              </w:rPr>
            </w:pPr>
            <w:r>
              <w:rPr>
                <w:rFonts w:hint="eastAsia" w:ascii="Times New Roman" w:hAnsi="Times New Roman" w:cs="Times New Roman"/>
                <w:i/>
                <w:iCs/>
                <w:color w:val="auto"/>
                <w:szCs w:val="21"/>
                <w:highlight w:val="none"/>
                <w:u w:val="single"/>
                <w:lang w:val="en-US" w:eastAsia="zh-CN"/>
              </w:rPr>
              <w:t>70</w:t>
            </w:r>
          </w:p>
        </w:tc>
        <w:tc>
          <w:tcPr>
            <w:tcW w:w="918" w:type="pct"/>
            <w:noWrap w:val="0"/>
            <w:vAlign w:val="center"/>
          </w:tcPr>
          <w:p w14:paraId="02029BF3">
            <w:pPr>
              <w:pStyle w:val="3085"/>
              <w:adjustRightInd w:val="0"/>
              <w:snapToGrid w:val="0"/>
              <w:rPr>
                <w:rFonts w:hint="default" w:ascii="Times New Roman" w:hAnsi="Times New Roman" w:eastAsia="宋体"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0.085</w:t>
            </w:r>
          </w:p>
        </w:tc>
        <w:tc>
          <w:tcPr>
            <w:tcW w:w="845" w:type="pct"/>
            <w:noWrap w:val="0"/>
            <w:vAlign w:val="center"/>
          </w:tcPr>
          <w:p w14:paraId="6E6C61CF">
            <w:pPr>
              <w:widowControl/>
              <w:jc w:val="center"/>
              <w:textAlignment w:val="center"/>
              <w:rPr>
                <w:rFonts w:hint="default" w:ascii="Times New Roman" w:hAnsi="Times New Roman" w:eastAsia="宋体" w:cs="Times New Roman"/>
                <w:i/>
                <w:iCs/>
                <w:color w:val="auto"/>
                <w:szCs w:val="21"/>
                <w:highlight w:val="none"/>
                <w:u w:val="single"/>
                <w:lang w:val="en-US" w:eastAsia="zh-CN"/>
              </w:rPr>
            </w:pPr>
            <w:r>
              <w:rPr>
                <w:rFonts w:hint="eastAsia" w:ascii="Times New Roman" w:hAnsi="Times New Roman" w:eastAsia="宋体" w:cs="Times New Roman"/>
                <w:i/>
                <w:iCs/>
                <w:color w:val="auto"/>
                <w:szCs w:val="21"/>
                <w:highlight w:val="none"/>
                <w:u w:val="single"/>
                <w:lang w:val="en-US" w:eastAsia="zh-CN"/>
              </w:rPr>
              <w:t>0.0015</w:t>
            </w:r>
          </w:p>
        </w:tc>
        <w:tc>
          <w:tcPr>
            <w:tcW w:w="788" w:type="pct"/>
            <w:noWrap w:val="0"/>
            <w:vAlign w:val="center"/>
          </w:tcPr>
          <w:p w14:paraId="55022F59">
            <w:pPr>
              <w:widowControl/>
              <w:jc w:val="center"/>
              <w:textAlignment w:val="center"/>
              <w:rPr>
                <w:rFonts w:hint="default" w:ascii="Times New Roman" w:hAnsi="Times New Roman" w:eastAsia="宋体" w:cs="Times New Roman"/>
                <w:i/>
                <w:iCs/>
                <w:color w:val="auto"/>
                <w:sz w:val="21"/>
                <w:szCs w:val="21"/>
                <w:highlight w:val="none"/>
                <w:u w:val="single"/>
                <w:lang w:val="en-US" w:eastAsia="zh-CN" w:bidi="ar"/>
              </w:rPr>
            </w:pPr>
            <w:r>
              <w:rPr>
                <w:rFonts w:hint="eastAsia" w:ascii="Times New Roman" w:hAnsi="Times New Roman" w:eastAsia="宋体" w:cs="Times New Roman"/>
                <w:i/>
                <w:iCs/>
                <w:color w:val="auto"/>
                <w:sz w:val="21"/>
                <w:szCs w:val="21"/>
                <w:highlight w:val="none"/>
                <w:u w:val="single"/>
                <w:lang w:val="en-US" w:eastAsia="zh-CN" w:bidi="ar"/>
              </w:rPr>
              <w:t>0.013</w:t>
            </w:r>
          </w:p>
        </w:tc>
        <w:tc>
          <w:tcPr>
            <w:tcW w:w="582" w:type="pct"/>
            <w:noWrap w:val="0"/>
            <w:vAlign w:val="center"/>
          </w:tcPr>
          <w:p w14:paraId="5AF9AA1B">
            <w:pPr>
              <w:pStyle w:val="3085"/>
              <w:adjustRightInd w:val="0"/>
              <w:snapToGrid w:val="0"/>
              <w:rPr>
                <w:rFonts w:hint="default" w:ascii="Times New Roman" w:hAnsi="Times New Roman" w:cs="Times New Roman"/>
                <w:i/>
                <w:iCs/>
                <w:color w:val="auto"/>
                <w:szCs w:val="21"/>
                <w:highlight w:val="none"/>
                <w:u w:val="single"/>
                <w:lang w:val="en-US"/>
              </w:rPr>
            </w:pPr>
            <w:r>
              <w:rPr>
                <w:rFonts w:hint="default" w:ascii="Times New Roman" w:hAnsi="Times New Roman" w:cs="Times New Roman"/>
                <w:i/>
                <w:iCs/>
                <w:color w:val="auto"/>
                <w:szCs w:val="21"/>
                <w:highlight w:val="none"/>
                <w:u w:val="single"/>
                <w:lang w:val="en-US"/>
              </w:rPr>
              <w:t>连续</w:t>
            </w:r>
          </w:p>
        </w:tc>
        <w:tc>
          <w:tcPr>
            <w:tcW w:w="585" w:type="pct"/>
            <w:noWrap w:val="0"/>
            <w:vAlign w:val="center"/>
          </w:tcPr>
          <w:p w14:paraId="5DEE9542">
            <w:pPr>
              <w:pStyle w:val="3085"/>
              <w:adjustRightInd w:val="0"/>
              <w:snapToGrid w:val="0"/>
              <w:rPr>
                <w:rFonts w:hint="default" w:ascii="Times New Roman" w:hAnsi="Times New Roman" w:eastAsia="宋体" w:cs="Times New Roman"/>
                <w:i/>
                <w:iCs/>
                <w:color w:val="auto"/>
                <w:szCs w:val="21"/>
                <w:highlight w:val="none"/>
                <w:u w:val="single"/>
                <w:lang w:val="en-US" w:eastAsia="zh-CN"/>
              </w:rPr>
            </w:pPr>
            <w:r>
              <w:rPr>
                <w:rFonts w:hint="eastAsia" w:ascii="Times New Roman" w:hAnsi="Times New Roman" w:cs="Times New Roman"/>
                <w:i/>
                <w:iCs/>
                <w:color w:val="auto"/>
                <w:szCs w:val="21"/>
                <w:highlight w:val="none"/>
                <w:u w:val="single"/>
                <w:lang w:val="en-US" w:eastAsia="zh-CN"/>
              </w:rPr>
              <w:t>8760</w:t>
            </w:r>
          </w:p>
        </w:tc>
      </w:tr>
      <w:tr w14:paraId="64F47A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0" w:type="pct"/>
            <w:vMerge w:val="continue"/>
            <w:noWrap w:val="0"/>
            <w:vAlign w:val="center"/>
          </w:tcPr>
          <w:p w14:paraId="02204A3F">
            <w:pPr>
              <w:pStyle w:val="3085"/>
              <w:adjustRightInd w:val="0"/>
              <w:snapToGrid w:val="0"/>
              <w:rPr>
                <w:rFonts w:hint="default" w:ascii="Times New Roman" w:hAnsi="Times New Roman" w:cs="Times New Roman"/>
                <w:i/>
                <w:iCs/>
                <w:color w:val="auto"/>
                <w:szCs w:val="21"/>
                <w:highlight w:val="none"/>
                <w:u w:val="single"/>
              </w:rPr>
            </w:pPr>
          </w:p>
        </w:tc>
        <w:tc>
          <w:tcPr>
            <w:tcW w:w="314" w:type="pct"/>
            <w:noWrap w:val="0"/>
            <w:vAlign w:val="center"/>
          </w:tcPr>
          <w:p w14:paraId="7DECD572">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合计</w:t>
            </w:r>
          </w:p>
        </w:tc>
        <w:tc>
          <w:tcPr>
            <w:tcW w:w="555" w:type="pct"/>
            <w:noWrap w:val="0"/>
            <w:vAlign w:val="center"/>
          </w:tcPr>
          <w:p w14:paraId="1531763E">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w:t>
            </w:r>
          </w:p>
        </w:tc>
        <w:tc>
          <w:tcPr>
            <w:tcW w:w="918" w:type="pct"/>
            <w:noWrap w:val="0"/>
            <w:vAlign w:val="center"/>
          </w:tcPr>
          <w:p w14:paraId="022570F0">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w:t>
            </w:r>
          </w:p>
        </w:tc>
        <w:tc>
          <w:tcPr>
            <w:tcW w:w="845" w:type="pct"/>
            <w:noWrap w:val="0"/>
            <w:vAlign w:val="center"/>
          </w:tcPr>
          <w:p w14:paraId="3FF3D8DB">
            <w:pPr>
              <w:widowControl/>
              <w:jc w:val="center"/>
              <w:textAlignment w:val="center"/>
              <w:rPr>
                <w:rFonts w:hint="default" w:ascii="Times New Roman" w:hAnsi="Times New Roman" w:eastAsia="宋体" w:cs="Times New Roman"/>
                <w:i/>
                <w:iCs/>
                <w:color w:val="auto"/>
                <w:szCs w:val="21"/>
                <w:highlight w:val="none"/>
                <w:u w:val="single"/>
                <w:lang w:val="en-US" w:eastAsia="zh-CN"/>
              </w:rPr>
            </w:pPr>
            <w:r>
              <w:rPr>
                <w:rFonts w:hint="eastAsia" w:ascii="Times New Roman" w:hAnsi="Times New Roman" w:eastAsia="宋体" w:cs="Times New Roman"/>
                <w:i/>
                <w:iCs/>
                <w:color w:val="auto"/>
                <w:szCs w:val="21"/>
                <w:highlight w:val="none"/>
                <w:u w:val="single"/>
                <w:lang w:val="en-US" w:eastAsia="zh-CN"/>
              </w:rPr>
              <w:t>0.0028</w:t>
            </w:r>
          </w:p>
        </w:tc>
        <w:tc>
          <w:tcPr>
            <w:tcW w:w="788" w:type="pct"/>
            <w:noWrap w:val="0"/>
            <w:vAlign w:val="center"/>
          </w:tcPr>
          <w:p w14:paraId="5318EEB8">
            <w:pPr>
              <w:widowControl/>
              <w:jc w:val="center"/>
              <w:textAlignment w:val="center"/>
              <w:rPr>
                <w:rFonts w:hint="default" w:ascii="Times New Roman" w:hAnsi="Times New Roman" w:eastAsia="宋体" w:cs="Times New Roman"/>
                <w:i/>
                <w:iCs/>
                <w:color w:val="auto"/>
                <w:sz w:val="21"/>
                <w:szCs w:val="21"/>
                <w:highlight w:val="none"/>
                <w:u w:val="single"/>
                <w:lang w:val="en-US" w:eastAsia="zh-CN" w:bidi="ar"/>
              </w:rPr>
            </w:pPr>
            <w:r>
              <w:rPr>
                <w:rFonts w:hint="eastAsia" w:ascii="Times New Roman" w:hAnsi="Times New Roman" w:eastAsia="宋体" w:cs="Times New Roman"/>
                <w:i/>
                <w:iCs/>
                <w:color w:val="auto"/>
                <w:sz w:val="21"/>
                <w:szCs w:val="21"/>
                <w:highlight w:val="none"/>
                <w:u w:val="single"/>
                <w:lang w:val="en-US" w:eastAsia="zh-CN" w:bidi="ar"/>
              </w:rPr>
              <w:t>0.024</w:t>
            </w:r>
          </w:p>
        </w:tc>
        <w:tc>
          <w:tcPr>
            <w:tcW w:w="582" w:type="pct"/>
            <w:noWrap w:val="0"/>
            <w:vAlign w:val="center"/>
          </w:tcPr>
          <w:p w14:paraId="5E5AE6D3">
            <w:pPr>
              <w:pStyle w:val="3085"/>
              <w:adjustRightInd w:val="0"/>
              <w:snapToGrid w:val="0"/>
              <w:rPr>
                <w:rFonts w:hint="default" w:ascii="Times New Roman" w:hAnsi="Times New Roman" w:eastAsia="宋体"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w:t>
            </w:r>
          </w:p>
        </w:tc>
        <w:tc>
          <w:tcPr>
            <w:tcW w:w="585" w:type="pct"/>
            <w:noWrap w:val="0"/>
            <w:vAlign w:val="center"/>
          </w:tcPr>
          <w:p w14:paraId="4EBBC62B">
            <w:pPr>
              <w:pStyle w:val="3085"/>
              <w:adjustRightInd w:val="0"/>
              <w:snapToGrid w:val="0"/>
              <w:rPr>
                <w:rFonts w:hint="default" w:ascii="Times New Roman" w:hAnsi="Times New Roman" w:eastAsia="宋体"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w:t>
            </w:r>
          </w:p>
        </w:tc>
      </w:tr>
      <w:tr w14:paraId="30BA31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0" w:type="pct"/>
            <w:vMerge w:val="restart"/>
            <w:noWrap w:val="0"/>
            <w:vAlign w:val="center"/>
          </w:tcPr>
          <w:p w14:paraId="5AFCFC22">
            <w:pPr>
              <w:pStyle w:val="1343"/>
              <w:rPr>
                <w:rFonts w:hint="default" w:ascii="Times New Roman" w:hAnsi="Times New Roman" w:eastAsia="宋体" w:cs="Times New Roman"/>
                <w:i/>
                <w:iCs/>
                <w:color w:val="auto"/>
                <w:szCs w:val="21"/>
                <w:highlight w:val="none"/>
                <w:u w:val="single"/>
                <w:lang w:val="en-US" w:eastAsia="zh-CN"/>
              </w:rPr>
            </w:pPr>
            <w:r>
              <w:rPr>
                <w:rFonts w:hint="eastAsia"/>
                <w:i/>
                <w:iCs/>
                <w:color w:val="auto"/>
                <w:highlight w:val="none"/>
                <w:u w:val="single"/>
              </w:rPr>
              <w:t>28号阀室</w:t>
            </w:r>
          </w:p>
        </w:tc>
        <w:tc>
          <w:tcPr>
            <w:tcW w:w="314" w:type="pct"/>
            <w:noWrap w:val="0"/>
            <w:vAlign w:val="center"/>
          </w:tcPr>
          <w:p w14:paraId="19135D4F">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rPr>
              <w:t>阀门</w:t>
            </w:r>
          </w:p>
        </w:tc>
        <w:tc>
          <w:tcPr>
            <w:tcW w:w="555" w:type="pct"/>
            <w:noWrap w:val="0"/>
            <w:vAlign w:val="center"/>
          </w:tcPr>
          <w:p w14:paraId="0527E0D0">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eastAsia" w:ascii="Times New Roman" w:hAnsi="Times New Roman" w:cs="Times New Roman"/>
                <w:i/>
                <w:iCs/>
                <w:color w:val="auto"/>
                <w:szCs w:val="21"/>
                <w:highlight w:val="none"/>
                <w:u w:val="single"/>
                <w:lang w:val="en-US" w:eastAsia="zh-CN"/>
              </w:rPr>
              <w:t>5</w:t>
            </w:r>
          </w:p>
        </w:tc>
        <w:tc>
          <w:tcPr>
            <w:tcW w:w="918" w:type="pct"/>
            <w:noWrap w:val="0"/>
            <w:vAlign w:val="center"/>
          </w:tcPr>
          <w:p w14:paraId="0B61B937">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0.064</w:t>
            </w:r>
          </w:p>
        </w:tc>
        <w:tc>
          <w:tcPr>
            <w:tcW w:w="845" w:type="pct"/>
            <w:noWrap w:val="0"/>
            <w:vAlign w:val="center"/>
          </w:tcPr>
          <w:p w14:paraId="71EBA3D6">
            <w:pPr>
              <w:widowControl/>
              <w:jc w:val="center"/>
              <w:textAlignment w:val="center"/>
              <w:rPr>
                <w:rFonts w:hint="default" w:ascii="Times New Roman" w:hAnsi="Times New Roman" w:eastAsia="宋体" w:cs="Times New Roman"/>
                <w:i/>
                <w:iCs/>
                <w:color w:val="auto"/>
                <w:szCs w:val="21"/>
                <w:highlight w:val="none"/>
                <w:u w:val="single"/>
                <w:lang w:val="en-US" w:eastAsia="zh-CN"/>
              </w:rPr>
            </w:pPr>
            <w:r>
              <w:rPr>
                <w:rFonts w:hint="default" w:ascii="Times New Roman" w:hAnsi="Times New Roman" w:eastAsia="宋体" w:cs="Times New Roman"/>
                <w:i/>
                <w:iCs/>
                <w:color w:val="auto"/>
                <w:szCs w:val="21"/>
                <w:highlight w:val="none"/>
                <w:u w:val="single"/>
                <w:lang w:val="en-US" w:eastAsia="zh-CN"/>
              </w:rPr>
              <w:t>0.0000</w:t>
            </w:r>
            <w:r>
              <w:rPr>
                <w:rFonts w:hint="eastAsia" w:ascii="Times New Roman" w:hAnsi="Times New Roman" w:eastAsia="宋体" w:cs="Times New Roman"/>
                <w:i/>
                <w:iCs/>
                <w:color w:val="auto"/>
                <w:szCs w:val="21"/>
                <w:highlight w:val="none"/>
                <w:u w:val="single"/>
                <w:lang w:val="en-US" w:eastAsia="zh-CN"/>
              </w:rPr>
              <w:t>8</w:t>
            </w:r>
          </w:p>
        </w:tc>
        <w:tc>
          <w:tcPr>
            <w:tcW w:w="788" w:type="pct"/>
            <w:noWrap w:val="0"/>
            <w:vAlign w:val="center"/>
          </w:tcPr>
          <w:p w14:paraId="71E9875A">
            <w:pPr>
              <w:widowControl/>
              <w:jc w:val="center"/>
              <w:textAlignment w:val="center"/>
              <w:rPr>
                <w:rFonts w:hint="default" w:ascii="Times New Roman" w:hAnsi="Times New Roman" w:eastAsia="宋体" w:cs="Times New Roman"/>
                <w:i/>
                <w:iCs/>
                <w:color w:val="auto"/>
                <w:sz w:val="21"/>
                <w:szCs w:val="21"/>
                <w:highlight w:val="none"/>
                <w:u w:val="single"/>
                <w:lang w:val="en-US" w:eastAsia="zh-CN" w:bidi="ar"/>
              </w:rPr>
            </w:pPr>
            <w:r>
              <w:rPr>
                <w:rFonts w:hint="default" w:ascii="Times New Roman" w:hAnsi="Times New Roman" w:eastAsia="宋体" w:cs="Times New Roman"/>
                <w:i/>
                <w:iCs/>
                <w:color w:val="auto"/>
                <w:sz w:val="21"/>
                <w:szCs w:val="21"/>
                <w:highlight w:val="none"/>
                <w:u w:val="single"/>
                <w:lang w:val="en-US" w:eastAsia="zh-CN" w:bidi="ar"/>
              </w:rPr>
              <w:t>0.000</w:t>
            </w:r>
            <w:r>
              <w:rPr>
                <w:rFonts w:hint="eastAsia" w:ascii="Times New Roman" w:hAnsi="Times New Roman" w:eastAsia="宋体" w:cs="Times New Roman"/>
                <w:i/>
                <w:iCs/>
                <w:color w:val="auto"/>
                <w:sz w:val="21"/>
                <w:szCs w:val="21"/>
                <w:highlight w:val="none"/>
                <w:u w:val="single"/>
                <w:lang w:val="en-US" w:eastAsia="zh-CN" w:bidi="ar"/>
              </w:rPr>
              <w:t>7</w:t>
            </w:r>
          </w:p>
        </w:tc>
        <w:tc>
          <w:tcPr>
            <w:tcW w:w="582" w:type="pct"/>
            <w:noWrap w:val="0"/>
            <w:vAlign w:val="center"/>
          </w:tcPr>
          <w:p w14:paraId="7C1FAA15">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rPr>
              <w:t>连续</w:t>
            </w:r>
          </w:p>
        </w:tc>
        <w:tc>
          <w:tcPr>
            <w:tcW w:w="585" w:type="pct"/>
            <w:noWrap w:val="0"/>
            <w:vAlign w:val="center"/>
          </w:tcPr>
          <w:p w14:paraId="4CAE263E">
            <w:pPr>
              <w:pStyle w:val="3085"/>
              <w:adjustRightInd w:val="0"/>
              <w:snapToGrid w:val="0"/>
              <w:rPr>
                <w:rFonts w:hint="default" w:ascii="Times New Roman" w:hAnsi="Times New Roman" w:eastAsia="宋体" w:cs="Times New Roman"/>
                <w:i/>
                <w:iCs/>
                <w:color w:val="auto"/>
                <w:szCs w:val="21"/>
                <w:highlight w:val="none"/>
                <w:u w:val="single"/>
                <w:lang w:val="en-US" w:eastAsia="zh-CN"/>
              </w:rPr>
            </w:pPr>
            <w:r>
              <w:rPr>
                <w:rFonts w:hint="eastAsia" w:ascii="Times New Roman" w:hAnsi="Times New Roman" w:cs="Times New Roman"/>
                <w:i/>
                <w:iCs/>
                <w:color w:val="auto"/>
                <w:szCs w:val="21"/>
                <w:highlight w:val="none"/>
                <w:u w:val="single"/>
                <w:lang w:val="en-US" w:eastAsia="zh-CN"/>
              </w:rPr>
              <w:t>8760</w:t>
            </w:r>
          </w:p>
        </w:tc>
      </w:tr>
      <w:tr w14:paraId="40847D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0" w:type="pct"/>
            <w:vMerge w:val="continue"/>
            <w:noWrap w:val="0"/>
            <w:vAlign w:val="center"/>
          </w:tcPr>
          <w:p w14:paraId="3AF34D8A">
            <w:pPr>
              <w:pStyle w:val="3085"/>
              <w:adjustRightInd w:val="0"/>
              <w:snapToGrid w:val="0"/>
              <w:rPr>
                <w:rFonts w:hint="default" w:ascii="Times New Roman" w:hAnsi="Times New Roman" w:cs="Times New Roman"/>
                <w:i/>
                <w:iCs/>
                <w:color w:val="auto"/>
                <w:szCs w:val="21"/>
                <w:highlight w:val="none"/>
                <w:u w:val="single"/>
              </w:rPr>
            </w:pPr>
          </w:p>
        </w:tc>
        <w:tc>
          <w:tcPr>
            <w:tcW w:w="314" w:type="pct"/>
            <w:noWrap w:val="0"/>
            <w:vAlign w:val="center"/>
          </w:tcPr>
          <w:p w14:paraId="5E2519CC">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法兰</w:t>
            </w:r>
          </w:p>
        </w:tc>
        <w:tc>
          <w:tcPr>
            <w:tcW w:w="555" w:type="pct"/>
            <w:noWrap w:val="0"/>
            <w:vAlign w:val="center"/>
          </w:tcPr>
          <w:p w14:paraId="23D865FA">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eastAsia" w:ascii="Times New Roman" w:hAnsi="Times New Roman" w:cs="Times New Roman"/>
                <w:i/>
                <w:iCs/>
                <w:color w:val="auto"/>
                <w:szCs w:val="21"/>
                <w:highlight w:val="none"/>
                <w:u w:val="single"/>
                <w:lang w:val="en-US" w:eastAsia="zh-CN"/>
              </w:rPr>
              <w:t>2</w:t>
            </w:r>
          </w:p>
        </w:tc>
        <w:tc>
          <w:tcPr>
            <w:tcW w:w="918" w:type="pct"/>
            <w:noWrap w:val="0"/>
            <w:vAlign w:val="center"/>
          </w:tcPr>
          <w:p w14:paraId="529ECD5A">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0.085</w:t>
            </w:r>
          </w:p>
        </w:tc>
        <w:tc>
          <w:tcPr>
            <w:tcW w:w="845" w:type="pct"/>
            <w:noWrap w:val="0"/>
            <w:vAlign w:val="center"/>
          </w:tcPr>
          <w:p w14:paraId="343D8FE7">
            <w:pPr>
              <w:widowControl/>
              <w:jc w:val="center"/>
              <w:textAlignment w:val="center"/>
              <w:rPr>
                <w:rFonts w:hint="default" w:ascii="Times New Roman" w:hAnsi="Times New Roman" w:eastAsia="宋体" w:cs="Times New Roman"/>
                <w:i/>
                <w:iCs/>
                <w:color w:val="auto"/>
                <w:szCs w:val="21"/>
                <w:highlight w:val="none"/>
                <w:u w:val="single"/>
                <w:lang w:val="en-US" w:eastAsia="zh-CN"/>
              </w:rPr>
            </w:pPr>
            <w:r>
              <w:rPr>
                <w:rFonts w:hint="default" w:ascii="Times New Roman" w:hAnsi="Times New Roman" w:eastAsia="宋体" w:cs="Times New Roman"/>
                <w:i/>
                <w:iCs/>
                <w:color w:val="auto"/>
                <w:szCs w:val="21"/>
                <w:highlight w:val="none"/>
                <w:u w:val="single"/>
                <w:lang w:val="en-US" w:eastAsia="zh-CN"/>
              </w:rPr>
              <w:t>0.0000</w:t>
            </w:r>
            <w:r>
              <w:rPr>
                <w:rFonts w:hint="eastAsia" w:ascii="Times New Roman" w:hAnsi="Times New Roman" w:eastAsia="宋体" w:cs="Times New Roman"/>
                <w:i/>
                <w:iCs/>
                <w:color w:val="auto"/>
                <w:szCs w:val="21"/>
                <w:highlight w:val="none"/>
                <w:u w:val="single"/>
                <w:lang w:val="en-US" w:eastAsia="zh-CN"/>
              </w:rPr>
              <w:t>4</w:t>
            </w:r>
          </w:p>
        </w:tc>
        <w:tc>
          <w:tcPr>
            <w:tcW w:w="788" w:type="pct"/>
            <w:noWrap w:val="0"/>
            <w:vAlign w:val="center"/>
          </w:tcPr>
          <w:p w14:paraId="3EAA4B8A">
            <w:pPr>
              <w:widowControl/>
              <w:jc w:val="center"/>
              <w:textAlignment w:val="center"/>
              <w:rPr>
                <w:rFonts w:hint="default" w:ascii="Times New Roman" w:hAnsi="Times New Roman" w:eastAsia="宋体" w:cs="Times New Roman"/>
                <w:i/>
                <w:iCs/>
                <w:color w:val="auto"/>
                <w:sz w:val="21"/>
                <w:szCs w:val="21"/>
                <w:highlight w:val="none"/>
                <w:u w:val="single"/>
                <w:lang w:val="en-US" w:eastAsia="zh-CN" w:bidi="ar"/>
              </w:rPr>
            </w:pPr>
            <w:r>
              <w:rPr>
                <w:rFonts w:hint="default" w:ascii="Times New Roman" w:hAnsi="Times New Roman" w:eastAsia="宋体" w:cs="Times New Roman"/>
                <w:i/>
                <w:iCs/>
                <w:color w:val="auto"/>
                <w:sz w:val="21"/>
                <w:szCs w:val="21"/>
                <w:highlight w:val="none"/>
                <w:u w:val="single"/>
                <w:lang w:val="en-US" w:eastAsia="zh-CN" w:bidi="ar"/>
              </w:rPr>
              <w:t>0.000</w:t>
            </w:r>
            <w:r>
              <w:rPr>
                <w:rFonts w:hint="eastAsia" w:ascii="Times New Roman" w:hAnsi="Times New Roman" w:eastAsia="宋体" w:cs="Times New Roman"/>
                <w:i/>
                <w:iCs/>
                <w:color w:val="auto"/>
                <w:sz w:val="21"/>
                <w:szCs w:val="21"/>
                <w:highlight w:val="none"/>
                <w:u w:val="single"/>
                <w:lang w:val="en-US" w:eastAsia="zh-CN" w:bidi="ar"/>
              </w:rPr>
              <w:t>3</w:t>
            </w:r>
          </w:p>
        </w:tc>
        <w:tc>
          <w:tcPr>
            <w:tcW w:w="582" w:type="pct"/>
            <w:noWrap w:val="0"/>
            <w:vAlign w:val="center"/>
          </w:tcPr>
          <w:p w14:paraId="59E09ACA">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rPr>
              <w:t>连续</w:t>
            </w:r>
          </w:p>
        </w:tc>
        <w:tc>
          <w:tcPr>
            <w:tcW w:w="585" w:type="pct"/>
            <w:noWrap w:val="0"/>
            <w:vAlign w:val="center"/>
          </w:tcPr>
          <w:p w14:paraId="543DC220">
            <w:pPr>
              <w:pStyle w:val="3085"/>
              <w:adjustRightInd w:val="0"/>
              <w:snapToGrid w:val="0"/>
              <w:rPr>
                <w:rFonts w:hint="default" w:ascii="Times New Roman" w:hAnsi="Times New Roman" w:eastAsia="宋体" w:cs="Times New Roman"/>
                <w:i/>
                <w:iCs/>
                <w:color w:val="auto"/>
                <w:szCs w:val="21"/>
                <w:highlight w:val="none"/>
                <w:u w:val="single"/>
                <w:lang w:val="en-US" w:eastAsia="zh-CN"/>
              </w:rPr>
            </w:pPr>
            <w:r>
              <w:rPr>
                <w:rFonts w:hint="eastAsia" w:ascii="Times New Roman" w:hAnsi="Times New Roman" w:cs="Times New Roman"/>
                <w:i/>
                <w:iCs/>
                <w:color w:val="auto"/>
                <w:szCs w:val="21"/>
                <w:highlight w:val="none"/>
                <w:u w:val="single"/>
                <w:lang w:val="en-US" w:eastAsia="zh-CN"/>
              </w:rPr>
              <w:t>8760</w:t>
            </w:r>
          </w:p>
        </w:tc>
      </w:tr>
      <w:tr w14:paraId="379817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410" w:type="pct"/>
            <w:vMerge w:val="continue"/>
            <w:noWrap w:val="0"/>
            <w:vAlign w:val="center"/>
          </w:tcPr>
          <w:p w14:paraId="045323EF">
            <w:pPr>
              <w:pStyle w:val="3085"/>
              <w:adjustRightInd w:val="0"/>
              <w:snapToGrid w:val="0"/>
              <w:rPr>
                <w:rFonts w:hint="default" w:ascii="Times New Roman" w:hAnsi="Times New Roman" w:cs="Times New Roman"/>
                <w:i/>
                <w:iCs/>
                <w:color w:val="auto"/>
                <w:szCs w:val="21"/>
                <w:highlight w:val="none"/>
                <w:u w:val="single"/>
              </w:rPr>
            </w:pPr>
          </w:p>
        </w:tc>
        <w:tc>
          <w:tcPr>
            <w:tcW w:w="314" w:type="pct"/>
            <w:noWrap w:val="0"/>
            <w:vAlign w:val="center"/>
          </w:tcPr>
          <w:p w14:paraId="65901C0E">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合计</w:t>
            </w:r>
          </w:p>
        </w:tc>
        <w:tc>
          <w:tcPr>
            <w:tcW w:w="555" w:type="pct"/>
            <w:noWrap w:val="0"/>
            <w:vAlign w:val="center"/>
          </w:tcPr>
          <w:p w14:paraId="74BF564D">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w:t>
            </w:r>
          </w:p>
        </w:tc>
        <w:tc>
          <w:tcPr>
            <w:tcW w:w="918" w:type="pct"/>
            <w:noWrap w:val="0"/>
            <w:vAlign w:val="center"/>
          </w:tcPr>
          <w:p w14:paraId="7FCA24C1">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w:t>
            </w:r>
          </w:p>
        </w:tc>
        <w:tc>
          <w:tcPr>
            <w:tcW w:w="845" w:type="pct"/>
            <w:noWrap w:val="0"/>
            <w:vAlign w:val="center"/>
          </w:tcPr>
          <w:p w14:paraId="7A4B6CB8">
            <w:pPr>
              <w:widowControl/>
              <w:jc w:val="center"/>
              <w:textAlignment w:val="center"/>
              <w:rPr>
                <w:rFonts w:hint="default" w:ascii="Times New Roman" w:hAnsi="Times New Roman" w:eastAsia="宋体" w:cs="Times New Roman"/>
                <w:i/>
                <w:iCs/>
                <w:color w:val="auto"/>
                <w:szCs w:val="21"/>
                <w:highlight w:val="none"/>
                <w:u w:val="single"/>
                <w:lang w:val="en-US" w:eastAsia="zh-CN"/>
              </w:rPr>
            </w:pPr>
            <w:r>
              <w:rPr>
                <w:rFonts w:hint="default" w:ascii="Times New Roman" w:hAnsi="Times New Roman" w:eastAsia="宋体" w:cs="Times New Roman"/>
                <w:i/>
                <w:iCs/>
                <w:color w:val="auto"/>
                <w:szCs w:val="21"/>
                <w:highlight w:val="none"/>
                <w:u w:val="single"/>
                <w:lang w:val="en-US" w:eastAsia="zh-CN"/>
              </w:rPr>
              <w:t>0.000</w:t>
            </w:r>
            <w:r>
              <w:rPr>
                <w:rFonts w:hint="eastAsia" w:ascii="Times New Roman" w:hAnsi="Times New Roman" w:eastAsia="宋体" w:cs="Times New Roman"/>
                <w:i/>
                <w:iCs/>
                <w:color w:val="auto"/>
                <w:szCs w:val="21"/>
                <w:highlight w:val="none"/>
                <w:u w:val="single"/>
                <w:lang w:val="en-US" w:eastAsia="zh-CN"/>
              </w:rPr>
              <w:t>12</w:t>
            </w:r>
          </w:p>
        </w:tc>
        <w:tc>
          <w:tcPr>
            <w:tcW w:w="788" w:type="pct"/>
            <w:noWrap w:val="0"/>
            <w:vAlign w:val="center"/>
          </w:tcPr>
          <w:p w14:paraId="720B9129">
            <w:pPr>
              <w:widowControl/>
              <w:jc w:val="center"/>
              <w:textAlignment w:val="center"/>
              <w:rPr>
                <w:rFonts w:hint="default" w:ascii="Times New Roman" w:hAnsi="Times New Roman" w:eastAsia="宋体" w:cs="Times New Roman"/>
                <w:i/>
                <w:iCs/>
                <w:color w:val="auto"/>
                <w:sz w:val="21"/>
                <w:szCs w:val="21"/>
                <w:highlight w:val="none"/>
                <w:u w:val="single"/>
                <w:lang w:val="en-US" w:eastAsia="zh-CN" w:bidi="ar"/>
              </w:rPr>
            </w:pPr>
            <w:r>
              <w:rPr>
                <w:rFonts w:hint="default" w:ascii="Times New Roman" w:hAnsi="Times New Roman" w:eastAsia="宋体" w:cs="Times New Roman"/>
                <w:i/>
                <w:iCs/>
                <w:color w:val="auto"/>
                <w:sz w:val="21"/>
                <w:szCs w:val="21"/>
                <w:highlight w:val="none"/>
                <w:u w:val="single"/>
                <w:lang w:val="en-US" w:eastAsia="zh-CN" w:bidi="ar"/>
              </w:rPr>
              <w:t>0.00</w:t>
            </w:r>
            <w:r>
              <w:rPr>
                <w:rFonts w:hint="eastAsia" w:ascii="Times New Roman" w:hAnsi="Times New Roman" w:eastAsia="宋体" w:cs="Times New Roman"/>
                <w:i/>
                <w:iCs/>
                <w:color w:val="auto"/>
                <w:sz w:val="21"/>
                <w:szCs w:val="21"/>
                <w:highlight w:val="none"/>
                <w:u w:val="single"/>
                <w:lang w:val="en-US" w:eastAsia="zh-CN" w:bidi="ar"/>
              </w:rPr>
              <w:t>1</w:t>
            </w:r>
          </w:p>
        </w:tc>
        <w:tc>
          <w:tcPr>
            <w:tcW w:w="582" w:type="pct"/>
            <w:noWrap w:val="0"/>
            <w:vAlign w:val="center"/>
          </w:tcPr>
          <w:p w14:paraId="33E1FAC0">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w:t>
            </w:r>
          </w:p>
        </w:tc>
        <w:tc>
          <w:tcPr>
            <w:tcW w:w="585" w:type="pct"/>
            <w:noWrap w:val="0"/>
            <w:vAlign w:val="center"/>
          </w:tcPr>
          <w:p w14:paraId="68E7BCB9">
            <w:pPr>
              <w:pStyle w:val="3085"/>
              <w:adjustRightInd w:val="0"/>
              <w:snapToGrid w:val="0"/>
              <w:rPr>
                <w:rFonts w:hint="default" w:ascii="Times New Roman" w:hAnsi="Times New Roman" w:cs="Times New Roman"/>
                <w:i/>
                <w:iCs/>
                <w:color w:val="auto"/>
                <w:szCs w:val="21"/>
                <w:highlight w:val="none"/>
                <w:u w:val="single"/>
                <w:lang w:val="en-US" w:eastAsia="zh-CN"/>
              </w:rPr>
            </w:pPr>
            <w:r>
              <w:rPr>
                <w:rFonts w:hint="default" w:ascii="Times New Roman" w:hAnsi="Times New Roman" w:cs="Times New Roman"/>
                <w:i/>
                <w:iCs/>
                <w:color w:val="auto"/>
                <w:szCs w:val="21"/>
                <w:highlight w:val="none"/>
                <w:u w:val="single"/>
                <w:lang w:val="en-US" w:eastAsia="zh-CN"/>
              </w:rPr>
              <w:t>/</w:t>
            </w:r>
          </w:p>
        </w:tc>
      </w:tr>
      <w:tr w14:paraId="406651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5000" w:type="pct"/>
            <w:gridSpan w:val="8"/>
            <w:noWrap w:val="0"/>
            <w:vAlign w:val="center"/>
          </w:tcPr>
          <w:p w14:paraId="6A591DAF">
            <w:pPr>
              <w:pStyle w:val="1343"/>
              <w:jc w:val="left"/>
              <w:rPr>
                <w:i/>
                <w:iCs/>
                <w:color w:val="auto"/>
                <w:highlight w:val="none"/>
                <w:u w:val="single"/>
              </w:rPr>
            </w:pPr>
            <w:r>
              <w:rPr>
                <w:i/>
                <w:iCs/>
                <w:color w:val="auto"/>
                <w:highlight w:val="none"/>
                <w:u w:val="single"/>
              </w:rPr>
              <w:t>注:</w:t>
            </w:r>
            <w:r>
              <w:rPr>
                <w:rFonts w:hint="eastAsia" w:ascii="宋体" w:hAnsi="宋体" w:cs="宋体"/>
                <w:i/>
                <w:iCs/>
                <w:color w:val="auto"/>
                <w:highlight w:val="none"/>
                <w:u w:val="single"/>
              </w:rPr>
              <w:t>①</w:t>
            </w:r>
            <w:r>
              <w:rPr>
                <w:i/>
                <w:iCs/>
                <w:color w:val="auto"/>
                <w:highlight w:val="none"/>
                <w:u w:val="single"/>
              </w:rPr>
              <w:t>本表中动静密封点设备数量由设计单位统计，并在本报告“表3.</w:t>
            </w:r>
            <w:r>
              <w:rPr>
                <w:rFonts w:hint="eastAsia"/>
                <w:i/>
                <w:iCs/>
                <w:color w:val="auto"/>
                <w:highlight w:val="none"/>
                <w:u w:val="single"/>
              </w:rPr>
              <w:t>2-19、表3.2-21</w:t>
            </w:r>
            <w:r>
              <w:rPr>
                <w:i/>
                <w:iCs/>
                <w:color w:val="auto"/>
                <w:highlight w:val="none"/>
                <w:u w:val="single"/>
              </w:rPr>
              <w:t>”中以工程量形式体现。</w:t>
            </w:r>
          </w:p>
          <w:p w14:paraId="652170D3">
            <w:pPr>
              <w:pStyle w:val="1018"/>
              <w:adjustRightInd w:val="0"/>
              <w:snapToGrid w:val="0"/>
              <w:jc w:val="both"/>
              <w:rPr>
                <w:rFonts w:hint="default" w:ascii="Times New Roman" w:hAnsi="Times New Roman" w:eastAsia="宋体" w:cs="Times New Roman"/>
                <w:i/>
                <w:iCs/>
                <w:color w:val="auto"/>
                <w:sz w:val="21"/>
                <w:highlight w:val="none"/>
                <w:u w:val="single"/>
                <w:lang w:val="en-US"/>
              </w:rPr>
            </w:pPr>
            <w:r>
              <w:rPr>
                <w:rFonts w:hint="eastAsia"/>
                <w:i/>
                <w:iCs/>
                <w:color w:val="auto"/>
                <w:sz w:val="21"/>
                <w:szCs w:val="21"/>
                <w:highlight w:val="none"/>
                <w:u w:val="single"/>
                <w:lang w:val="en-US" w:eastAsia="zh-CN"/>
              </w:rPr>
              <w:t>②</w:t>
            </w:r>
            <w:r>
              <w:rPr>
                <w:i/>
                <w:iCs/>
                <w:color w:val="auto"/>
                <w:sz w:val="21"/>
                <w:szCs w:val="21"/>
                <w:highlight w:val="none"/>
                <w:u w:val="single"/>
              </w:rPr>
              <w:t>根据本工程天然气资源及工程分析可知：本工程输气管道内天然气中的非甲烷总烃(NMHC)含量&lt;</w:t>
            </w:r>
            <w:r>
              <w:rPr>
                <w:rFonts w:hint="eastAsia"/>
                <w:i/>
                <w:iCs/>
                <w:color w:val="auto"/>
                <w:sz w:val="21"/>
                <w:szCs w:val="21"/>
                <w:highlight w:val="none"/>
                <w:u w:val="single"/>
              </w:rPr>
              <w:t>8.6</w:t>
            </w:r>
            <w:r>
              <w:rPr>
                <w:i/>
                <w:iCs/>
                <w:color w:val="auto"/>
                <w:sz w:val="21"/>
                <w:szCs w:val="21"/>
                <w:highlight w:val="none"/>
                <w:u w:val="single"/>
              </w:rPr>
              <w:t>mo</w:t>
            </w:r>
            <w:r>
              <w:rPr>
                <w:rFonts w:hint="eastAsia"/>
                <w:i/>
                <w:iCs/>
                <w:color w:val="auto"/>
                <w:sz w:val="21"/>
                <w:szCs w:val="21"/>
                <w:highlight w:val="none"/>
                <w:u w:val="single"/>
              </w:rPr>
              <w:t>l</w:t>
            </w:r>
            <w:r>
              <w:rPr>
                <w:i/>
                <w:iCs/>
                <w:color w:val="auto"/>
                <w:sz w:val="21"/>
                <w:szCs w:val="21"/>
                <w:highlight w:val="none"/>
                <w:u w:val="single"/>
              </w:rPr>
              <w:t>%。流经密封点物料为天然气，由于总烃（甲烷、非甲烷总烃）占比最大约为100%，可视总有机碳为100%，则非甲烷总烃WF</w:t>
            </w:r>
            <w:r>
              <w:rPr>
                <w:i/>
                <w:iCs/>
                <w:color w:val="auto"/>
                <w:sz w:val="21"/>
                <w:szCs w:val="21"/>
                <w:highlight w:val="none"/>
                <w:u w:val="single"/>
                <w:vertAlign w:val="subscript"/>
              </w:rPr>
              <w:t>TOC</w:t>
            </w:r>
            <w:r>
              <w:rPr>
                <w:i/>
                <w:iCs/>
                <w:color w:val="auto"/>
                <w:sz w:val="21"/>
                <w:szCs w:val="21"/>
                <w:highlight w:val="none"/>
                <w:u w:val="single"/>
              </w:rPr>
              <w:t>,i取值为0.</w:t>
            </w:r>
            <w:r>
              <w:rPr>
                <w:rFonts w:hint="eastAsia"/>
                <w:i/>
                <w:iCs/>
                <w:color w:val="auto"/>
                <w:sz w:val="21"/>
                <w:szCs w:val="21"/>
                <w:highlight w:val="none"/>
                <w:u w:val="single"/>
              </w:rPr>
              <w:t>086</w:t>
            </w:r>
            <w:r>
              <w:rPr>
                <w:i/>
                <w:iCs/>
                <w:color w:val="auto"/>
                <w:sz w:val="21"/>
                <w:szCs w:val="21"/>
                <w:highlight w:val="none"/>
                <w:u w:val="single"/>
              </w:rPr>
              <w:t>。</w:t>
            </w:r>
          </w:p>
        </w:tc>
      </w:tr>
    </w:tbl>
    <w:p w14:paraId="72A6CDBA">
      <w:pPr>
        <w:pStyle w:val="1343"/>
      </w:pPr>
    </w:p>
    <w:p w14:paraId="0CAAA3A5">
      <w:pPr>
        <w:pStyle w:val="234"/>
        <w:adjustRightInd w:val="0"/>
        <w:snapToGrid w:val="0"/>
      </w:pPr>
      <w:r>
        <w:t>（2）水污染物产生及排放情况</w:t>
      </w:r>
    </w:p>
    <w:p w14:paraId="25961BDF">
      <w:pPr>
        <w:adjustRightInd w:val="0"/>
        <w:snapToGrid w:val="0"/>
        <w:spacing w:line="360" w:lineRule="auto"/>
        <w:ind w:firstLine="480" w:firstLineChars="200"/>
        <w:rPr>
          <w:sz w:val="24"/>
        </w:rPr>
      </w:pPr>
      <w:r>
        <w:rPr>
          <w:sz w:val="24"/>
        </w:rPr>
        <w:t>本工程</w:t>
      </w:r>
      <w:r>
        <w:rPr>
          <w:rFonts w:hint="eastAsia"/>
          <w:sz w:val="24"/>
        </w:rPr>
        <w:t>新建耒阳分输站和改造的28号阀室均为无人值守站，</w:t>
      </w:r>
      <w:r>
        <w:rPr>
          <w:sz w:val="24"/>
        </w:rPr>
        <w:t>不新增职工定员，</w:t>
      </w:r>
      <w:r>
        <w:rPr>
          <w:rFonts w:hint="eastAsia"/>
          <w:sz w:val="24"/>
        </w:rPr>
        <w:t>耒阳分输站新建撬装卫生间，巡检人员会产生极少量生活污水，定期委托拉运</w:t>
      </w:r>
      <w:r>
        <w:rPr>
          <w:sz w:val="24"/>
        </w:rPr>
        <w:t>。</w:t>
      </w:r>
    </w:p>
    <w:p w14:paraId="2F9938C7">
      <w:pPr>
        <w:pStyle w:val="234"/>
        <w:adjustRightInd w:val="0"/>
        <w:snapToGrid w:val="0"/>
      </w:pPr>
      <w:r>
        <w:t>（3）固废产生及排放情况</w:t>
      </w:r>
    </w:p>
    <w:p w14:paraId="55C81F3B">
      <w:pPr>
        <w:adjustRightInd w:val="0"/>
        <w:snapToGrid w:val="0"/>
        <w:spacing w:line="360" w:lineRule="auto"/>
        <w:ind w:firstLine="480" w:firstLineChars="200"/>
        <w:rPr>
          <w:sz w:val="24"/>
        </w:rPr>
      </w:pPr>
      <w:bookmarkStart w:id="153" w:name="_Hlk119961740"/>
      <w:r>
        <w:rPr>
          <w:sz w:val="24"/>
        </w:rPr>
        <w:t>本工程不新增劳动定员，因此无新增生活垃圾产生；</w:t>
      </w:r>
      <w:r>
        <w:rPr>
          <w:rFonts w:hint="eastAsia"/>
          <w:sz w:val="24"/>
        </w:rPr>
        <w:t>固体废物主要来自分离器检修废渣、废滤芯和废铅酸蓄电池。</w:t>
      </w:r>
    </w:p>
    <w:p w14:paraId="33125860">
      <w:pPr>
        <w:adjustRightInd w:val="0"/>
        <w:snapToGrid w:val="0"/>
        <w:spacing w:line="360" w:lineRule="auto"/>
        <w:ind w:firstLine="480" w:firstLineChars="200"/>
        <w:rPr>
          <w:sz w:val="24"/>
        </w:rPr>
      </w:pPr>
      <w:r>
        <w:rPr>
          <w:sz w:val="24"/>
        </w:rPr>
        <w:fldChar w:fldCharType="begin"/>
      </w:r>
      <w:r>
        <w:rPr>
          <w:sz w:val="24"/>
        </w:rPr>
        <w:instrText xml:space="preserve"> </w:instrText>
      </w:r>
      <w:r>
        <w:rPr>
          <w:rFonts w:hint="eastAsia"/>
          <w:sz w:val="24"/>
        </w:rPr>
        <w:instrText xml:space="preserve">= 1 \* GB3</w:instrText>
      </w:r>
      <w:r>
        <w:rPr>
          <w:sz w:val="24"/>
        </w:rPr>
        <w:instrText xml:space="preserve"> </w:instrText>
      </w:r>
      <w:r>
        <w:rPr>
          <w:sz w:val="24"/>
        </w:rPr>
        <w:fldChar w:fldCharType="separate"/>
      </w:r>
      <w:r>
        <w:rPr>
          <w:rFonts w:hint="eastAsia"/>
          <w:sz w:val="24"/>
        </w:rPr>
        <w:t>①</w:t>
      </w:r>
      <w:r>
        <w:rPr>
          <w:sz w:val="24"/>
        </w:rPr>
        <w:fldChar w:fldCharType="end"/>
      </w:r>
      <w:r>
        <w:rPr>
          <w:rFonts w:hint="eastAsia"/>
          <w:sz w:val="24"/>
        </w:rPr>
        <w:t>分离器检修废渣</w:t>
      </w:r>
    </w:p>
    <w:p w14:paraId="6116BBD0">
      <w:pPr>
        <w:adjustRightInd w:val="0"/>
        <w:snapToGrid w:val="0"/>
        <w:spacing w:line="360" w:lineRule="auto"/>
        <w:ind w:firstLine="480" w:firstLineChars="200"/>
        <w:rPr>
          <w:sz w:val="24"/>
        </w:rPr>
      </w:pPr>
      <w:r>
        <w:rPr>
          <w:rFonts w:hint="eastAsia"/>
          <w:sz w:val="24"/>
        </w:rPr>
        <w:t>站场的分离器检修是通过自身压力排尘的，主要污染物成份为粉尘，为避免粉尘的飘散，需将清除的废物导入</w:t>
      </w:r>
      <w:r>
        <w:rPr>
          <w:rFonts w:hint="eastAsia"/>
          <w:sz w:val="24"/>
          <w:highlight w:val="none"/>
        </w:rPr>
        <w:t>排污池</w:t>
      </w:r>
      <w:r>
        <w:rPr>
          <w:rFonts w:hint="eastAsia"/>
          <w:sz w:val="24"/>
        </w:rPr>
        <w:t>中暂存。根据类比调查，分离器检修一般1次/a，废渣的产生量每站约为5kg。</w:t>
      </w:r>
      <w:r>
        <w:rPr>
          <w:sz w:val="24"/>
        </w:rPr>
        <w:t>本工程</w:t>
      </w:r>
      <w:r>
        <w:rPr>
          <w:rFonts w:hint="eastAsia"/>
          <w:sz w:val="24"/>
        </w:rPr>
        <w:t>耒阳分输站</w:t>
      </w:r>
      <w:r>
        <w:rPr>
          <w:sz w:val="24"/>
        </w:rPr>
        <w:t>新建过滤分离器2台</w:t>
      </w:r>
      <w:r>
        <w:rPr>
          <w:rFonts w:hint="eastAsia"/>
          <w:sz w:val="24"/>
        </w:rPr>
        <w:t>（1用1备）</w:t>
      </w:r>
      <w:r>
        <w:rPr>
          <w:sz w:val="24"/>
        </w:rPr>
        <w:t>，</w:t>
      </w:r>
      <w:r>
        <w:rPr>
          <w:rFonts w:hint="eastAsia"/>
          <w:sz w:val="24"/>
        </w:rPr>
        <w:t>废渣的产生量约为0.005t/a，定期委托有资质单位处置，对环境影响较小。</w:t>
      </w:r>
    </w:p>
    <w:p w14:paraId="2E628C0E">
      <w:pPr>
        <w:adjustRightInd w:val="0"/>
        <w:snapToGrid w:val="0"/>
        <w:spacing w:line="360" w:lineRule="auto"/>
        <w:ind w:firstLine="480" w:firstLineChars="200"/>
        <w:rPr>
          <w:sz w:val="24"/>
        </w:rPr>
      </w:pPr>
      <w:r>
        <w:rPr>
          <w:sz w:val="24"/>
        </w:rPr>
        <w:fldChar w:fldCharType="begin"/>
      </w:r>
      <w:r>
        <w:rPr>
          <w:sz w:val="24"/>
        </w:rPr>
        <w:instrText xml:space="preserve"> </w:instrText>
      </w:r>
      <w:r>
        <w:rPr>
          <w:rFonts w:hint="eastAsia"/>
          <w:sz w:val="24"/>
        </w:rPr>
        <w:instrText xml:space="preserve">= 2 \* GB3</w:instrText>
      </w:r>
      <w:r>
        <w:rPr>
          <w:sz w:val="24"/>
        </w:rPr>
        <w:instrText xml:space="preserve"> </w:instrText>
      </w:r>
      <w:r>
        <w:rPr>
          <w:sz w:val="24"/>
        </w:rPr>
        <w:fldChar w:fldCharType="separate"/>
      </w:r>
      <w:r>
        <w:rPr>
          <w:rFonts w:hint="eastAsia"/>
          <w:sz w:val="24"/>
        </w:rPr>
        <w:t>②</w:t>
      </w:r>
      <w:r>
        <w:rPr>
          <w:sz w:val="24"/>
        </w:rPr>
        <w:fldChar w:fldCharType="end"/>
      </w:r>
      <w:r>
        <w:rPr>
          <w:rFonts w:hint="eastAsia"/>
          <w:sz w:val="24"/>
        </w:rPr>
        <w:t>废滤芯</w:t>
      </w:r>
    </w:p>
    <w:p w14:paraId="6D9C5A2A">
      <w:pPr>
        <w:adjustRightInd w:val="0"/>
        <w:snapToGrid w:val="0"/>
        <w:spacing w:line="360" w:lineRule="auto"/>
        <w:ind w:firstLine="480" w:firstLineChars="200"/>
        <w:rPr>
          <w:sz w:val="24"/>
        </w:rPr>
      </w:pPr>
      <w:r>
        <w:rPr>
          <w:rFonts w:hint="eastAsia"/>
          <w:sz w:val="24"/>
        </w:rPr>
        <w:t>过滤分离器清洗检修时，可以使用备用路，保证正常操作。过滤器上设有差压计，可以根据其读数判断过滤器是否堵塞，决定是否需要更换滤芯。</w:t>
      </w:r>
      <w:r>
        <w:rPr>
          <w:sz w:val="24"/>
        </w:rPr>
        <w:t>本工程</w:t>
      </w:r>
      <w:r>
        <w:rPr>
          <w:rFonts w:hint="eastAsia"/>
          <w:sz w:val="24"/>
        </w:rPr>
        <w:t>耒阳分输站</w:t>
      </w:r>
      <w:r>
        <w:rPr>
          <w:sz w:val="24"/>
        </w:rPr>
        <w:t>新建过滤分离器2台</w:t>
      </w:r>
      <w:r>
        <w:rPr>
          <w:rFonts w:hint="eastAsia"/>
          <w:sz w:val="24"/>
        </w:rPr>
        <w:t>（1用1备）</w:t>
      </w:r>
      <w:r>
        <w:rPr>
          <w:sz w:val="24"/>
        </w:rPr>
        <w:t>，</w:t>
      </w:r>
      <w:r>
        <w:rPr>
          <w:rFonts w:hint="eastAsia"/>
          <w:sz w:val="24"/>
        </w:rPr>
        <w:t>根据初步设计资料，滤芯设计使用寿命不小于</w:t>
      </w:r>
      <w:r>
        <w:rPr>
          <w:sz w:val="24"/>
        </w:rPr>
        <w:t>24</w:t>
      </w:r>
      <w:r>
        <w:rPr>
          <w:rFonts w:hint="eastAsia"/>
          <w:sz w:val="24"/>
        </w:rPr>
        <w:t>个月，单个滤芯重量以0.2t计，则废滤芯产生量约0.4t/2a，暂存于耒阳分输站内危废暂存间，委托有资质单位处置，对环境影响较小。</w:t>
      </w:r>
    </w:p>
    <w:p w14:paraId="42457A2E">
      <w:pPr>
        <w:adjustRightInd w:val="0"/>
        <w:snapToGrid w:val="0"/>
        <w:spacing w:line="360" w:lineRule="auto"/>
        <w:ind w:firstLine="480" w:firstLineChars="200"/>
        <w:rPr>
          <w:sz w:val="24"/>
        </w:rPr>
      </w:pPr>
      <w:r>
        <w:rPr>
          <w:rFonts w:hint="eastAsia"/>
          <w:sz w:val="24"/>
        </w:rPr>
        <w:fldChar w:fldCharType="begin"/>
      </w:r>
      <w:r>
        <w:rPr>
          <w:rFonts w:hint="eastAsia"/>
          <w:sz w:val="24"/>
        </w:rPr>
        <w:instrText xml:space="preserve"> = 3 \* GB3 \* MERGEFORMAT </w:instrText>
      </w:r>
      <w:r>
        <w:rPr>
          <w:rFonts w:hint="eastAsia"/>
          <w:sz w:val="24"/>
        </w:rPr>
        <w:fldChar w:fldCharType="separate"/>
      </w:r>
      <w:r>
        <w:rPr>
          <w:sz w:val="24"/>
        </w:rPr>
        <w:t>③</w:t>
      </w:r>
      <w:r>
        <w:rPr>
          <w:rFonts w:hint="eastAsia"/>
          <w:sz w:val="24"/>
        </w:rPr>
        <w:fldChar w:fldCharType="end"/>
      </w:r>
      <w:r>
        <w:rPr>
          <w:rFonts w:hint="eastAsia"/>
          <w:sz w:val="24"/>
        </w:rPr>
        <w:t>废铅酸蓄电池</w:t>
      </w:r>
    </w:p>
    <w:p w14:paraId="02E62A61">
      <w:pPr>
        <w:adjustRightInd w:val="0"/>
        <w:snapToGrid w:val="0"/>
        <w:spacing w:line="360" w:lineRule="auto"/>
        <w:ind w:firstLine="480" w:firstLineChars="200"/>
        <w:rPr>
          <w:sz w:val="24"/>
        </w:rPr>
      </w:pPr>
      <w:r>
        <w:rPr>
          <w:rFonts w:hint="eastAsia"/>
          <w:sz w:val="24"/>
        </w:rPr>
        <w:t>为了保护站场和线路管道安全，本次设计在耒阳分输站设置紧急切断阀（ESD），采用电动球阀，通过UPS系统不间断供电。站场UPS系统应急电源为密封铅酸蓄电池，一般每8年更换一次，产生量约为0.8t/（次·站），作废的含铅电池属于危险废物，暂存于耒阳分输站内危废暂存间，委托有资质单位处置，对环境影响较小。</w:t>
      </w:r>
    </w:p>
    <w:bookmarkEnd w:id="153"/>
    <w:p w14:paraId="7A4F3F75">
      <w:pPr>
        <w:pStyle w:val="234"/>
      </w:pPr>
      <w:r>
        <w:rPr>
          <w:rFonts w:hint="eastAsia"/>
        </w:rPr>
        <w:t>本工程运行期新增固体废物统计见表3.4-12。</w:t>
      </w:r>
    </w:p>
    <w:p w14:paraId="0611D54A">
      <w:pPr>
        <w:pStyle w:val="904"/>
      </w:pPr>
      <w:r>
        <w:t>表3.</w:t>
      </w:r>
      <w:r>
        <w:rPr>
          <w:rFonts w:hint="eastAsia"/>
        </w:rPr>
        <w:t>4</w:t>
      </w:r>
      <w:r>
        <w:t>-1</w:t>
      </w:r>
      <w:r>
        <w:rPr>
          <w:rFonts w:hint="eastAsia"/>
        </w:rPr>
        <w:t>2本工程运行期新增固体废物排放情况统计表</w:t>
      </w:r>
    </w:p>
    <w:tbl>
      <w:tblPr>
        <w:tblStyle w:val="88"/>
        <w:tblW w:w="0" w:type="auto"/>
        <w:tblInd w:w="1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3"/>
        <w:gridCol w:w="750"/>
        <w:gridCol w:w="713"/>
        <w:gridCol w:w="737"/>
        <w:gridCol w:w="850"/>
        <w:gridCol w:w="925"/>
        <w:gridCol w:w="588"/>
        <w:gridCol w:w="1104"/>
        <w:gridCol w:w="496"/>
        <w:gridCol w:w="725"/>
        <w:gridCol w:w="612"/>
        <w:gridCol w:w="1217"/>
      </w:tblGrid>
      <w:tr w14:paraId="373C4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413" w:type="dxa"/>
            <w:vAlign w:val="center"/>
          </w:tcPr>
          <w:p w14:paraId="153CF704">
            <w:pPr>
              <w:jc w:val="center"/>
            </w:pPr>
            <w:r>
              <w:rPr>
                <w:rFonts w:hint="eastAsia"/>
              </w:rPr>
              <w:t>序号</w:t>
            </w:r>
          </w:p>
        </w:tc>
        <w:tc>
          <w:tcPr>
            <w:tcW w:w="750" w:type="dxa"/>
            <w:vAlign w:val="center"/>
          </w:tcPr>
          <w:p w14:paraId="04D32883">
            <w:pPr>
              <w:jc w:val="center"/>
            </w:pPr>
            <w:r>
              <w:rPr>
                <w:rFonts w:hint="eastAsia"/>
              </w:rPr>
              <w:t>危险废物名称</w:t>
            </w:r>
          </w:p>
        </w:tc>
        <w:tc>
          <w:tcPr>
            <w:tcW w:w="713" w:type="dxa"/>
            <w:vAlign w:val="center"/>
          </w:tcPr>
          <w:p w14:paraId="7A5DF1F2">
            <w:pPr>
              <w:jc w:val="center"/>
            </w:pPr>
            <w:r>
              <w:rPr>
                <w:rFonts w:hint="eastAsia"/>
              </w:rPr>
              <w:t>危险废物类别</w:t>
            </w:r>
          </w:p>
        </w:tc>
        <w:tc>
          <w:tcPr>
            <w:tcW w:w="737" w:type="dxa"/>
            <w:vAlign w:val="center"/>
          </w:tcPr>
          <w:p w14:paraId="236FDBA2">
            <w:pPr>
              <w:jc w:val="center"/>
            </w:pPr>
            <w:r>
              <w:rPr>
                <w:rFonts w:hint="eastAsia"/>
              </w:rPr>
              <w:t>危险废物代码</w:t>
            </w:r>
          </w:p>
        </w:tc>
        <w:tc>
          <w:tcPr>
            <w:tcW w:w="850" w:type="dxa"/>
            <w:vAlign w:val="center"/>
          </w:tcPr>
          <w:p w14:paraId="3061418B">
            <w:pPr>
              <w:jc w:val="center"/>
            </w:pPr>
            <w:r>
              <w:rPr>
                <w:rFonts w:hint="eastAsia"/>
              </w:rPr>
              <w:t>产生量（t/a）</w:t>
            </w:r>
          </w:p>
        </w:tc>
        <w:tc>
          <w:tcPr>
            <w:tcW w:w="925" w:type="dxa"/>
            <w:vAlign w:val="center"/>
          </w:tcPr>
          <w:p w14:paraId="6E701C3E">
            <w:pPr>
              <w:jc w:val="center"/>
            </w:pPr>
            <w:r>
              <w:rPr>
                <w:rFonts w:hint="eastAsia"/>
              </w:rPr>
              <w:t>产生工序及装置</w:t>
            </w:r>
          </w:p>
        </w:tc>
        <w:tc>
          <w:tcPr>
            <w:tcW w:w="588" w:type="dxa"/>
            <w:vAlign w:val="center"/>
          </w:tcPr>
          <w:p w14:paraId="71C03F96">
            <w:pPr>
              <w:jc w:val="center"/>
            </w:pPr>
            <w:r>
              <w:rPr>
                <w:rFonts w:hint="eastAsia"/>
              </w:rPr>
              <w:t>形态</w:t>
            </w:r>
          </w:p>
        </w:tc>
        <w:tc>
          <w:tcPr>
            <w:tcW w:w="1104" w:type="dxa"/>
            <w:vAlign w:val="center"/>
          </w:tcPr>
          <w:p w14:paraId="7B055312">
            <w:pPr>
              <w:jc w:val="center"/>
            </w:pPr>
            <w:r>
              <w:rPr>
                <w:rFonts w:hint="eastAsia"/>
              </w:rPr>
              <w:t>主要成分</w:t>
            </w:r>
          </w:p>
        </w:tc>
        <w:tc>
          <w:tcPr>
            <w:tcW w:w="496" w:type="dxa"/>
            <w:vAlign w:val="center"/>
          </w:tcPr>
          <w:p w14:paraId="4786EC5C">
            <w:pPr>
              <w:jc w:val="center"/>
            </w:pPr>
            <w:r>
              <w:rPr>
                <w:rFonts w:hint="eastAsia"/>
              </w:rPr>
              <w:t>有害成分</w:t>
            </w:r>
          </w:p>
        </w:tc>
        <w:tc>
          <w:tcPr>
            <w:tcW w:w="725" w:type="dxa"/>
            <w:vAlign w:val="center"/>
          </w:tcPr>
          <w:p w14:paraId="439E89CF">
            <w:pPr>
              <w:jc w:val="center"/>
            </w:pPr>
            <w:r>
              <w:rPr>
                <w:rFonts w:hint="eastAsia"/>
              </w:rPr>
              <w:t>产废周期</w:t>
            </w:r>
          </w:p>
        </w:tc>
        <w:tc>
          <w:tcPr>
            <w:tcW w:w="612" w:type="dxa"/>
            <w:vAlign w:val="center"/>
          </w:tcPr>
          <w:p w14:paraId="4E9FBE17">
            <w:pPr>
              <w:jc w:val="center"/>
            </w:pPr>
            <w:r>
              <w:rPr>
                <w:rFonts w:hint="eastAsia"/>
              </w:rPr>
              <w:t>危险特性</w:t>
            </w:r>
          </w:p>
        </w:tc>
        <w:tc>
          <w:tcPr>
            <w:tcW w:w="1217" w:type="dxa"/>
            <w:vAlign w:val="center"/>
          </w:tcPr>
          <w:p w14:paraId="65B4E44A">
            <w:pPr>
              <w:jc w:val="center"/>
            </w:pPr>
            <w:r>
              <w:rPr>
                <w:rFonts w:hint="eastAsia"/>
              </w:rPr>
              <w:t>污染防治措施</w:t>
            </w:r>
          </w:p>
        </w:tc>
      </w:tr>
      <w:tr w14:paraId="52600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13" w:type="dxa"/>
            <w:vAlign w:val="center"/>
          </w:tcPr>
          <w:p w14:paraId="1AEA7BBA">
            <w:pPr>
              <w:jc w:val="center"/>
            </w:pPr>
            <w:r>
              <w:rPr>
                <w:rFonts w:hint="eastAsia"/>
              </w:rPr>
              <w:t>1</w:t>
            </w:r>
          </w:p>
        </w:tc>
        <w:tc>
          <w:tcPr>
            <w:tcW w:w="750" w:type="dxa"/>
            <w:vAlign w:val="center"/>
          </w:tcPr>
          <w:p w14:paraId="3B07324E">
            <w:pPr>
              <w:jc w:val="center"/>
            </w:pPr>
            <w:r>
              <w:rPr>
                <w:rFonts w:hint="eastAsia"/>
              </w:rPr>
              <w:t>分离器检修废渣</w:t>
            </w:r>
          </w:p>
        </w:tc>
        <w:tc>
          <w:tcPr>
            <w:tcW w:w="713" w:type="dxa"/>
            <w:vAlign w:val="center"/>
          </w:tcPr>
          <w:p w14:paraId="782AD50E">
            <w:pPr>
              <w:jc w:val="center"/>
            </w:pPr>
            <w:r>
              <w:rPr>
                <w:rFonts w:hint="eastAsia"/>
              </w:rPr>
              <w:t>HW09</w:t>
            </w:r>
          </w:p>
        </w:tc>
        <w:tc>
          <w:tcPr>
            <w:tcW w:w="737" w:type="dxa"/>
            <w:vAlign w:val="center"/>
          </w:tcPr>
          <w:p w14:paraId="5D8D4248">
            <w:pPr>
              <w:jc w:val="center"/>
            </w:pPr>
            <w:r>
              <w:rPr>
                <w:rFonts w:hint="eastAsia"/>
              </w:rPr>
              <w:t>900-007-09</w:t>
            </w:r>
          </w:p>
        </w:tc>
        <w:tc>
          <w:tcPr>
            <w:tcW w:w="850" w:type="dxa"/>
            <w:vAlign w:val="center"/>
          </w:tcPr>
          <w:p w14:paraId="1893A414">
            <w:pPr>
              <w:jc w:val="center"/>
            </w:pPr>
            <w:r>
              <w:rPr>
                <w:rFonts w:hint="eastAsia"/>
              </w:rPr>
              <w:t>0.005t/a</w:t>
            </w:r>
          </w:p>
        </w:tc>
        <w:tc>
          <w:tcPr>
            <w:tcW w:w="925" w:type="dxa"/>
            <w:vAlign w:val="center"/>
          </w:tcPr>
          <w:p w14:paraId="776B2474">
            <w:pPr>
              <w:jc w:val="center"/>
            </w:pPr>
            <w:r>
              <w:rPr>
                <w:rFonts w:hint="eastAsia"/>
              </w:rPr>
              <w:t>分离器检修</w:t>
            </w:r>
          </w:p>
        </w:tc>
        <w:tc>
          <w:tcPr>
            <w:tcW w:w="588" w:type="dxa"/>
            <w:vAlign w:val="center"/>
          </w:tcPr>
          <w:p w14:paraId="449637B4">
            <w:pPr>
              <w:jc w:val="center"/>
            </w:pPr>
            <w:r>
              <w:rPr>
                <w:rFonts w:hint="eastAsia"/>
              </w:rPr>
              <w:t>固态</w:t>
            </w:r>
          </w:p>
        </w:tc>
        <w:tc>
          <w:tcPr>
            <w:tcW w:w="1104" w:type="dxa"/>
            <w:vAlign w:val="center"/>
          </w:tcPr>
          <w:p w14:paraId="1E684CA8">
            <w:pPr>
              <w:jc w:val="center"/>
            </w:pPr>
            <w:r>
              <w:rPr>
                <w:rFonts w:hint="eastAsia"/>
              </w:rPr>
              <w:t>固体颗粒、粉尘、含油液滴、烃类等</w:t>
            </w:r>
          </w:p>
        </w:tc>
        <w:tc>
          <w:tcPr>
            <w:tcW w:w="496" w:type="dxa"/>
            <w:vAlign w:val="center"/>
          </w:tcPr>
          <w:p w14:paraId="6FEB0B04">
            <w:pPr>
              <w:jc w:val="center"/>
            </w:pPr>
            <w:r>
              <w:rPr>
                <w:rFonts w:hint="eastAsia"/>
              </w:rPr>
              <w:t>含油液滴、烃类</w:t>
            </w:r>
          </w:p>
        </w:tc>
        <w:tc>
          <w:tcPr>
            <w:tcW w:w="725" w:type="dxa"/>
            <w:vAlign w:val="center"/>
          </w:tcPr>
          <w:p w14:paraId="77A3744B">
            <w:pPr>
              <w:jc w:val="center"/>
            </w:pPr>
            <w:r>
              <w:rPr>
                <w:rFonts w:hint="eastAsia"/>
              </w:rPr>
              <w:t>1次/a</w:t>
            </w:r>
          </w:p>
        </w:tc>
        <w:tc>
          <w:tcPr>
            <w:tcW w:w="612" w:type="dxa"/>
            <w:vAlign w:val="center"/>
          </w:tcPr>
          <w:p w14:paraId="5176D1FE">
            <w:pPr>
              <w:jc w:val="center"/>
            </w:pPr>
            <w:r>
              <w:rPr>
                <w:rFonts w:hint="eastAsia"/>
              </w:rPr>
              <w:t>T</w:t>
            </w:r>
          </w:p>
        </w:tc>
        <w:tc>
          <w:tcPr>
            <w:tcW w:w="1217" w:type="dxa"/>
            <w:vAlign w:val="center"/>
          </w:tcPr>
          <w:p w14:paraId="18A7D161">
            <w:pPr>
              <w:jc w:val="center"/>
            </w:pPr>
            <w:r>
              <w:rPr>
                <w:rFonts w:hint="eastAsia"/>
              </w:rPr>
              <w:t>站内</w:t>
            </w:r>
            <w:r>
              <w:rPr>
                <w:rFonts w:hint="eastAsia"/>
                <w:highlight w:val="none"/>
                <w:lang w:val="en-US" w:eastAsia="zh-CN"/>
              </w:rPr>
              <w:t>排污池</w:t>
            </w:r>
            <w:r>
              <w:rPr>
                <w:rFonts w:hint="eastAsia"/>
              </w:rPr>
              <w:t>暂存，及时委托有资质单位处理</w:t>
            </w:r>
          </w:p>
        </w:tc>
      </w:tr>
      <w:tr w14:paraId="6A758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13" w:type="dxa"/>
            <w:vAlign w:val="center"/>
          </w:tcPr>
          <w:p w14:paraId="0FB51186">
            <w:pPr>
              <w:jc w:val="center"/>
            </w:pPr>
            <w:r>
              <w:rPr>
                <w:rFonts w:hint="eastAsia"/>
              </w:rPr>
              <w:t>2</w:t>
            </w:r>
          </w:p>
        </w:tc>
        <w:tc>
          <w:tcPr>
            <w:tcW w:w="750" w:type="dxa"/>
            <w:vAlign w:val="center"/>
          </w:tcPr>
          <w:p w14:paraId="542C0A36">
            <w:pPr>
              <w:jc w:val="center"/>
            </w:pPr>
            <w:r>
              <w:rPr>
                <w:rFonts w:hint="eastAsia"/>
              </w:rPr>
              <w:t>废滤芯</w:t>
            </w:r>
          </w:p>
        </w:tc>
        <w:tc>
          <w:tcPr>
            <w:tcW w:w="713" w:type="dxa"/>
            <w:vAlign w:val="center"/>
          </w:tcPr>
          <w:p w14:paraId="49CA1104">
            <w:pPr>
              <w:jc w:val="center"/>
            </w:pPr>
            <w:r>
              <w:rPr>
                <w:rFonts w:hint="eastAsia"/>
              </w:rPr>
              <w:t>HW49</w:t>
            </w:r>
          </w:p>
        </w:tc>
        <w:tc>
          <w:tcPr>
            <w:tcW w:w="737" w:type="dxa"/>
            <w:vAlign w:val="center"/>
          </w:tcPr>
          <w:p w14:paraId="2381724B">
            <w:pPr>
              <w:jc w:val="center"/>
            </w:pPr>
            <w:r>
              <w:rPr>
                <w:rFonts w:hint="eastAsia"/>
              </w:rPr>
              <w:t>900-041-49</w:t>
            </w:r>
          </w:p>
        </w:tc>
        <w:tc>
          <w:tcPr>
            <w:tcW w:w="850" w:type="dxa"/>
            <w:vAlign w:val="center"/>
          </w:tcPr>
          <w:p w14:paraId="1B1E96ED">
            <w:pPr>
              <w:jc w:val="center"/>
            </w:pPr>
            <w:r>
              <w:rPr>
                <w:rFonts w:hint="eastAsia"/>
              </w:rPr>
              <w:t>0.4t/2a</w:t>
            </w:r>
          </w:p>
        </w:tc>
        <w:tc>
          <w:tcPr>
            <w:tcW w:w="925" w:type="dxa"/>
            <w:vAlign w:val="center"/>
          </w:tcPr>
          <w:p w14:paraId="3C047CB6">
            <w:pPr>
              <w:jc w:val="center"/>
            </w:pPr>
            <w:r>
              <w:rPr>
                <w:rFonts w:hint="eastAsia"/>
              </w:rPr>
              <w:t>分离器滤芯更换</w:t>
            </w:r>
          </w:p>
        </w:tc>
        <w:tc>
          <w:tcPr>
            <w:tcW w:w="588" w:type="dxa"/>
            <w:vAlign w:val="center"/>
          </w:tcPr>
          <w:p w14:paraId="1809E2FD">
            <w:pPr>
              <w:jc w:val="center"/>
            </w:pPr>
            <w:r>
              <w:rPr>
                <w:rFonts w:hint="eastAsia"/>
              </w:rPr>
              <w:t>固态</w:t>
            </w:r>
          </w:p>
        </w:tc>
        <w:tc>
          <w:tcPr>
            <w:tcW w:w="1104" w:type="dxa"/>
            <w:vAlign w:val="center"/>
          </w:tcPr>
          <w:p w14:paraId="3B1770CE">
            <w:pPr>
              <w:jc w:val="center"/>
            </w:pPr>
            <w:r>
              <w:rPr>
                <w:rFonts w:hint="eastAsia"/>
              </w:rPr>
              <w:t>废滤芯、废渣、粉尘、含油液滴、烃类等</w:t>
            </w:r>
          </w:p>
        </w:tc>
        <w:tc>
          <w:tcPr>
            <w:tcW w:w="496" w:type="dxa"/>
            <w:vAlign w:val="center"/>
          </w:tcPr>
          <w:p w14:paraId="012FE703">
            <w:pPr>
              <w:jc w:val="center"/>
            </w:pPr>
            <w:r>
              <w:rPr>
                <w:rFonts w:hint="eastAsia"/>
              </w:rPr>
              <w:t>含油液滴、烃类</w:t>
            </w:r>
          </w:p>
        </w:tc>
        <w:tc>
          <w:tcPr>
            <w:tcW w:w="725" w:type="dxa"/>
            <w:vAlign w:val="center"/>
          </w:tcPr>
          <w:p w14:paraId="5A5AC68F">
            <w:pPr>
              <w:jc w:val="center"/>
            </w:pPr>
            <w:r>
              <w:rPr>
                <w:rFonts w:hint="eastAsia"/>
              </w:rPr>
              <w:t>1次/2a</w:t>
            </w:r>
          </w:p>
        </w:tc>
        <w:tc>
          <w:tcPr>
            <w:tcW w:w="612" w:type="dxa"/>
            <w:vAlign w:val="center"/>
          </w:tcPr>
          <w:p w14:paraId="08C3BFE6">
            <w:pPr>
              <w:jc w:val="center"/>
            </w:pPr>
            <w:r>
              <w:rPr>
                <w:rFonts w:hint="eastAsia"/>
              </w:rPr>
              <w:t>T</w:t>
            </w:r>
          </w:p>
        </w:tc>
        <w:tc>
          <w:tcPr>
            <w:tcW w:w="1217" w:type="dxa"/>
            <w:vMerge w:val="restart"/>
            <w:vAlign w:val="center"/>
          </w:tcPr>
          <w:p w14:paraId="67DD06BC">
            <w:pPr>
              <w:jc w:val="center"/>
            </w:pPr>
            <w:r>
              <w:rPr>
                <w:rFonts w:hint="eastAsia"/>
              </w:rPr>
              <w:t>暂存于耒阳分输站内危废暂存间，委托有资质单位处置</w:t>
            </w:r>
          </w:p>
        </w:tc>
      </w:tr>
      <w:tr w14:paraId="7A093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13" w:type="dxa"/>
            <w:vAlign w:val="center"/>
          </w:tcPr>
          <w:p w14:paraId="34CCAF55">
            <w:pPr>
              <w:jc w:val="center"/>
            </w:pPr>
            <w:r>
              <w:rPr>
                <w:rFonts w:hint="eastAsia"/>
              </w:rPr>
              <w:t>3</w:t>
            </w:r>
          </w:p>
        </w:tc>
        <w:tc>
          <w:tcPr>
            <w:tcW w:w="750" w:type="dxa"/>
            <w:vAlign w:val="center"/>
          </w:tcPr>
          <w:p w14:paraId="13165A0F">
            <w:pPr>
              <w:jc w:val="center"/>
            </w:pPr>
            <w:r>
              <w:rPr>
                <w:rFonts w:hint="eastAsia"/>
              </w:rPr>
              <w:t>废铅酸蓄电池</w:t>
            </w:r>
          </w:p>
        </w:tc>
        <w:tc>
          <w:tcPr>
            <w:tcW w:w="713" w:type="dxa"/>
            <w:vAlign w:val="center"/>
          </w:tcPr>
          <w:p w14:paraId="6562D858">
            <w:pPr>
              <w:jc w:val="center"/>
            </w:pPr>
            <w:r>
              <w:rPr>
                <w:rFonts w:hint="eastAsia"/>
              </w:rPr>
              <w:t>HW31</w:t>
            </w:r>
          </w:p>
        </w:tc>
        <w:tc>
          <w:tcPr>
            <w:tcW w:w="737" w:type="dxa"/>
            <w:vAlign w:val="center"/>
          </w:tcPr>
          <w:p w14:paraId="7506640A">
            <w:pPr>
              <w:jc w:val="center"/>
            </w:pPr>
            <w:r>
              <w:rPr>
                <w:rFonts w:hint="eastAsia"/>
              </w:rPr>
              <w:t>900-052-31</w:t>
            </w:r>
          </w:p>
        </w:tc>
        <w:tc>
          <w:tcPr>
            <w:tcW w:w="850" w:type="dxa"/>
            <w:vAlign w:val="center"/>
          </w:tcPr>
          <w:p w14:paraId="31D8628A">
            <w:pPr>
              <w:jc w:val="center"/>
            </w:pPr>
            <w:r>
              <w:rPr>
                <w:rFonts w:hint="eastAsia"/>
              </w:rPr>
              <w:t>0.8t/8a</w:t>
            </w:r>
          </w:p>
        </w:tc>
        <w:tc>
          <w:tcPr>
            <w:tcW w:w="925" w:type="dxa"/>
            <w:vAlign w:val="center"/>
          </w:tcPr>
          <w:p w14:paraId="7B6387C2">
            <w:pPr>
              <w:jc w:val="center"/>
            </w:pPr>
            <w:r>
              <w:rPr>
                <w:rFonts w:hint="eastAsia"/>
              </w:rPr>
              <w:t>UPS系统电源更换</w:t>
            </w:r>
          </w:p>
        </w:tc>
        <w:tc>
          <w:tcPr>
            <w:tcW w:w="588" w:type="dxa"/>
            <w:vAlign w:val="center"/>
          </w:tcPr>
          <w:p w14:paraId="743D15A9">
            <w:pPr>
              <w:jc w:val="center"/>
            </w:pPr>
            <w:r>
              <w:rPr>
                <w:rFonts w:hint="eastAsia"/>
              </w:rPr>
              <w:t>固态</w:t>
            </w:r>
          </w:p>
        </w:tc>
        <w:tc>
          <w:tcPr>
            <w:tcW w:w="1104" w:type="dxa"/>
            <w:vAlign w:val="center"/>
          </w:tcPr>
          <w:p w14:paraId="094152DA">
            <w:pPr>
              <w:jc w:val="center"/>
            </w:pPr>
            <w:r>
              <w:rPr>
                <w:rFonts w:hint="eastAsia"/>
              </w:rPr>
              <w:t>废铅酸蓄电池</w:t>
            </w:r>
          </w:p>
        </w:tc>
        <w:tc>
          <w:tcPr>
            <w:tcW w:w="496" w:type="dxa"/>
            <w:vAlign w:val="center"/>
          </w:tcPr>
          <w:p w14:paraId="1C0A92CA">
            <w:pPr>
              <w:jc w:val="center"/>
            </w:pPr>
            <w:r>
              <w:rPr>
                <w:rFonts w:hint="eastAsia"/>
              </w:rPr>
              <w:t>电解液</w:t>
            </w:r>
          </w:p>
        </w:tc>
        <w:tc>
          <w:tcPr>
            <w:tcW w:w="725" w:type="dxa"/>
            <w:vAlign w:val="center"/>
          </w:tcPr>
          <w:p w14:paraId="1DA2678B">
            <w:pPr>
              <w:jc w:val="center"/>
            </w:pPr>
            <w:r>
              <w:rPr>
                <w:rFonts w:hint="eastAsia"/>
              </w:rPr>
              <w:t>1次/8a</w:t>
            </w:r>
          </w:p>
        </w:tc>
        <w:tc>
          <w:tcPr>
            <w:tcW w:w="612" w:type="dxa"/>
            <w:vAlign w:val="center"/>
          </w:tcPr>
          <w:p w14:paraId="5D03D747">
            <w:pPr>
              <w:jc w:val="center"/>
            </w:pPr>
            <w:r>
              <w:rPr>
                <w:rFonts w:hint="eastAsia"/>
              </w:rPr>
              <w:t>T，C</w:t>
            </w:r>
          </w:p>
        </w:tc>
        <w:tc>
          <w:tcPr>
            <w:tcW w:w="1217" w:type="dxa"/>
            <w:vMerge w:val="continue"/>
            <w:vAlign w:val="center"/>
          </w:tcPr>
          <w:p w14:paraId="109C0257">
            <w:pPr>
              <w:jc w:val="center"/>
            </w:pPr>
          </w:p>
        </w:tc>
      </w:tr>
    </w:tbl>
    <w:p w14:paraId="072A3932">
      <w:pPr>
        <w:pStyle w:val="904"/>
        <w:rPr>
          <w:color w:val="FF0000"/>
        </w:rPr>
      </w:pPr>
    </w:p>
    <w:p w14:paraId="3238CBAD">
      <w:pPr>
        <w:pStyle w:val="234"/>
      </w:pPr>
      <w:r>
        <w:t>（4）噪声污染源及排放情况</w:t>
      </w:r>
    </w:p>
    <w:p w14:paraId="263A0E46">
      <w:pPr>
        <w:spacing w:line="360" w:lineRule="auto"/>
        <w:ind w:firstLine="480" w:firstLineChars="200"/>
        <w:rPr>
          <w:sz w:val="24"/>
        </w:rPr>
      </w:pPr>
      <w:r>
        <w:rPr>
          <w:sz w:val="24"/>
        </w:rPr>
        <w:t>工程主要噪声源为</w:t>
      </w:r>
      <w:r>
        <w:rPr>
          <w:rFonts w:hint="eastAsia"/>
          <w:sz w:val="24"/>
        </w:rPr>
        <w:t>耒阳分输站</w:t>
      </w:r>
      <w:r>
        <w:rPr>
          <w:sz w:val="24"/>
        </w:rPr>
        <w:t>过滤分离器机械设备，</w:t>
      </w:r>
      <w:r>
        <w:rPr>
          <w:rFonts w:hint="eastAsia"/>
          <w:sz w:val="24"/>
        </w:rPr>
        <w:t>无</w:t>
      </w:r>
      <w:r>
        <w:rPr>
          <w:sz w:val="24"/>
        </w:rPr>
        <w:t>压缩机等加压设备。工程主要噪声源设备见表3.</w:t>
      </w:r>
      <w:r>
        <w:rPr>
          <w:rFonts w:hint="eastAsia"/>
          <w:sz w:val="24"/>
        </w:rPr>
        <w:t>4</w:t>
      </w:r>
      <w:r>
        <w:rPr>
          <w:sz w:val="24"/>
        </w:rPr>
        <w:t>-1</w:t>
      </w:r>
      <w:r>
        <w:rPr>
          <w:rFonts w:hint="eastAsia"/>
          <w:sz w:val="24"/>
        </w:rPr>
        <w:t>3</w:t>
      </w:r>
      <w:r>
        <w:rPr>
          <w:sz w:val="24"/>
        </w:rPr>
        <w:t>。</w:t>
      </w:r>
    </w:p>
    <w:p w14:paraId="3E750637">
      <w:pPr>
        <w:pStyle w:val="904"/>
      </w:pPr>
      <w:r>
        <w:t>表3.</w:t>
      </w:r>
      <w:r>
        <w:rPr>
          <w:rFonts w:hint="eastAsia"/>
        </w:rPr>
        <w:t>4</w:t>
      </w:r>
      <w:r>
        <w:t>-1</w:t>
      </w:r>
      <w:r>
        <w:rPr>
          <w:rFonts w:hint="eastAsia"/>
        </w:rPr>
        <w:t>3</w:t>
      </w:r>
      <w:r>
        <w:t xml:space="preserve"> 站场正常工况下主要噪声源一览表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56"/>
        <w:gridCol w:w="1133"/>
        <w:gridCol w:w="1726"/>
        <w:gridCol w:w="921"/>
        <w:gridCol w:w="781"/>
        <w:gridCol w:w="783"/>
        <w:gridCol w:w="1150"/>
        <w:gridCol w:w="1247"/>
        <w:gridCol w:w="1163"/>
      </w:tblGrid>
      <w:tr w14:paraId="2F8CF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 w:type="pct"/>
            <w:vMerge w:val="restart"/>
            <w:vAlign w:val="center"/>
          </w:tcPr>
          <w:p w14:paraId="4EFAE368">
            <w:pPr>
              <w:jc w:val="center"/>
            </w:pPr>
            <w:r>
              <w:t>序号</w:t>
            </w:r>
          </w:p>
        </w:tc>
        <w:tc>
          <w:tcPr>
            <w:tcW w:w="599" w:type="pct"/>
            <w:vMerge w:val="restart"/>
            <w:vAlign w:val="center"/>
          </w:tcPr>
          <w:p w14:paraId="066DEFA1">
            <w:pPr>
              <w:jc w:val="center"/>
            </w:pPr>
            <w:r>
              <w:t>设备名称</w:t>
            </w:r>
          </w:p>
        </w:tc>
        <w:tc>
          <w:tcPr>
            <w:tcW w:w="912" w:type="pct"/>
            <w:vMerge w:val="restart"/>
            <w:vAlign w:val="center"/>
          </w:tcPr>
          <w:p w14:paraId="5472AFA6">
            <w:pPr>
              <w:jc w:val="center"/>
            </w:pPr>
            <w:r>
              <w:rPr>
                <w:rFonts w:hint="eastAsia"/>
              </w:rPr>
              <w:t>型号</w:t>
            </w:r>
          </w:p>
        </w:tc>
        <w:tc>
          <w:tcPr>
            <w:tcW w:w="1314" w:type="pct"/>
            <w:gridSpan w:val="3"/>
            <w:vAlign w:val="center"/>
          </w:tcPr>
          <w:p w14:paraId="31E78DE2">
            <w:pPr>
              <w:jc w:val="center"/>
            </w:pPr>
            <w:r>
              <w:rPr>
                <w:rFonts w:hint="eastAsia"/>
              </w:rPr>
              <w:t>空间相对位置*/</w:t>
            </w:r>
            <w:r>
              <w:t>m</w:t>
            </w:r>
          </w:p>
        </w:tc>
        <w:tc>
          <w:tcPr>
            <w:tcW w:w="608" w:type="pct"/>
            <w:vMerge w:val="restart"/>
            <w:vAlign w:val="center"/>
          </w:tcPr>
          <w:p w14:paraId="4BA0A8C7">
            <w:pPr>
              <w:snapToGrid w:val="0"/>
              <w:jc w:val="center"/>
            </w:pPr>
            <w:r>
              <w:rPr>
                <w:rFonts w:hint="eastAsia"/>
              </w:rPr>
              <w:t>声源源强</w:t>
            </w:r>
            <w:r>
              <w:t>（dB</w:t>
            </w:r>
            <w:r>
              <w:rPr>
                <w:rFonts w:hint="eastAsia"/>
              </w:rPr>
              <w:t>(</w:t>
            </w:r>
            <w:r>
              <w:t>A</w:t>
            </w:r>
            <w:r>
              <w:rPr>
                <w:rFonts w:hint="eastAsia"/>
              </w:rPr>
              <w:t>)</w:t>
            </w:r>
            <w:r>
              <w:t>）</w:t>
            </w:r>
          </w:p>
        </w:tc>
        <w:tc>
          <w:tcPr>
            <w:tcW w:w="659" w:type="pct"/>
            <w:vMerge w:val="restart"/>
            <w:vAlign w:val="center"/>
          </w:tcPr>
          <w:p w14:paraId="1752FD61">
            <w:pPr>
              <w:jc w:val="center"/>
            </w:pPr>
            <w:r>
              <w:rPr>
                <w:rFonts w:hint="eastAsia"/>
              </w:rPr>
              <w:t>声源控制</w:t>
            </w:r>
            <w:r>
              <w:t>措施</w:t>
            </w:r>
          </w:p>
        </w:tc>
        <w:tc>
          <w:tcPr>
            <w:tcW w:w="609" w:type="pct"/>
            <w:vMerge w:val="restart"/>
            <w:vAlign w:val="center"/>
          </w:tcPr>
          <w:p w14:paraId="4B6AA6DD">
            <w:pPr>
              <w:jc w:val="center"/>
            </w:pPr>
            <w:r>
              <w:rPr>
                <w:rFonts w:hint="eastAsia"/>
              </w:rPr>
              <w:t>运行时段</w:t>
            </w:r>
          </w:p>
        </w:tc>
      </w:tr>
      <w:tr w14:paraId="4F168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 w:type="pct"/>
            <w:vMerge w:val="continue"/>
            <w:vAlign w:val="center"/>
          </w:tcPr>
          <w:p w14:paraId="4670E650">
            <w:pPr>
              <w:jc w:val="center"/>
            </w:pPr>
          </w:p>
        </w:tc>
        <w:tc>
          <w:tcPr>
            <w:tcW w:w="599" w:type="pct"/>
            <w:vMerge w:val="continue"/>
            <w:vAlign w:val="center"/>
          </w:tcPr>
          <w:p w14:paraId="67AB6095">
            <w:pPr>
              <w:jc w:val="center"/>
            </w:pPr>
          </w:p>
        </w:tc>
        <w:tc>
          <w:tcPr>
            <w:tcW w:w="912" w:type="pct"/>
            <w:vMerge w:val="continue"/>
            <w:vAlign w:val="center"/>
          </w:tcPr>
          <w:p w14:paraId="4B2F30B0">
            <w:pPr>
              <w:jc w:val="center"/>
            </w:pPr>
          </w:p>
        </w:tc>
        <w:tc>
          <w:tcPr>
            <w:tcW w:w="487" w:type="pct"/>
            <w:vAlign w:val="center"/>
          </w:tcPr>
          <w:p w14:paraId="1C72D89C">
            <w:pPr>
              <w:jc w:val="center"/>
            </w:pPr>
            <w:r>
              <w:rPr>
                <w:rFonts w:hint="eastAsia"/>
              </w:rPr>
              <w:t>X</w:t>
            </w:r>
          </w:p>
        </w:tc>
        <w:tc>
          <w:tcPr>
            <w:tcW w:w="413" w:type="pct"/>
            <w:vAlign w:val="center"/>
          </w:tcPr>
          <w:p w14:paraId="26D985E8">
            <w:pPr>
              <w:jc w:val="center"/>
            </w:pPr>
            <w:r>
              <w:rPr>
                <w:rFonts w:hint="eastAsia"/>
              </w:rPr>
              <w:t>Y</w:t>
            </w:r>
          </w:p>
        </w:tc>
        <w:tc>
          <w:tcPr>
            <w:tcW w:w="413" w:type="pct"/>
            <w:vAlign w:val="center"/>
          </w:tcPr>
          <w:p w14:paraId="3867C71A">
            <w:pPr>
              <w:jc w:val="center"/>
            </w:pPr>
            <w:r>
              <w:rPr>
                <w:rFonts w:hint="eastAsia"/>
              </w:rPr>
              <w:t>Z</w:t>
            </w:r>
          </w:p>
        </w:tc>
        <w:tc>
          <w:tcPr>
            <w:tcW w:w="608" w:type="pct"/>
            <w:vMerge w:val="continue"/>
            <w:vAlign w:val="center"/>
          </w:tcPr>
          <w:p w14:paraId="00A9BF20">
            <w:pPr>
              <w:snapToGrid w:val="0"/>
              <w:jc w:val="center"/>
            </w:pPr>
          </w:p>
        </w:tc>
        <w:tc>
          <w:tcPr>
            <w:tcW w:w="659" w:type="pct"/>
            <w:vMerge w:val="continue"/>
            <w:vAlign w:val="center"/>
          </w:tcPr>
          <w:p w14:paraId="5C3F6925">
            <w:pPr>
              <w:jc w:val="center"/>
            </w:pPr>
          </w:p>
        </w:tc>
        <w:tc>
          <w:tcPr>
            <w:tcW w:w="609" w:type="pct"/>
            <w:vMerge w:val="continue"/>
            <w:vAlign w:val="center"/>
          </w:tcPr>
          <w:p w14:paraId="45B1675F">
            <w:pPr>
              <w:jc w:val="center"/>
            </w:pPr>
          </w:p>
        </w:tc>
      </w:tr>
      <w:tr w14:paraId="7A5E5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 w:type="pct"/>
            <w:vAlign w:val="center"/>
          </w:tcPr>
          <w:p w14:paraId="57FEE3AF">
            <w:pPr>
              <w:jc w:val="center"/>
            </w:pPr>
            <w:r>
              <w:t>1</w:t>
            </w:r>
          </w:p>
        </w:tc>
        <w:tc>
          <w:tcPr>
            <w:tcW w:w="599" w:type="pct"/>
            <w:vAlign w:val="center"/>
          </w:tcPr>
          <w:p w14:paraId="32F5BA64">
            <w:pPr>
              <w:jc w:val="center"/>
            </w:pPr>
            <w:r>
              <w:t>过滤分离器</w:t>
            </w:r>
          </w:p>
        </w:tc>
        <w:tc>
          <w:tcPr>
            <w:tcW w:w="912" w:type="pct"/>
            <w:vAlign w:val="center"/>
          </w:tcPr>
          <w:p w14:paraId="57C488E6">
            <w:pPr>
              <w:jc w:val="center"/>
            </w:pPr>
            <w:r>
              <w:rPr>
                <w:rFonts w:hint="eastAsia"/>
                <w:szCs w:val="21"/>
              </w:rPr>
              <w:t xml:space="preserve">Q=50000Nm³/h </w:t>
            </w:r>
          </w:p>
        </w:tc>
        <w:tc>
          <w:tcPr>
            <w:tcW w:w="921" w:type="dxa"/>
            <w:vAlign w:val="center"/>
          </w:tcPr>
          <w:p w14:paraId="66B4F9C2">
            <w:pPr>
              <w:jc w:val="center"/>
            </w:pPr>
            <w:r>
              <w:rPr>
                <w:rFonts w:hint="eastAsia"/>
              </w:rPr>
              <w:t>25</w:t>
            </w:r>
          </w:p>
        </w:tc>
        <w:tc>
          <w:tcPr>
            <w:tcW w:w="781" w:type="dxa"/>
            <w:vAlign w:val="center"/>
          </w:tcPr>
          <w:p w14:paraId="1EE74802">
            <w:pPr>
              <w:jc w:val="center"/>
            </w:pPr>
            <w:r>
              <w:rPr>
                <w:rFonts w:hint="eastAsia"/>
              </w:rPr>
              <w:t>95</w:t>
            </w:r>
          </w:p>
        </w:tc>
        <w:tc>
          <w:tcPr>
            <w:tcW w:w="413" w:type="pct"/>
            <w:vAlign w:val="center"/>
          </w:tcPr>
          <w:p w14:paraId="5926B9F6">
            <w:pPr>
              <w:jc w:val="center"/>
            </w:pPr>
            <w:r>
              <w:t>1.0</w:t>
            </w:r>
          </w:p>
        </w:tc>
        <w:tc>
          <w:tcPr>
            <w:tcW w:w="608" w:type="pct"/>
            <w:vAlign w:val="center"/>
          </w:tcPr>
          <w:p w14:paraId="3365F14E">
            <w:pPr>
              <w:jc w:val="center"/>
            </w:pPr>
            <w:r>
              <w:t>65～75</w:t>
            </w:r>
          </w:p>
        </w:tc>
        <w:tc>
          <w:tcPr>
            <w:tcW w:w="659" w:type="pct"/>
            <w:vMerge w:val="restart"/>
            <w:vAlign w:val="center"/>
          </w:tcPr>
          <w:p w14:paraId="283DB903">
            <w:pPr>
              <w:jc w:val="center"/>
            </w:pPr>
            <w:r>
              <w:rPr>
                <w:rFonts w:hint="eastAsia"/>
              </w:rPr>
              <w:t>选用低噪声设备，</w:t>
            </w:r>
            <w:r>
              <w:t>安装减振装置</w:t>
            </w:r>
          </w:p>
        </w:tc>
        <w:tc>
          <w:tcPr>
            <w:tcW w:w="609" w:type="pct"/>
            <w:vAlign w:val="center"/>
          </w:tcPr>
          <w:p w14:paraId="46BC485A">
            <w:pPr>
              <w:jc w:val="center"/>
            </w:pPr>
            <w:r>
              <w:rPr>
                <w:rFonts w:hint="eastAsia"/>
              </w:rPr>
              <w:t>全天</w:t>
            </w:r>
          </w:p>
        </w:tc>
      </w:tr>
      <w:tr w14:paraId="5F620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 w:type="pct"/>
            <w:vAlign w:val="center"/>
          </w:tcPr>
          <w:p w14:paraId="2D92C908">
            <w:pPr>
              <w:jc w:val="center"/>
            </w:pPr>
            <w:r>
              <w:rPr>
                <w:rFonts w:hint="eastAsia"/>
              </w:rPr>
              <w:t>2</w:t>
            </w:r>
          </w:p>
        </w:tc>
        <w:tc>
          <w:tcPr>
            <w:tcW w:w="599" w:type="pct"/>
            <w:vAlign w:val="center"/>
          </w:tcPr>
          <w:p w14:paraId="0A82BD66">
            <w:pPr>
              <w:jc w:val="center"/>
            </w:pPr>
            <w:r>
              <w:t>过滤分离器</w:t>
            </w:r>
          </w:p>
        </w:tc>
        <w:tc>
          <w:tcPr>
            <w:tcW w:w="912" w:type="pct"/>
            <w:vAlign w:val="center"/>
          </w:tcPr>
          <w:p w14:paraId="19B4F972">
            <w:pPr>
              <w:jc w:val="center"/>
            </w:pPr>
            <w:r>
              <w:rPr>
                <w:rFonts w:hint="eastAsia"/>
                <w:szCs w:val="21"/>
              </w:rPr>
              <w:t xml:space="preserve">Q=50000Nm³/h </w:t>
            </w:r>
          </w:p>
        </w:tc>
        <w:tc>
          <w:tcPr>
            <w:tcW w:w="921" w:type="dxa"/>
            <w:vAlign w:val="center"/>
          </w:tcPr>
          <w:p w14:paraId="4960F0BD">
            <w:pPr>
              <w:jc w:val="center"/>
            </w:pPr>
            <w:r>
              <w:rPr>
                <w:rFonts w:hint="eastAsia"/>
              </w:rPr>
              <w:t>30</w:t>
            </w:r>
          </w:p>
        </w:tc>
        <w:tc>
          <w:tcPr>
            <w:tcW w:w="781" w:type="dxa"/>
            <w:vAlign w:val="center"/>
          </w:tcPr>
          <w:p w14:paraId="411B8987">
            <w:pPr>
              <w:jc w:val="center"/>
            </w:pPr>
            <w:r>
              <w:rPr>
                <w:rFonts w:hint="eastAsia"/>
              </w:rPr>
              <w:t>97</w:t>
            </w:r>
          </w:p>
        </w:tc>
        <w:tc>
          <w:tcPr>
            <w:tcW w:w="413" w:type="pct"/>
            <w:vAlign w:val="center"/>
          </w:tcPr>
          <w:p w14:paraId="76195D30">
            <w:pPr>
              <w:jc w:val="center"/>
            </w:pPr>
            <w:r>
              <w:t>1.0</w:t>
            </w:r>
          </w:p>
        </w:tc>
        <w:tc>
          <w:tcPr>
            <w:tcW w:w="608" w:type="pct"/>
            <w:vAlign w:val="center"/>
          </w:tcPr>
          <w:p w14:paraId="457772A1">
            <w:pPr>
              <w:jc w:val="center"/>
            </w:pPr>
            <w:r>
              <w:t>65～75</w:t>
            </w:r>
          </w:p>
        </w:tc>
        <w:tc>
          <w:tcPr>
            <w:tcW w:w="659" w:type="pct"/>
            <w:vMerge w:val="continue"/>
            <w:vAlign w:val="center"/>
          </w:tcPr>
          <w:p w14:paraId="7929CFE7">
            <w:pPr>
              <w:jc w:val="center"/>
            </w:pPr>
          </w:p>
        </w:tc>
        <w:tc>
          <w:tcPr>
            <w:tcW w:w="609" w:type="pct"/>
            <w:vAlign w:val="center"/>
          </w:tcPr>
          <w:p w14:paraId="03D66949">
            <w:pPr>
              <w:jc w:val="center"/>
            </w:pPr>
            <w:r>
              <w:rPr>
                <w:rFonts w:hint="eastAsia"/>
              </w:rPr>
              <w:t>全天</w:t>
            </w:r>
          </w:p>
        </w:tc>
      </w:tr>
      <w:tr w14:paraId="710F1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 w:type="pct"/>
            <w:vAlign w:val="center"/>
          </w:tcPr>
          <w:p w14:paraId="638305DE">
            <w:pPr>
              <w:jc w:val="center"/>
            </w:pPr>
            <w:r>
              <w:rPr>
                <w:rFonts w:hint="eastAsia"/>
              </w:rPr>
              <w:t>3</w:t>
            </w:r>
          </w:p>
        </w:tc>
        <w:tc>
          <w:tcPr>
            <w:tcW w:w="599" w:type="pct"/>
            <w:vAlign w:val="center"/>
          </w:tcPr>
          <w:p w14:paraId="015CE394">
            <w:pPr>
              <w:jc w:val="center"/>
            </w:pPr>
            <w:r>
              <w:rPr>
                <w:rFonts w:hint="eastAsia"/>
              </w:rPr>
              <w:t>调压串</w:t>
            </w:r>
          </w:p>
        </w:tc>
        <w:tc>
          <w:tcPr>
            <w:tcW w:w="912" w:type="pct"/>
            <w:vAlign w:val="center"/>
          </w:tcPr>
          <w:p w14:paraId="7CAC4A97">
            <w:pPr>
              <w:jc w:val="center"/>
              <w:rPr>
                <w:szCs w:val="21"/>
              </w:rPr>
            </w:pPr>
            <w:r>
              <w:rPr>
                <w:rFonts w:hint="eastAsia"/>
                <w:szCs w:val="21"/>
              </w:rPr>
              <w:t>Q=50000Nm³/h</w:t>
            </w:r>
          </w:p>
        </w:tc>
        <w:tc>
          <w:tcPr>
            <w:tcW w:w="921" w:type="dxa"/>
            <w:vAlign w:val="center"/>
          </w:tcPr>
          <w:p w14:paraId="5E0C4942">
            <w:pPr>
              <w:jc w:val="center"/>
            </w:pPr>
            <w:r>
              <w:rPr>
                <w:rFonts w:hint="eastAsia"/>
              </w:rPr>
              <w:t>25</w:t>
            </w:r>
          </w:p>
        </w:tc>
        <w:tc>
          <w:tcPr>
            <w:tcW w:w="781" w:type="dxa"/>
            <w:vAlign w:val="center"/>
          </w:tcPr>
          <w:p w14:paraId="36EA7949">
            <w:pPr>
              <w:jc w:val="center"/>
            </w:pPr>
            <w:r>
              <w:rPr>
                <w:rFonts w:hint="eastAsia"/>
              </w:rPr>
              <w:t>70</w:t>
            </w:r>
          </w:p>
        </w:tc>
        <w:tc>
          <w:tcPr>
            <w:tcW w:w="413" w:type="pct"/>
            <w:vAlign w:val="center"/>
          </w:tcPr>
          <w:p w14:paraId="3BDB0DFE">
            <w:pPr>
              <w:jc w:val="center"/>
            </w:pPr>
            <w:r>
              <w:t>1.0</w:t>
            </w:r>
          </w:p>
        </w:tc>
        <w:tc>
          <w:tcPr>
            <w:tcW w:w="608" w:type="pct"/>
            <w:vAlign w:val="center"/>
          </w:tcPr>
          <w:p w14:paraId="114C082D">
            <w:pPr>
              <w:jc w:val="center"/>
            </w:pPr>
            <w:r>
              <w:rPr>
                <w:rFonts w:hint="eastAsia"/>
              </w:rPr>
              <w:t>5</w:t>
            </w:r>
            <w:r>
              <w:t>5</w:t>
            </w:r>
            <w:r>
              <w:rPr>
                <w:rFonts w:hint="eastAsia"/>
              </w:rPr>
              <w:t>~</w:t>
            </w:r>
            <w:r>
              <w:t>70</w:t>
            </w:r>
          </w:p>
        </w:tc>
        <w:tc>
          <w:tcPr>
            <w:tcW w:w="659" w:type="pct"/>
            <w:vMerge w:val="continue"/>
            <w:vAlign w:val="center"/>
          </w:tcPr>
          <w:p w14:paraId="5B667C1F">
            <w:pPr>
              <w:jc w:val="center"/>
            </w:pPr>
          </w:p>
        </w:tc>
        <w:tc>
          <w:tcPr>
            <w:tcW w:w="609" w:type="pct"/>
            <w:vAlign w:val="center"/>
          </w:tcPr>
          <w:p w14:paraId="030E1614">
            <w:pPr>
              <w:jc w:val="center"/>
            </w:pPr>
            <w:r>
              <w:rPr>
                <w:rFonts w:hint="eastAsia"/>
              </w:rPr>
              <w:t>全天</w:t>
            </w:r>
          </w:p>
        </w:tc>
      </w:tr>
      <w:tr w14:paraId="2BFA2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 w:type="pct"/>
            <w:vAlign w:val="center"/>
          </w:tcPr>
          <w:p w14:paraId="0B465EFD">
            <w:pPr>
              <w:jc w:val="center"/>
            </w:pPr>
            <w:r>
              <w:rPr>
                <w:rFonts w:hint="eastAsia"/>
              </w:rPr>
              <w:t>4</w:t>
            </w:r>
          </w:p>
        </w:tc>
        <w:tc>
          <w:tcPr>
            <w:tcW w:w="599" w:type="pct"/>
            <w:vAlign w:val="center"/>
          </w:tcPr>
          <w:p w14:paraId="0C3C1262">
            <w:pPr>
              <w:jc w:val="center"/>
            </w:pPr>
            <w:r>
              <w:rPr>
                <w:rFonts w:hint="eastAsia"/>
              </w:rPr>
              <w:t>调压串</w:t>
            </w:r>
          </w:p>
        </w:tc>
        <w:tc>
          <w:tcPr>
            <w:tcW w:w="912" w:type="pct"/>
            <w:vAlign w:val="center"/>
          </w:tcPr>
          <w:p w14:paraId="318758C7">
            <w:pPr>
              <w:jc w:val="center"/>
              <w:rPr>
                <w:szCs w:val="21"/>
              </w:rPr>
            </w:pPr>
            <w:r>
              <w:rPr>
                <w:rFonts w:hint="eastAsia"/>
                <w:szCs w:val="21"/>
              </w:rPr>
              <w:t>Q=50000Nm³/h</w:t>
            </w:r>
          </w:p>
        </w:tc>
        <w:tc>
          <w:tcPr>
            <w:tcW w:w="921" w:type="dxa"/>
            <w:vAlign w:val="center"/>
          </w:tcPr>
          <w:p w14:paraId="679C7210">
            <w:pPr>
              <w:jc w:val="center"/>
            </w:pPr>
            <w:r>
              <w:rPr>
                <w:rFonts w:hint="eastAsia"/>
              </w:rPr>
              <w:t>30</w:t>
            </w:r>
          </w:p>
        </w:tc>
        <w:tc>
          <w:tcPr>
            <w:tcW w:w="781" w:type="dxa"/>
            <w:vAlign w:val="center"/>
          </w:tcPr>
          <w:p w14:paraId="0655321F">
            <w:pPr>
              <w:jc w:val="center"/>
            </w:pPr>
            <w:r>
              <w:rPr>
                <w:rFonts w:hint="eastAsia"/>
              </w:rPr>
              <w:t>75</w:t>
            </w:r>
          </w:p>
        </w:tc>
        <w:tc>
          <w:tcPr>
            <w:tcW w:w="413" w:type="pct"/>
            <w:vAlign w:val="center"/>
          </w:tcPr>
          <w:p w14:paraId="63FAC21C">
            <w:pPr>
              <w:jc w:val="center"/>
            </w:pPr>
            <w:r>
              <w:t>1.0</w:t>
            </w:r>
          </w:p>
        </w:tc>
        <w:tc>
          <w:tcPr>
            <w:tcW w:w="608" w:type="pct"/>
            <w:vAlign w:val="center"/>
          </w:tcPr>
          <w:p w14:paraId="67E3C0E6">
            <w:pPr>
              <w:jc w:val="center"/>
            </w:pPr>
            <w:r>
              <w:rPr>
                <w:rFonts w:hint="eastAsia"/>
              </w:rPr>
              <w:t>5</w:t>
            </w:r>
            <w:r>
              <w:t>5</w:t>
            </w:r>
            <w:r>
              <w:rPr>
                <w:rFonts w:hint="eastAsia"/>
              </w:rPr>
              <w:t>~</w:t>
            </w:r>
            <w:r>
              <w:t>70</w:t>
            </w:r>
          </w:p>
        </w:tc>
        <w:tc>
          <w:tcPr>
            <w:tcW w:w="659" w:type="pct"/>
            <w:vMerge w:val="continue"/>
            <w:vAlign w:val="center"/>
          </w:tcPr>
          <w:p w14:paraId="4EED1AD5">
            <w:pPr>
              <w:jc w:val="center"/>
            </w:pPr>
          </w:p>
        </w:tc>
        <w:tc>
          <w:tcPr>
            <w:tcW w:w="609" w:type="pct"/>
            <w:vAlign w:val="center"/>
          </w:tcPr>
          <w:p w14:paraId="378D1332">
            <w:pPr>
              <w:jc w:val="center"/>
            </w:pPr>
            <w:r>
              <w:rPr>
                <w:rFonts w:hint="eastAsia"/>
              </w:rPr>
              <w:t>全天</w:t>
            </w:r>
          </w:p>
        </w:tc>
      </w:tr>
      <w:tr w14:paraId="2BAAC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 w:type="pct"/>
            <w:vAlign w:val="center"/>
          </w:tcPr>
          <w:p w14:paraId="64AE5FD6">
            <w:pPr>
              <w:jc w:val="center"/>
            </w:pPr>
            <w:r>
              <w:rPr>
                <w:rFonts w:hint="eastAsia"/>
              </w:rPr>
              <w:t>5</w:t>
            </w:r>
          </w:p>
        </w:tc>
        <w:tc>
          <w:tcPr>
            <w:tcW w:w="599" w:type="pct"/>
            <w:vAlign w:val="center"/>
          </w:tcPr>
          <w:p w14:paraId="0ACBC04D">
            <w:pPr>
              <w:jc w:val="center"/>
            </w:pPr>
            <w:r>
              <w:rPr>
                <w:rFonts w:hint="eastAsia"/>
              </w:rPr>
              <w:t>计量撬</w:t>
            </w:r>
          </w:p>
        </w:tc>
        <w:tc>
          <w:tcPr>
            <w:tcW w:w="912" w:type="pct"/>
            <w:vAlign w:val="center"/>
          </w:tcPr>
          <w:p w14:paraId="1A9573AE">
            <w:pPr>
              <w:jc w:val="center"/>
              <w:rPr>
                <w:szCs w:val="21"/>
              </w:rPr>
            </w:pPr>
            <w:r>
              <w:rPr>
                <w:rFonts w:hint="eastAsia"/>
                <w:szCs w:val="21"/>
              </w:rPr>
              <w:t>Q=50000Nm³/h</w:t>
            </w:r>
          </w:p>
        </w:tc>
        <w:tc>
          <w:tcPr>
            <w:tcW w:w="921" w:type="dxa"/>
            <w:vAlign w:val="center"/>
          </w:tcPr>
          <w:p w14:paraId="60AA2A5A">
            <w:pPr>
              <w:jc w:val="center"/>
            </w:pPr>
            <w:r>
              <w:rPr>
                <w:rFonts w:hint="eastAsia"/>
              </w:rPr>
              <w:t>25</w:t>
            </w:r>
          </w:p>
        </w:tc>
        <w:tc>
          <w:tcPr>
            <w:tcW w:w="781" w:type="dxa"/>
            <w:vAlign w:val="center"/>
          </w:tcPr>
          <w:p w14:paraId="19B31A9E">
            <w:pPr>
              <w:jc w:val="center"/>
            </w:pPr>
            <w:r>
              <w:rPr>
                <w:rFonts w:hint="eastAsia"/>
              </w:rPr>
              <w:t>85</w:t>
            </w:r>
          </w:p>
        </w:tc>
        <w:tc>
          <w:tcPr>
            <w:tcW w:w="413" w:type="pct"/>
            <w:vAlign w:val="center"/>
          </w:tcPr>
          <w:p w14:paraId="28F7FD94">
            <w:pPr>
              <w:jc w:val="center"/>
            </w:pPr>
            <w:r>
              <w:t>1.0</w:t>
            </w:r>
          </w:p>
        </w:tc>
        <w:tc>
          <w:tcPr>
            <w:tcW w:w="608" w:type="pct"/>
            <w:vAlign w:val="center"/>
          </w:tcPr>
          <w:p w14:paraId="5715D398">
            <w:pPr>
              <w:jc w:val="center"/>
            </w:pPr>
            <w:r>
              <w:rPr>
                <w:rFonts w:hint="eastAsia"/>
              </w:rPr>
              <w:t>6</w:t>
            </w:r>
            <w:r>
              <w:t>0</w:t>
            </w:r>
            <w:r>
              <w:rPr>
                <w:rFonts w:hint="eastAsia"/>
              </w:rPr>
              <w:t>~</w:t>
            </w:r>
            <w:r>
              <w:t>70</w:t>
            </w:r>
          </w:p>
        </w:tc>
        <w:tc>
          <w:tcPr>
            <w:tcW w:w="659" w:type="pct"/>
            <w:vMerge w:val="continue"/>
            <w:vAlign w:val="center"/>
          </w:tcPr>
          <w:p w14:paraId="21F7857E">
            <w:pPr>
              <w:jc w:val="center"/>
            </w:pPr>
          </w:p>
        </w:tc>
        <w:tc>
          <w:tcPr>
            <w:tcW w:w="609" w:type="pct"/>
            <w:vAlign w:val="center"/>
          </w:tcPr>
          <w:p w14:paraId="01A68338">
            <w:pPr>
              <w:jc w:val="center"/>
            </w:pPr>
            <w:r>
              <w:rPr>
                <w:rFonts w:hint="eastAsia"/>
              </w:rPr>
              <w:t>全天</w:t>
            </w:r>
          </w:p>
        </w:tc>
      </w:tr>
      <w:tr w14:paraId="1E2DF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9"/>
            <w:vAlign w:val="center"/>
          </w:tcPr>
          <w:p w14:paraId="29C0D81E">
            <w:r>
              <w:rPr>
                <w:rFonts w:hint="eastAsia"/>
              </w:rPr>
              <w:t>注：以耒阳分输站西南角为（0,</w:t>
            </w:r>
            <w:r>
              <w:t>0</w:t>
            </w:r>
            <w:r>
              <w:rPr>
                <w:rFonts w:hint="eastAsia"/>
              </w:rPr>
              <w:t>）所确定的各设备空间相对位置坐标，正东为X、正北为Y轴。</w:t>
            </w:r>
          </w:p>
        </w:tc>
      </w:tr>
    </w:tbl>
    <w:p w14:paraId="33E2B8D6">
      <w:pPr>
        <w:pStyle w:val="7"/>
        <w:snapToGrid w:val="0"/>
        <w:spacing w:before="120" w:beforeLines="50"/>
      </w:pPr>
      <w:bookmarkStart w:id="154" w:name="_bookmark19"/>
      <w:bookmarkEnd w:id="154"/>
      <w:bookmarkStart w:id="155" w:name="_Toc16249"/>
      <w:r>
        <w:t>非正常工况下</w:t>
      </w:r>
      <w:r>
        <w:rPr>
          <w:rFonts w:hint="eastAsia"/>
        </w:rPr>
        <w:t>污染源强分析</w:t>
      </w:r>
    </w:p>
    <w:p w14:paraId="3A882CAF">
      <w:pPr>
        <w:adjustRightInd w:val="0"/>
        <w:snapToGrid w:val="0"/>
        <w:spacing w:line="360" w:lineRule="auto"/>
        <w:ind w:firstLine="480" w:firstLineChars="200"/>
        <w:rPr>
          <w:sz w:val="24"/>
        </w:rPr>
      </w:pPr>
      <w:r>
        <w:rPr>
          <w:sz w:val="24"/>
        </w:rPr>
        <w:t>（1）非正常工况排放废气</w:t>
      </w:r>
    </w:p>
    <w:p w14:paraId="18BD0BE4">
      <w:pPr>
        <w:adjustRightInd w:val="0"/>
        <w:snapToGrid w:val="0"/>
        <w:spacing w:line="360" w:lineRule="auto"/>
        <w:ind w:firstLine="480" w:firstLineChars="200"/>
        <w:rPr>
          <w:sz w:val="24"/>
        </w:rPr>
      </w:pPr>
      <w:r>
        <w:rPr>
          <w:rFonts w:hint="eastAsia" w:ascii="宋体" w:hAnsi="宋体" w:cs="宋体"/>
          <w:sz w:val="24"/>
        </w:rPr>
        <w:t>①</w:t>
      </w:r>
      <w:r>
        <w:rPr>
          <w:sz w:val="24"/>
        </w:rPr>
        <w:t>过滤分离器检修放空废气</w:t>
      </w:r>
    </w:p>
    <w:p w14:paraId="787D3474">
      <w:pPr>
        <w:adjustRightInd w:val="0"/>
        <w:snapToGrid w:val="0"/>
        <w:spacing w:line="360" w:lineRule="auto"/>
        <w:ind w:firstLine="480" w:firstLineChars="200"/>
        <w:rPr>
          <w:sz w:val="24"/>
        </w:rPr>
      </w:pPr>
      <w:r>
        <w:rPr>
          <w:sz w:val="24"/>
        </w:rPr>
        <w:t>本工程</w:t>
      </w:r>
      <w:r>
        <w:rPr>
          <w:rFonts w:hint="eastAsia"/>
          <w:sz w:val="24"/>
        </w:rPr>
        <w:t>耒阳分输站</w:t>
      </w:r>
      <w:r>
        <w:rPr>
          <w:sz w:val="24"/>
        </w:rPr>
        <w:t>过滤分离器一般每年需要进行</w:t>
      </w:r>
      <w:r>
        <w:rPr>
          <w:rFonts w:hint="eastAsia"/>
          <w:sz w:val="24"/>
        </w:rPr>
        <w:t>2</w:t>
      </w:r>
      <w:r>
        <w:rPr>
          <w:sz w:val="24"/>
        </w:rPr>
        <w:t>次定期检修，分离器检修泄</w:t>
      </w:r>
      <w:r>
        <w:rPr>
          <w:rFonts w:hint="eastAsia"/>
          <w:sz w:val="24"/>
        </w:rPr>
        <w:t>漏</w:t>
      </w:r>
      <w:r>
        <w:rPr>
          <w:sz w:val="24"/>
        </w:rPr>
        <w:t>的少量天然气将通过工艺站场放空系统直接排放（</w:t>
      </w:r>
      <w:r>
        <w:rPr>
          <w:rFonts w:hint="eastAsia"/>
          <w:sz w:val="24"/>
        </w:rPr>
        <w:t>耒阳分输</w:t>
      </w:r>
      <w:r>
        <w:rPr>
          <w:sz w:val="24"/>
        </w:rPr>
        <w:t>站</w:t>
      </w:r>
      <w:r>
        <w:rPr>
          <w:rFonts w:hint="eastAsia"/>
          <w:sz w:val="24"/>
        </w:rPr>
        <w:t>放空立管</w:t>
      </w:r>
      <w:r>
        <w:rPr>
          <w:sz w:val="24"/>
        </w:rPr>
        <w:t>高度</w:t>
      </w:r>
      <w:r>
        <w:rPr>
          <w:rFonts w:hint="eastAsia"/>
          <w:sz w:val="24"/>
        </w:rPr>
        <w:t>15</w:t>
      </w:r>
      <w:r>
        <w:rPr>
          <w:sz w:val="24"/>
        </w:rPr>
        <w:t>m、直径</w:t>
      </w:r>
      <w:r>
        <w:rPr>
          <w:rFonts w:hint="eastAsia"/>
          <w:sz w:val="24"/>
        </w:rPr>
        <w:t>DN1</w:t>
      </w:r>
      <w:r>
        <w:rPr>
          <w:sz w:val="24"/>
        </w:rPr>
        <w:t>50）。根据类比同类输气管道工程，分离器检修时的天然气排放量约为20m</w:t>
      </w:r>
      <w:r>
        <w:rPr>
          <w:sz w:val="24"/>
          <w:vertAlign w:val="superscript"/>
        </w:rPr>
        <w:t>3</w:t>
      </w:r>
      <w:r>
        <w:rPr>
          <w:sz w:val="24"/>
        </w:rPr>
        <w:t>/次。</w:t>
      </w:r>
    </w:p>
    <w:p w14:paraId="18EE5223">
      <w:pPr>
        <w:adjustRightInd w:val="0"/>
        <w:snapToGrid w:val="0"/>
        <w:spacing w:line="360" w:lineRule="auto"/>
        <w:ind w:firstLine="480" w:firstLineChars="200"/>
        <w:rPr>
          <w:sz w:val="24"/>
        </w:rPr>
      </w:pPr>
      <w:r>
        <w:rPr>
          <w:sz w:val="24"/>
        </w:rPr>
        <w:t>根据天然气成分分析，本工程天然气管道输送介质中甲烷的含量</w:t>
      </w:r>
      <w:r>
        <w:rPr>
          <w:rFonts w:hint="eastAsia"/>
          <w:sz w:val="24"/>
        </w:rPr>
        <w:t>大于91.4</w:t>
      </w:r>
      <w:r>
        <w:rPr>
          <w:sz w:val="24"/>
        </w:rPr>
        <w:t>%，非甲烷总烃含量</w:t>
      </w:r>
      <w:r>
        <w:rPr>
          <w:rFonts w:hint="eastAsia"/>
          <w:sz w:val="24"/>
        </w:rPr>
        <w:t>小于8.6</w:t>
      </w:r>
      <w:r>
        <w:rPr>
          <w:sz w:val="24"/>
        </w:rPr>
        <w:t>%</w:t>
      </w:r>
      <w:r>
        <w:rPr>
          <w:rFonts w:hint="eastAsia"/>
          <w:sz w:val="24"/>
        </w:rPr>
        <w:t>（取各气源中非甲烷总烃含量最大值）</w:t>
      </w:r>
      <w:r>
        <w:rPr>
          <w:sz w:val="24"/>
        </w:rPr>
        <w:t>，过滤分离器检修放空废气中主要</w:t>
      </w:r>
      <w:r>
        <w:rPr>
          <w:rFonts w:hint="eastAsia"/>
          <w:sz w:val="24"/>
        </w:rPr>
        <w:t>成分</w:t>
      </w:r>
      <w:r>
        <w:rPr>
          <w:sz w:val="24"/>
        </w:rPr>
        <w:t>为</w:t>
      </w:r>
      <w:r>
        <w:rPr>
          <w:rFonts w:hint="eastAsia"/>
          <w:sz w:val="24"/>
        </w:rPr>
        <w:t>甲烷和非甲烷总烃</w:t>
      </w:r>
      <w:r>
        <w:rPr>
          <w:sz w:val="24"/>
        </w:rPr>
        <w:t>。</w:t>
      </w:r>
      <w:r>
        <w:rPr>
          <w:rFonts w:hint="eastAsia"/>
          <w:sz w:val="24"/>
        </w:rPr>
        <w:t>天然气密度约为0.7031kg</w:t>
      </w:r>
      <w:r>
        <w:rPr>
          <w:sz w:val="24"/>
        </w:rPr>
        <w:t>/m</w:t>
      </w:r>
      <w:r>
        <w:rPr>
          <w:sz w:val="24"/>
          <w:vertAlign w:val="superscript"/>
        </w:rPr>
        <w:t>3</w:t>
      </w:r>
      <w:r>
        <w:rPr>
          <w:rFonts w:hint="eastAsia"/>
          <w:sz w:val="24"/>
        </w:rPr>
        <w:t>（取各气源中密度最大值），则</w:t>
      </w:r>
      <w:r>
        <w:rPr>
          <w:sz w:val="24"/>
        </w:rPr>
        <w:t>过滤分离器检修放空废气</w:t>
      </w:r>
      <w:r>
        <w:rPr>
          <w:rFonts w:hint="eastAsia"/>
          <w:sz w:val="24"/>
        </w:rPr>
        <w:t>非甲烷总烃排放量为0.002t</w:t>
      </w:r>
      <w:r>
        <w:rPr>
          <w:sz w:val="24"/>
        </w:rPr>
        <w:t>/</w:t>
      </w:r>
      <w:r>
        <w:rPr>
          <w:rFonts w:hint="eastAsia"/>
          <w:sz w:val="24"/>
        </w:rPr>
        <w:t>a。</w:t>
      </w:r>
    </w:p>
    <w:p w14:paraId="68F14700">
      <w:pPr>
        <w:pStyle w:val="241"/>
        <w:adjustRightInd w:val="0"/>
        <w:snapToGrid w:val="0"/>
        <w:spacing w:line="360" w:lineRule="auto"/>
        <w:ind w:left="420" w:leftChars="200" w:firstLine="0" w:firstLineChars="0"/>
        <w:jc w:val="left"/>
        <w:rPr>
          <w:sz w:val="24"/>
        </w:rPr>
      </w:pPr>
      <w:r>
        <w:rPr>
          <w:rFonts w:hint="eastAsia" w:ascii="宋体" w:hAnsi="宋体" w:cs="宋体"/>
          <w:sz w:val="24"/>
        </w:rPr>
        <w:fldChar w:fldCharType="begin"/>
      </w:r>
      <w:r>
        <w:rPr>
          <w:rFonts w:hint="eastAsia" w:ascii="宋体" w:hAnsi="宋体" w:cs="宋体"/>
          <w:sz w:val="24"/>
        </w:rPr>
        <w:instrText xml:space="preserve"> = 2 \* GB3 \* MERGEFORMAT </w:instrText>
      </w:r>
      <w:r>
        <w:rPr>
          <w:rFonts w:hint="eastAsia" w:ascii="宋体" w:hAnsi="宋体" w:cs="宋体"/>
          <w:sz w:val="24"/>
        </w:rPr>
        <w:fldChar w:fldCharType="separate"/>
      </w:r>
      <w:r>
        <w:rPr>
          <w:rFonts w:hint="eastAsia" w:ascii="宋体" w:hAnsi="宋体" w:cs="宋体"/>
          <w:sz w:val="24"/>
        </w:rPr>
        <w:t>②</w:t>
      </w:r>
      <w:r>
        <w:rPr>
          <w:rFonts w:hint="eastAsia" w:ascii="宋体" w:hAnsi="宋体" w:cs="宋体"/>
          <w:sz w:val="24"/>
        </w:rPr>
        <w:fldChar w:fldCharType="end"/>
      </w:r>
      <w:r>
        <w:rPr>
          <w:sz w:val="24"/>
        </w:rPr>
        <w:t>超压放空废气</w:t>
      </w:r>
    </w:p>
    <w:p w14:paraId="0D9187BF">
      <w:pPr>
        <w:adjustRightInd w:val="0"/>
        <w:snapToGrid w:val="0"/>
        <w:spacing w:line="360" w:lineRule="auto"/>
        <w:ind w:firstLine="480" w:firstLineChars="200"/>
        <w:rPr>
          <w:sz w:val="24"/>
        </w:rPr>
      </w:pPr>
      <w:r>
        <w:rPr>
          <w:sz w:val="24"/>
        </w:rPr>
        <w:t>系统超压将排放一定量的天然气。天然气超压放空系统放空次数极少，根据有关资料和类比调查，放空频率为1～2次/年</w:t>
      </w:r>
      <w:r>
        <w:rPr>
          <w:rFonts w:hint="eastAsia"/>
          <w:sz w:val="24"/>
        </w:rPr>
        <w:t>（按2次计）</w:t>
      </w:r>
      <w:r>
        <w:rPr>
          <w:sz w:val="24"/>
        </w:rPr>
        <w:t>，每次持续时间15min，天然气放空量约2000m</w:t>
      </w:r>
      <w:r>
        <w:rPr>
          <w:sz w:val="24"/>
          <w:vertAlign w:val="superscript"/>
        </w:rPr>
        <w:t>3</w:t>
      </w:r>
      <w:r>
        <w:rPr>
          <w:sz w:val="24"/>
        </w:rPr>
        <w:t>/次。</w:t>
      </w:r>
    </w:p>
    <w:p w14:paraId="521ECF91">
      <w:pPr>
        <w:adjustRightInd w:val="0"/>
        <w:snapToGrid w:val="0"/>
        <w:spacing w:line="360" w:lineRule="auto"/>
        <w:ind w:firstLine="480" w:firstLineChars="200"/>
        <w:rPr>
          <w:sz w:val="24"/>
        </w:rPr>
      </w:pPr>
      <w:r>
        <w:rPr>
          <w:sz w:val="24"/>
        </w:rPr>
        <w:t>根据天然气成分分析，本工程天然气管道输送介质中甲烷的含量</w:t>
      </w:r>
      <w:r>
        <w:rPr>
          <w:rFonts w:hint="eastAsia"/>
          <w:sz w:val="24"/>
        </w:rPr>
        <w:t>大于91.4</w:t>
      </w:r>
      <w:r>
        <w:rPr>
          <w:sz w:val="24"/>
        </w:rPr>
        <w:t>%，非甲烷总烃含量</w:t>
      </w:r>
      <w:r>
        <w:rPr>
          <w:rFonts w:hint="eastAsia"/>
          <w:sz w:val="24"/>
        </w:rPr>
        <w:t>小于8.6</w:t>
      </w:r>
      <w:r>
        <w:rPr>
          <w:sz w:val="24"/>
        </w:rPr>
        <w:t>%，因此，</w:t>
      </w:r>
      <w:r>
        <w:rPr>
          <w:rFonts w:hint="eastAsia"/>
          <w:sz w:val="24"/>
        </w:rPr>
        <w:t>系统超压放空废气</w:t>
      </w:r>
      <w:r>
        <w:rPr>
          <w:sz w:val="24"/>
        </w:rPr>
        <w:t>中主要</w:t>
      </w:r>
      <w:r>
        <w:rPr>
          <w:rFonts w:hint="eastAsia"/>
          <w:sz w:val="24"/>
        </w:rPr>
        <w:t>成分</w:t>
      </w:r>
      <w:r>
        <w:rPr>
          <w:sz w:val="24"/>
        </w:rPr>
        <w:t>为</w:t>
      </w:r>
      <w:r>
        <w:rPr>
          <w:rFonts w:hint="eastAsia"/>
          <w:sz w:val="24"/>
        </w:rPr>
        <w:t>甲烷和非甲烷总烃</w:t>
      </w:r>
      <w:r>
        <w:rPr>
          <w:sz w:val="24"/>
        </w:rPr>
        <w:t>。</w:t>
      </w:r>
      <w:r>
        <w:rPr>
          <w:rFonts w:hint="eastAsia"/>
          <w:sz w:val="24"/>
        </w:rPr>
        <w:t>天然气密度约为0.7031kg</w:t>
      </w:r>
      <w:r>
        <w:rPr>
          <w:sz w:val="24"/>
        </w:rPr>
        <w:t>/m</w:t>
      </w:r>
      <w:r>
        <w:rPr>
          <w:sz w:val="24"/>
          <w:vertAlign w:val="superscript"/>
        </w:rPr>
        <w:t>3</w:t>
      </w:r>
      <w:r>
        <w:rPr>
          <w:rFonts w:hint="eastAsia"/>
          <w:sz w:val="24"/>
        </w:rPr>
        <w:t>，则</w:t>
      </w:r>
      <w:r>
        <w:rPr>
          <w:sz w:val="24"/>
        </w:rPr>
        <w:t>超压放空废气</w:t>
      </w:r>
      <w:r>
        <w:rPr>
          <w:rFonts w:hint="eastAsia"/>
          <w:sz w:val="24"/>
        </w:rPr>
        <w:t>非甲烷总烃排放量为0.242t</w:t>
      </w:r>
      <w:r>
        <w:rPr>
          <w:sz w:val="24"/>
        </w:rPr>
        <w:t>/</w:t>
      </w:r>
      <w:r>
        <w:rPr>
          <w:rFonts w:hint="eastAsia"/>
          <w:sz w:val="24"/>
        </w:rPr>
        <w:t>a。</w:t>
      </w:r>
    </w:p>
    <w:p w14:paraId="19E39BEA">
      <w:pPr>
        <w:adjustRightInd w:val="0"/>
        <w:snapToGrid w:val="0"/>
        <w:spacing w:line="360" w:lineRule="auto"/>
        <w:ind w:firstLine="480" w:firstLineChars="200"/>
        <w:rPr>
          <w:sz w:val="24"/>
        </w:rPr>
      </w:pPr>
      <w:r>
        <w:rPr>
          <w:sz w:val="24"/>
        </w:rPr>
        <w:t>非正常工况下，</w:t>
      </w:r>
      <w:r>
        <w:rPr>
          <w:rFonts w:hint="eastAsia"/>
          <w:sz w:val="24"/>
        </w:rPr>
        <w:t>耒阳</w:t>
      </w:r>
      <w:r>
        <w:rPr>
          <w:sz w:val="24"/>
        </w:rPr>
        <w:t>分输站放空系统设计能力可满足放空需求。管道运行期废气污染物主要为系统超压以及站场检修时有极少量的天然气排放。当分输站、调压装置管道发生超压时，设置于相应工艺管道上的安全保护装置（安全放散阀）会启动，排出天然气，由于本工程的输送系统各工序设置有较完善的自动化控制系统，一般在管道放散阀发生超压排放的频率较低，排放量也较小。站场在过滤器检修中，也有少量的天然气排放。各工艺站场偶发排放废气情况见表3.</w:t>
      </w:r>
      <w:r>
        <w:rPr>
          <w:rFonts w:hint="eastAsia"/>
          <w:sz w:val="24"/>
        </w:rPr>
        <w:t>4</w:t>
      </w:r>
      <w:r>
        <w:rPr>
          <w:sz w:val="24"/>
        </w:rPr>
        <w:t>-1</w:t>
      </w:r>
      <w:r>
        <w:rPr>
          <w:rFonts w:hint="eastAsia"/>
          <w:sz w:val="24"/>
        </w:rPr>
        <w:t>4</w:t>
      </w:r>
      <w:r>
        <w:rPr>
          <w:sz w:val="24"/>
        </w:rPr>
        <w:t>。</w:t>
      </w:r>
    </w:p>
    <w:p w14:paraId="6C97D412">
      <w:pPr>
        <w:pStyle w:val="904"/>
      </w:pPr>
      <w:r>
        <w:t>表3.</w:t>
      </w:r>
      <w:r>
        <w:rPr>
          <w:rFonts w:hint="eastAsia"/>
        </w:rPr>
        <w:t>4</w:t>
      </w:r>
      <w:r>
        <w:t>-1</w:t>
      </w:r>
      <w:r>
        <w:rPr>
          <w:rFonts w:hint="eastAsia"/>
        </w:rPr>
        <w:t>4</w:t>
      </w:r>
      <w:r>
        <w:t>非正常工况下废气排放情况</w:t>
      </w:r>
    </w:p>
    <w:tbl>
      <w:tblPr>
        <w:tblStyle w:val="88"/>
        <w:tblW w:w="0" w:type="auto"/>
        <w:tblInd w:w="1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841"/>
        <w:gridCol w:w="1450"/>
        <w:gridCol w:w="1541"/>
        <w:gridCol w:w="2551"/>
        <w:gridCol w:w="1747"/>
      </w:tblGrid>
      <w:tr w14:paraId="2D81E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1" w:type="dxa"/>
            <w:vAlign w:val="center"/>
          </w:tcPr>
          <w:p w14:paraId="42D64A66">
            <w:pPr>
              <w:jc w:val="center"/>
            </w:pPr>
            <w:r>
              <w:t>污染源</w:t>
            </w:r>
          </w:p>
        </w:tc>
        <w:tc>
          <w:tcPr>
            <w:tcW w:w="1450" w:type="dxa"/>
            <w:vAlign w:val="center"/>
          </w:tcPr>
          <w:p w14:paraId="0CA83908">
            <w:pPr>
              <w:jc w:val="center"/>
            </w:pPr>
            <w:r>
              <w:t>污染物</w:t>
            </w:r>
          </w:p>
        </w:tc>
        <w:tc>
          <w:tcPr>
            <w:tcW w:w="1541" w:type="dxa"/>
            <w:vAlign w:val="center"/>
          </w:tcPr>
          <w:p w14:paraId="247865D1">
            <w:pPr>
              <w:jc w:val="center"/>
            </w:pPr>
            <w:r>
              <w:t>排放量</w:t>
            </w:r>
          </w:p>
        </w:tc>
        <w:tc>
          <w:tcPr>
            <w:tcW w:w="2551" w:type="dxa"/>
            <w:vAlign w:val="center"/>
          </w:tcPr>
          <w:p w14:paraId="14A25C41">
            <w:pPr>
              <w:jc w:val="center"/>
            </w:pPr>
            <w:r>
              <w:t>排放频次</w:t>
            </w:r>
          </w:p>
        </w:tc>
        <w:tc>
          <w:tcPr>
            <w:tcW w:w="1747" w:type="dxa"/>
            <w:vAlign w:val="center"/>
          </w:tcPr>
          <w:p w14:paraId="5B85F9F3">
            <w:pPr>
              <w:jc w:val="center"/>
            </w:pPr>
            <w:r>
              <w:t>处理方法及去向</w:t>
            </w:r>
          </w:p>
        </w:tc>
      </w:tr>
      <w:tr w14:paraId="56F5A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1" w:type="dxa"/>
            <w:vAlign w:val="center"/>
          </w:tcPr>
          <w:p w14:paraId="296E6F15">
            <w:pPr>
              <w:jc w:val="center"/>
            </w:pPr>
            <w:r>
              <w:t>过滤器检修排气</w:t>
            </w:r>
          </w:p>
        </w:tc>
        <w:tc>
          <w:tcPr>
            <w:tcW w:w="1450" w:type="dxa"/>
            <w:vAlign w:val="center"/>
          </w:tcPr>
          <w:p w14:paraId="623F3256">
            <w:pPr>
              <w:jc w:val="center"/>
            </w:pPr>
            <w:r>
              <w:t>非甲烷总烃</w:t>
            </w:r>
          </w:p>
        </w:tc>
        <w:tc>
          <w:tcPr>
            <w:tcW w:w="1541" w:type="dxa"/>
            <w:vAlign w:val="center"/>
          </w:tcPr>
          <w:p w14:paraId="61689652">
            <w:pPr>
              <w:jc w:val="center"/>
            </w:pPr>
            <w:r>
              <w:rPr>
                <w:rFonts w:hint="eastAsia"/>
              </w:rPr>
              <w:t>0.002t/a</w:t>
            </w:r>
          </w:p>
        </w:tc>
        <w:tc>
          <w:tcPr>
            <w:tcW w:w="2551" w:type="dxa"/>
            <w:vAlign w:val="center"/>
          </w:tcPr>
          <w:p w14:paraId="4BD53287">
            <w:pPr>
              <w:jc w:val="center"/>
            </w:pPr>
            <w:r>
              <w:t>2次/年</w:t>
            </w:r>
          </w:p>
        </w:tc>
        <w:tc>
          <w:tcPr>
            <w:tcW w:w="1747" w:type="dxa"/>
            <w:vAlign w:val="center"/>
          </w:tcPr>
          <w:p w14:paraId="21A9095A">
            <w:pPr>
              <w:jc w:val="center"/>
            </w:pPr>
            <w:r>
              <w:t>放空</w:t>
            </w:r>
          </w:p>
        </w:tc>
      </w:tr>
      <w:tr w14:paraId="110AD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41" w:type="dxa"/>
            <w:vAlign w:val="center"/>
          </w:tcPr>
          <w:p w14:paraId="000B75C3">
            <w:pPr>
              <w:jc w:val="center"/>
            </w:pPr>
            <w:r>
              <w:t>系统超压排气</w:t>
            </w:r>
          </w:p>
        </w:tc>
        <w:tc>
          <w:tcPr>
            <w:tcW w:w="1450" w:type="dxa"/>
            <w:vAlign w:val="center"/>
          </w:tcPr>
          <w:p w14:paraId="4208601B">
            <w:pPr>
              <w:jc w:val="center"/>
            </w:pPr>
            <w:r>
              <w:t>非甲烷总烃</w:t>
            </w:r>
          </w:p>
        </w:tc>
        <w:tc>
          <w:tcPr>
            <w:tcW w:w="1541" w:type="dxa"/>
            <w:vAlign w:val="center"/>
          </w:tcPr>
          <w:p w14:paraId="64FEC33A">
            <w:pPr>
              <w:jc w:val="center"/>
            </w:pPr>
            <w:r>
              <w:rPr>
                <w:rFonts w:hint="eastAsia"/>
              </w:rPr>
              <w:t>0.242t/a</w:t>
            </w:r>
          </w:p>
        </w:tc>
        <w:tc>
          <w:tcPr>
            <w:tcW w:w="2551" w:type="dxa"/>
            <w:vAlign w:val="center"/>
          </w:tcPr>
          <w:p w14:paraId="0E852015">
            <w:pPr>
              <w:jc w:val="center"/>
            </w:pPr>
            <w:r>
              <w:t>每站1~2年发生1次，</w:t>
            </w:r>
          </w:p>
          <w:p w14:paraId="7F2FE920">
            <w:pPr>
              <w:jc w:val="center"/>
            </w:pPr>
            <w:r>
              <w:t>每次持续15min</w:t>
            </w:r>
          </w:p>
        </w:tc>
        <w:tc>
          <w:tcPr>
            <w:tcW w:w="1747" w:type="dxa"/>
            <w:vAlign w:val="center"/>
          </w:tcPr>
          <w:p w14:paraId="10D50ECF">
            <w:pPr>
              <w:jc w:val="center"/>
            </w:pPr>
            <w:r>
              <w:t>放空</w:t>
            </w:r>
          </w:p>
        </w:tc>
      </w:tr>
    </w:tbl>
    <w:p w14:paraId="0FC448B7">
      <w:pPr>
        <w:pStyle w:val="234"/>
        <w:snapToGrid w:val="0"/>
        <w:spacing w:before="120" w:beforeLines="50"/>
        <w:rPr>
          <w:rFonts w:hint="eastAsia" w:ascii="宋体" w:hAnsi="宋体" w:cs="宋体"/>
        </w:rPr>
      </w:pPr>
      <w:r>
        <w:t>③</w:t>
      </w:r>
      <w:r>
        <w:rPr>
          <w:rFonts w:hint="eastAsia" w:ascii="宋体" w:hAnsi="宋体" w:cs="宋体"/>
        </w:rPr>
        <w:t>柴油发电机燃烧废气</w:t>
      </w:r>
    </w:p>
    <w:p w14:paraId="09021F96">
      <w:pPr>
        <w:pStyle w:val="234"/>
      </w:pPr>
      <w:r>
        <w:rPr>
          <w:rFonts w:hint="eastAsia"/>
        </w:rPr>
        <w:t>本项目备用柴油发电机，在停电时作为备用电源启动。柴油发电机运转时产生燃烧烟气，主要污染物为SO</w:t>
      </w:r>
      <w:r>
        <w:rPr>
          <w:rFonts w:hint="eastAsia"/>
          <w:vertAlign w:val="subscript"/>
        </w:rPr>
        <w:t>2</w:t>
      </w:r>
      <w:r>
        <w:rPr>
          <w:rFonts w:hint="eastAsia"/>
        </w:rPr>
        <w:t>、NO</w:t>
      </w:r>
      <w:r>
        <w:rPr>
          <w:rFonts w:hint="eastAsia"/>
          <w:vertAlign w:val="subscript"/>
        </w:rPr>
        <w:t>X</w:t>
      </w:r>
      <w:r>
        <w:rPr>
          <w:rFonts w:hint="eastAsia"/>
        </w:rPr>
        <w:t>、颗粒物，因运转时间较短，污染物产生量很少。</w:t>
      </w:r>
    </w:p>
    <w:p w14:paraId="5C73D92E">
      <w:pPr>
        <w:pStyle w:val="234"/>
        <w:snapToGrid w:val="0"/>
        <w:spacing w:before="120" w:beforeLines="50"/>
      </w:pPr>
      <w:r>
        <w:t>（2）非正常工况排放噪声</w:t>
      </w:r>
    </w:p>
    <w:p w14:paraId="2E17707E">
      <w:pPr>
        <w:pStyle w:val="234"/>
      </w:pPr>
      <w:r>
        <w:t>非正常工况噪声主要为超压放空时产生的瞬时强噪声，噪声值可达</w:t>
      </w:r>
      <w:r>
        <w:rPr>
          <w:rFonts w:hint="eastAsia"/>
        </w:rPr>
        <w:t>9</w:t>
      </w:r>
      <w:r>
        <w:t>5dB(A)~</w:t>
      </w:r>
      <w:r>
        <w:rPr>
          <w:rFonts w:hint="eastAsia"/>
        </w:rPr>
        <w:t>105</w:t>
      </w:r>
      <w:r>
        <w:t>dB(A)。为降低噪声影响，采取了以下降噪措施：在满足工艺要求的前提下，控制气流速度，降低放空气流噪声，放空前应尽量提前告知周边居民。由于放空噪声是瞬时的，</w:t>
      </w:r>
      <w:r>
        <w:rPr>
          <w:rFonts w:hint="eastAsia"/>
        </w:rPr>
        <w:t>耒阳分输站放空区距离最近敏感点为东侧190m处铜角湾，距离较远，满足《石油天然气工程设计防火规范》（GB50183-2004）中“表4.0.4石油天然气站场区域可能携带可燃液体的火炬距离居住区、村镇、公共福利设施、散居房屋120m。放空管可按本表中可能携带可燃液体的火炬间距减少50%。”的要求。</w:t>
      </w:r>
    </w:p>
    <w:p w14:paraId="159F0531">
      <w:pPr>
        <w:pStyle w:val="7"/>
      </w:pPr>
      <w:r>
        <w:t>运营期污染物排放汇总</w:t>
      </w:r>
      <w:bookmarkEnd w:id="155"/>
    </w:p>
    <w:p w14:paraId="56E2BA11">
      <w:pPr>
        <w:spacing w:line="360" w:lineRule="auto"/>
        <w:ind w:firstLine="480" w:firstLineChars="200"/>
        <w:rPr>
          <w:sz w:val="24"/>
        </w:rPr>
      </w:pPr>
      <w:r>
        <w:rPr>
          <w:sz w:val="24"/>
        </w:rPr>
        <w:t>本工程运营期污染物排放情况详见表3.</w:t>
      </w:r>
      <w:r>
        <w:rPr>
          <w:rFonts w:hint="eastAsia"/>
          <w:sz w:val="24"/>
        </w:rPr>
        <w:t>4</w:t>
      </w:r>
      <w:r>
        <w:rPr>
          <w:sz w:val="24"/>
        </w:rPr>
        <w:t>-1</w:t>
      </w:r>
      <w:r>
        <w:rPr>
          <w:rFonts w:hint="eastAsia"/>
          <w:sz w:val="24"/>
        </w:rPr>
        <w:t>5</w:t>
      </w:r>
      <w:r>
        <w:rPr>
          <w:sz w:val="24"/>
        </w:rPr>
        <w:t>。</w:t>
      </w:r>
    </w:p>
    <w:p w14:paraId="21D0EFC2">
      <w:pPr>
        <w:pStyle w:val="904"/>
      </w:pPr>
      <w:r>
        <w:t>表3.</w:t>
      </w:r>
      <w:r>
        <w:rPr>
          <w:rFonts w:hint="eastAsia"/>
        </w:rPr>
        <w:t>4</w:t>
      </w:r>
      <w:r>
        <w:t>-1</w:t>
      </w:r>
      <w:r>
        <w:rPr>
          <w:rFonts w:hint="eastAsia"/>
        </w:rPr>
        <w:t>5工程</w:t>
      </w:r>
      <w:r>
        <w:t>污染物排放量汇总</w:t>
      </w:r>
    </w:p>
    <w:tbl>
      <w:tblPr>
        <w:tblStyle w:val="88"/>
        <w:tblW w:w="504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11"/>
        <w:gridCol w:w="376"/>
        <w:gridCol w:w="521"/>
        <w:gridCol w:w="141"/>
        <w:gridCol w:w="841"/>
        <w:gridCol w:w="929"/>
        <w:gridCol w:w="1234"/>
        <w:gridCol w:w="1235"/>
        <w:gridCol w:w="3748"/>
      </w:tblGrid>
      <w:tr w14:paraId="7B12F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4" w:hRule="atLeast"/>
          <w:jc w:val="center"/>
        </w:trPr>
        <w:tc>
          <w:tcPr>
            <w:tcW w:w="268" w:type="pct"/>
            <w:vAlign w:val="center"/>
          </w:tcPr>
          <w:p w14:paraId="5E1E670C">
            <w:pPr>
              <w:pStyle w:val="1343"/>
            </w:pPr>
            <w:bookmarkStart w:id="156" w:name="_bookmark20"/>
            <w:bookmarkEnd w:id="156"/>
            <w:r>
              <w:t>时段</w:t>
            </w:r>
          </w:p>
        </w:tc>
        <w:tc>
          <w:tcPr>
            <w:tcW w:w="985" w:type="pct"/>
            <w:gridSpan w:val="4"/>
            <w:vAlign w:val="center"/>
          </w:tcPr>
          <w:p w14:paraId="690D443A">
            <w:pPr>
              <w:pStyle w:val="1343"/>
            </w:pPr>
            <w:r>
              <w:t>污染源</w:t>
            </w:r>
          </w:p>
        </w:tc>
        <w:tc>
          <w:tcPr>
            <w:tcW w:w="487" w:type="pct"/>
            <w:vAlign w:val="center"/>
          </w:tcPr>
          <w:p w14:paraId="0D33EBBD">
            <w:pPr>
              <w:pStyle w:val="1343"/>
            </w:pPr>
            <w:r>
              <w:t>主要污染物</w:t>
            </w:r>
          </w:p>
        </w:tc>
        <w:tc>
          <w:tcPr>
            <w:tcW w:w="647" w:type="pct"/>
            <w:vAlign w:val="center"/>
          </w:tcPr>
          <w:p w14:paraId="203C6158">
            <w:pPr>
              <w:pStyle w:val="1343"/>
            </w:pPr>
            <w:r>
              <w:t>产生量</w:t>
            </w:r>
          </w:p>
        </w:tc>
        <w:tc>
          <w:tcPr>
            <w:tcW w:w="647" w:type="pct"/>
            <w:vAlign w:val="center"/>
          </w:tcPr>
          <w:p w14:paraId="2418974B">
            <w:pPr>
              <w:pStyle w:val="1343"/>
            </w:pPr>
            <w:r>
              <w:t>排放量</w:t>
            </w:r>
          </w:p>
        </w:tc>
        <w:tc>
          <w:tcPr>
            <w:tcW w:w="1964" w:type="pct"/>
            <w:vAlign w:val="center"/>
          </w:tcPr>
          <w:p w14:paraId="4969CDE8">
            <w:pPr>
              <w:pStyle w:val="1343"/>
            </w:pPr>
            <w:r>
              <w:t>管理要求</w:t>
            </w:r>
          </w:p>
        </w:tc>
      </w:tr>
      <w:tr w14:paraId="294FF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7" w:hRule="atLeast"/>
          <w:jc w:val="center"/>
        </w:trPr>
        <w:tc>
          <w:tcPr>
            <w:tcW w:w="268" w:type="pct"/>
            <w:vMerge w:val="restart"/>
            <w:vAlign w:val="center"/>
          </w:tcPr>
          <w:p w14:paraId="0E98E2E9">
            <w:pPr>
              <w:pStyle w:val="1343"/>
            </w:pPr>
            <w:r>
              <w:t>运营期</w:t>
            </w:r>
          </w:p>
        </w:tc>
        <w:tc>
          <w:tcPr>
            <w:tcW w:w="197" w:type="pct"/>
            <w:vMerge w:val="restart"/>
            <w:vAlign w:val="center"/>
          </w:tcPr>
          <w:p w14:paraId="4AD0C360">
            <w:pPr>
              <w:pStyle w:val="1343"/>
            </w:pPr>
            <w:r>
              <w:t>废气</w:t>
            </w:r>
          </w:p>
        </w:tc>
        <w:tc>
          <w:tcPr>
            <w:tcW w:w="273" w:type="pct"/>
            <w:vAlign w:val="center"/>
          </w:tcPr>
          <w:p w14:paraId="555369FB">
            <w:pPr>
              <w:pStyle w:val="1343"/>
            </w:pPr>
            <w:r>
              <w:t>正常工况</w:t>
            </w:r>
          </w:p>
        </w:tc>
        <w:tc>
          <w:tcPr>
            <w:tcW w:w="513" w:type="pct"/>
            <w:gridSpan w:val="2"/>
            <w:vAlign w:val="center"/>
          </w:tcPr>
          <w:p w14:paraId="3DE3A374">
            <w:pPr>
              <w:pStyle w:val="1343"/>
            </w:pPr>
            <w:r>
              <w:t>无组织挥发废气</w:t>
            </w:r>
          </w:p>
        </w:tc>
        <w:tc>
          <w:tcPr>
            <w:tcW w:w="487" w:type="pct"/>
            <w:vAlign w:val="center"/>
          </w:tcPr>
          <w:p w14:paraId="33C55CA0">
            <w:pPr>
              <w:pStyle w:val="1343"/>
            </w:pPr>
            <w:r>
              <w:t>非甲烷总烃</w:t>
            </w:r>
          </w:p>
        </w:tc>
        <w:tc>
          <w:tcPr>
            <w:tcW w:w="647" w:type="pct"/>
            <w:vAlign w:val="center"/>
          </w:tcPr>
          <w:p w14:paraId="4DAE269D">
            <w:pPr>
              <w:pStyle w:val="1343"/>
              <w:rPr>
                <w:i/>
                <w:iCs/>
                <w:color w:val="auto"/>
                <w:highlight w:val="none"/>
                <w:u w:val="single"/>
              </w:rPr>
            </w:pPr>
            <w:r>
              <w:rPr>
                <w:rFonts w:hint="eastAsia"/>
                <w:i/>
                <w:iCs/>
                <w:color w:val="auto"/>
                <w:highlight w:val="none"/>
                <w:u w:val="single"/>
              </w:rPr>
              <w:t>0.</w:t>
            </w:r>
            <w:r>
              <w:rPr>
                <w:rFonts w:hint="eastAsia"/>
                <w:i/>
                <w:iCs/>
                <w:color w:val="auto"/>
                <w:highlight w:val="none"/>
                <w:u w:val="single"/>
                <w:lang w:val="en-US" w:eastAsia="zh-CN"/>
              </w:rPr>
              <w:t>025</w:t>
            </w:r>
            <w:r>
              <w:rPr>
                <w:rFonts w:hint="eastAsia"/>
                <w:i/>
                <w:iCs/>
                <w:color w:val="auto"/>
                <w:highlight w:val="none"/>
                <w:u w:val="single"/>
              </w:rPr>
              <w:t>t</w:t>
            </w:r>
            <w:r>
              <w:rPr>
                <w:i/>
                <w:iCs/>
                <w:color w:val="auto"/>
                <w:highlight w:val="none"/>
                <w:u w:val="single"/>
              </w:rPr>
              <w:t>/a</w:t>
            </w:r>
          </w:p>
        </w:tc>
        <w:tc>
          <w:tcPr>
            <w:tcW w:w="647" w:type="pct"/>
            <w:vAlign w:val="center"/>
          </w:tcPr>
          <w:p w14:paraId="5D095F15">
            <w:pPr>
              <w:pStyle w:val="1343"/>
              <w:rPr>
                <w:i/>
                <w:iCs/>
                <w:color w:val="auto"/>
                <w:highlight w:val="none"/>
                <w:u w:val="single"/>
              </w:rPr>
            </w:pPr>
            <w:r>
              <w:rPr>
                <w:rFonts w:hint="eastAsia"/>
                <w:i/>
                <w:iCs/>
                <w:color w:val="auto"/>
                <w:highlight w:val="none"/>
                <w:u w:val="single"/>
              </w:rPr>
              <w:t>0.</w:t>
            </w:r>
            <w:r>
              <w:rPr>
                <w:rFonts w:hint="eastAsia"/>
                <w:i/>
                <w:iCs/>
                <w:color w:val="auto"/>
                <w:highlight w:val="none"/>
                <w:u w:val="single"/>
                <w:lang w:val="en-US" w:eastAsia="zh-CN"/>
              </w:rPr>
              <w:t>025</w:t>
            </w:r>
            <w:r>
              <w:rPr>
                <w:rFonts w:hint="eastAsia"/>
                <w:i/>
                <w:iCs/>
                <w:color w:val="auto"/>
                <w:highlight w:val="none"/>
                <w:u w:val="single"/>
              </w:rPr>
              <w:t>t</w:t>
            </w:r>
            <w:r>
              <w:rPr>
                <w:i/>
                <w:iCs/>
                <w:color w:val="auto"/>
                <w:highlight w:val="none"/>
                <w:u w:val="single"/>
              </w:rPr>
              <w:t>/a</w:t>
            </w:r>
          </w:p>
        </w:tc>
        <w:tc>
          <w:tcPr>
            <w:tcW w:w="1964" w:type="pct"/>
            <w:vAlign w:val="center"/>
          </w:tcPr>
          <w:p w14:paraId="090C6E47">
            <w:pPr>
              <w:pStyle w:val="1343"/>
            </w:pPr>
            <w:r>
              <w:t>《</w:t>
            </w:r>
            <w:r>
              <w:rPr>
                <w:rFonts w:hint="eastAsia"/>
              </w:rPr>
              <w:t>大气污染物综合排放标准</w:t>
            </w:r>
            <w:r>
              <w:t>》(</w:t>
            </w:r>
            <w:r>
              <w:rPr>
                <w:rFonts w:hint="eastAsia"/>
              </w:rPr>
              <w:t>GB16297-1996</w:t>
            </w:r>
            <w:r>
              <w:t>)</w:t>
            </w:r>
          </w:p>
        </w:tc>
      </w:tr>
      <w:tr w14:paraId="3E0DE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2" w:hRule="atLeast"/>
          <w:jc w:val="center"/>
        </w:trPr>
        <w:tc>
          <w:tcPr>
            <w:tcW w:w="268" w:type="pct"/>
            <w:vMerge w:val="continue"/>
            <w:vAlign w:val="center"/>
          </w:tcPr>
          <w:p w14:paraId="22DC0E9E">
            <w:pPr>
              <w:pStyle w:val="1343"/>
            </w:pPr>
          </w:p>
        </w:tc>
        <w:tc>
          <w:tcPr>
            <w:tcW w:w="197" w:type="pct"/>
            <w:vMerge w:val="continue"/>
            <w:vAlign w:val="center"/>
          </w:tcPr>
          <w:p w14:paraId="42C799E3">
            <w:pPr>
              <w:pStyle w:val="1343"/>
            </w:pPr>
          </w:p>
        </w:tc>
        <w:tc>
          <w:tcPr>
            <w:tcW w:w="273" w:type="pct"/>
            <w:vMerge w:val="restart"/>
            <w:vAlign w:val="center"/>
          </w:tcPr>
          <w:p w14:paraId="7A8267A9">
            <w:pPr>
              <w:pStyle w:val="1343"/>
            </w:pPr>
            <w:r>
              <w:t>非正常工况</w:t>
            </w:r>
          </w:p>
        </w:tc>
        <w:tc>
          <w:tcPr>
            <w:tcW w:w="513" w:type="pct"/>
            <w:gridSpan w:val="2"/>
            <w:vAlign w:val="center"/>
          </w:tcPr>
          <w:p w14:paraId="4A2F1AAD">
            <w:pPr>
              <w:pStyle w:val="1343"/>
            </w:pPr>
            <w:r>
              <w:t>系统超压排气</w:t>
            </w:r>
          </w:p>
        </w:tc>
        <w:tc>
          <w:tcPr>
            <w:tcW w:w="487" w:type="pct"/>
            <w:vAlign w:val="center"/>
          </w:tcPr>
          <w:p w14:paraId="4DE98644">
            <w:pPr>
              <w:pStyle w:val="1343"/>
            </w:pPr>
            <w:r>
              <w:t>非甲烷总烃</w:t>
            </w:r>
          </w:p>
        </w:tc>
        <w:tc>
          <w:tcPr>
            <w:tcW w:w="647" w:type="pct"/>
            <w:vAlign w:val="center"/>
          </w:tcPr>
          <w:p w14:paraId="3B49CED4">
            <w:pPr>
              <w:pStyle w:val="1343"/>
            </w:pPr>
            <w:r>
              <w:rPr>
                <w:rFonts w:hint="eastAsia"/>
              </w:rPr>
              <w:t>0.002t/a</w:t>
            </w:r>
          </w:p>
        </w:tc>
        <w:tc>
          <w:tcPr>
            <w:tcW w:w="647" w:type="pct"/>
            <w:vAlign w:val="center"/>
          </w:tcPr>
          <w:p w14:paraId="0EF246CE">
            <w:pPr>
              <w:pStyle w:val="1343"/>
            </w:pPr>
            <w:r>
              <w:rPr>
                <w:rFonts w:hint="eastAsia"/>
              </w:rPr>
              <w:t>0.002t/a</w:t>
            </w:r>
          </w:p>
        </w:tc>
        <w:tc>
          <w:tcPr>
            <w:tcW w:w="1964" w:type="pct"/>
            <w:vMerge w:val="restart"/>
            <w:vAlign w:val="center"/>
          </w:tcPr>
          <w:p w14:paraId="2983E98A">
            <w:pPr>
              <w:pStyle w:val="1343"/>
            </w:pPr>
            <w:r>
              <w:t>加强管理，减少放空天然气排放</w:t>
            </w:r>
          </w:p>
        </w:tc>
      </w:tr>
      <w:tr w14:paraId="106C9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2" w:hRule="atLeast"/>
          <w:jc w:val="center"/>
        </w:trPr>
        <w:tc>
          <w:tcPr>
            <w:tcW w:w="268" w:type="pct"/>
            <w:vMerge w:val="continue"/>
            <w:vAlign w:val="center"/>
          </w:tcPr>
          <w:p w14:paraId="155A2444">
            <w:pPr>
              <w:pStyle w:val="1343"/>
            </w:pPr>
          </w:p>
        </w:tc>
        <w:tc>
          <w:tcPr>
            <w:tcW w:w="197" w:type="pct"/>
            <w:vMerge w:val="continue"/>
            <w:vAlign w:val="center"/>
          </w:tcPr>
          <w:p w14:paraId="3B4B572E">
            <w:pPr>
              <w:pStyle w:val="1343"/>
            </w:pPr>
          </w:p>
        </w:tc>
        <w:tc>
          <w:tcPr>
            <w:tcW w:w="273" w:type="pct"/>
            <w:vMerge w:val="continue"/>
            <w:vAlign w:val="center"/>
          </w:tcPr>
          <w:p w14:paraId="7AD8458C">
            <w:pPr>
              <w:pStyle w:val="1343"/>
            </w:pPr>
          </w:p>
        </w:tc>
        <w:tc>
          <w:tcPr>
            <w:tcW w:w="513" w:type="pct"/>
            <w:gridSpan w:val="2"/>
            <w:vAlign w:val="center"/>
          </w:tcPr>
          <w:p w14:paraId="0CFD97F0">
            <w:pPr>
              <w:pStyle w:val="1343"/>
            </w:pPr>
            <w:r>
              <w:t>过滤器检修排气</w:t>
            </w:r>
          </w:p>
        </w:tc>
        <w:tc>
          <w:tcPr>
            <w:tcW w:w="487" w:type="pct"/>
            <w:vAlign w:val="center"/>
          </w:tcPr>
          <w:p w14:paraId="304996F5">
            <w:pPr>
              <w:pStyle w:val="1343"/>
            </w:pPr>
            <w:r>
              <w:t>非甲烷总烃</w:t>
            </w:r>
          </w:p>
        </w:tc>
        <w:tc>
          <w:tcPr>
            <w:tcW w:w="647" w:type="pct"/>
            <w:vAlign w:val="center"/>
          </w:tcPr>
          <w:p w14:paraId="5E063F06">
            <w:pPr>
              <w:pStyle w:val="1343"/>
            </w:pPr>
            <w:r>
              <w:rPr>
                <w:rFonts w:hint="eastAsia"/>
              </w:rPr>
              <w:t>0.242t/a</w:t>
            </w:r>
          </w:p>
        </w:tc>
        <w:tc>
          <w:tcPr>
            <w:tcW w:w="647" w:type="pct"/>
            <w:vAlign w:val="center"/>
          </w:tcPr>
          <w:p w14:paraId="025B2755">
            <w:pPr>
              <w:pStyle w:val="1343"/>
            </w:pPr>
            <w:r>
              <w:rPr>
                <w:rFonts w:hint="eastAsia"/>
              </w:rPr>
              <w:t>0.242t/a</w:t>
            </w:r>
          </w:p>
        </w:tc>
        <w:tc>
          <w:tcPr>
            <w:tcW w:w="1964" w:type="pct"/>
            <w:vMerge w:val="continue"/>
            <w:vAlign w:val="center"/>
          </w:tcPr>
          <w:p w14:paraId="4353CFF0">
            <w:pPr>
              <w:pStyle w:val="1343"/>
            </w:pPr>
          </w:p>
        </w:tc>
      </w:tr>
      <w:tr w14:paraId="3F6AB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2" w:hRule="atLeast"/>
          <w:jc w:val="center"/>
        </w:trPr>
        <w:tc>
          <w:tcPr>
            <w:tcW w:w="268" w:type="pct"/>
            <w:vMerge w:val="continue"/>
            <w:vAlign w:val="center"/>
          </w:tcPr>
          <w:p w14:paraId="17AF6442">
            <w:pPr>
              <w:pStyle w:val="1343"/>
            </w:pPr>
          </w:p>
        </w:tc>
        <w:tc>
          <w:tcPr>
            <w:tcW w:w="197" w:type="pct"/>
            <w:vMerge w:val="continue"/>
            <w:vAlign w:val="center"/>
          </w:tcPr>
          <w:p w14:paraId="71346A53">
            <w:pPr>
              <w:pStyle w:val="1343"/>
            </w:pPr>
          </w:p>
        </w:tc>
        <w:tc>
          <w:tcPr>
            <w:tcW w:w="273" w:type="pct"/>
            <w:vMerge w:val="continue"/>
            <w:vAlign w:val="center"/>
          </w:tcPr>
          <w:p w14:paraId="209F4179">
            <w:pPr>
              <w:pStyle w:val="1343"/>
            </w:pPr>
          </w:p>
        </w:tc>
        <w:tc>
          <w:tcPr>
            <w:tcW w:w="513" w:type="pct"/>
            <w:gridSpan w:val="2"/>
            <w:vAlign w:val="center"/>
          </w:tcPr>
          <w:p w14:paraId="61073725">
            <w:pPr>
              <w:pStyle w:val="1343"/>
            </w:pPr>
            <w:r>
              <w:rPr>
                <w:rFonts w:hint="eastAsia"/>
              </w:rPr>
              <w:t>备用柴油发电机烟气</w:t>
            </w:r>
          </w:p>
        </w:tc>
        <w:tc>
          <w:tcPr>
            <w:tcW w:w="487" w:type="pct"/>
            <w:vAlign w:val="center"/>
          </w:tcPr>
          <w:p w14:paraId="3D3D2AA8">
            <w:pPr>
              <w:pStyle w:val="1343"/>
            </w:pPr>
            <w:r>
              <w:rPr>
                <w:rFonts w:hint="eastAsia"/>
              </w:rPr>
              <w:t>SO</w:t>
            </w:r>
            <w:r>
              <w:rPr>
                <w:rFonts w:hint="eastAsia"/>
                <w:vertAlign w:val="subscript"/>
              </w:rPr>
              <w:t>2</w:t>
            </w:r>
            <w:r>
              <w:rPr>
                <w:rFonts w:hint="eastAsia"/>
              </w:rPr>
              <w:t>、NO</w:t>
            </w:r>
            <w:r>
              <w:rPr>
                <w:rFonts w:hint="eastAsia"/>
                <w:vertAlign w:val="subscript"/>
              </w:rPr>
              <w:t>X</w:t>
            </w:r>
            <w:r>
              <w:rPr>
                <w:rFonts w:hint="eastAsia"/>
              </w:rPr>
              <w:t>、颗粒物</w:t>
            </w:r>
          </w:p>
        </w:tc>
        <w:tc>
          <w:tcPr>
            <w:tcW w:w="647" w:type="pct"/>
            <w:vAlign w:val="center"/>
          </w:tcPr>
          <w:p w14:paraId="1CF6EC4E">
            <w:pPr>
              <w:pStyle w:val="1343"/>
            </w:pPr>
            <w:r>
              <w:rPr>
                <w:rFonts w:hint="eastAsia"/>
              </w:rPr>
              <w:t>少量</w:t>
            </w:r>
          </w:p>
        </w:tc>
        <w:tc>
          <w:tcPr>
            <w:tcW w:w="647" w:type="pct"/>
            <w:vAlign w:val="center"/>
          </w:tcPr>
          <w:p w14:paraId="32C8F93A">
            <w:pPr>
              <w:pStyle w:val="1343"/>
            </w:pPr>
            <w:r>
              <w:rPr>
                <w:rFonts w:hint="eastAsia"/>
              </w:rPr>
              <w:t>少量</w:t>
            </w:r>
          </w:p>
        </w:tc>
        <w:tc>
          <w:tcPr>
            <w:tcW w:w="1964" w:type="pct"/>
            <w:vAlign w:val="center"/>
          </w:tcPr>
          <w:p w14:paraId="123AA004">
            <w:pPr>
              <w:pStyle w:val="1343"/>
            </w:pPr>
            <w:r>
              <w:t>加强管理，</w:t>
            </w:r>
            <w:r>
              <w:rPr>
                <w:rFonts w:hint="eastAsia"/>
              </w:rPr>
              <w:t>尽量减少烟气排放</w:t>
            </w:r>
          </w:p>
        </w:tc>
      </w:tr>
      <w:tr w14:paraId="63A89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2" w:hRule="atLeast"/>
          <w:jc w:val="center"/>
        </w:trPr>
        <w:tc>
          <w:tcPr>
            <w:tcW w:w="268" w:type="pct"/>
            <w:vMerge w:val="continue"/>
            <w:vAlign w:val="center"/>
          </w:tcPr>
          <w:p w14:paraId="7A6E5B74">
            <w:pPr>
              <w:pStyle w:val="1343"/>
            </w:pPr>
          </w:p>
        </w:tc>
        <w:tc>
          <w:tcPr>
            <w:tcW w:w="197" w:type="pct"/>
            <w:vAlign w:val="center"/>
          </w:tcPr>
          <w:p w14:paraId="1391AEA1">
            <w:pPr>
              <w:pStyle w:val="1343"/>
            </w:pPr>
            <w:r>
              <w:rPr>
                <w:rFonts w:hint="eastAsia"/>
              </w:rPr>
              <w:t>废水</w:t>
            </w:r>
          </w:p>
        </w:tc>
        <w:tc>
          <w:tcPr>
            <w:tcW w:w="787" w:type="pct"/>
            <w:gridSpan w:val="3"/>
            <w:vAlign w:val="center"/>
          </w:tcPr>
          <w:p w14:paraId="5CC46E04">
            <w:pPr>
              <w:pStyle w:val="1343"/>
            </w:pPr>
            <w:r>
              <w:rPr>
                <w:rFonts w:hint="eastAsia"/>
              </w:rPr>
              <w:t>巡检人员生活污水</w:t>
            </w:r>
          </w:p>
        </w:tc>
        <w:tc>
          <w:tcPr>
            <w:tcW w:w="487" w:type="pct"/>
            <w:vAlign w:val="center"/>
          </w:tcPr>
          <w:p w14:paraId="6123BEED">
            <w:pPr>
              <w:pStyle w:val="1343"/>
            </w:pPr>
            <w:r>
              <w:t>COD、</w:t>
            </w:r>
            <w:r>
              <w:rPr>
                <w:rFonts w:hint="eastAsia"/>
              </w:rPr>
              <w:t>BOD</w:t>
            </w:r>
            <w:r>
              <w:rPr>
                <w:rFonts w:hint="eastAsia"/>
                <w:vertAlign w:val="subscript"/>
              </w:rPr>
              <w:t>5</w:t>
            </w:r>
            <w:r>
              <w:rPr>
                <w:rFonts w:hint="eastAsia"/>
              </w:rPr>
              <w:t>、</w:t>
            </w:r>
            <w:r>
              <w:t>氨氮、SS</w:t>
            </w:r>
          </w:p>
        </w:tc>
        <w:tc>
          <w:tcPr>
            <w:tcW w:w="647" w:type="pct"/>
            <w:vAlign w:val="center"/>
          </w:tcPr>
          <w:p w14:paraId="20CB400B">
            <w:pPr>
              <w:pStyle w:val="1343"/>
            </w:pPr>
            <w:r>
              <w:rPr>
                <w:rFonts w:hint="eastAsia"/>
              </w:rPr>
              <w:t>少量</w:t>
            </w:r>
          </w:p>
        </w:tc>
        <w:tc>
          <w:tcPr>
            <w:tcW w:w="647" w:type="pct"/>
            <w:vAlign w:val="center"/>
          </w:tcPr>
          <w:p w14:paraId="45F6015B">
            <w:pPr>
              <w:pStyle w:val="1343"/>
            </w:pPr>
            <w:r>
              <w:rPr>
                <w:rFonts w:hint="eastAsia"/>
              </w:rPr>
              <w:t>少量</w:t>
            </w:r>
          </w:p>
        </w:tc>
        <w:tc>
          <w:tcPr>
            <w:tcW w:w="1964" w:type="pct"/>
            <w:vAlign w:val="center"/>
          </w:tcPr>
          <w:p w14:paraId="7927AC91">
            <w:pPr>
              <w:pStyle w:val="1343"/>
            </w:pPr>
            <w:r>
              <w:rPr>
                <w:rFonts w:hint="eastAsia"/>
              </w:rPr>
              <w:t>定期委托拉运处理</w:t>
            </w:r>
          </w:p>
        </w:tc>
      </w:tr>
      <w:tr w14:paraId="2E24E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268" w:type="pct"/>
            <w:vMerge w:val="continue"/>
            <w:vAlign w:val="center"/>
          </w:tcPr>
          <w:p w14:paraId="114C4309">
            <w:pPr>
              <w:pStyle w:val="1343"/>
            </w:pPr>
          </w:p>
        </w:tc>
        <w:tc>
          <w:tcPr>
            <w:tcW w:w="197" w:type="pct"/>
            <w:vMerge w:val="restart"/>
            <w:vAlign w:val="center"/>
          </w:tcPr>
          <w:p w14:paraId="04872FF8">
            <w:pPr>
              <w:pStyle w:val="1343"/>
            </w:pPr>
            <w:r>
              <w:t>固体</w:t>
            </w:r>
          </w:p>
          <w:p w14:paraId="4E285B9D">
            <w:pPr>
              <w:pStyle w:val="1343"/>
            </w:pPr>
            <w:r>
              <w:t>废物</w:t>
            </w:r>
          </w:p>
        </w:tc>
        <w:tc>
          <w:tcPr>
            <w:tcW w:w="787" w:type="pct"/>
            <w:gridSpan w:val="3"/>
            <w:vAlign w:val="center"/>
          </w:tcPr>
          <w:p w14:paraId="18F0ED5C">
            <w:pPr>
              <w:pStyle w:val="1343"/>
            </w:pPr>
            <w:r>
              <w:rPr>
                <w:rFonts w:hint="eastAsia"/>
              </w:rPr>
              <w:t>分离器检修废渣</w:t>
            </w:r>
          </w:p>
        </w:tc>
        <w:tc>
          <w:tcPr>
            <w:tcW w:w="487" w:type="pct"/>
            <w:vAlign w:val="center"/>
          </w:tcPr>
          <w:p w14:paraId="012FE752">
            <w:pPr>
              <w:pStyle w:val="1343"/>
            </w:pPr>
            <w:r>
              <w:rPr>
                <w:rFonts w:hint="eastAsia"/>
              </w:rPr>
              <w:t>氧化铁粉末、粉尘、含油液滴、烃类等</w:t>
            </w:r>
          </w:p>
        </w:tc>
        <w:tc>
          <w:tcPr>
            <w:tcW w:w="647" w:type="pct"/>
            <w:vAlign w:val="center"/>
          </w:tcPr>
          <w:p w14:paraId="46A156D0">
            <w:pPr>
              <w:pStyle w:val="1343"/>
            </w:pPr>
            <w:r>
              <w:t>0.005t/a</w:t>
            </w:r>
          </w:p>
        </w:tc>
        <w:tc>
          <w:tcPr>
            <w:tcW w:w="647" w:type="pct"/>
            <w:vAlign w:val="center"/>
          </w:tcPr>
          <w:p w14:paraId="3DBEF42E">
            <w:pPr>
              <w:pStyle w:val="1343"/>
            </w:pPr>
            <w:r>
              <w:rPr>
                <w:rFonts w:hint="eastAsia"/>
              </w:rPr>
              <w:t>0</w:t>
            </w:r>
          </w:p>
        </w:tc>
        <w:tc>
          <w:tcPr>
            <w:tcW w:w="1964" w:type="pct"/>
            <w:vAlign w:val="center"/>
          </w:tcPr>
          <w:p w14:paraId="44C22733">
            <w:pPr>
              <w:pStyle w:val="1343"/>
            </w:pPr>
            <w:r>
              <w:rPr>
                <w:rFonts w:hint="eastAsia"/>
              </w:rPr>
              <w:t>导入排污池中，定期委托有资质单位处置</w:t>
            </w:r>
          </w:p>
        </w:tc>
      </w:tr>
      <w:tr w14:paraId="00DE3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268" w:type="pct"/>
            <w:vMerge w:val="continue"/>
            <w:vAlign w:val="center"/>
          </w:tcPr>
          <w:p w14:paraId="56BA86E3">
            <w:pPr>
              <w:pStyle w:val="1343"/>
            </w:pPr>
          </w:p>
        </w:tc>
        <w:tc>
          <w:tcPr>
            <w:tcW w:w="197" w:type="pct"/>
            <w:vMerge w:val="continue"/>
            <w:vAlign w:val="center"/>
          </w:tcPr>
          <w:p w14:paraId="193EA3CC">
            <w:pPr>
              <w:pStyle w:val="1343"/>
            </w:pPr>
          </w:p>
        </w:tc>
        <w:tc>
          <w:tcPr>
            <w:tcW w:w="787" w:type="pct"/>
            <w:gridSpan w:val="3"/>
            <w:vAlign w:val="center"/>
          </w:tcPr>
          <w:p w14:paraId="14915F9C">
            <w:pPr>
              <w:pStyle w:val="1343"/>
            </w:pPr>
            <w:r>
              <w:t>废滤芯</w:t>
            </w:r>
          </w:p>
        </w:tc>
        <w:tc>
          <w:tcPr>
            <w:tcW w:w="487" w:type="pct"/>
            <w:vAlign w:val="center"/>
          </w:tcPr>
          <w:p w14:paraId="0812B5C4">
            <w:pPr>
              <w:pStyle w:val="1343"/>
            </w:pPr>
            <w:r>
              <w:rPr>
                <w:rFonts w:hint="eastAsia"/>
              </w:rPr>
              <w:t>S</w:t>
            </w:r>
            <w:r>
              <w:t>iO</w:t>
            </w:r>
            <w:r>
              <w:rPr>
                <w:vertAlign w:val="subscript"/>
              </w:rPr>
              <w:t>2</w:t>
            </w:r>
            <w:r>
              <w:rPr>
                <w:rFonts w:hint="eastAsia"/>
              </w:rPr>
              <w:t>，粉尘、氧化铁粉末物质、含油液滴、烃类等</w:t>
            </w:r>
          </w:p>
        </w:tc>
        <w:tc>
          <w:tcPr>
            <w:tcW w:w="647" w:type="pct"/>
            <w:vAlign w:val="center"/>
          </w:tcPr>
          <w:p w14:paraId="49F1806A">
            <w:pPr>
              <w:pStyle w:val="1343"/>
            </w:pPr>
            <w:r>
              <w:t>0.</w:t>
            </w:r>
            <w:r>
              <w:rPr>
                <w:rFonts w:hint="eastAsia"/>
              </w:rPr>
              <w:t>4</w:t>
            </w:r>
            <w:r>
              <w:t>t/</w:t>
            </w:r>
            <w:r>
              <w:rPr>
                <w:rFonts w:hint="eastAsia"/>
              </w:rPr>
              <w:t>2</w:t>
            </w:r>
            <w:r>
              <w:t>a</w:t>
            </w:r>
          </w:p>
        </w:tc>
        <w:tc>
          <w:tcPr>
            <w:tcW w:w="647" w:type="pct"/>
            <w:vAlign w:val="center"/>
          </w:tcPr>
          <w:p w14:paraId="6ACECA67">
            <w:pPr>
              <w:pStyle w:val="1343"/>
            </w:pPr>
            <w:r>
              <w:rPr>
                <w:rFonts w:hint="eastAsia"/>
              </w:rPr>
              <w:t>0</w:t>
            </w:r>
          </w:p>
        </w:tc>
        <w:tc>
          <w:tcPr>
            <w:tcW w:w="1964" w:type="pct"/>
            <w:vAlign w:val="center"/>
          </w:tcPr>
          <w:p w14:paraId="03A4BAA9">
            <w:pPr>
              <w:pStyle w:val="1343"/>
            </w:pPr>
            <w:r>
              <w:rPr>
                <w:rFonts w:hint="eastAsia"/>
              </w:rPr>
              <w:t>暂存于耒阳分输站内危废暂存间，委托有资质单位处置</w:t>
            </w:r>
          </w:p>
        </w:tc>
      </w:tr>
      <w:tr w14:paraId="7D036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268" w:type="pct"/>
            <w:vMerge w:val="continue"/>
            <w:vAlign w:val="center"/>
          </w:tcPr>
          <w:p w14:paraId="72CCC945">
            <w:pPr>
              <w:pStyle w:val="1343"/>
            </w:pPr>
          </w:p>
        </w:tc>
        <w:tc>
          <w:tcPr>
            <w:tcW w:w="197" w:type="pct"/>
            <w:vMerge w:val="continue"/>
            <w:vAlign w:val="center"/>
          </w:tcPr>
          <w:p w14:paraId="33583D0B">
            <w:pPr>
              <w:pStyle w:val="1343"/>
            </w:pPr>
          </w:p>
        </w:tc>
        <w:tc>
          <w:tcPr>
            <w:tcW w:w="787" w:type="pct"/>
            <w:gridSpan w:val="3"/>
            <w:vAlign w:val="center"/>
          </w:tcPr>
          <w:p w14:paraId="5EE753A0">
            <w:pPr>
              <w:pStyle w:val="1343"/>
            </w:pPr>
            <w:r>
              <w:rPr>
                <w:rFonts w:hint="eastAsia"/>
              </w:rPr>
              <w:t>废铅酸蓄电池</w:t>
            </w:r>
          </w:p>
        </w:tc>
        <w:tc>
          <w:tcPr>
            <w:tcW w:w="487" w:type="pct"/>
            <w:vAlign w:val="center"/>
          </w:tcPr>
          <w:p w14:paraId="0FDDA2A2">
            <w:pPr>
              <w:pStyle w:val="1343"/>
            </w:pPr>
            <w:r>
              <w:rPr>
                <w:rFonts w:hint="eastAsia"/>
              </w:rPr>
              <w:t>铅、硫酸等</w:t>
            </w:r>
          </w:p>
        </w:tc>
        <w:tc>
          <w:tcPr>
            <w:tcW w:w="647" w:type="pct"/>
            <w:vAlign w:val="center"/>
          </w:tcPr>
          <w:p w14:paraId="50D9D185">
            <w:pPr>
              <w:pStyle w:val="1343"/>
            </w:pPr>
            <w:r>
              <w:rPr>
                <w:rFonts w:hint="eastAsia"/>
              </w:rPr>
              <w:t>0.8t/8年</w:t>
            </w:r>
          </w:p>
        </w:tc>
        <w:tc>
          <w:tcPr>
            <w:tcW w:w="647" w:type="pct"/>
            <w:vAlign w:val="center"/>
          </w:tcPr>
          <w:p w14:paraId="25AE63AE">
            <w:pPr>
              <w:pStyle w:val="1343"/>
            </w:pPr>
            <w:r>
              <w:rPr>
                <w:rFonts w:hint="eastAsia"/>
              </w:rPr>
              <w:t>0</w:t>
            </w:r>
          </w:p>
        </w:tc>
        <w:tc>
          <w:tcPr>
            <w:tcW w:w="1964" w:type="pct"/>
            <w:vAlign w:val="center"/>
          </w:tcPr>
          <w:p w14:paraId="7D22E402">
            <w:pPr>
              <w:pStyle w:val="1343"/>
            </w:pPr>
            <w:r>
              <w:rPr>
                <w:rFonts w:hint="eastAsia"/>
              </w:rPr>
              <w:t>暂存于耒阳分输站内危废暂存间，委托有资质单位处置</w:t>
            </w:r>
          </w:p>
        </w:tc>
      </w:tr>
      <w:tr w14:paraId="1B507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5" w:hRule="atLeast"/>
          <w:jc w:val="center"/>
        </w:trPr>
        <w:tc>
          <w:tcPr>
            <w:tcW w:w="268" w:type="pct"/>
            <w:vMerge w:val="continue"/>
            <w:vAlign w:val="center"/>
          </w:tcPr>
          <w:p w14:paraId="2AA0C707">
            <w:pPr>
              <w:pStyle w:val="1343"/>
            </w:pPr>
          </w:p>
        </w:tc>
        <w:tc>
          <w:tcPr>
            <w:tcW w:w="197" w:type="pct"/>
            <w:vMerge w:val="restart"/>
            <w:vAlign w:val="center"/>
          </w:tcPr>
          <w:p w14:paraId="29F2B225">
            <w:pPr>
              <w:pStyle w:val="1343"/>
            </w:pPr>
            <w:r>
              <w:t>噪声</w:t>
            </w:r>
          </w:p>
        </w:tc>
        <w:tc>
          <w:tcPr>
            <w:tcW w:w="347" w:type="pct"/>
            <w:gridSpan w:val="2"/>
            <w:vAlign w:val="center"/>
          </w:tcPr>
          <w:p w14:paraId="046C843D">
            <w:pPr>
              <w:pStyle w:val="1343"/>
            </w:pPr>
            <w:r>
              <w:t>正常工况</w:t>
            </w:r>
          </w:p>
        </w:tc>
        <w:tc>
          <w:tcPr>
            <w:tcW w:w="439" w:type="pct"/>
            <w:vAlign w:val="center"/>
          </w:tcPr>
          <w:p w14:paraId="1D736146">
            <w:pPr>
              <w:pStyle w:val="1343"/>
            </w:pPr>
            <w:r>
              <w:t>设备噪声</w:t>
            </w:r>
          </w:p>
        </w:tc>
        <w:tc>
          <w:tcPr>
            <w:tcW w:w="487" w:type="pct"/>
            <w:vAlign w:val="center"/>
          </w:tcPr>
          <w:p w14:paraId="202CAE97">
            <w:pPr>
              <w:pStyle w:val="1343"/>
            </w:pPr>
            <w:r>
              <w:t>设备噪声</w:t>
            </w:r>
          </w:p>
        </w:tc>
        <w:tc>
          <w:tcPr>
            <w:tcW w:w="647" w:type="pct"/>
            <w:vAlign w:val="center"/>
          </w:tcPr>
          <w:p w14:paraId="176F5E94">
            <w:pPr>
              <w:pStyle w:val="1343"/>
            </w:pPr>
            <w:r>
              <w:t>噪声值55~75dB(A)</w:t>
            </w:r>
          </w:p>
        </w:tc>
        <w:tc>
          <w:tcPr>
            <w:tcW w:w="647" w:type="pct"/>
            <w:vAlign w:val="center"/>
          </w:tcPr>
          <w:p w14:paraId="26634240">
            <w:pPr>
              <w:pStyle w:val="1343"/>
            </w:pPr>
            <w:r>
              <w:t>噪声值</w:t>
            </w:r>
            <w:r>
              <w:rPr>
                <w:rFonts w:hint="eastAsia"/>
              </w:rPr>
              <w:t>5</w:t>
            </w:r>
            <w:r>
              <w:t>5~75dB(A)</w:t>
            </w:r>
          </w:p>
        </w:tc>
        <w:tc>
          <w:tcPr>
            <w:tcW w:w="1964" w:type="pct"/>
            <w:vAlign w:val="center"/>
          </w:tcPr>
          <w:p w14:paraId="61336CC0">
            <w:pPr>
              <w:pStyle w:val="1343"/>
            </w:pPr>
            <w:r>
              <w:t>《工业企业厂界环境噪声排放标准》</w:t>
            </w:r>
          </w:p>
          <w:p w14:paraId="014E765E">
            <w:pPr>
              <w:pStyle w:val="1343"/>
            </w:pPr>
            <w:r>
              <w:t>(GB12348-2008)</w:t>
            </w:r>
          </w:p>
        </w:tc>
      </w:tr>
      <w:tr w14:paraId="0D9BD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5" w:hRule="atLeast"/>
          <w:jc w:val="center"/>
        </w:trPr>
        <w:tc>
          <w:tcPr>
            <w:tcW w:w="268" w:type="pct"/>
            <w:vMerge w:val="continue"/>
            <w:vAlign w:val="center"/>
          </w:tcPr>
          <w:p w14:paraId="420FDEEB">
            <w:pPr>
              <w:pStyle w:val="1343"/>
            </w:pPr>
          </w:p>
        </w:tc>
        <w:tc>
          <w:tcPr>
            <w:tcW w:w="197" w:type="pct"/>
            <w:vMerge w:val="continue"/>
            <w:vAlign w:val="center"/>
          </w:tcPr>
          <w:p w14:paraId="428405B4">
            <w:pPr>
              <w:pStyle w:val="1343"/>
            </w:pPr>
          </w:p>
        </w:tc>
        <w:tc>
          <w:tcPr>
            <w:tcW w:w="347" w:type="pct"/>
            <w:gridSpan w:val="2"/>
            <w:vAlign w:val="center"/>
          </w:tcPr>
          <w:p w14:paraId="2CB30F1A">
            <w:pPr>
              <w:pStyle w:val="1343"/>
            </w:pPr>
            <w:r>
              <w:t>非正常工况</w:t>
            </w:r>
          </w:p>
        </w:tc>
        <w:tc>
          <w:tcPr>
            <w:tcW w:w="439" w:type="pct"/>
            <w:vAlign w:val="center"/>
          </w:tcPr>
          <w:p w14:paraId="3C69914D">
            <w:pPr>
              <w:pStyle w:val="1343"/>
            </w:pPr>
            <w:r>
              <w:t>放空噪声</w:t>
            </w:r>
          </w:p>
        </w:tc>
        <w:tc>
          <w:tcPr>
            <w:tcW w:w="487" w:type="pct"/>
            <w:vAlign w:val="center"/>
          </w:tcPr>
          <w:p w14:paraId="4FDF9EF5">
            <w:pPr>
              <w:pStyle w:val="1343"/>
            </w:pPr>
            <w:r>
              <w:t>放空噪声</w:t>
            </w:r>
          </w:p>
        </w:tc>
        <w:tc>
          <w:tcPr>
            <w:tcW w:w="647" w:type="pct"/>
            <w:vAlign w:val="center"/>
          </w:tcPr>
          <w:p w14:paraId="4F226B65">
            <w:pPr>
              <w:pStyle w:val="1343"/>
            </w:pPr>
            <w:r>
              <w:t>噪声值</w:t>
            </w:r>
          </w:p>
          <w:p w14:paraId="7974B4C1">
            <w:pPr>
              <w:pStyle w:val="1343"/>
            </w:pPr>
            <w:r>
              <w:rPr>
                <w:rFonts w:hint="eastAsia"/>
              </w:rPr>
              <w:t>9</w:t>
            </w:r>
            <w:r>
              <w:t>5-</w:t>
            </w:r>
            <w:r>
              <w:rPr>
                <w:rFonts w:hint="eastAsia"/>
              </w:rPr>
              <w:t>105</w:t>
            </w:r>
            <w:r>
              <w:t>dB(A)</w:t>
            </w:r>
          </w:p>
        </w:tc>
        <w:tc>
          <w:tcPr>
            <w:tcW w:w="647" w:type="pct"/>
            <w:vAlign w:val="center"/>
          </w:tcPr>
          <w:p w14:paraId="4B4EB0AF">
            <w:pPr>
              <w:pStyle w:val="1343"/>
            </w:pPr>
            <w:r>
              <w:t>噪声值</w:t>
            </w:r>
          </w:p>
          <w:p w14:paraId="350DBF68">
            <w:pPr>
              <w:pStyle w:val="1343"/>
            </w:pPr>
            <w:r>
              <w:rPr>
                <w:rFonts w:hint="eastAsia"/>
              </w:rPr>
              <w:t>9</w:t>
            </w:r>
            <w:r>
              <w:t>5-</w:t>
            </w:r>
            <w:r>
              <w:rPr>
                <w:rFonts w:hint="eastAsia"/>
              </w:rPr>
              <w:t>105</w:t>
            </w:r>
            <w:r>
              <w:t>dB(A)</w:t>
            </w:r>
          </w:p>
        </w:tc>
        <w:tc>
          <w:tcPr>
            <w:tcW w:w="1964" w:type="pct"/>
            <w:vAlign w:val="center"/>
          </w:tcPr>
          <w:p w14:paraId="26C0789E">
            <w:pPr>
              <w:pStyle w:val="1343"/>
            </w:pPr>
            <w:r>
              <w:t>在满足工艺要求的前提下，控制气流速度，降低放空气流噪声，放空前应尽量提前告知周边居民</w:t>
            </w:r>
          </w:p>
        </w:tc>
      </w:tr>
    </w:tbl>
    <w:p w14:paraId="45C88C94">
      <w:pPr>
        <w:pStyle w:val="234"/>
      </w:pPr>
      <w:bookmarkStart w:id="157" w:name="2.6总量控制"/>
      <w:bookmarkEnd w:id="157"/>
      <w:bookmarkStart w:id="158" w:name="_bookmark14"/>
      <w:bookmarkEnd w:id="158"/>
    </w:p>
    <w:p w14:paraId="1532F47A">
      <w:pPr>
        <w:pStyle w:val="234"/>
        <w:spacing w:before="120" w:beforeLines="50"/>
        <w:sectPr>
          <w:pgSz w:w="11910" w:h="16840"/>
          <w:pgMar w:top="1400" w:right="1180" w:bottom="1420" w:left="1280" w:header="822" w:footer="850" w:gutter="0"/>
          <w:cols w:space="720" w:num="1"/>
          <w:docGrid w:linePitch="286" w:charSpace="0"/>
        </w:sectPr>
      </w:pPr>
    </w:p>
    <w:p w14:paraId="2497643A">
      <w:pPr>
        <w:pStyle w:val="1343"/>
      </w:pPr>
      <w:bookmarkStart w:id="159" w:name="_Toc72672345"/>
    </w:p>
    <w:p w14:paraId="5360A6E6">
      <w:pPr>
        <w:pStyle w:val="3"/>
      </w:pPr>
      <w:r>
        <w:t xml:space="preserve"> </w:t>
      </w:r>
      <w:bookmarkStart w:id="160" w:name="_Toc12700"/>
      <w:r>
        <w:t>环境现状及调查</w:t>
      </w:r>
      <w:bookmarkEnd w:id="159"/>
      <w:bookmarkEnd w:id="160"/>
    </w:p>
    <w:p w14:paraId="1C74D80C">
      <w:pPr>
        <w:pStyle w:val="4"/>
      </w:pPr>
      <w:r>
        <w:t xml:space="preserve"> </w:t>
      </w:r>
      <w:bookmarkStart w:id="161" w:name="_Toc72672346"/>
      <w:bookmarkStart w:id="162" w:name="_Toc15882"/>
      <w:r>
        <w:t>自然环境概况</w:t>
      </w:r>
      <w:bookmarkEnd w:id="161"/>
      <w:bookmarkEnd w:id="162"/>
    </w:p>
    <w:p w14:paraId="02D7D9A6">
      <w:pPr>
        <w:pStyle w:val="234"/>
      </w:pPr>
      <w:r>
        <w:t>本工程</w:t>
      </w:r>
      <w:r>
        <w:rPr>
          <w:rFonts w:hint="eastAsia"/>
        </w:rPr>
        <w:t>全线均位于湖南省衡阳市耒阳市境内，具体地理位置见图1.1-1。</w:t>
      </w:r>
    </w:p>
    <w:p w14:paraId="6E65ABE6">
      <w:pPr>
        <w:pStyle w:val="5"/>
        <w:rPr>
          <w:color w:val="auto"/>
          <w:lang w:val="zh-CN"/>
        </w:rPr>
      </w:pPr>
      <w:r>
        <w:rPr>
          <w:color w:val="auto"/>
          <w:lang w:val="zh-CN"/>
        </w:rPr>
        <w:t xml:space="preserve"> 地理位置</w:t>
      </w:r>
    </w:p>
    <w:p w14:paraId="2BCE37F1">
      <w:pPr>
        <w:pStyle w:val="234"/>
      </w:pPr>
      <w:r>
        <w:t>耒阳市位于湖南省东南部，地处东经112°37´～113°14´，北纬26°07´～26°43´，东北临安仁，东南靠桂阳县，与常宁县隔河相望，北接衡南县。南北长62km，东西宽58km，成不规则棱形。耒阳市交通便利，集水路公路铁路于一体，京广铁路、京深公路（107国道）、耒水和已修建好的京珠高速公路纵贯南北，耒吉（1817线）公路和耒常（1811线）公路相连，并在市内交汇。</w:t>
      </w:r>
    </w:p>
    <w:p w14:paraId="034FFFC5">
      <w:pPr>
        <w:pStyle w:val="5"/>
        <w:rPr>
          <w:color w:val="auto"/>
          <w:lang w:val="zh-CN"/>
        </w:rPr>
      </w:pPr>
      <w:r>
        <w:rPr>
          <w:color w:val="auto"/>
          <w:lang w:val="zh-CN"/>
        </w:rPr>
        <w:t>地形地貌</w:t>
      </w:r>
    </w:p>
    <w:p w14:paraId="538473CE">
      <w:pPr>
        <w:pStyle w:val="234"/>
        <w:ind w:firstLine="476"/>
        <w:rPr>
          <w:spacing w:val="-2"/>
        </w:rPr>
      </w:pPr>
      <w:r>
        <w:rPr>
          <w:spacing w:val="-2"/>
        </w:rPr>
        <w:t>耒阳市地处衡阳盆地向南岭山脉的过渡地带，东南、西南部高，中部、西北部低，呈弧形向西北逐渐降低。地貌类型多样，大致比例是山地20％、丘陵30％、岗地25％、平原20％、水面5％。海拔高度845m，最低63m。项目周围为低缓丘陵地貌，海拔高度大致在98.5</w:t>
      </w:r>
      <w:r>
        <w:rPr>
          <w:rFonts w:hint="eastAsia"/>
          <w:spacing w:val="-2"/>
        </w:rPr>
        <w:t>~</w:t>
      </w:r>
      <w:r>
        <w:rPr>
          <w:spacing w:val="-2"/>
        </w:rPr>
        <w:t>132.8m之间。境内土壤种类多样，以红壤为主，主要分布于中低山地和丘陵、岗地。</w:t>
      </w:r>
    </w:p>
    <w:p w14:paraId="332DE9D8">
      <w:pPr>
        <w:pStyle w:val="234"/>
        <w:ind w:firstLine="476"/>
        <w:rPr>
          <w:spacing w:val="-2"/>
        </w:rPr>
      </w:pPr>
      <w:r>
        <w:rPr>
          <w:spacing w:val="-2"/>
        </w:rPr>
        <w:t>区域地层自晚古生界至新生界都有出露，其中石炭系至二迭系下统为浅海相碳酸盐岩；二迭系上统至三迭下统为浅海相和海陆交替相碎屑岩、页岩和煤层；侏罗系和白垩系为陆相红色碎屑岩；第四系则有具二元结构的冲击层组成，分布于I、II级阶地。该区域地质构造以单一的褶皱为主，属相对构造稳定区。根据本区历史地震记载以及《</w:t>
      </w:r>
      <w:r>
        <w:rPr>
          <w:rFonts w:hint="eastAsia"/>
          <w:spacing w:val="-2"/>
        </w:rPr>
        <w:t>中国地震动参数区划图</w:t>
      </w:r>
      <w:r>
        <w:rPr>
          <w:spacing w:val="-2"/>
        </w:rPr>
        <w:t>》</w:t>
      </w:r>
      <w:r>
        <w:rPr>
          <w:rFonts w:hint="eastAsia"/>
          <w:spacing w:val="-2"/>
        </w:rPr>
        <w:t>（GB18306-2015）</w:t>
      </w:r>
      <w:r>
        <w:rPr>
          <w:spacing w:val="-2"/>
        </w:rPr>
        <w:t>等资料，本区地震基本烈度为V度区。</w:t>
      </w:r>
    </w:p>
    <w:p w14:paraId="7F391887">
      <w:pPr>
        <w:pStyle w:val="5"/>
        <w:rPr>
          <w:color w:val="auto"/>
        </w:rPr>
      </w:pPr>
      <w:r>
        <w:rPr>
          <w:color w:val="auto"/>
        </w:rPr>
        <w:t xml:space="preserve"> 气候气象</w:t>
      </w:r>
    </w:p>
    <w:p w14:paraId="4DED0D43">
      <w:pPr>
        <w:pStyle w:val="234"/>
      </w:pPr>
      <w:r>
        <w:t>项目所在区域属亚热带季风湿润气候，具有四季分明，雨量充沛，热量丰富，春秋季短，冬夏季长，春季多阴雨少光照，夏季气温较高，无霜期长等特点。近五年年平均气温18.4℃，极端最高气温41.1℃，极端最低气温-3.5℃；年平均相对湿度81%，年降水量1414.0mm；年蒸发量1375.9mm；年平均风速1.7m/s。近五年全年主导风为NW风，出现频率13.0%；年静风频率26.0%。</w:t>
      </w:r>
    </w:p>
    <w:p w14:paraId="0E0A2F72">
      <w:pPr>
        <w:pStyle w:val="234"/>
      </w:pPr>
      <w:r>
        <w:t>耒阳市多年平均风速为1.9m/s。月平均风速的变化规律为4月、7月风速较大，为2.1</w:t>
      </w:r>
      <w:r>
        <w:rPr>
          <w:rFonts w:hint="eastAsia"/>
        </w:rPr>
        <w:t>~</w:t>
      </w:r>
      <w:r>
        <w:t>2.2m/s，其中以7月最大；其它月份平均风速在1.4~1.8m/s的范围内波动。</w:t>
      </w:r>
    </w:p>
    <w:p w14:paraId="36015361">
      <w:pPr>
        <w:pStyle w:val="5"/>
        <w:rPr>
          <w:color w:val="auto"/>
          <w:lang w:val="zh-CN"/>
        </w:rPr>
      </w:pPr>
      <w:r>
        <w:rPr>
          <w:color w:val="auto"/>
          <w:lang w:val="zh-CN"/>
        </w:rPr>
        <w:t>河流</w:t>
      </w:r>
    </w:p>
    <w:p w14:paraId="492ACAE7">
      <w:pPr>
        <w:pStyle w:val="234"/>
      </w:pPr>
      <w:r>
        <w:t>耒阳境内有耒水和舂陵水两条主要河流，均属湘江水系。耒水全长453km，耒阳境内长122.2km，河面平均宽300m，河床平均坡降0.27‰，多年平均径流量为258m³/s，年径流总量81.54亿m³。舂陵水是耒阳、常宁界河，全长223km，流经耒阳66km，河面平均宽150m，河床平均坡降0.76‰，市境内流域面积627.9km²，年平均流量130.85 m³/s，年径流总量50.15亿m³。欧阳海灌区为大型水利工程，有效灌溉面积3.9万公顷，其右总干渠位于耒阳境内。</w:t>
      </w:r>
    </w:p>
    <w:p w14:paraId="79B0C2B1">
      <w:pPr>
        <w:pStyle w:val="234"/>
      </w:pPr>
      <w:r>
        <w:t>根据本工程设计及现场踏勘，本工程</w:t>
      </w:r>
      <w:r>
        <w:rPr>
          <w:rFonts w:hint="eastAsia"/>
        </w:rPr>
        <w:t>周边无河流，仅有几处坑塘，其功能为农田灌溉</w:t>
      </w:r>
      <w:r>
        <w:t>。</w:t>
      </w:r>
      <w:r>
        <w:rPr>
          <w:rFonts w:hint="eastAsia"/>
        </w:rPr>
        <w:t>本工程与耒阳市地表水系位置关系见图4.1-1。</w:t>
      </w:r>
    </w:p>
    <w:p w14:paraId="7690B6B9">
      <w:pPr>
        <w:pStyle w:val="5"/>
        <w:rPr>
          <w:color w:val="auto"/>
        </w:rPr>
      </w:pPr>
      <w:r>
        <w:rPr>
          <w:color w:val="auto"/>
        </w:rPr>
        <w:t>水文地质</w:t>
      </w:r>
    </w:p>
    <w:p w14:paraId="1EECBEE8">
      <w:pPr>
        <w:pStyle w:val="234"/>
      </w:pPr>
      <w:r>
        <w:rPr>
          <w:rFonts w:hint="eastAsia"/>
        </w:rPr>
        <w:t>为了解项目所在区域地质条件等，评价收集耒阳市政府公布的相关地质介绍，结合《</w:t>
      </w:r>
      <w:r>
        <w:t>湖南省地质水文图</w:t>
      </w:r>
      <w:r>
        <w:rPr>
          <w:rFonts w:hint="eastAsia"/>
        </w:rPr>
        <w:t>》</w:t>
      </w:r>
      <w:r>
        <w:t>《全国地质资料馆 1:20万水文地质图G4918幅数据》等</w:t>
      </w:r>
      <w:r>
        <w:rPr>
          <w:rFonts w:hint="eastAsia"/>
        </w:rPr>
        <w:t>相关</w:t>
      </w:r>
      <w:r>
        <w:t>信息</w:t>
      </w:r>
      <w:r>
        <w:rPr>
          <w:rFonts w:hint="eastAsia"/>
        </w:rPr>
        <w:t>，</w:t>
      </w:r>
      <w:r>
        <w:t>判定本项目所在区域地质情况</w:t>
      </w:r>
      <w:r>
        <w:rPr>
          <w:rFonts w:hint="eastAsia"/>
        </w:rPr>
        <w:t>，</w:t>
      </w:r>
      <w:r>
        <w:t>具体如下</w:t>
      </w:r>
      <w:r>
        <w:rPr>
          <w:rFonts w:hint="eastAsia"/>
        </w:rPr>
        <w:t>：</w:t>
      </w:r>
    </w:p>
    <w:p w14:paraId="5708E244">
      <w:pPr>
        <w:pStyle w:val="234"/>
      </w:pPr>
      <w:r>
        <w:rPr>
          <w:rFonts w:hint="eastAsia"/>
        </w:rPr>
        <w:t>（1）区域地质构造</w:t>
      </w:r>
    </w:p>
    <w:p w14:paraId="1AF84D8A">
      <w:pPr>
        <w:pStyle w:val="234"/>
      </w:pPr>
      <w:r>
        <w:t>项目区域位于华南断块区，长江中下游断块凹陷中南部的衡阳盆地地区内，在构造体系上位于平（江）-衡（阳）新华夏系凹陷带，属陆相稳定盆地。</w:t>
      </w:r>
    </w:p>
    <w:p w14:paraId="69FB4F2B">
      <w:pPr>
        <w:pStyle w:val="234"/>
      </w:pPr>
      <w:r>
        <w:t>项目</w:t>
      </w:r>
      <w:r>
        <w:rPr>
          <w:rFonts w:hint="eastAsia"/>
        </w:rPr>
        <w:t>区域</w:t>
      </w:r>
      <w:r>
        <w:t>基土自下而上描述如下：</w:t>
      </w:r>
    </w:p>
    <w:p w14:paraId="1D611AD1">
      <w:pPr>
        <w:pStyle w:val="234"/>
      </w:pPr>
      <w:r>
        <w:rPr>
          <w:rFonts w:hint="eastAsia"/>
        </w:rPr>
        <w:t>①</w:t>
      </w:r>
      <w:r>
        <w:t>第四系人工堆积层</w:t>
      </w:r>
    </w:p>
    <w:p w14:paraId="2617CE6D">
      <w:pPr>
        <w:pStyle w:val="234"/>
      </w:pPr>
      <w:r>
        <w:t>耕表土（Q</w:t>
      </w:r>
      <w:r>
        <w:rPr>
          <w:vertAlign w:val="subscript"/>
        </w:rPr>
        <w:t>4</w:t>
      </w:r>
      <w:r>
        <w:rPr>
          <w:vertAlign w:val="superscript"/>
        </w:rPr>
        <w:t>ml</w:t>
      </w:r>
      <w:r>
        <w:t>）</w:t>
      </w:r>
      <w:r>
        <w:rPr>
          <w:rFonts w:hint="eastAsia"/>
        </w:rPr>
        <w:t>：</w:t>
      </w:r>
      <w:r>
        <w:t>人工堆积而成，黄褐色及黑褐色等杂色，主要由粘性土堆填组成，结构松散，稍湿，表层含大量植物根系，局部含碎石子、瓦块等，堆填时间不一。该层在</w:t>
      </w:r>
      <w:r>
        <w:rPr>
          <w:rFonts w:hint="eastAsia"/>
        </w:rPr>
        <w:t>区域</w:t>
      </w:r>
      <w:r>
        <w:t>内均有分布，层厚1.0m～2.7m；平均厚度1.69m，厚度变化较大。</w:t>
      </w:r>
    </w:p>
    <w:p w14:paraId="5BDD44B6">
      <w:pPr>
        <w:pStyle w:val="234"/>
      </w:pPr>
      <w:r>
        <w:fldChar w:fldCharType="begin"/>
      </w:r>
      <w:r>
        <w:instrText xml:space="preserve"> = 2 \* GB3 \* MERGEFORMAT </w:instrText>
      </w:r>
      <w:r>
        <w:fldChar w:fldCharType="separate"/>
      </w:r>
      <w:r>
        <w:t>②</w:t>
      </w:r>
      <w:r>
        <w:fldChar w:fldCharType="end"/>
      </w:r>
      <w:r>
        <w:t>第四系冲洪积层</w:t>
      </w:r>
    </w:p>
    <w:p w14:paraId="5DBEB67A">
      <w:pPr>
        <w:pStyle w:val="234"/>
      </w:pPr>
      <w:r>
        <w:t>粉质粘土（Q</w:t>
      </w:r>
      <w:r>
        <w:rPr>
          <w:vertAlign w:val="subscript"/>
        </w:rPr>
        <w:t>4</w:t>
      </w:r>
      <w:r>
        <w:rPr>
          <w:vertAlign w:val="superscript"/>
        </w:rPr>
        <w:t>al+pl</w:t>
      </w:r>
      <w:r>
        <w:t>）</w:t>
      </w:r>
      <w:r>
        <w:rPr>
          <w:rFonts w:hint="eastAsia"/>
        </w:rPr>
        <w:t>：</w:t>
      </w:r>
      <w:r>
        <w:t>冲洪积而成，上部褐色，往下变为黄褐色及淡褐色，可塑状，湿，呈花斑网纹状；以粘粒夹粉粒为主，局部夹0.2~0.4m厚的细中砂薄层，光泽反应稍有，摇震反应无，干强度中等，韧性中等。该层在</w:t>
      </w:r>
      <w:r>
        <w:rPr>
          <w:rFonts w:hint="eastAsia"/>
        </w:rPr>
        <w:t>区域</w:t>
      </w:r>
      <w:r>
        <w:t>内部分地段有分布，层厚0.8m～1.9m；平均厚度1.15m，厚度变化一般。</w:t>
      </w:r>
    </w:p>
    <w:p w14:paraId="7B56B44D">
      <w:pPr>
        <w:pStyle w:val="234"/>
      </w:pPr>
      <w:r>
        <w:fldChar w:fldCharType="begin"/>
      </w:r>
      <w:r>
        <w:instrText xml:space="preserve"> = 3 \* GB3 \* MERGEFORMAT </w:instrText>
      </w:r>
      <w:r>
        <w:fldChar w:fldCharType="separate"/>
      </w:r>
      <w:r>
        <w:t>③</w:t>
      </w:r>
      <w:r>
        <w:fldChar w:fldCharType="end"/>
      </w:r>
      <w:r>
        <w:t>泥盆系风化岩层</w:t>
      </w:r>
    </w:p>
    <w:p w14:paraId="7F5FD6CD">
      <w:pPr>
        <w:pStyle w:val="234"/>
      </w:pPr>
      <w:r>
        <w:t>中风化石灰岩（D）</w:t>
      </w:r>
      <w:r>
        <w:rPr>
          <w:rFonts w:hint="eastAsia"/>
        </w:rPr>
        <w:t>：</w:t>
      </w:r>
      <w:r>
        <w:t>青灰色、灰白色，中风化，隐晶质结构，中厚层状构造，节理裂隙稍发育，岩体较完整，岩芯多呈短柱状、长柱状，局部位置夹碎块状，敲击声脆，方解石脉稍发育，RQD＞75，质量等级为III级，属较硬岩。该层在</w:t>
      </w:r>
      <w:r>
        <w:rPr>
          <w:rFonts w:hint="eastAsia"/>
        </w:rPr>
        <w:t>区域</w:t>
      </w:r>
      <w:r>
        <w:t>内均有分布，为</w:t>
      </w:r>
      <w:r>
        <w:rPr>
          <w:rFonts w:hint="eastAsia"/>
        </w:rPr>
        <w:t>区域</w:t>
      </w:r>
      <w:r>
        <w:t>内的下伏基岩，层顶标高为62.15m~64.35m。</w:t>
      </w:r>
    </w:p>
    <w:p w14:paraId="3BE8169F">
      <w:pPr>
        <w:pStyle w:val="234"/>
      </w:pPr>
      <w:r>
        <w:rPr>
          <w:rFonts w:hint="eastAsia"/>
        </w:rPr>
        <w:t>（2）区域水文地质类型</w:t>
      </w:r>
    </w:p>
    <w:p w14:paraId="2F140472">
      <w:pPr>
        <w:pStyle w:val="234"/>
      </w:pPr>
      <w:r>
        <w:t>本项目所在区域地下水位于碳酸盐岩类碎屑岩类含水岩组，碳酸盐岩分布面积占全省28.44%，主要为三迭、二迭、石碳、泥盆、奥陶及寒武系底层。分碳酸盐岩岩溶水和碎屑岩、碳酸岩裂岩溶水两种。各类型又分为裸露型、覆盖型和埋藏型。其富水程度取决于岩溶发育程度；碳酸盐岩质纯、厚度大、近地表浅部、断裂带、储水构造，其富水性强。常有大泉或暗河出露。单井水量最大达1000m</w:t>
      </w:r>
      <w:r>
        <w:rPr>
          <w:vertAlign w:val="superscript"/>
        </w:rPr>
        <w:t>3</w:t>
      </w:r>
      <w:r>
        <w:t>/d以上，枯水期水量衰减约50%，水量约为5000m</w:t>
      </w:r>
      <w:r>
        <w:rPr>
          <w:vertAlign w:val="superscript"/>
        </w:rPr>
        <w:t>3</w:t>
      </w:r>
      <w:r>
        <w:t>/d</w:t>
      </w:r>
      <w:r>
        <w:rPr>
          <w:rFonts w:hint="eastAsia"/>
        </w:rPr>
        <w:t>。</w:t>
      </w:r>
    </w:p>
    <w:p w14:paraId="0D268254">
      <w:pPr>
        <w:pStyle w:val="234"/>
      </w:pPr>
      <w:r>
        <w:rPr>
          <w:rFonts w:hint="eastAsia"/>
        </w:rPr>
        <w:t>（3）地下水类型及特征</w:t>
      </w:r>
    </w:p>
    <w:p w14:paraId="1F6DF04D">
      <w:pPr>
        <w:pStyle w:val="234"/>
      </w:pPr>
      <w:r>
        <w:rPr>
          <w:rFonts w:hint="eastAsia"/>
        </w:rPr>
        <w:t>区内水文地质条件简单，根据地层岩性及地下水赋存条件与水力特征，地下水可分为松散岩类孔隙水、基岩裂隙水及碳酸盐岩溶洞裂隙水三种类型。</w:t>
      </w:r>
    </w:p>
    <w:p w14:paraId="118322FE">
      <w:pPr>
        <w:pStyle w:val="234"/>
      </w:pPr>
      <w:r>
        <w:rPr>
          <w:rFonts w:hint="eastAsia"/>
        </w:rPr>
        <w:t>①松散岩类孔隙水</w:t>
      </w:r>
    </w:p>
    <w:p w14:paraId="5330990C">
      <w:pPr>
        <w:pStyle w:val="234"/>
        <w:kinsoku w:val="0"/>
        <w:overflowPunct w:val="0"/>
      </w:pPr>
      <w:r>
        <w:rPr>
          <w:rFonts w:hint="eastAsia"/>
        </w:rPr>
        <w:t>松散岩类孔隙水主要分布于舂陵水及两岸的Ⅰ级阶地中，其中上部为孔隙水，主要赋存于低液粘土中，主要接受大气降水补给，径流条件差，水量微弱，根据原状土样室内渗透试验，低液限粘土层渗透系数Kx=8.64×10</w:t>
      </w:r>
      <w:r>
        <w:rPr>
          <w:rFonts w:hint="eastAsia"/>
          <w:vertAlign w:val="superscript"/>
        </w:rPr>
        <w:t>-5</w:t>
      </w:r>
      <w:r>
        <w:rPr>
          <w:rFonts w:hint="eastAsia"/>
        </w:rPr>
        <w:t>cm/s～1.56×10</w:t>
      </w:r>
      <w:r>
        <w:rPr>
          <w:rFonts w:hint="eastAsia"/>
          <w:vertAlign w:val="superscript"/>
        </w:rPr>
        <w:t>-4</w:t>
      </w:r>
      <w:r>
        <w:rPr>
          <w:rFonts w:hint="eastAsia"/>
        </w:rPr>
        <w:t>cm/s，Ky=2.76×10</w:t>
      </w:r>
      <w:r>
        <w:rPr>
          <w:rFonts w:hint="eastAsia"/>
          <w:vertAlign w:val="superscript"/>
        </w:rPr>
        <w:t>-5</w:t>
      </w:r>
      <w:r>
        <w:rPr>
          <w:rFonts w:hint="eastAsia"/>
        </w:rPr>
        <w:t>cm/s～9.24×10</w:t>
      </w:r>
      <w:r>
        <w:rPr>
          <w:rFonts w:hint="eastAsia"/>
          <w:vertAlign w:val="superscript"/>
        </w:rPr>
        <w:t>-4</w:t>
      </w:r>
      <w:r>
        <w:rPr>
          <w:rFonts w:hint="eastAsia"/>
        </w:rPr>
        <w:t>cm/s，渗透等级主要为弱透水，为相对隔水层；下部为孔隙承压水，主要赋存于粉细砂、粗砂、含细粒土砾及卵石层中，现场注水试验细砂层渗透系数K=3.83×10</w:t>
      </w:r>
      <w:r>
        <w:rPr>
          <w:rFonts w:hint="eastAsia"/>
          <w:vertAlign w:val="superscript"/>
        </w:rPr>
        <w:t>-3</w:t>
      </w:r>
      <w:r>
        <w:rPr>
          <w:rFonts w:hint="eastAsia"/>
        </w:rPr>
        <w:t>～4.68×10</w:t>
      </w:r>
      <w:r>
        <w:rPr>
          <w:rFonts w:hint="eastAsia"/>
          <w:vertAlign w:val="superscript"/>
        </w:rPr>
        <w:t>-3</w:t>
      </w:r>
      <w:r>
        <w:rPr>
          <w:rFonts w:hint="eastAsia"/>
        </w:rPr>
        <w:t>cm/s，渗透等级为中等偏强透水，粗砂、含细粒土砾为中等偏强透水，卵石层为强透水，主要接受大气降水和河水补给，地下水循环交替条件一般，补给、径流条件一般，排泄范围广，水量中等，为相对含水层。</w:t>
      </w:r>
    </w:p>
    <w:p w14:paraId="067EC69B">
      <w:pPr>
        <w:pStyle w:val="234"/>
      </w:pPr>
      <w:r>
        <w:rPr>
          <w:rFonts w:hint="eastAsia"/>
        </w:rPr>
        <w:fldChar w:fldCharType="begin"/>
      </w:r>
      <w:r>
        <w:rPr>
          <w:rFonts w:hint="eastAsia"/>
        </w:rPr>
        <w:instrText xml:space="preserve"> = 2 \* GB3 \* MERGEFORMAT </w:instrText>
      </w:r>
      <w:r>
        <w:rPr>
          <w:rFonts w:hint="eastAsia"/>
        </w:rPr>
        <w:fldChar w:fldCharType="separate"/>
      </w:r>
      <w:r>
        <w:t>②</w:t>
      </w:r>
      <w:r>
        <w:rPr>
          <w:rFonts w:hint="eastAsia"/>
        </w:rPr>
        <w:fldChar w:fldCharType="end"/>
      </w:r>
      <w:r>
        <w:rPr>
          <w:rFonts w:hint="eastAsia"/>
        </w:rPr>
        <w:t>基岩裂隙水</w:t>
      </w:r>
    </w:p>
    <w:p w14:paraId="15AF9E35">
      <w:pPr>
        <w:pStyle w:val="234"/>
      </w:pPr>
      <w:r>
        <w:rPr>
          <w:rFonts w:hint="eastAsia"/>
        </w:rPr>
        <w:t>基岩裂隙水主要赋存于区内二迭系上统龙潭组基岩风化裂隙中，由于基岩裂隙较发育，但裂隙多闭合状，且为泥质充填，含弱基岩裂隙水，水量贫乏，主要接受大气降水补给和敖河河水侧向补给，其次接受地表水和上部松散岩类孔隙水补给，动态变化较大。地下水在裂隙、孔隙中径流，属孔隙裂隙层间水，径流条件一般～较差，地下水循环交替较为迟缓，常通过风化裂隙呈片状渗出，排泄于淝水河流中，其次以下降泉形式排泄。</w:t>
      </w:r>
    </w:p>
    <w:p w14:paraId="5CFE004A">
      <w:pPr>
        <w:pStyle w:val="234"/>
      </w:pPr>
      <w:r>
        <w:rPr>
          <w:rFonts w:hint="eastAsia"/>
        </w:rPr>
        <w:fldChar w:fldCharType="begin"/>
      </w:r>
      <w:r>
        <w:rPr>
          <w:rFonts w:hint="eastAsia"/>
        </w:rPr>
        <w:instrText xml:space="preserve"> = 3 \* GB3 \* MERGEFORMAT </w:instrText>
      </w:r>
      <w:r>
        <w:rPr>
          <w:rFonts w:hint="eastAsia"/>
        </w:rPr>
        <w:fldChar w:fldCharType="separate"/>
      </w:r>
      <w:r>
        <w:t>③</w:t>
      </w:r>
      <w:r>
        <w:rPr>
          <w:rFonts w:hint="eastAsia"/>
        </w:rPr>
        <w:fldChar w:fldCharType="end"/>
      </w:r>
      <w:r>
        <w:rPr>
          <w:rFonts w:hint="eastAsia"/>
        </w:rPr>
        <w:t>碳酸盐岩溶洞裂隙水</w:t>
      </w:r>
    </w:p>
    <w:p w14:paraId="5D371859">
      <w:pPr>
        <w:pStyle w:val="234"/>
      </w:pPr>
      <w:r>
        <w:rPr>
          <w:rFonts w:hint="eastAsia"/>
        </w:rPr>
        <w:t>碳酸盐岩裂隙溶洞水主要赋存于区内石灰岩风化裂隙及溶洞中，该地下水受地层岩性、构造和岩溶裂隙发育程度的影响，因本区灰岩岩溶裂隙较发育，地下水活动较为频繁，水量中等，地下水补给来源主要靠大气降水渗入补给和淝水及同一地层侧向补给，径流方向为自基岩岩溶裂隙地带流动，径流条件较好，地下水循环交替较为频繁，地下水向附近低洼地带、河沟边缘以泉的形式排泄，再流入舂陵水河流中。</w:t>
      </w:r>
    </w:p>
    <w:p w14:paraId="2864A50B">
      <w:pPr>
        <w:pStyle w:val="234"/>
      </w:pPr>
      <w:r>
        <w:rPr>
          <w:rFonts w:hint="eastAsia"/>
        </w:rPr>
        <w:t>（4）地下水径流、补给和排泄条件</w:t>
      </w:r>
    </w:p>
    <w:p w14:paraId="19925092">
      <w:pPr>
        <w:pStyle w:val="234"/>
      </w:pPr>
      <w:r>
        <w:t>项目所在区域大气降水量丰富，大气降水补充地下水充足，所在地浅层地下水补给来源主要为大气降水与地表水补给，所在地深层含水层与上层地下水水力联系微弱，主要接受上游地下水的径流补给。项目区域附近地下水径流方向为由西南向东北。排泄主要以水平径流方式，人工开采和蒸发的垂向排泄量不大。</w:t>
      </w:r>
    </w:p>
    <w:p w14:paraId="6A74C3D0">
      <w:pPr>
        <w:pStyle w:val="234"/>
      </w:pPr>
      <w:r>
        <w:t>据现场调查，场地内及附近一定范围内无活动性深大断层、断裂破碎带通过，勘察结果也未发现新构造运动的迹象，区域地质构造稳定。</w:t>
      </w:r>
    </w:p>
    <w:p w14:paraId="27343B83">
      <w:pPr>
        <w:pStyle w:val="234"/>
      </w:pPr>
      <w:r>
        <w:t>勘察场地及其影响的范围内自然地貌状态，未发现坍塌、滑坡、液化、断裂的不良地质现象。场地内无河道、沟滨、墓穴、防空洞、孤石等不利埋藏物。</w:t>
      </w:r>
    </w:p>
    <w:p w14:paraId="5551BA65">
      <w:pPr>
        <w:pStyle w:val="234"/>
      </w:pPr>
      <w:r>
        <w:rPr>
          <w:rFonts w:hint="eastAsia"/>
        </w:rPr>
        <w:t>（5）地下水开采利用现状</w:t>
      </w:r>
    </w:p>
    <w:p w14:paraId="567E27E1">
      <w:pPr>
        <w:pStyle w:val="234"/>
      </w:pPr>
      <w:r>
        <w:t>经调查了解，项目地下水评价范围内无集中饮用水源保护区、准保护区，无特殊需要保护的区域，周边农户存在分散式取水</w:t>
      </w:r>
      <w:r>
        <w:rPr>
          <w:rFonts w:hint="eastAsia"/>
        </w:rPr>
        <w:t>。</w:t>
      </w:r>
    </w:p>
    <w:p w14:paraId="2538AD7F">
      <w:pPr>
        <w:pStyle w:val="234"/>
      </w:pPr>
      <w:r>
        <w:t>本工程所在区域水文地质见图4.1-</w:t>
      </w:r>
      <w:r>
        <w:rPr>
          <w:rFonts w:hint="eastAsia"/>
        </w:rPr>
        <w:t>2。</w:t>
      </w:r>
    </w:p>
    <w:p w14:paraId="11C8EF2F">
      <w:pPr>
        <w:pStyle w:val="234"/>
        <w:ind w:firstLine="0" w:firstLineChars="0"/>
      </w:pPr>
      <w:r>
        <w:rPr>
          <w:rFonts w:hint="eastAsia"/>
        </w:rPr>
        <w:drawing>
          <wp:inline distT="0" distB="0" distL="114300" distR="114300">
            <wp:extent cx="5942965" cy="6339840"/>
            <wp:effectExtent l="9525" t="9525" r="10160" b="13335"/>
            <wp:docPr id="49" name="图片 49" descr="5529fac9f790ca11376c34c640068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5529fac9f790ca11376c34c640068f7"/>
                    <pic:cNvPicPr>
                      <a:picLocks noChangeAspect="1"/>
                    </pic:cNvPicPr>
                  </pic:nvPicPr>
                  <pic:blipFill>
                    <a:blip r:embed="rId59"/>
                    <a:stretch>
                      <a:fillRect/>
                    </a:stretch>
                  </pic:blipFill>
                  <pic:spPr>
                    <a:xfrm>
                      <a:off x="0" y="0"/>
                      <a:ext cx="5942965" cy="6339840"/>
                    </a:xfrm>
                    <a:prstGeom prst="rect">
                      <a:avLst/>
                    </a:prstGeom>
                    <a:ln>
                      <a:solidFill>
                        <a:schemeClr val="tx1"/>
                      </a:solidFill>
                    </a:ln>
                  </pic:spPr>
                </pic:pic>
              </a:graphicData>
            </a:graphic>
          </wp:inline>
        </w:drawing>
      </w:r>
    </w:p>
    <w:p w14:paraId="13EC066E">
      <w:pPr>
        <w:pStyle w:val="234"/>
        <w:ind w:firstLine="0" w:firstLineChars="0"/>
        <w:jc w:val="center"/>
        <w:rPr>
          <w:rFonts w:eastAsia="黑体"/>
          <w:snapToGrid w:val="0"/>
        </w:rPr>
      </w:pPr>
      <w:r>
        <w:rPr>
          <w:rFonts w:eastAsia="黑体"/>
          <w:snapToGrid w:val="0"/>
        </w:rPr>
        <w:t>图</w:t>
      </w:r>
      <w:r>
        <w:rPr>
          <w:rFonts w:hint="eastAsia" w:eastAsia="黑体"/>
          <w:snapToGrid w:val="0"/>
        </w:rPr>
        <w:t>4.1-2  项目区域水文地质</w:t>
      </w:r>
      <w:r>
        <w:rPr>
          <w:rFonts w:eastAsia="黑体"/>
          <w:snapToGrid w:val="0"/>
        </w:rPr>
        <w:t>图</w:t>
      </w:r>
    </w:p>
    <w:p w14:paraId="6E1F7A17">
      <w:pPr>
        <w:pStyle w:val="5"/>
        <w:rPr>
          <w:color w:val="auto"/>
        </w:rPr>
      </w:pPr>
      <w:r>
        <w:rPr>
          <w:color w:val="auto"/>
        </w:rPr>
        <w:t>土壤、植被</w:t>
      </w:r>
    </w:p>
    <w:p w14:paraId="350230EE">
      <w:pPr>
        <w:pStyle w:val="234"/>
      </w:pPr>
      <w:r>
        <w:t>（1）</w:t>
      </w:r>
      <w:r>
        <w:rPr>
          <w:rFonts w:hint="eastAsia"/>
        </w:rPr>
        <w:t>土壤</w:t>
      </w:r>
    </w:p>
    <w:p w14:paraId="719FBC60">
      <w:pPr>
        <w:pStyle w:val="234"/>
      </w:pPr>
      <w:r>
        <w:rPr>
          <w:rFonts w:hint="eastAsia"/>
        </w:rPr>
        <w:t>本工程所在区域土壤类型主要是红壤，成土母质主要为第四系红色粘土和砂岩、泥岩的风化物等，土壤呈酸性～强酸性反应，表土与心土</w:t>
      </w:r>
      <w:r>
        <w:t>pH</w:t>
      </w:r>
      <w:r>
        <w:rPr>
          <w:rFonts w:hint="eastAsia"/>
        </w:rPr>
        <w:t>值为</w:t>
      </w:r>
      <w:r>
        <w:t>5.0</w:t>
      </w:r>
      <w:r>
        <w:rPr>
          <w:rFonts w:hint="eastAsia"/>
        </w:rPr>
        <w:t>～</w:t>
      </w:r>
      <w:r>
        <w:t>5.5</w:t>
      </w:r>
      <w:r>
        <w:rPr>
          <w:rFonts w:hint="eastAsia"/>
        </w:rPr>
        <w:t>，底土</w:t>
      </w:r>
      <w:r>
        <w:t>pH</w:t>
      </w:r>
      <w:r>
        <w:rPr>
          <w:rFonts w:hint="eastAsia"/>
        </w:rPr>
        <w:t>值</w:t>
      </w:r>
      <w:r>
        <w:t>4.0</w:t>
      </w:r>
      <w:r>
        <w:rPr>
          <w:rFonts w:hint="eastAsia"/>
        </w:rPr>
        <w:t>；红壤交换性铝可达</w:t>
      </w:r>
      <w:r>
        <w:t>2</w:t>
      </w:r>
      <w:r>
        <w:rPr>
          <w:rFonts w:hint="eastAsia"/>
        </w:rPr>
        <w:t>～</w:t>
      </w:r>
      <w:r>
        <w:t>6cmol/kg</w:t>
      </w:r>
      <w:r>
        <w:rPr>
          <w:rFonts w:hint="eastAsia"/>
        </w:rPr>
        <w:t>，约占潜性酸的</w:t>
      </w:r>
      <w:r>
        <w:t>80</w:t>
      </w:r>
      <w:r>
        <w:rPr>
          <w:rFonts w:hint="eastAsia"/>
        </w:rPr>
        <w:t>％～</w:t>
      </w:r>
      <w:r>
        <w:t>95</w:t>
      </w:r>
      <w:r>
        <w:rPr>
          <w:rFonts w:hint="eastAsia"/>
        </w:rPr>
        <w:t>％以上；盐基饱和度在</w:t>
      </w:r>
      <w:r>
        <w:t>40</w:t>
      </w:r>
      <w:r>
        <w:rPr>
          <w:rFonts w:hint="eastAsia"/>
        </w:rPr>
        <w:t>％左右。分为</w:t>
      </w:r>
      <w:r>
        <w:t>A</w:t>
      </w:r>
      <w:r>
        <w:rPr>
          <w:rFonts w:hint="eastAsia"/>
        </w:rPr>
        <w:t>、</w:t>
      </w:r>
      <w:r>
        <w:t>B</w:t>
      </w:r>
      <w:r>
        <w:rPr>
          <w:rFonts w:hint="eastAsia"/>
        </w:rPr>
        <w:t>、</w:t>
      </w:r>
      <w:r>
        <w:t>C</w:t>
      </w:r>
      <w:r>
        <w:rPr>
          <w:rFonts w:hint="eastAsia"/>
        </w:rPr>
        <w:t>三层，</w:t>
      </w:r>
      <w:r>
        <w:t>A</w:t>
      </w:r>
      <w:r>
        <w:rPr>
          <w:rFonts w:hint="eastAsia"/>
        </w:rPr>
        <w:t>层一般厚度为</w:t>
      </w:r>
      <w:r>
        <w:t>20</w:t>
      </w:r>
      <w:r>
        <w:rPr>
          <w:rFonts w:hint="eastAsia"/>
        </w:rPr>
        <w:t>～</w:t>
      </w:r>
      <w:r>
        <w:t>40cm</w:t>
      </w:r>
      <w:r>
        <w:rPr>
          <w:rFonts w:hint="eastAsia"/>
        </w:rPr>
        <w:t>，暗棕色，腐殖层厚度只有</w:t>
      </w:r>
      <w:r>
        <w:t>10</w:t>
      </w:r>
      <w:r>
        <w:rPr>
          <w:rFonts w:hint="eastAsia"/>
        </w:rPr>
        <w:t>～</w:t>
      </w:r>
      <w:r>
        <w:t>20cm</w:t>
      </w:r>
      <w:r>
        <w:rPr>
          <w:rFonts w:hint="eastAsia"/>
        </w:rPr>
        <w:t>。</w:t>
      </w:r>
      <w:r>
        <w:t>B</w:t>
      </w:r>
      <w:r>
        <w:rPr>
          <w:rFonts w:hint="eastAsia"/>
        </w:rPr>
        <w:t>层为铁铝淀积层，厚度</w:t>
      </w:r>
      <w:r>
        <w:t>0.5</w:t>
      </w:r>
      <w:r>
        <w:rPr>
          <w:rFonts w:hint="eastAsia"/>
        </w:rPr>
        <w:t>～</w:t>
      </w:r>
      <w:r>
        <w:t>2m</w:t>
      </w:r>
      <w:r>
        <w:rPr>
          <w:rFonts w:hint="eastAsia"/>
        </w:rPr>
        <w:t>，呈均匀红色或棕红色，紧实粘重，呈核块状结构，常有铁、锰胶膜和胶结层出现，因而分化为铁铝淋溶淀积与网纹层等亚层。</w:t>
      </w:r>
      <w:r>
        <w:t>C</w:t>
      </w:r>
      <w:r>
        <w:rPr>
          <w:rFonts w:hint="eastAsia"/>
        </w:rPr>
        <w:t>层包括红色风化壳和各种岩石风化物，呈红色、橙红色。土层厚度因地形而已，有机质含量一般为</w:t>
      </w:r>
      <w:r>
        <w:t>4.0</w:t>
      </w:r>
      <w:r>
        <w:rPr>
          <w:rFonts w:hint="eastAsia"/>
        </w:rPr>
        <w:t>～</w:t>
      </w:r>
      <w:r>
        <w:t>6.6g/kg</w:t>
      </w:r>
      <w:r>
        <w:rPr>
          <w:rFonts w:hint="eastAsia"/>
        </w:rPr>
        <w:t>，一般养分含量不高，氮、磷、钾供应不足，有效磷极少。腐殖质</w:t>
      </w:r>
      <w:r>
        <w:t>H/F</w:t>
      </w:r>
      <w:r>
        <w:rPr>
          <w:rFonts w:hint="eastAsia"/>
        </w:rPr>
        <w:t>为</w:t>
      </w:r>
      <w:r>
        <w:t>0.3</w:t>
      </w:r>
      <w:r>
        <w:rPr>
          <w:rFonts w:hint="eastAsia"/>
        </w:rPr>
        <w:t>～</w:t>
      </w:r>
      <w:r>
        <w:t>0.4</w:t>
      </w:r>
      <w:r>
        <w:rPr>
          <w:rFonts w:hint="eastAsia"/>
        </w:rPr>
        <w:t>，粘粒</w:t>
      </w:r>
      <w:r>
        <w:t>SiO</w:t>
      </w:r>
      <w:r>
        <w:rPr>
          <w:vertAlign w:val="subscript"/>
        </w:rPr>
        <w:t>2</w:t>
      </w:r>
      <w:r>
        <w:t>/Al</w:t>
      </w:r>
      <w:r>
        <w:rPr>
          <w:vertAlign w:val="subscript"/>
        </w:rPr>
        <w:t>2</w:t>
      </w:r>
      <w:r>
        <w:t>O</w:t>
      </w:r>
      <w:r>
        <w:rPr>
          <w:vertAlign w:val="subscript"/>
        </w:rPr>
        <w:t>3</w:t>
      </w:r>
      <w:r>
        <w:rPr>
          <w:rFonts w:hint="eastAsia"/>
        </w:rPr>
        <w:t>为</w:t>
      </w:r>
      <w:r>
        <w:t>2.0</w:t>
      </w:r>
      <w:r>
        <w:rPr>
          <w:rFonts w:hint="eastAsia"/>
        </w:rPr>
        <w:t>～</w:t>
      </w:r>
      <w:r>
        <w:t>2.4</w:t>
      </w:r>
      <w:r>
        <w:rPr>
          <w:rFonts w:hint="eastAsia"/>
        </w:rPr>
        <w:t>。</w:t>
      </w:r>
    </w:p>
    <w:p w14:paraId="6B42AEE5">
      <w:pPr>
        <w:pStyle w:val="234"/>
      </w:pPr>
      <w:r>
        <w:rPr>
          <w:rFonts w:hint="eastAsia"/>
        </w:rPr>
        <w:t>（2）</w:t>
      </w:r>
      <w:r>
        <w:t>植被</w:t>
      </w:r>
    </w:p>
    <w:p w14:paraId="798171E8">
      <w:pPr>
        <w:pStyle w:val="234"/>
      </w:pPr>
      <w:r>
        <w:t>耒阳市</w:t>
      </w:r>
      <w:r>
        <w:rPr>
          <w:rFonts w:hint="eastAsia"/>
        </w:rPr>
        <w:t>气候多雨湿润，植被生长条件较好，</w:t>
      </w:r>
      <w:r>
        <w:t>地处中亚热带常绿阔叶林区，植物资源丰富，常见的约380余种，其中乔木202种，灌木143种、藤木22种、竹类20种，已被广泛利用的优势种群有油茶、杉、松、竹、樟、楠等</w:t>
      </w:r>
      <w:r>
        <w:rPr>
          <w:rFonts w:hint="eastAsia"/>
        </w:rPr>
        <w:t>。草本植物为茅草、针茅及蒿类</w:t>
      </w:r>
      <w:r>
        <w:t>。</w:t>
      </w:r>
    </w:p>
    <w:p w14:paraId="451B25F7">
      <w:pPr>
        <w:pStyle w:val="5"/>
        <w:rPr>
          <w:color w:val="auto"/>
        </w:rPr>
      </w:pPr>
      <w:r>
        <w:rPr>
          <w:color w:val="auto"/>
        </w:rPr>
        <w:t>野生动物</w:t>
      </w:r>
    </w:p>
    <w:p w14:paraId="7B5FC559">
      <w:pPr>
        <w:pStyle w:val="234"/>
      </w:pPr>
      <w:r>
        <w:t>本工程沿线区域的</w:t>
      </w:r>
      <w:r>
        <w:rPr>
          <w:rFonts w:hint="eastAsia"/>
        </w:rPr>
        <w:t>野生动物多为适应耕地和居民点种类，林栖鸟类已少见，而盗食谷物的鼠类和鸟类有所增加，生活于稻田区捕食昆虫、鼠类的两栖类、爬行类动物较多，主要野生动物物种有斑鸠、杜鹃、麻雀、蝙蝠、黄鼬，家畜、家禽有猪、牛、羊、鸡、鸭、兔等。</w:t>
      </w:r>
    </w:p>
    <w:p w14:paraId="451E17D8">
      <w:pPr>
        <w:pStyle w:val="234"/>
      </w:pPr>
      <w:r>
        <w:rPr>
          <w:rFonts w:hint="eastAsia"/>
        </w:rPr>
        <w:t>项目附近无珍稀水生生物资源，亦无珍稀鱼类资源产卵场、越冬场和索饵场分布</w:t>
      </w:r>
      <w:r>
        <w:t>。</w:t>
      </w:r>
    </w:p>
    <w:p w14:paraId="61EB25EB">
      <w:pPr>
        <w:pStyle w:val="234"/>
      </w:pPr>
      <w:r>
        <w:t>由于评价区内人为活动频繁，长期受到人为干扰，导致野生动物数量较少，尤其是大型动物几乎绝迹。经调查和走访，评价区内未发现有国家重点保护动物。</w:t>
      </w:r>
    </w:p>
    <w:p w14:paraId="74404863">
      <w:pPr>
        <w:pStyle w:val="4"/>
      </w:pPr>
      <w:bookmarkStart w:id="163" w:name="3.1.8.1_土地资源"/>
      <w:bookmarkEnd w:id="163"/>
      <w:bookmarkStart w:id="164" w:name="_Toc72672348"/>
      <w:bookmarkStart w:id="165" w:name="_Toc7534"/>
      <w:r>
        <w:t>环境质量现状</w:t>
      </w:r>
      <w:bookmarkEnd w:id="164"/>
      <w:r>
        <w:t>评价</w:t>
      </w:r>
      <w:bookmarkEnd w:id="165"/>
    </w:p>
    <w:p w14:paraId="2DD8A7B2">
      <w:pPr>
        <w:pStyle w:val="5"/>
        <w:rPr>
          <w:color w:val="auto"/>
          <w:lang w:val="zh-CN"/>
        </w:rPr>
      </w:pPr>
      <w:r>
        <w:rPr>
          <w:color w:val="auto"/>
          <w:lang w:val="zh-CN"/>
        </w:rPr>
        <w:t xml:space="preserve"> 环境空气质量现状</w:t>
      </w:r>
    </w:p>
    <w:p w14:paraId="3DD4B0FE">
      <w:pPr>
        <w:pStyle w:val="234"/>
      </w:pPr>
      <w:r>
        <w:t>根据《环境影响评价技术导则大气环境》(HJ 2.2-2018）中有关规定，本次评价引用</w:t>
      </w:r>
      <w:r>
        <w:rPr>
          <w:rFonts w:hint="eastAsia"/>
        </w:rPr>
        <w:t>衡阳市生态环境局发布的</w:t>
      </w:r>
      <w:r>
        <w:t>《</w:t>
      </w:r>
      <w:r>
        <w:rPr>
          <w:rFonts w:hint="eastAsia"/>
        </w:rPr>
        <w:t>关于2023年12月及1-12月全市环境质量的通报</w:t>
      </w:r>
      <w:r>
        <w:t>》(202</w:t>
      </w:r>
      <w:r>
        <w:rPr>
          <w:rFonts w:hint="eastAsia"/>
        </w:rPr>
        <w:t>4</w:t>
      </w:r>
      <w:r>
        <w:t>年</w:t>
      </w:r>
      <w:r>
        <w:rPr>
          <w:rFonts w:hint="eastAsia"/>
        </w:rPr>
        <w:t>2</w:t>
      </w:r>
      <w:r>
        <w:t>月</w:t>
      </w:r>
      <w:r>
        <w:rPr>
          <w:rFonts w:hint="eastAsia"/>
        </w:rPr>
        <w:t>2</w:t>
      </w:r>
      <w:r>
        <w:t>日)中</w:t>
      </w:r>
      <w:r>
        <w:rPr>
          <w:rFonts w:hint="eastAsia"/>
        </w:rPr>
        <w:t>耒阳市</w:t>
      </w:r>
      <w:r>
        <w:t>的监测结果和结论进行本工程所在行政区域的环境空气质量达标情况判断，对项目特征污染物进行补充监测。</w:t>
      </w:r>
    </w:p>
    <w:p w14:paraId="38999C01">
      <w:pPr>
        <w:pStyle w:val="7"/>
        <w:rPr>
          <w:lang w:val="zh-CN"/>
        </w:rPr>
      </w:pPr>
      <w:r>
        <w:t>大气环境质量现状达标情况判定</w:t>
      </w:r>
    </w:p>
    <w:p w14:paraId="0CE1987B">
      <w:pPr>
        <w:pStyle w:val="234"/>
      </w:pPr>
      <w:r>
        <w:t>根据大气功能区划分，项目所在地属于环境空气二类功能区，环境空气质量执行《环境空气质量标准》(GB3095-2012)及修改单中二级标准。根据《环境影响评价技术导则大气环境》(HJ2.2-2018)中“项目所在区域达标判定，优先采用国家或地方生态环境主管部门公开发布的评价基准年环境质量公告或环境质量报告中的数据或结论”。</w:t>
      </w:r>
    </w:p>
    <w:p w14:paraId="391EF632">
      <w:pPr>
        <w:pStyle w:val="234"/>
      </w:pPr>
      <w:r>
        <w:t>根据</w:t>
      </w:r>
      <w:r>
        <w:rPr>
          <w:rFonts w:hint="eastAsia"/>
        </w:rPr>
        <w:t>衡阳市生态环境局发布的</w:t>
      </w:r>
      <w:r>
        <w:t>《</w:t>
      </w:r>
      <w:r>
        <w:rPr>
          <w:rFonts w:hint="eastAsia"/>
        </w:rPr>
        <w:t>关于2023年12月及1-12月全市环境质量的通报</w:t>
      </w:r>
      <w:r>
        <w:t>》(202</w:t>
      </w:r>
      <w:r>
        <w:rPr>
          <w:rFonts w:hint="eastAsia"/>
        </w:rPr>
        <w:t>4</w:t>
      </w:r>
      <w:r>
        <w:t>年</w:t>
      </w:r>
      <w:r>
        <w:rPr>
          <w:rFonts w:hint="eastAsia"/>
        </w:rPr>
        <w:t>2</w:t>
      </w:r>
      <w:r>
        <w:t>月</w:t>
      </w:r>
      <w:r>
        <w:rPr>
          <w:rFonts w:hint="eastAsia"/>
        </w:rPr>
        <w:t>2</w:t>
      </w:r>
      <w:r>
        <w:t>日)，202</w:t>
      </w:r>
      <w:r>
        <w:rPr>
          <w:rFonts w:hint="eastAsia"/>
        </w:rPr>
        <w:t>3</w:t>
      </w:r>
      <w:r>
        <w:t>年</w:t>
      </w:r>
      <w:r>
        <w:rPr>
          <w:rFonts w:hint="eastAsia"/>
        </w:rPr>
        <w:t>耒阳</w:t>
      </w:r>
      <w:r>
        <w:t>市环境空气中PM</w:t>
      </w:r>
      <w:r>
        <w:rPr>
          <w:vertAlign w:val="subscript"/>
        </w:rPr>
        <w:t>2.5</w:t>
      </w:r>
      <w:r>
        <w:t>、PM</w:t>
      </w:r>
      <w:r>
        <w:rPr>
          <w:vertAlign w:val="subscript"/>
        </w:rPr>
        <w:t>10</w:t>
      </w:r>
      <w:r>
        <w:t>、SO</w:t>
      </w:r>
      <w:r>
        <w:rPr>
          <w:vertAlign w:val="subscript"/>
        </w:rPr>
        <w:t>2</w:t>
      </w:r>
      <w:r>
        <w:t>、NO</w:t>
      </w:r>
      <w:r>
        <w:rPr>
          <w:vertAlign w:val="subscript"/>
        </w:rPr>
        <w:t>2</w:t>
      </w:r>
      <w:r>
        <w:t>、O</w:t>
      </w:r>
      <w:r>
        <w:rPr>
          <w:vertAlign w:val="subscript"/>
        </w:rPr>
        <w:t>3</w:t>
      </w:r>
      <w:r>
        <w:rPr>
          <w:rFonts w:hint="eastAsia"/>
        </w:rPr>
        <w:t>、C</w:t>
      </w:r>
      <w:r>
        <w:t>O浓度均符合《环境空气质量标准》（GB3095-2012）中二级标准</w:t>
      </w:r>
      <w:r>
        <w:rPr>
          <w:rFonts w:hint="eastAsia"/>
        </w:rPr>
        <w:t>，属于达标区。详见表4.2-1</w:t>
      </w:r>
      <w:r>
        <w:t>。</w:t>
      </w:r>
    </w:p>
    <w:p w14:paraId="11436D3A">
      <w:pPr>
        <w:pStyle w:val="904"/>
      </w:pPr>
    </w:p>
    <w:p w14:paraId="725E60D9">
      <w:pPr>
        <w:pStyle w:val="904"/>
      </w:pPr>
    </w:p>
    <w:p w14:paraId="789C7041">
      <w:pPr>
        <w:pStyle w:val="904"/>
      </w:pPr>
      <w:r>
        <w:rPr>
          <w:rFonts w:hint="eastAsia"/>
        </w:rPr>
        <w:t>表4</w:t>
      </w:r>
      <w:r>
        <w:t xml:space="preserve">.2-1  </w:t>
      </w:r>
      <w:r>
        <w:rPr>
          <w:rFonts w:hint="eastAsia"/>
        </w:rPr>
        <w:t>耒阳市2</w:t>
      </w:r>
      <w:r>
        <w:t>02</w:t>
      </w:r>
      <w:r>
        <w:rPr>
          <w:rFonts w:hint="eastAsia"/>
        </w:rPr>
        <w:t>3年环境空气质量数据统计</w:t>
      </w:r>
    </w:p>
    <w:tbl>
      <w:tblPr>
        <w:tblStyle w:val="8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7"/>
        <w:gridCol w:w="1909"/>
        <w:gridCol w:w="1372"/>
        <w:gridCol w:w="1596"/>
        <w:gridCol w:w="1596"/>
        <w:gridCol w:w="1606"/>
      </w:tblGrid>
      <w:tr w14:paraId="43FE0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6" w:type="pct"/>
            <w:vAlign w:val="center"/>
          </w:tcPr>
          <w:p w14:paraId="4AB545A6">
            <w:pPr>
              <w:jc w:val="center"/>
              <w:rPr>
                <w:szCs w:val="21"/>
              </w:rPr>
            </w:pPr>
            <w:r>
              <w:rPr>
                <w:szCs w:val="21"/>
              </w:rPr>
              <w:t>评价因子</w:t>
            </w:r>
          </w:p>
        </w:tc>
        <w:tc>
          <w:tcPr>
            <w:tcW w:w="995" w:type="pct"/>
            <w:vAlign w:val="center"/>
          </w:tcPr>
          <w:p w14:paraId="6EBEA01C">
            <w:pPr>
              <w:jc w:val="center"/>
              <w:rPr>
                <w:szCs w:val="21"/>
              </w:rPr>
            </w:pPr>
            <w:r>
              <w:rPr>
                <w:szCs w:val="21"/>
              </w:rPr>
              <w:t>平均时段</w:t>
            </w:r>
          </w:p>
        </w:tc>
        <w:tc>
          <w:tcPr>
            <w:tcW w:w="715" w:type="pct"/>
            <w:vAlign w:val="center"/>
          </w:tcPr>
          <w:p w14:paraId="131F30FB">
            <w:pPr>
              <w:jc w:val="center"/>
              <w:rPr>
                <w:szCs w:val="21"/>
              </w:rPr>
            </w:pPr>
            <w:r>
              <w:rPr>
                <w:szCs w:val="21"/>
              </w:rPr>
              <w:t>百分位</w:t>
            </w:r>
          </w:p>
        </w:tc>
        <w:tc>
          <w:tcPr>
            <w:tcW w:w="832" w:type="pct"/>
            <w:vAlign w:val="center"/>
          </w:tcPr>
          <w:p w14:paraId="6B26F128">
            <w:pPr>
              <w:jc w:val="center"/>
              <w:rPr>
                <w:szCs w:val="21"/>
              </w:rPr>
            </w:pPr>
            <w:r>
              <w:rPr>
                <w:szCs w:val="21"/>
              </w:rPr>
              <w:t>现状浓度</w:t>
            </w:r>
          </w:p>
          <w:p w14:paraId="1AD757DB">
            <w:pPr>
              <w:jc w:val="center"/>
              <w:rPr>
                <w:szCs w:val="21"/>
              </w:rPr>
            </w:pPr>
            <w:r>
              <w:rPr>
                <w:szCs w:val="21"/>
              </w:rPr>
              <w:t>µg/m</w:t>
            </w:r>
            <w:r>
              <w:rPr>
                <w:szCs w:val="21"/>
                <w:vertAlign w:val="superscript"/>
              </w:rPr>
              <w:t>3</w:t>
            </w:r>
          </w:p>
        </w:tc>
        <w:tc>
          <w:tcPr>
            <w:tcW w:w="832" w:type="pct"/>
            <w:vAlign w:val="center"/>
          </w:tcPr>
          <w:p w14:paraId="0A22C4F5">
            <w:pPr>
              <w:jc w:val="center"/>
              <w:rPr>
                <w:szCs w:val="21"/>
              </w:rPr>
            </w:pPr>
            <w:r>
              <w:rPr>
                <w:rFonts w:hint="eastAsia"/>
                <w:szCs w:val="21"/>
              </w:rPr>
              <w:t>标准浓度</w:t>
            </w:r>
          </w:p>
          <w:p w14:paraId="698161D4">
            <w:pPr>
              <w:jc w:val="center"/>
              <w:rPr>
                <w:szCs w:val="21"/>
              </w:rPr>
            </w:pPr>
            <w:r>
              <w:rPr>
                <w:szCs w:val="21"/>
              </w:rPr>
              <w:t>µg/m</w:t>
            </w:r>
            <w:r>
              <w:rPr>
                <w:szCs w:val="21"/>
                <w:vertAlign w:val="superscript"/>
              </w:rPr>
              <w:t>3</w:t>
            </w:r>
          </w:p>
        </w:tc>
        <w:tc>
          <w:tcPr>
            <w:tcW w:w="837" w:type="pct"/>
            <w:vAlign w:val="center"/>
          </w:tcPr>
          <w:p w14:paraId="68D4F996">
            <w:pPr>
              <w:jc w:val="center"/>
              <w:rPr>
                <w:szCs w:val="21"/>
              </w:rPr>
            </w:pPr>
            <w:r>
              <w:rPr>
                <w:rFonts w:hint="eastAsia"/>
                <w:szCs w:val="21"/>
              </w:rPr>
              <w:t>达标情况</w:t>
            </w:r>
          </w:p>
        </w:tc>
      </w:tr>
      <w:tr w14:paraId="62ADA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6" w:type="pct"/>
            <w:vAlign w:val="center"/>
          </w:tcPr>
          <w:p w14:paraId="25FE6C87">
            <w:pPr>
              <w:jc w:val="center"/>
              <w:rPr>
                <w:szCs w:val="21"/>
              </w:rPr>
            </w:pPr>
            <w:r>
              <w:t>SO</w:t>
            </w:r>
            <w:r>
              <w:rPr>
                <w:vertAlign w:val="subscript"/>
              </w:rPr>
              <w:t>2</w:t>
            </w:r>
          </w:p>
        </w:tc>
        <w:tc>
          <w:tcPr>
            <w:tcW w:w="995" w:type="pct"/>
            <w:vAlign w:val="center"/>
          </w:tcPr>
          <w:p w14:paraId="31F8DD20">
            <w:pPr>
              <w:jc w:val="center"/>
              <w:rPr>
                <w:szCs w:val="21"/>
              </w:rPr>
            </w:pPr>
            <w:r>
              <w:rPr>
                <w:rFonts w:hint="eastAsia"/>
                <w:szCs w:val="21"/>
              </w:rPr>
              <w:t>年平均浓度</w:t>
            </w:r>
          </w:p>
        </w:tc>
        <w:tc>
          <w:tcPr>
            <w:tcW w:w="715" w:type="pct"/>
            <w:vAlign w:val="center"/>
          </w:tcPr>
          <w:p w14:paraId="43981F18">
            <w:pPr>
              <w:jc w:val="center"/>
              <w:rPr>
                <w:szCs w:val="21"/>
              </w:rPr>
            </w:pPr>
            <w:r>
              <w:rPr>
                <w:rFonts w:hint="eastAsia"/>
                <w:szCs w:val="21"/>
              </w:rPr>
              <w:t>--</w:t>
            </w:r>
          </w:p>
        </w:tc>
        <w:tc>
          <w:tcPr>
            <w:tcW w:w="832" w:type="pct"/>
            <w:vAlign w:val="center"/>
          </w:tcPr>
          <w:p w14:paraId="20612FAC">
            <w:pPr>
              <w:jc w:val="center"/>
              <w:rPr>
                <w:szCs w:val="21"/>
              </w:rPr>
            </w:pPr>
            <w:r>
              <w:rPr>
                <w:rFonts w:hint="eastAsia"/>
                <w:szCs w:val="21"/>
              </w:rPr>
              <w:t>9</w:t>
            </w:r>
          </w:p>
        </w:tc>
        <w:tc>
          <w:tcPr>
            <w:tcW w:w="832" w:type="pct"/>
            <w:vAlign w:val="center"/>
          </w:tcPr>
          <w:p w14:paraId="51129039">
            <w:pPr>
              <w:jc w:val="center"/>
              <w:rPr>
                <w:szCs w:val="21"/>
              </w:rPr>
            </w:pPr>
            <w:r>
              <w:rPr>
                <w:rFonts w:hint="eastAsia"/>
                <w:szCs w:val="21"/>
              </w:rPr>
              <w:t>60</w:t>
            </w:r>
          </w:p>
        </w:tc>
        <w:tc>
          <w:tcPr>
            <w:tcW w:w="837" w:type="pct"/>
            <w:vAlign w:val="center"/>
          </w:tcPr>
          <w:p w14:paraId="5708FCC2">
            <w:pPr>
              <w:jc w:val="center"/>
              <w:rPr>
                <w:szCs w:val="21"/>
              </w:rPr>
            </w:pPr>
            <w:r>
              <w:rPr>
                <w:rFonts w:hint="eastAsia"/>
                <w:szCs w:val="21"/>
              </w:rPr>
              <w:t>达标</w:t>
            </w:r>
          </w:p>
        </w:tc>
      </w:tr>
      <w:tr w14:paraId="0A991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6" w:type="pct"/>
            <w:vAlign w:val="center"/>
          </w:tcPr>
          <w:p w14:paraId="095EA827">
            <w:pPr>
              <w:jc w:val="center"/>
              <w:rPr>
                <w:szCs w:val="21"/>
              </w:rPr>
            </w:pPr>
            <w:r>
              <w:t>NO</w:t>
            </w:r>
            <w:r>
              <w:rPr>
                <w:vertAlign w:val="subscript"/>
              </w:rPr>
              <w:t>2</w:t>
            </w:r>
          </w:p>
        </w:tc>
        <w:tc>
          <w:tcPr>
            <w:tcW w:w="995" w:type="pct"/>
            <w:vAlign w:val="center"/>
          </w:tcPr>
          <w:p w14:paraId="7B0CC4B6">
            <w:pPr>
              <w:jc w:val="center"/>
              <w:rPr>
                <w:szCs w:val="21"/>
              </w:rPr>
            </w:pPr>
            <w:r>
              <w:rPr>
                <w:rFonts w:hint="eastAsia"/>
                <w:szCs w:val="21"/>
              </w:rPr>
              <w:t>年平均浓度</w:t>
            </w:r>
          </w:p>
        </w:tc>
        <w:tc>
          <w:tcPr>
            <w:tcW w:w="715" w:type="pct"/>
            <w:vAlign w:val="center"/>
          </w:tcPr>
          <w:p w14:paraId="3F01535A">
            <w:pPr>
              <w:jc w:val="center"/>
              <w:rPr>
                <w:szCs w:val="21"/>
              </w:rPr>
            </w:pPr>
            <w:r>
              <w:rPr>
                <w:rFonts w:hint="eastAsia"/>
                <w:szCs w:val="21"/>
              </w:rPr>
              <w:t>--</w:t>
            </w:r>
          </w:p>
        </w:tc>
        <w:tc>
          <w:tcPr>
            <w:tcW w:w="832" w:type="pct"/>
            <w:vAlign w:val="center"/>
          </w:tcPr>
          <w:p w14:paraId="679727CA">
            <w:pPr>
              <w:jc w:val="center"/>
              <w:rPr>
                <w:szCs w:val="21"/>
              </w:rPr>
            </w:pPr>
            <w:r>
              <w:rPr>
                <w:rFonts w:hint="eastAsia"/>
                <w:szCs w:val="21"/>
              </w:rPr>
              <w:t>16</w:t>
            </w:r>
          </w:p>
        </w:tc>
        <w:tc>
          <w:tcPr>
            <w:tcW w:w="832" w:type="pct"/>
            <w:vAlign w:val="center"/>
          </w:tcPr>
          <w:p w14:paraId="3ED4255B">
            <w:pPr>
              <w:jc w:val="center"/>
              <w:rPr>
                <w:szCs w:val="21"/>
              </w:rPr>
            </w:pPr>
            <w:r>
              <w:rPr>
                <w:rFonts w:hint="eastAsia"/>
                <w:szCs w:val="21"/>
              </w:rPr>
              <w:t>40</w:t>
            </w:r>
          </w:p>
        </w:tc>
        <w:tc>
          <w:tcPr>
            <w:tcW w:w="837" w:type="pct"/>
            <w:vAlign w:val="center"/>
          </w:tcPr>
          <w:p w14:paraId="21F98B53">
            <w:pPr>
              <w:jc w:val="center"/>
              <w:rPr>
                <w:szCs w:val="21"/>
              </w:rPr>
            </w:pPr>
            <w:r>
              <w:rPr>
                <w:rFonts w:hint="eastAsia"/>
                <w:szCs w:val="21"/>
              </w:rPr>
              <w:t>达标</w:t>
            </w:r>
          </w:p>
        </w:tc>
      </w:tr>
      <w:tr w14:paraId="1E85D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6" w:type="pct"/>
            <w:vAlign w:val="center"/>
          </w:tcPr>
          <w:p w14:paraId="1B18FB8E">
            <w:pPr>
              <w:jc w:val="center"/>
              <w:rPr>
                <w:szCs w:val="21"/>
              </w:rPr>
            </w:pPr>
            <w:r>
              <w:rPr>
                <w:rFonts w:hint="eastAsia"/>
              </w:rPr>
              <w:t>C</w:t>
            </w:r>
            <w:r>
              <w:t>O</w:t>
            </w:r>
          </w:p>
        </w:tc>
        <w:tc>
          <w:tcPr>
            <w:tcW w:w="995" w:type="pct"/>
            <w:vAlign w:val="center"/>
          </w:tcPr>
          <w:p w14:paraId="4B4E9131">
            <w:pPr>
              <w:jc w:val="center"/>
              <w:rPr>
                <w:szCs w:val="21"/>
              </w:rPr>
            </w:pPr>
            <w:r>
              <w:rPr>
                <w:rFonts w:hint="eastAsia"/>
                <w:szCs w:val="21"/>
              </w:rPr>
              <w:t>百分位上日平均</w:t>
            </w:r>
          </w:p>
        </w:tc>
        <w:tc>
          <w:tcPr>
            <w:tcW w:w="715" w:type="pct"/>
            <w:vAlign w:val="center"/>
          </w:tcPr>
          <w:p w14:paraId="7C7EFE41">
            <w:pPr>
              <w:jc w:val="center"/>
              <w:rPr>
                <w:szCs w:val="21"/>
              </w:rPr>
            </w:pPr>
            <w:r>
              <w:rPr>
                <w:rFonts w:hint="eastAsia"/>
                <w:szCs w:val="21"/>
              </w:rPr>
              <w:t>95</w:t>
            </w:r>
          </w:p>
        </w:tc>
        <w:tc>
          <w:tcPr>
            <w:tcW w:w="832" w:type="pct"/>
            <w:vAlign w:val="center"/>
          </w:tcPr>
          <w:p w14:paraId="28851773">
            <w:pPr>
              <w:jc w:val="center"/>
              <w:rPr>
                <w:szCs w:val="21"/>
              </w:rPr>
            </w:pPr>
            <w:r>
              <w:rPr>
                <w:rFonts w:hint="eastAsia"/>
                <w:szCs w:val="21"/>
              </w:rPr>
              <w:t>1.0mg/m</w:t>
            </w:r>
            <w:r>
              <w:rPr>
                <w:rFonts w:hint="eastAsia"/>
                <w:szCs w:val="21"/>
                <w:vertAlign w:val="superscript"/>
              </w:rPr>
              <w:t>3</w:t>
            </w:r>
          </w:p>
        </w:tc>
        <w:tc>
          <w:tcPr>
            <w:tcW w:w="832" w:type="pct"/>
            <w:vAlign w:val="center"/>
          </w:tcPr>
          <w:p w14:paraId="52025B61">
            <w:pPr>
              <w:jc w:val="center"/>
              <w:rPr>
                <w:szCs w:val="21"/>
              </w:rPr>
            </w:pPr>
            <w:r>
              <w:rPr>
                <w:rFonts w:hint="eastAsia"/>
                <w:szCs w:val="21"/>
              </w:rPr>
              <w:t>4mg/m</w:t>
            </w:r>
            <w:r>
              <w:rPr>
                <w:rFonts w:hint="eastAsia"/>
                <w:szCs w:val="21"/>
                <w:vertAlign w:val="superscript"/>
              </w:rPr>
              <w:t>3</w:t>
            </w:r>
          </w:p>
        </w:tc>
        <w:tc>
          <w:tcPr>
            <w:tcW w:w="837" w:type="pct"/>
            <w:vAlign w:val="center"/>
          </w:tcPr>
          <w:p w14:paraId="708828E0">
            <w:pPr>
              <w:jc w:val="center"/>
              <w:rPr>
                <w:szCs w:val="21"/>
              </w:rPr>
            </w:pPr>
            <w:r>
              <w:rPr>
                <w:rFonts w:hint="eastAsia"/>
                <w:szCs w:val="21"/>
              </w:rPr>
              <w:t>达标</w:t>
            </w:r>
          </w:p>
        </w:tc>
      </w:tr>
      <w:tr w14:paraId="7CAC4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6" w:type="pct"/>
            <w:vAlign w:val="center"/>
          </w:tcPr>
          <w:p w14:paraId="5468029C">
            <w:pPr>
              <w:jc w:val="center"/>
              <w:rPr>
                <w:szCs w:val="21"/>
              </w:rPr>
            </w:pPr>
            <w:r>
              <w:t>O</w:t>
            </w:r>
            <w:r>
              <w:rPr>
                <w:vertAlign w:val="subscript"/>
              </w:rPr>
              <w:t>3</w:t>
            </w:r>
          </w:p>
        </w:tc>
        <w:tc>
          <w:tcPr>
            <w:tcW w:w="995" w:type="pct"/>
            <w:vAlign w:val="center"/>
          </w:tcPr>
          <w:p w14:paraId="5C64B2E7">
            <w:pPr>
              <w:jc w:val="center"/>
              <w:rPr>
                <w:szCs w:val="21"/>
              </w:rPr>
            </w:pPr>
            <w:r>
              <w:rPr>
                <w:rFonts w:hint="eastAsia"/>
                <w:szCs w:val="21"/>
              </w:rPr>
              <w:t>8h平均质量浓度</w:t>
            </w:r>
          </w:p>
        </w:tc>
        <w:tc>
          <w:tcPr>
            <w:tcW w:w="715" w:type="pct"/>
            <w:vAlign w:val="center"/>
          </w:tcPr>
          <w:p w14:paraId="33169A4F">
            <w:pPr>
              <w:jc w:val="center"/>
              <w:rPr>
                <w:szCs w:val="21"/>
              </w:rPr>
            </w:pPr>
            <w:r>
              <w:rPr>
                <w:rFonts w:hint="eastAsia"/>
                <w:szCs w:val="21"/>
              </w:rPr>
              <w:t>90</w:t>
            </w:r>
          </w:p>
        </w:tc>
        <w:tc>
          <w:tcPr>
            <w:tcW w:w="832" w:type="pct"/>
            <w:vAlign w:val="center"/>
          </w:tcPr>
          <w:p w14:paraId="70FC5581">
            <w:pPr>
              <w:jc w:val="center"/>
              <w:rPr>
                <w:szCs w:val="21"/>
              </w:rPr>
            </w:pPr>
            <w:r>
              <w:rPr>
                <w:rFonts w:hint="eastAsia"/>
                <w:szCs w:val="21"/>
              </w:rPr>
              <w:t>122</w:t>
            </w:r>
          </w:p>
        </w:tc>
        <w:tc>
          <w:tcPr>
            <w:tcW w:w="832" w:type="pct"/>
            <w:vAlign w:val="center"/>
          </w:tcPr>
          <w:p w14:paraId="1010AB69">
            <w:pPr>
              <w:jc w:val="center"/>
              <w:rPr>
                <w:szCs w:val="21"/>
              </w:rPr>
            </w:pPr>
            <w:r>
              <w:rPr>
                <w:rFonts w:hint="eastAsia"/>
                <w:szCs w:val="21"/>
              </w:rPr>
              <w:t>160</w:t>
            </w:r>
          </w:p>
        </w:tc>
        <w:tc>
          <w:tcPr>
            <w:tcW w:w="837" w:type="pct"/>
            <w:vAlign w:val="center"/>
          </w:tcPr>
          <w:p w14:paraId="11107321">
            <w:pPr>
              <w:jc w:val="center"/>
              <w:rPr>
                <w:szCs w:val="21"/>
              </w:rPr>
            </w:pPr>
            <w:r>
              <w:rPr>
                <w:rFonts w:hint="eastAsia"/>
                <w:szCs w:val="21"/>
              </w:rPr>
              <w:t>达标</w:t>
            </w:r>
          </w:p>
        </w:tc>
      </w:tr>
      <w:tr w14:paraId="11C67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6" w:type="pct"/>
            <w:vAlign w:val="center"/>
          </w:tcPr>
          <w:p w14:paraId="73192F6C">
            <w:pPr>
              <w:jc w:val="center"/>
              <w:rPr>
                <w:szCs w:val="21"/>
              </w:rPr>
            </w:pPr>
            <w:r>
              <w:t>PM</w:t>
            </w:r>
            <w:r>
              <w:rPr>
                <w:vertAlign w:val="subscript"/>
              </w:rPr>
              <w:t>2.5</w:t>
            </w:r>
          </w:p>
        </w:tc>
        <w:tc>
          <w:tcPr>
            <w:tcW w:w="995" w:type="pct"/>
            <w:vAlign w:val="center"/>
          </w:tcPr>
          <w:p w14:paraId="6C3C574F">
            <w:pPr>
              <w:jc w:val="center"/>
              <w:rPr>
                <w:szCs w:val="21"/>
              </w:rPr>
            </w:pPr>
            <w:r>
              <w:rPr>
                <w:rFonts w:hint="eastAsia"/>
                <w:szCs w:val="21"/>
              </w:rPr>
              <w:t>年平均浓度</w:t>
            </w:r>
          </w:p>
        </w:tc>
        <w:tc>
          <w:tcPr>
            <w:tcW w:w="715" w:type="pct"/>
            <w:vAlign w:val="center"/>
          </w:tcPr>
          <w:p w14:paraId="1917DA41">
            <w:pPr>
              <w:jc w:val="center"/>
              <w:rPr>
                <w:szCs w:val="21"/>
              </w:rPr>
            </w:pPr>
            <w:r>
              <w:rPr>
                <w:rFonts w:hint="eastAsia"/>
                <w:szCs w:val="21"/>
              </w:rPr>
              <w:t>--</w:t>
            </w:r>
          </w:p>
        </w:tc>
        <w:tc>
          <w:tcPr>
            <w:tcW w:w="832" w:type="pct"/>
            <w:vAlign w:val="center"/>
          </w:tcPr>
          <w:p w14:paraId="108AAF36">
            <w:pPr>
              <w:jc w:val="center"/>
              <w:rPr>
                <w:szCs w:val="21"/>
              </w:rPr>
            </w:pPr>
            <w:r>
              <w:rPr>
                <w:rFonts w:hint="eastAsia"/>
                <w:szCs w:val="21"/>
              </w:rPr>
              <w:t>32</w:t>
            </w:r>
          </w:p>
        </w:tc>
        <w:tc>
          <w:tcPr>
            <w:tcW w:w="832" w:type="pct"/>
            <w:vAlign w:val="center"/>
          </w:tcPr>
          <w:p w14:paraId="25B7D22E">
            <w:pPr>
              <w:jc w:val="center"/>
              <w:rPr>
                <w:szCs w:val="21"/>
              </w:rPr>
            </w:pPr>
            <w:r>
              <w:rPr>
                <w:rFonts w:hint="eastAsia"/>
                <w:szCs w:val="21"/>
              </w:rPr>
              <w:t>35</w:t>
            </w:r>
          </w:p>
        </w:tc>
        <w:tc>
          <w:tcPr>
            <w:tcW w:w="837" w:type="pct"/>
            <w:vAlign w:val="center"/>
          </w:tcPr>
          <w:p w14:paraId="2810824E">
            <w:pPr>
              <w:jc w:val="center"/>
              <w:rPr>
                <w:szCs w:val="21"/>
              </w:rPr>
            </w:pPr>
            <w:r>
              <w:rPr>
                <w:rFonts w:hint="eastAsia"/>
                <w:szCs w:val="21"/>
              </w:rPr>
              <w:t>达标</w:t>
            </w:r>
          </w:p>
        </w:tc>
      </w:tr>
      <w:tr w14:paraId="31AC2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6" w:type="pct"/>
            <w:vAlign w:val="center"/>
          </w:tcPr>
          <w:p w14:paraId="673A1153">
            <w:pPr>
              <w:jc w:val="center"/>
              <w:rPr>
                <w:szCs w:val="21"/>
              </w:rPr>
            </w:pPr>
            <w:r>
              <w:t>PM</w:t>
            </w:r>
            <w:r>
              <w:rPr>
                <w:vertAlign w:val="subscript"/>
              </w:rPr>
              <w:t>10</w:t>
            </w:r>
          </w:p>
        </w:tc>
        <w:tc>
          <w:tcPr>
            <w:tcW w:w="995" w:type="pct"/>
            <w:vAlign w:val="center"/>
          </w:tcPr>
          <w:p w14:paraId="692E10DC">
            <w:pPr>
              <w:jc w:val="center"/>
              <w:rPr>
                <w:szCs w:val="21"/>
              </w:rPr>
            </w:pPr>
            <w:r>
              <w:rPr>
                <w:rFonts w:hint="eastAsia"/>
                <w:szCs w:val="21"/>
              </w:rPr>
              <w:t>年平均浓度</w:t>
            </w:r>
          </w:p>
        </w:tc>
        <w:tc>
          <w:tcPr>
            <w:tcW w:w="715" w:type="pct"/>
            <w:vAlign w:val="center"/>
          </w:tcPr>
          <w:p w14:paraId="393C32E5">
            <w:pPr>
              <w:jc w:val="center"/>
              <w:rPr>
                <w:szCs w:val="21"/>
              </w:rPr>
            </w:pPr>
            <w:r>
              <w:rPr>
                <w:rFonts w:hint="eastAsia"/>
                <w:szCs w:val="21"/>
              </w:rPr>
              <w:t>--</w:t>
            </w:r>
          </w:p>
        </w:tc>
        <w:tc>
          <w:tcPr>
            <w:tcW w:w="832" w:type="pct"/>
            <w:vAlign w:val="center"/>
          </w:tcPr>
          <w:p w14:paraId="19DD8AF2">
            <w:pPr>
              <w:jc w:val="center"/>
              <w:rPr>
                <w:szCs w:val="21"/>
              </w:rPr>
            </w:pPr>
            <w:r>
              <w:rPr>
                <w:rFonts w:hint="eastAsia"/>
                <w:szCs w:val="21"/>
              </w:rPr>
              <w:t>51</w:t>
            </w:r>
          </w:p>
        </w:tc>
        <w:tc>
          <w:tcPr>
            <w:tcW w:w="832" w:type="pct"/>
            <w:vAlign w:val="center"/>
          </w:tcPr>
          <w:p w14:paraId="0152F047">
            <w:pPr>
              <w:jc w:val="center"/>
              <w:rPr>
                <w:szCs w:val="21"/>
              </w:rPr>
            </w:pPr>
            <w:r>
              <w:rPr>
                <w:rFonts w:hint="eastAsia"/>
                <w:szCs w:val="21"/>
              </w:rPr>
              <w:t>70</w:t>
            </w:r>
          </w:p>
        </w:tc>
        <w:tc>
          <w:tcPr>
            <w:tcW w:w="837" w:type="pct"/>
            <w:vAlign w:val="center"/>
          </w:tcPr>
          <w:p w14:paraId="69BE15BF">
            <w:pPr>
              <w:jc w:val="center"/>
              <w:rPr>
                <w:szCs w:val="21"/>
              </w:rPr>
            </w:pPr>
            <w:r>
              <w:rPr>
                <w:rFonts w:hint="eastAsia"/>
                <w:szCs w:val="21"/>
              </w:rPr>
              <w:t>达标</w:t>
            </w:r>
          </w:p>
        </w:tc>
      </w:tr>
    </w:tbl>
    <w:p w14:paraId="132BDD66">
      <w:pPr>
        <w:pStyle w:val="7"/>
        <w:snapToGrid w:val="0"/>
        <w:spacing w:before="120" w:beforeLines="50"/>
      </w:pPr>
      <w:r>
        <w:t>其他污染物环境质量现状</w:t>
      </w:r>
    </w:p>
    <w:p w14:paraId="3ED897CD">
      <w:pPr>
        <w:pStyle w:val="234"/>
        <w:rPr>
          <w:i/>
          <w:iCs/>
          <w:color w:val="auto"/>
          <w:u w:val="single"/>
        </w:rPr>
      </w:pPr>
      <w:r>
        <w:rPr>
          <w:rFonts w:hint="eastAsia"/>
          <w:i/>
          <w:iCs/>
          <w:color w:val="auto"/>
          <w:u w:val="single"/>
        </w:rPr>
        <w:t>（1）TSP</w:t>
      </w:r>
    </w:p>
    <w:p w14:paraId="678D6453">
      <w:pPr>
        <w:pStyle w:val="234"/>
        <w:rPr>
          <w:i/>
          <w:iCs/>
          <w:color w:val="auto"/>
          <w:u w:val="single"/>
        </w:rPr>
      </w:pPr>
      <w:r>
        <w:rPr>
          <w:rFonts w:hint="eastAsia"/>
          <w:i/>
          <w:iCs/>
          <w:color w:val="auto"/>
          <w:u w:val="single"/>
        </w:rPr>
        <w:t>本次评价引用《湖南省G4京港澳高速公路耒宜扩容项目1#综合场站建设项目环境影响报告表》中监测点数据，该监测点位于28号阀室西北侧3.3km处，监测时间为2023年8月10日~8月12日，符合《环境影响评价技术导则 大气环境》（HJ2.2-2018）要求。监测结果见表4.2-2。</w:t>
      </w:r>
    </w:p>
    <w:p w14:paraId="0FDD138B">
      <w:pPr>
        <w:adjustRightInd w:val="0"/>
        <w:snapToGrid w:val="0"/>
        <w:jc w:val="center"/>
        <w:rPr>
          <w:rFonts w:eastAsia="黑体"/>
          <w:i/>
          <w:iCs/>
          <w:snapToGrid w:val="0"/>
          <w:color w:val="auto"/>
          <w:kern w:val="0"/>
          <w:sz w:val="24"/>
          <w:u w:val="single"/>
        </w:rPr>
      </w:pPr>
      <w:r>
        <w:rPr>
          <w:rFonts w:hint="eastAsia" w:eastAsia="黑体"/>
          <w:i/>
          <w:iCs/>
          <w:snapToGrid w:val="0"/>
          <w:color w:val="auto"/>
          <w:kern w:val="0"/>
          <w:sz w:val="24"/>
          <w:u w:val="single"/>
        </w:rPr>
        <w:t>表4.2-2   特征因子监测结果一览表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98"/>
        <w:gridCol w:w="1597"/>
        <w:gridCol w:w="1597"/>
        <w:gridCol w:w="1598"/>
        <w:gridCol w:w="1599"/>
        <w:gridCol w:w="1599"/>
      </w:tblGrid>
      <w:tr w14:paraId="30468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337" w:type="dxa"/>
            <w:vAlign w:val="center"/>
          </w:tcPr>
          <w:p w14:paraId="2698240C">
            <w:pPr>
              <w:jc w:val="center"/>
              <w:rPr>
                <w:i/>
                <w:iCs/>
                <w:color w:val="auto"/>
                <w:szCs w:val="21"/>
                <w:u w:val="single"/>
              </w:rPr>
            </w:pPr>
            <w:r>
              <w:rPr>
                <w:rFonts w:hint="eastAsia"/>
                <w:i/>
                <w:iCs/>
                <w:color w:val="auto"/>
                <w:szCs w:val="21"/>
                <w:u w:val="single"/>
              </w:rPr>
              <w:t>采样点位</w:t>
            </w:r>
          </w:p>
        </w:tc>
        <w:tc>
          <w:tcPr>
            <w:tcW w:w="1337" w:type="dxa"/>
            <w:vAlign w:val="center"/>
          </w:tcPr>
          <w:p w14:paraId="7C7BE1EC">
            <w:pPr>
              <w:jc w:val="center"/>
              <w:rPr>
                <w:i/>
                <w:iCs/>
                <w:color w:val="auto"/>
                <w:szCs w:val="21"/>
                <w:u w:val="single"/>
              </w:rPr>
            </w:pPr>
            <w:r>
              <w:rPr>
                <w:rFonts w:hint="eastAsia"/>
                <w:i/>
                <w:iCs/>
                <w:color w:val="auto"/>
                <w:szCs w:val="21"/>
                <w:u w:val="single"/>
              </w:rPr>
              <w:t>检测项目</w:t>
            </w:r>
          </w:p>
        </w:tc>
        <w:tc>
          <w:tcPr>
            <w:tcW w:w="1337" w:type="dxa"/>
            <w:vAlign w:val="center"/>
          </w:tcPr>
          <w:p w14:paraId="0A1D821E">
            <w:pPr>
              <w:jc w:val="center"/>
              <w:rPr>
                <w:i/>
                <w:iCs/>
                <w:color w:val="auto"/>
                <w:szCs w:val="21"/>
                <w:u w:val="single"/>
              </w:rPr>
            </w:pPr>
            <w:r>
              <w:rPr>
                <w:rFonts w:hint="eastAsia"/>
                <w:i/>
                <w:iCs/>
                <w:color w:val="auto"/>
                <w:szCs w:val="21"/>
                <w:u w:val="single"/>
              </w:rPr>
              <w:t>采样时间</w:t>
            </w:r>
          </w:p>
        </w:tc>
        <w:tc>
          <w:tcPr>
            <w:tcW w:w="1338" w:type="dxa"/>
            <w:vAlign w:val="center"/>
          </w:tcPr>
          <w:p w14:paraId="4C8301D0">
            <w:pPr>
              <w:jc w:val="center"/>
              <w:rPr>
                <w:i/>
                <w:iCs/>
                <w:color w:val="auto"/>
                <w:szCs w:val="21"/>
                <w:u w:val="single"/>
              </w:rPr>
            </w:pPr>
            <w:r>
              <w:rPr>
                <w:rFonts w:hint="eastAsia"/>
                <w:i/>
                <w:iCs/>
                <w:color w:val="auto"/>
                <w:szCs w:val="21"/>
                <w:u w:val="single"/>
              </w:rPr>
              <w:t>监测结果</w:t>
            </w:r>
            <w:r>
              <w:rPr>
                <w:i/>
                <w:iCs/>
                <w:color w:val="auto"/>
                <w:szCs w:val="21"/>
                <w:u w:val="single"/>
              </w:rPr>
              <w:t>（μg/m</w:t>
            </w:r>
            <w:r>
              <w:rPr>
                <w:i/>
                <w:iCs/>
                <w:color w:val="auto"/>
                <w:szCs w:val="21"/>
                <w:u w:val="single"/>
                <w:vertAlign w:val="superscript"/>
              </w:rPr>
              <w:t>3</w:t>
            </w:r>
            <w:r>
              <w:rPr>
                <w:i/>
                <w:iCs/>
                <w:color w:val="auto"/>
                <w:szCs w:val="21"/>
                <w:u w:val="single"/>
              </w:rPr>
              <w:t>）</w:t>
            </w:r>
          </w:p>
        </w:tc>
        <w:tc>
          <w:tcPr>
            <w:tcW w:w="1339" w:type="dxa"/>
            <w:vAlign w:val="center"/>
          </w:tcPr>
          <w:p w14:paraId="1FF20FCC">
            <w:pPr>
              <w:jc w:val="center"/>
              <w:rPr>
                <w:i/>
                <w:iCs/>
                <w:color w:val="auto"/>
                <w:szCs w:val="21"/>
                <w:u w:val="single"/>
              </w:rPr>
            </w:pPr>
            <w:r>
              <w:rPr>
                <w:rFonts w:hint="eastAsia"/>
                <w:i/>
                <w:iCs/>
                <w:color w:val="auto"/>
                <w:szCs w:val="21"/>
                <w:u w:val="single"/>
              </w:rPr>
              <w:t>标准限值</w:t>
            </w:r>
            <w:r>
              <w:rPr>
                <w:i/>
                <w:iCs/>
                <w:color w:val="auto"/>
                <w:szCs w:val="21"/>
                <w:u w:val="single"/>
              </w:rPr>
              <w:t>（μg/m</w:t>
            </w:r>
            <w:r>
              <w:rPr>
                <w:i/>
                <w:iCs/>
                <w:color w:val="auto"/>
                <w:szCs w:val="21"/>
                <w:u w:val="single"/>
                <w:vertAlign w:val="superscript"/>
              </w:rPr>
              <w:t>3</w:t>
            </w:r>
            <w:r>
              <w:rPr>
                <w:i/>
                <w:iCs/>
                <w:color w:val="auto"/>
                <w:szCs w:val="21"/>
                <w:u w:val="single"/>
              </w:rPr>
              <w:t>）</w:t>
            </w:r>
          </w:p>
        </w:tc>
        <w:tc>
          <w:tcPr>
            <w:tcW w:w="1339" w:type="dxa"/>
            <w:vAlign w:val="center"/>
          </w:tcPr>
          <w:p w14:paraId="4611FE45">
            <w:pPr>
              <w:jc w:val="center"/>
              <w:rPr>
                <w:i/>
                <w:iCs/>
                <w:color w:val="auto"/>
                <w:szCs w:val="21"/>
                <w:u w:val="single"/>
              </w:rPr>
            </w:pPr>
            <w:r>
              <w:rPr>
                <w:rFonts w:hint="eastAsia"/>
                <w:i/>
                <w:iCs/>
                <w:color w:val="auto"/>
                <w:szCs w:val="21"/>
                <w:u w:val="single"/>
              </w:rPr>
              <w:t>达标情况</w:t>
            </w:r>
          </w:p>
        </w:tc>
      </w:tr>
      <w:tr w14:paraId="4C043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337" w:type="dxa"/>
            <w:vMerge w:val="restart"/>
            <w:vAlign w:val="center"/>
          </w:tcPr>
          <w:p w14:paraId="058E338A">
            <w:pPr>
              <w:jc w:val="center"/>
              <w:rPr>
                <w:i/>
                <w:iCs/>
                <w:color w:val="auto"/>
                <w:szCs w:val="21"/>
                <w:u w:val="single"/>
              </w:rPr>
            </w:pPr>
            <w:r>
              <w:rPr>
                <w:rFonts w:hint="eastAsia"/>
                <w:i/>
                <w:iCs/>
                <w:color w:val="auto"/>
                <w:szCs w:val="21"/>
                <w:u w:val="single"/>
              </w:rPr>
              <w:t>厂界下风向G1</w:t>
            </w:r>
          </w:p>
        </w:tc>
        <w:tc>
          <w:tcPr>
            <w:tcW w:w="1337" w:type="dxa"/>
            <w:vMerge w:val="restart"/>
            <w:vAlign w:val="center"/>
          </w:tcPr>
          <w:p w14:paraId="339FDCCB">
            <w:pPr>
              <w:jc w:val="center"/>
              <w:rPr>
                <w:i/>
                <w:iCs/>
                <w:color w:val="auto"/>
                <w:szCs w:val="21"/>
                <w:u w:val="single"/>
              </w:rPr>
            </w:pPr>
            <w:r>
              <w:rPr>
                <w:rFonts w:hint="eastAsia"/>
                <w:i/>
                <w:iCs/>
                <w:color w:val="auto"/>
                <w:szCs w:val="21"/>
                <w:u w:val="single"/>
              </w:rPr>
              <w:t>TSP</w:t>
            </w:r>
          </w:p>
        </w:tc>
        <w:tc>
          <w:tcPr>
            <w:tcW w:w="1337" w:type="dxa"/>
            <w:vAlign w:val="center"/>
          </w:tcPr>
          <w:p w14:paraId="380CE8BD">
            <w:pPr>
              <w:jc w:val="center"/>
              <w:rPr>
                <w:i/>
                <w:iCs/>
                <w:color w:val="auto"/>
                <w:szCs w:val="21"/>
                <w:u w:val="single"/>
              </w:rPr>
            </w:pPr>
            <w:r>
              <w:rPr>
                <w:rFonts w:hint="eastAsia"/>
                <w:i/>
                <w:iCs/>
                <w:color w:val="auto"/>
                <w:szCs w:val="21"/>
                <w:u w:val="single"/>
              </w:rPr>
              <w:t>08.10</w:t>
            </w:r>
          </w:p>
        </w:tc>
        <w:tc>
          <w:tcPr>
            <w:tcW w:w="1338" w:type="dxa"/>
            <w:vAlign w:val="center"/>
          </w:tcPr>
          <w:p w14:paraId="5BFF6514">
            <w:pPr>
              <w:jc w:val="center"/>
              <w:rPr>
                <w:i/>
                <w:iCs/>
                <w:color w:val="auto"/>
                <w:szCs w:val="21"/>
                <w:u w:val="single"/>
              </w:rPr>
            </w:pPr>
            <w:r>
              <w:rPr>
                <w:rFonts w:hint="eastAsia"/>
                <w:i/>
                <w:iCs/>
                <w:color w:val="auto"/>
                <w:szCs w:val="21"/>
                <w:u w:val="single"/>
              </w:rPr>
              <w:t>119</w:t>
            </w:r>
          </w:p>
        </w:tc>
        <w:tc>
          <w:tcPr>
            <w:tcW w:w="1339" w:type="dxa"/>
            <w:vAlign w:val="center"/>
          </w:tcPr>
          <w:p w14:paraId="74B2B976">
            <w:pPr>
              <w:jc w:val="center"/>
              <w:rPr>
                <w:i/>
                <w:iCs/>
                <w:color w:val="auto"/>
                <w:szCs w:val="21"/>
                <w:u w:val="single"/>
              </w:rPr>
            </w:pPr>
            <w:r>
              <w:rPr>
                <w:rFonts w:hint="eastAsia"/>
                <w:i/>
                <w:iCs/>
                <w:color w:val="auto"/>
                <w:szCs w:val="21"/>
                <w:u w:val="single"/>
              </w:rPr>
              <w:t>300</w:t>
            </w:r>
          </w:p>
        </w:tc>
        <w:tc>
          <w:tcPr>
            <w:tcW w:w="1339" w:type="dxa"/>
            <w:vAlign w:val="center"/>
          </w:tcPr>
          <w:p w14:paraId="4F955B9A">
            <w:pPr>
              <w:jc w:val="center"/>
              <w:rPr>
                <w:i/>
                <w:iCs/>
                <w:color w:val="auto"/>
                <w:szCs w:val="21"/>
                <w:u w:val="single"/>
              </w:rPr>
            </w:pPr>
            <w:r>
              <w:rPr>
                <w:rFonts w:hint="eastAsia"/>
                <w:i/>
                <w:iCs/>
                <w:color w:val="auto"/>
                <w:szCs w:val="21"/>
                <w:u w:val="single"/>
              </w:rPr>
              <w:t>达标</w:t>
            </w:r>
          </w:p>
        </w:tc>
      </w:tr>
      <w:tr w14:paraId="35FA0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337" w:type="dxa"/>
            <w:vMerge w:val="continue"/>
            <w:vAlign w:val="center"/>
          </w:tcPr>
          <w:p w14:paraId="22B9AD49">
            <w:pPr>
              <w:jc w:val="center"/>
              <w:rPr>
                <w:i/>
                <w:iCs/>
                <w:color w:val="auto"/>
                <w:szCs w:val="21"/>
                <w:u w:val="single"/>
              </w:rPr>
            </w:pPr>
          </w:p>
        </w:tc>
        <w:tc>
          <w:tcPr>
            <w:tcW w:w="1337" w:type="dxa"/>
            <w:vMerge w:val="continue"/>
            <w:vAlign w:val="center"/>
          </w:tcPr>
          <w:p w14:paraId="47F04D3A">
            <w:pPr>
              <w:jc w:val="center"/>
              <w:rPr>
                <w:i/>
                <w:iCs/>
                <w:color w:val="auto"/>
                <w:szCs w:val="21"/>
                <w:u w:val="single"/>
              </w:rPr>
            </w:pPr>
          </w:p>
        </w:tc>
        <w:tc>
          <w:tcPr>
            <w:tcW w:w="1337" w:type="dxa"/>
            <w:vAlign w:val="center"/>
          </w:tcPr>
          <w:p w14:paraId="5CAACAAE">
            <w:pPr>
              <w:jc w:val="center"/>
              <w:rPr>
                <w:i/>
                <w:iCs/>
                <w:color w:val="auto"/>
                <w:szCs w:val="21"/>
                <w:u w:val="single"/>
              </w:rPr>
            </w:pPr>
            <w:r>
              <w:rPr>
                <w:rFonts w:hint="eastAsia"/>
                <w:i/>
                <w:iCs/>
                <w:color w:val="auto"/>
                <w:szCs w:val="21"/>
                <w:u w:val="single"/>
              </w:rPr>
              <w:t>08.11</w:t>
            </w:r>
          </w:p>
        </w:tc>
        <w:tc>
          <w:tcPr>
            <w:tcW w:w="1338" w:type="dxa"/>
            <w:vAlign w:val="center"/>
          </w:tcPr>
          <w:p w14:paraId="00237C6C">
            <w:pPr>
              <w:jc w:val="center"/>
              <w:rPr>
                <w:i/>
                <w:iCs/>
                <w:color w:val="auto"/>
                <w:szCs w:val="21"/>
                <w:u w:val="single"/>
              </w:rPr>
            </w:pPr>
            <w:r>
              <w:rPr>
                <w:rFonts w:hint="eastAsia"/>
                <w:i/>
                <w:iCs/>
                <w:color w:val="auto"/>
                <w:szCs w:val="21"/>
                <w:u w:val="single"/>
              </w:rPr>
              <w:t>88</w:t>
            </w:r>
          </w:p>
        </w:tc>
        <w:tc>
          <w:tcPr>
            <w:tcW w:w="1339" w:type="dxa"/>
            <w:vAlign w:val="center"/>
          </w:tcPr>
          <w:p w14:paraId="76C9220B">
            <w:pPr>
              <w:jc w:val="center"/>
              <w:rPr>
                <w:i/>
                <w:iCs/>
                <w:color w:val="auto"/>
                <w:szCs w:val="21"/>
                <w:u w:val="single"/>
              </w:rPr>
            </w:pPr>
            <w:r>
              <w:rPr>
                <w:rFonts w:hint="eastAsia"/>
                <w:i/>
                <w:iCs/>
                <w:color w:val="auto"/>
                <w:szCs w:val="21"/>
                <w:u w:val="single"/>
              </w:rPr>
              <w:t>300</w:t>
            </w:r>
          </w:p>
        </w:tc>
        <w:tc>
          <w:tcPr>
            <w:tcW w:w="1339" w:type="dxa"/>
            <w:vAlign w:val="center"/>
          </w:tcPr>
          <w:p w14:paraId="4E9831A0">
            <w:pPr>
              <w:jc w:val="center"/>
              <w:rPr>
                <w:i/>
                <w:iCs/>
                <w:color w:val="auto"/>
                <w:szCs w:val="21"/>
                <w:u w:val="single"/>
              </w:rPr>
            </w:pPr>
            <w:r>
              <w:rPr>
                <w:rFonts w:hint="eastAsia"/>
                <w:i/>
                <w:iCs/>
                <w:color w:val="auto"/>
                <w:szCs w:val="21"/>
                <w:u w:val="single"/>
              </w:rPr>
              <w:t>达标</w:t>
            </w:r>
          </w:p>
        </w:tc>
      </w:tr>
      <w:tr w14:paraId="7B263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337" w:type="dxa"/>
            <w:vMerge w:val="continue"/>
            <w:vAlign w:val="center"/>
          </w:tcPr>
          <w:p w14:paraId="1AB87890">
            <w:pPr>
              <w:jc w:val="center"/>
              <w:rPr>
                <w:i/>
                <w:iCs/>
                <w:color w:val="auto"/>
                <w:szCs w:val="21"/>
                <w:u w:val="single"/>
              </w:rPr>
            </w:pPr>
          </w:p>
        </w:tc>
        <w:tc>
          <w:tcPr>
            <w:tcW w:w="1337" w:type="dxa"/>
            <w:vMerge w:val="continue"/>
            <w:vAlign w:val="center"/>
          </w:tcPr>
          <w:p w14:paraId="1284A483">
            <w:pPr>
              <w:jc w:val="center"/>
              <w:rPr>
                <w:i/>
                <w:iCs/>
                <w:color w:val="auto"/>
                <w:szCs w:val="21"/>
                <w:u w:val="single"/>
              </w:rPr>
            </w:pPr>
          </w:p>
        </w:tc>
        <w:tc>
          <w:tcPr>
            <w:tcW w:w="1337" w:type="dxa"/>
            <w:vAlign w:val="center"/>
          </w:tcPr>
          <w:p w14:paraId="25DBD21D">
            <w:pPr>
              <w:jc w:val="center"/>
              <w:rPr>
                <w:i/>
                <w:iCs/>
                <w:color w:val="auto"/>
                <w:szCs w:val="21"/>
                <w:u w:val="single"/>
              </w:rPr>
            </w:pPr>
            <w:r>
              <w:rPr>
                <w:rFonts w:hint="eastAsia"/>
                <w:i/>
                <w:iCs/>
                <w:color w:val="auto"/>
                <w:szCs w:val="21"/>
                <w:u w:val="single"/>
              </w:rPr>
              <w:t>08.12</w:t>
            </w:r>
          </w:p>
        </w:tc>
        <w:tc>
          <w:tcPr>
            <w:tcW w:w="1338" w:type="dxa"/>
            <w:vAlign w:val="center"/>
          </w:tcPr>
          <w:p w14:paraId="70379AD8">
            <w:pPr>
              <w:jc w:val="center"/>
              <w:rPr>
                <w:i/>
                <w:iCs/>
                <w:color w:val="auto"/>
                <w:szCs w:val="21"/>
                <w:u w:val="single"/>
              </w:rPr>
            </w:pPr>
            <w:r>
              <w:rPr>
                <w:rFonts w:hint="eastAsia"/>
                <w:i/>
                <w:iCs/>
                <w:color w:val="auto"/>
                <w:szCs w:val="21"/>
                <w:u w:val="single"/>
              </w:rPr>
              <w:t>92</w:t>
            </w:r>
          </w:p>
        </w:tc>
        <w:tc>
          <w:tcPr>
            <w:tcW w:w="1339" w:type="dxa"/>
            <w:vAlign w:val="center"/>
          </w:tcPr>
          <w:p w14:paraId="75CD4B92">
            <w:pPr>
              <w:jc w:val="center"/>
              <w:rPr>
                <w:i/>
                <w:iCs/>
                <w:color w:val="auto"/>
                <w:szCs w:val="21"/>
                <w:u w:val="single"/>
              </w:rPr>
            </w:pPr>
            <w:r>
              <w:rPr>
                <w:rFonts w:hint="eastAsia"/>
                <w:i/>
                <w:iCs/>
                <w:color w:val="auto"/>
                <w:szCs w:val="21"/>
                <w:u w:val="single"/>
              </w:rPr>
              <w:t>300</w:t>
            </w:r>
          </w:p>
        </w:tc>
        <w:tc>
          <w:tcPr>
            <w:tcW w:w="1339" w:type="dxa"/>
            <w:vAlign w:val="center"/>
          </w:tcPr>
          <w:p w14:paraId="3AE99D23">
            <w:pPr>
              <w:jc w:val="center"/>
              <w:rPr>
                <w:i/>
                <w:iCs/>
                <w:color w:val="auto"/>
                <w:szCs w:val="21"/>
                <w:u w:val="single"/>
              </w:rPr>
            </w:pPr>
            <w:r>
              <w:rPr>
                <w:rFonts w:hint="eastAsia"/>
                <w:i/>
                <w:iCs/>
                <w:color w:val="auto"/>
                <w:szCs w:val="21"/>
                <w:u w:val="single"/>
              </w:rPr>
              <w:t>达标</w:t>
            </w:r>
          </w:p>
        </w:tc>
      </w:tr>
    </w:tbl>
    <w:p w14:paraId="32A853AA">
      <w:pPr>
        <w:pStyle w:val="234"/>
        <w:rPr>
          <w:i/>
          <w:iCs/>
          <w:color w:val="auto"/>
          <w:u w:val="single"/>
        </w:rPr>
      </w:pPr>
      <w:r>
        <w:rPr>
          <w:rFonts w:hint="eastAsia"/>
          <w:i/>
          <w:iCs/>
          <w:color w:val="auto"/>
          <w:kern w:val="0"/>
          <w:szCs w:val="21"/>
          <w:u w:val="single"/>
        </w:rPr>
        <w:t>根据表4.2-2监测结果可知：监测点的TSP因子能达到《环境空气质量标准》（GB3095-2012）二级标准，区域空气环境质量较好。</w:t>
      </w:r>
    </w:p>
    <w:p w14:paraId="5D5E0221">
      <w:pPr>
        <w:pStyle w:val="234"/>
      </w:pPr>
      <w:r>
        <w:rPr>
          <w:rFonts w:hint="eastAsia"/>
        </w:rPr>
        <w:t>（2）甲烷、非甲烷总烃</w:t>
      </w:r>
    </w:p>
    <w:p w14:paraId="1A9C1979">
      <w:pPr>
        <w:pStyle w:val="234"/>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监测布点及监测项目</w:t>
      </w:r>
    </w:p>
    <w:p w14:paraId="67DF22EB">
      <w:pPr>
        <w:pStyle w:val="234"/>
      </w:pPr>
      <w:r>
        <w:t>考虑到本工程区域大气环境污染源的特点、评价等级、保护对象和评价区特点等多方面因素，在评价区域内共布设</w:t>
      </w:r>
      <w:r>
        <w:rPr>
          <w:rFonts w:hint="eastAsia"/>
        </w:rPr>
        <w:t>1</w:t>
      </w:r>
      <w:r>
        <w:t>个大气监测点。监测点位设置和监测时间、监测手段符合环境影响评价大气导则要求。</w:t>
      </w:r>
    </w:p>
    <w:p w14:paraId="38ED3403">
      <w:pPr>
        <w:pStyle w:val="234"/>
      </w:pPr>
      <w:r>
        <w:t>本次评价监测布点和监测项目见</w:t>
      </w:r>
      <w:r>
        <w:fldChar w:fldCharType="begin"/>
      </w:r>
      <w:r>
        <w:instrText xml:space="preserve"> REF _Ref76905672 \h  \* MERGEFORMAT </w:instrText>
      </w:r>
      <w:r>
        <w:fldChar w:fldCharType="separate"/>
      </w:r>
      <w:r>
        <w:t>表 4.2</w:t>
      </w:r>
      <w:r>
        <w:noBreakHyphen/>
      </w:r>
      <w:r>
        <w:fldChar w:fldCharType="end"/>
      </w:r>
      <w:r>
        <w:rPr>
          <w:rFonts w:hint="eastAsia"/>
        </w:rPr>
        <w:t>3</w:t>
      </w:r>
      <w:r>
        <w:t>和图4.2-1。</w:t>
      </w:r>
    </w:p>
    <w:p w14:paraId="04BD6F1D">
      <w:pPr>
        <w:pStyle w:val="904"/>
      </w:pPr>
      <w:bookmarkStart w:id="166" w:name="_Ref76905672"/>
      <w:r>
        <w:t xml:space="preserve">表 </w:t>
      </w:r>
      <w:r>
        <w:fldChar w:fldCharType="begin"/>
      </w:r>
      <w:r>
        <w:instrText xml:space="preserve"> STYLEREF 2 \s </w:instrText>
      </w:r>
      <w:r>
        <w:fldChar w:fldCharType="separate"/>
      </w:r>
      <w:r>
        <w:t>4.2</w:t>
      </w:r>
      <w:r>
        <w:fldChar w:fldCharType="end"/>
      </w:r>
      <w:r>
        <w:noBreakHyphen/>
      </w:r>
      <w:bookmarkEnd w:id="166"/>
      <w:r>
        <w:rPr>
          <w:rFonts w:hint="eastAsia"/>
        </w:rPr>
        <w:t>3</w:t>
      </w:r>
      <w:r>
        <w:t>大气环境质量现状监测布点表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9"/>
        <w:gridCol w:w="1952"/>
        <w:gridCol w:w="2159"/>
        <w:gridCol w:w="3826"/>
      </w:tblGrid>
      <w:tr w14:paraId="112F7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vAlign w:val="center"/>
          </w:tcPr>
          <w:p w14:paraId="0436C60F">
            <w:pPr>
              <w:jc w:val="center"/>
              <w:rPr>
                <w:b/>
                <w:szCs w:val="21"/>
              </w:rPr>
            </w:pPr>
            <w:r>
              <w:rPr>
                <w:b/>
                <w:szCs w:val="21"/>
              </w:rPr>
              <w:t>编号</w:t>
            </w:r>
          </w:p>
        </w:tc>
        <w:tc>
          <w:tcPr>
            <w:tcW w:w="1018" w:type="pct"/>
            <w:vAlign w:val="center"/>
          </w:tcPr>
          <w:p w14:paraId="1D7C43CA">
            <w:pPr>
              <w:jc w:val="center"/>
              <w:rPr>
                <w:b/>
                <w:szCs w:val="21"/>
              </w:rPr>
            </w:pPr>
            <w:r>
              <w:rPr>
                <w:b/>
                <w:szCs w:val="21"/>
              </w:rPr>
              <w:t>监测点位</w:t>
            </w:r>
          </w:p>
        </w:tc>
        <w:tc>
          <w:tcPr>
            <w:tcW w:w="1126" w:type="pct"/>
            <w:vAlign w:val="center"/>
          </w:tcPr>
          <w:p w14:paraId="7EAA21D9">
            <w:pPr>
              <w:jc w:val="center"/>
              <w:rPr>
                <w:b/>
                <w:szCs w:val="21"/>
              </w:rPr>
            </w:pPr>
            <w:r>
              <w:rPr>
                <w:b/>
                <w:szCs w:val="21"/>
              </w:rPr>
              <w:t>监测项目</w:t>
            </w:r>
          </w:p>
        </w:tc>
        <w:tc>
          <w:tcPr>
            <w:tcW w:w="1995" w:type="pct"/>
            <w:vAlign w:val="center"/>
          </w:tcPr>
          <w:p w14:paraId="0E49C091">
            <w:pPr>
              <w:jc w:val="center"/>
              <w:rPr>
                <w:b/>
                <w:szCs w:val="21"/>
              </w:rPr>
            </w:pPr>
            <w:r>
              <w:rPr>
                <w:b/>
                <w:szCs w:val="21"/>
              </w:rPr>
              <w:t>备注</w:t>
            </w:r>
          </w:p>
        </w:tc>
      </w:tr>
      <w:tr w14:paraId="51F82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0" w:type="pct"/>
            <w:vAlign w:val="center"/>
          </w:tcPr>
          <w:p w14:paraId="1B0E8E55">
            <w:pPr>
              <w:jc w:val="center"/>
              <w:rPr>
                <w:bCs/>
                <w:szCs w:val="21"/>
              </w:rPr>
            </w:pPr>
            <w:r>
              <w:rPr>
                <w:bCs/>
                <w:szCs w:val="21"/>
              </w:rPr>
              <w:t>A1</w:t>
            </w:r>
          </w:p>
        </w:tc>
        <w:tc>
          <w:tcPr>
            <w:tcW w:w="1018" w:type="pct"/>
            <w:vAlign w:val="center"/>
          </w:tcPr>
          <w:p w14:paraId="544E7B86">
            <w:pPr>
              <w:jc w:val="center"/>
              <w:rPr>
                <w:bCs/>
                <w:szCs w:val="21"/>
              </w:rPr>
            </w:pPr>
            <w:r>
              <w:rPr>
                <w:rFonts w:hint="eastAsia"/>
                <w:bCs/>
                <w:szCs w:val="21"/>
              </w:rPr>
              <w:t>铜角湾</w:t>
            </w:r>
          </w:p>
        </w:tc>
        <w:tc>
          <w:tcPr>
            <w:tcW w:w="1126" w:type="pct"/>
            <w:vAlign w:val="center"/>
          </w:tcPr>
          <w:p w14:paraId="699ACED8">
            <w:pPr>
              <w:jc w:val="center"/>
              <w:rPr>
                <w:bCs/>
                <w:szCs w:val="21"/>
              </w:rPr>
            </w:pPr>
            <w:r>
              <w:rPr>
                <w:bCs/>
                <w:szCs w:val="21"/>
              </w:rPr>
              <w:t>甲烷、非甲烷总烃</w:t>
            </w:r>
          </w:p>
        </w:tc>
        <w:tc>
          <w:tcPr>
            <w:tcW w:w="1995" w:type="pct"/>
            <w:vAlign w:val="center"/>
          </w:tcPr>
          <w:p w14:paraId="7496E114">
            <w:pPr>
              <w:jc w:val="center"/>
              <w:rPr>
                <w:bCs/>
                <w:szCs w:val="21"/>
              </w:rPr>
            </w:pPr>
            <w:r>
              <w:rPr>
                <w:rFonts w:hint="eastAsia"/>
                <w:bCs/>
                <w:szCs w:val="21"/>
              </w:rPr>
              <w:t>耒阳分输站东侧</w:t>
            </w:r>
          </w:p>
          <w:p w14:paraId="2446E26E">
            <w:pPr>
              <w:jc w:val="center"/>
              <w:rPr>
                <w:bCs/>
                <w:szCs w:val="21"/>
              </w:rPr>
            </w:pPr>
            <w:r>
              <w:rPr>
                <w:bCs/>
                <w:szCs w:val="21"/>
              </w:rPr>
              <w:t>（下风向最近敏感目标）</w:t>
            </w:r>
          </w:p>
        </w:tc>
      </w:tr>
    </w:tbl>
    <w:p w14:paraId="0A00F400">
      <w:pPr>
        <w:pStyle w:val="234"/>
        <w:snapToGrid w:val="0"/>
        <w:spacing w:before="120" w:beforeLines="50"/>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监测采样时段和频次</w:t>
      </w:r>
    </w:p>
    <w:p w14:paraId="24F497A2">
      <w:pPr>
        <w:pStyle w:val="234"/>
      </w:pPr>
      <w:r>
        <w:t>甲烷、非甲烷总烃连续监测7天，监测日期为202</w:t>
      </w:r>
      <w:r>
        <w:rPr>
          <w:rFonts w:hint="eastAsia"/>
        </w:rPr>
        <w:t>3</w:t>
      </w:r>
      <w:r>
        <w:t>年</w:t>
      </w:r>
      <w:r>
        <w:rPr>
          <w:rFonts w:hint="eastAsia"/>
        </w:rPr>
        <w:t>8</w:t>
      </w:r>
      <w:r>
        <w:t>月1</w:t>
      </w:r>
      <w:r>
        <w:rPr>
          <w:rFonts w:hint="eastAsia"/>
        </w:rPr>
        <w:t>1</w:t>
      </w:r>
      <w:r>
        <w:t>日~202</w:t>
      </w:r>
      <w:r>
        <w:rPr>
          <w:rFonts w:hint="eastAsia"/>
        </w:rPr>
        <w:t>3</w:t>
      </w:r>
      <w:r>
        <w:t>年</w:t>
      </w:r>
      <w:r>
        <w:rPr>
          <w:rFonts w:hint="eastAsia"/>
        </w:rPr>
        <w:t>8</w:t>
      </w:r>
      <w:r>
        <w:t>月</w:t>
      </w:r>
      <w:r>
        <w:rPr>
          <w:rFonts w:hint="eastAsia"/>
        </w:rPr>
        <w:t>17</w:t>
      </w:r>
      <w:r>
        <w:t>日，每天采样四次，监测时同步观测风向、风速、气温、气压和相对湿度等常规气象要素。</w:t>
      </w:r>
    </w:p>
    <w:p w14:paraId="6A7418B2">
      <w:pPr>
        <w:pStyle w:val="234"/>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采样及分析方法</w:t>
      </w:r>
    </w:p>
    <w:p w14:paraId="561D1A76">
      <w:pPr>
        <w:pStyle w:val="234"/>
      </w:pPr>
      <w:r>
        <w:t>本次环境空气污染物采样、分析方法按照</w:t>
      </w:r>
      <w:r>
        <w:rPr>
          <w:rFonts w:hint="eastAsia"/>
        </w:rPr>
        <w:t>《</w:t>
      </w:r>
      <w:r>
        <w:t>环境空气质量手工监测技术规范》（HJ 194-2017）执行。</w:t>
      </w:r>
    </w:p>
    <w:p w14:paraId="01D8BF6D">
      <w:pPr>
        <w:pStyle w:val="904"/>
      </w:pPr>
      <w:r>
        <w:t>表 4.2</w:t>
      </w:r>
      <w:r>
        <w:noBreakHyphen/>
      </w:r>
      <w:r>
        <w:rPr>
          <w:rFonts w:hint="eastAsia"/>
        </w:rPr>
        <w:t>4</w:t>
      </w:r>
      <w:r>
        <w:t>大气因子监测方法及依据</w:t>
      </w:r>
    </w:p>
    <w:tbl>
      <w:tblPr>
        <w:tblStyle w:val="139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5"/>
        <w:gridCol w:w="3750"/>
        <w:gridCol w:w="2549"/>
        <w:gridCol w:w="1792"/>
      </w:tblGrid>
      <w:tr w14:paraId="7F9BC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3" w:type="dxa"/>
            <w:vAlign w:val="center"/>
          </w:tcPr>
          <w:p w14:paraId="43BEE1D6">
            <w:pPr>
              <w:pStyle w:val="1343"/>
            </w:pPr>
            <w:r>
              <w:t>监测因子</w:t>
            </w:r>
          </w:p>
        </w:tc>
        <w:tc>
          <w:tcPr>
            <w:tcW w:w="3544" w:type="dxa"/>
            <w:vAlign w:val="center"/>
          </w:tcPr>
          <w:p w14:paraId="6C89CEC2">
            <w:pPr>
              <w:pStyle w:val="1343"/>
            </w:pPr>
            <w:r>
              <w:t>监测方法及依据</w:t>
            </w:r>
          </w:p>
        </w:tc>
        <w:tc>
          <w:tcPr>
            <w:tcW w:w="2409" w:type="dxa"/>
            <w:vAlign w:val="center"/>
          </w:tcPr>
          <w:p w14:paraId="2281DE8C">
            <w:pPr>
              <w:pStyle w:val="1343"/>
            </w:pPr>
            <w:r>
              <w:t>使用设备</w:t>
            </w:r>
          </w:p>
        </w:tc>
        <w:tc>
          <w:tcPr>
            <w:tcW w:w="1694" w:type="dxa"/>
            <w:vAlign w:val="center"/>
          </w:tcPr>
          <w:p w14:paraId="675192EC">
            <w:pPr>
              <w:pStyle w:val="1343"/>
            </w:pPr>
            <w:r>
              <w:t>检出限</w:t>
            </w:r>
          </w:p>
        </w:tc>
      </w:tr>
      <w:tr w14:paraId="0B055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3" w:type="dxa"/>
            <w:vAlign w:val="center"/>
          </w:tcPr>
          <w:p w14:paraId="22620869">
            <w:pPr>
              <w:pStyle w:val="1343"/>
            </w:pPr>
            <w:r>
              <w:t>甲烷</w:t>
            </w:r>
          </w:p>
        </w:tc>
        <w:tc>
          <w:tcPr>
            <w:tcW w:w="3544" w:type="dxa"/>
            <w:vMerge w:val="restart"/>
            <w:vAlign w:val="center"/>
          </w:tcPr>
          <w:p w14:paraId="238DB494">
            <w:pPr>
              <w:pStyle w:val="1343"/>
            </w:pPr>
            <w:r>
              <w:t>《环境空气总烃、甲烷和非甲烷总烃的测定直接进样-气相色谱法》</w:t>
            </w:r>
          </w:p>
          <w:p w14:paraId="2B09158F">
            <w:pPr>
              <w:pStyle w:val="1343"/>
            </w:pPr>
            <w:r>
              <w:t>(HJ/T 604-2017)</w:t>
            </w:r>
          </w:p>
        </w:tc>
        <w:tc>
          <w:tcPr>
            <w:tcW w:w="2409" w:type="dxa"/>
            <w:vAlign w:val="center"/>
          </w:tcPr>
          <w:p w14:paraId="4E09D46F">
            <w:pPr>
              <w:pStyle w:val="1018"/>
              <w:spacing w:before="46"/>
              <w:ind w:left="90" w:right="90"/>
              <w:jc w:val="center"/>
            </w:pPr>
            <w:r>
              <w:rPr>
                <w:rFonts w:eastAsia="Times New Roman"/>
                <w:sz w:val="21"/>
                <w:szCs w:val="21"/>
              </w:rPr>
              <w:t>GC</w:t>
            </w:r>
            <w:r>
              <w:rPr>
                <w:rFonts w:hint="eastAsia"/>
                <w:sz w:val="21"/>
                <w:szCs w:val="21"/>
              </w:rPr>
              <w:t>7900</w:t>
            </w:r>
            <w:r>
              <w:rPr>
                <w:sz w:val="21"/>
                <w:szCs w:val="21"/>
              </w:rPr>
              <w:t>气相色</w:t>
            </w:r>
            <w:r>
              <w:rPr>
                <w:spacing w:val="-1"/>
                <w:sz w:val="21"/>
                <w:szCs w:val="21"/>
              </w:rPr>
              <w:t>谱仪</w:t>
            </w:r>
          </w:p>
        </w:tc>
        <w:tc>
          <w:tcPr>
            <w:tcW w:w="1694" w:type="dxa"/>
            <w:vAlign w:val="center"/>
          </w:tcPr>
          <w:p w14:paraId="2B083693">
            <w:pPr>
              <w:pStyle w:val="1343"/>
            </w:pPr>
            <w:r>
              <w:t>0.0</w:t>
            </w:r>
            <w:r>
              <w:rPr>
                <w:rFonts w:hint="eastAsia"/>
              </w:rPr>
              <w:t>6</w:t>
            </w:r>
            <w:r>
              <w:rPr>
                <w:spacing w:val="-7"/>
              </w:rPr>
              <w:t xml:space="preserve"> </w:t>
            </w:r>
            <w:r>
              <w:t>mg/m</w:t>
            </w:r>
            <w:r>
              <w:rPr>
                <w:position w:val="7"/>
                <w:sz w:val="13"/>
              </w:rPr>
              <w:t>3</w:t>
            </w:r>
          </w:p>
        </w:tc>
      </w:tr>
      <w:tr w14:paraId="637BA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3" w:type="dxa"/>
            <w:vAlign w:val="center"/>
          </w:tcPr>
          <w:p w14:paraId="575BA1FE">
            <w:pPr>
              <w:pStyle w:val="1343"/>
            </w:pPr>
            <w:r>
              <w:t>非甲烷总烃</w:t>
            </w:r>
          </w:p>
        </w:tc>
        <w:tc>
          <w:tcPr>
            <w:tcW w:w="3544" w:type="dxa"/>
            <w:vMerge w:val="continue"/>
            <w:vAlign w:val="center"/>
          </w:tcPr>
          <w:p w14:paraId="53E42B26">
            <w:pPr>
              <w:pStyle w:val="1343"/>
            </w:pPr>
          </w:p>
        </w:tc>
        <w:tc>
          <w:tcPr>
            <w:tcW w:w="2409" w:type="dxa"/>
            <w:vAlign w:val="center"/>
          </w:tcPr>
          <w:p w14:paraId="75F27430">
            <w:pPr>
              <w:pStyle w:val="1018"/>
              <w:spacing w:before="46"/>
              <w:ind w:left="90" w:right="90"/>
              <w:jc w:val="center"/>
            </w:pPr>
            <w:r>
              <w:rPr>
                <w:rFonts w:eastAsia="Times New Roman"/>
                <w:sz w:val="21"/>
                <w:szCs w:val="21"/>
              </w:rPr>
              <w:t>GC</w:t>
            </w:r>
            <w:r>
              <w:rPr>
                <w:rFonts w:hint="eastAsia"/>
                <w:sz w:val="21"/>
                <w:szCs w:val="21"/>
              </w:rPr>
              <w:t>7900</w:t>
            </w:r>
            <w:r>
              <w:rPr>
                <w:sz w:val="21"/>
                <w:szCs w:val="21"/>
              </w:rPr>
              <w:t>气相色</w:t>
            </w:r>
            <w:r>
              <w:rPr>
                <w:spacing w:val="-1"/>
                <w:sz w:val="21"/>
                <w:szCs w:val="21"/>
              </w:rPr>
              <w:t>谱仪</w:t>
            </w:r>
          </w:p>
        </w:tc>
        <w:tc>
          <w:tcPr>
            <w:tcW w:w="1694" w:type="dxa"/>
            <w:vAlign w:val="center"/>
          </w:tcPr>
          <w:p w14:paraId="71EE2184">
            <w:pPr>
              <w:pStyle w:val="1343"/>
            </w:pPr>
            <w:r>
              <w:t>0.07</w:t>
            </w:r>
            <w:r>
              <w:rPr>
                <w:spacing w:val="-7"/>
              </w:rPr>
              <w:t xml:space="preserve"> </w:t>
            </w:r>
            <w:r>
              <w:t>mg/m</w:t>
            </w:r>
            <w:r>
              <w:rPr>
                <w:position w:val="7"/>
                <w:sz w:val="13"/>
              </w:rPr>
              <w:t>3</w:t>
            </w:r>
          </w:p>
        </w:tc>
      </w:tr>
    </w:tbl>
    <w:p w14:paraId="4C8F13E6">
      <w:pPr>
        <w:pStyle w:val="234"/>
        <w:snapToGrid w:val="0"/>
        <w:spacing w:before="120" w:beforeLines="50"/>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评价方法</w:t>
      </w:r>
    </w:p>
    <w:p w14:paraId="54743B5B">
      <w:pPr>
        <w:pStyle w:val="234"/>
      </w:pPr>
      <w:r>
        <w:t>采用单因子指数法进行评价，具体计算公式为：</w:t>
      </w:r>
    </w:p>
    <w:p w14:paraId="060F68CA">
      <w:pPr>
        <w:pStyle w:val="234"/>
        <w:jc w:val="center"/>
      </w:pPr>
      <w:r>
        <w:rPr>
          <w:i/>
          <w:iCs/>
        </w:rPr>
        <w:t>I</w:t>
      </w:r>
      <w:r>
        <w:t>=C</w:t>
      </w:r>
      <w:r>
        <w:rPr>
          <w:vertAlign w:val="subscript"/>
        </w:rPr>
        <w:t>i</w:t>
      </w:r>
      <w:r>
        <w:t>/C</w:t>
      </w:r>
      <w:r>
        <w:rPr>
          <w:vertAlign w:val="subscript"/>
        </w:rPr>
        <w:t>0i</w:t>
      </w:r>
    </w:p>
    <w:p w14:paraId="1347C1E3">
      <w:pPr>
        <w:pStyle w:val="234"/>
        <w:jc w:val="left"/>
      </w:pPr>
      <w:r>
        <w:t>式中：</w:t>
      </w:r>
      <w:r>
        <w:rPr>
          <w:i/>
          <w:iCs/>
        </w:rPr>
        <w:t>I</w:t>
      </w:r>
      <w:r>
        <w:t>—污染指数；</w:t>
      </w:r>
    </w:p>
    <w:p w14:paraId="38A20C05">
      <w:pPr>
        <w:pStyle w:val="234"/>
        <w:jc w:val="left"/>
      </w:pPr>
      <w:r>
        <w:t>C</w:t>
      </w:r>
      <w:r>
        <w:rPr>
          <w:vertAlign w:val="subscript"/>
        </w:rPr>
        <w:t>i</w:t>
      </w:r>
      <w:r>
        <w:t>—污染因子i的实测浓度值(mg/m</w:t>
      </w:r>
      <w:r>
        <w:rPr>
          <w:vertAlign w:val="superscript"/>
        </w:rPr>
        <w:t>3</w:t>
      </w:r>
      <w:r>
        <w:t>)；</w:t>
      </w:r>
    </w:p>
    <w:p w14:paraId="6910CA23">
      <w:pPr>
        <w:pStyle w:val="234"/>
        <w:jc w:val="left"/>
      </w:pPr>
      <w:r>
        <w:t>C</w:t>
      </w:r>
      <w:r>
        <w:rPr>
          <w:vertAlign w:val="subscript"/>
        </w:rPr>
        <w:t>oi</w:t>
      </w:r>
      <w:r>
        <w:t>—污染因子i的标准值(mg/m</w:t>
      </w:r>
      <w:r>
        <w:rPr>
          <w:vertAlign w:val="superscript"/>
        </w:rPr>
        <w:t>3</w:t>
      </w:r>
      <w:r>
        <w:t>)。</w:t>
      </w:r>
    </w:p>
    <w:p w14:paraId="1F779139">
      <w:pPr>
        <w:pStyle w:val="234"/>
      </w:pPr>
      <w:r>
        <w:t>（5）监测结果及评价</w:t>
      </w:r>
    </w:p>
    <w:p w14:paraId="7A814233">
      <w:pPr>
        <w:pStyle w:val="234"/>
      </w:pPr>
      <w:r>
        <w:t>监测期间气象监测结果</w:t>
      </w:r>
      <w:r>
        <w:fldChar w:fldCharType="begin"/>
      </w:r>
      <w:r>
        <w:instrText xml:space="preserve"> REF _Ref76906184 \h  \* MERGEFORMAT </w:instrText>
      </w:r>
      <w:r>
        <w:fldChar w:fldCharType="separate"/>
      </w:r>
      <w:r>
        <w:t>表</w:t>
      </w:r>
      <w:r>
        <w:fldChar w:fldCharType="end"/>
      </w:r>
      <w:r>
        <w:t>4.2</w:t>
      </w:r>
      <w:r>
        <w:rPr>
          <w:rFonts w:hint="eastAsia"/>
        </w:rPr>
        <w:t>-5</w:t>
      </w:r>
      <w:r>
        <w:t>。大气环境质量检测结果见</w:t>
      </w:r>
      <w:r>
        <w:fldChar w:fldCharType="begin"/>
      </w:r>
      <w:r>
        <w:instrText xml:space="preserve"> REF _Ref76906187 \h  \* MERGEFORMAT </w:instrText>
      </w:r>
      <w:r>
        <w:fldChar w:fldCharType="separate"/>
      </w:r>
      <w:r>
        <w:t>表</w:t>
      </w:r>
      <w:r>
        <w:fldChar w:fldCharType="end"/>
      </w:r>
      <w:r>
        <w:t>4.2</w:t>
      </w:r>
      <w:r>
        <w:rPr>
          <w:rFonts w:hint="eastAsia"/>
        </w:rPr>
        <w:t>-6</w:t>
      </w:r>
      <w:r>
        <w:t>。</w:t>
      </w:r>
    </w:p>
    <w:p w14:paraId="7D110CAA">
      <w:pPr>
        <w:pStyle w:val="904"/>
      </w:pPr>
      <w:bookmarkStart w:id="167" w:name="_Ref76906184"/>
      <w:bookmarkStart w:id="168" w:name="_Ref76906138"/>
      <w:r>
        <w:t>表</w:t>
      </w:r>
      <w:bookmarkEnd w:id="167"/>
      <w:r>
        <w:t>4.2-</w:t>
      </w:r>
      <w:r>
        <w:rPr>
          <w:rFonts w:hint="eastAsia"/>
        </w:rPr>
        <w:t>5</w:t>
      </w:r>
      <w:r>
        <w:t xml:space="preserve"> 气象要素监测结果</w:t>
      </w:r>
      <w:bookmarkEnd w:id="168"/>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4"/>
        <w:gridCol w:w="1311"/>
        <w:gridCol w:w="1311"/>
        <w:gridCol w:w="1311"/>
        <w:gridCol w:w="1311"/>
        <w:gridCol w:w="1317"/>
        <w:gridCol w:w="1311"/>
      </w:tblGrid>
      <w:tr w14:paraId="0004C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Align w:val="center"/>
          </w:tcPr>
          <w:p w14:paraId="7C32EC78">
            <w:pPr>
              <w:adjustRightInd w:val="0"/>
              <w:snapToGrid w:val="0"/>
              <w:spacing w:line="320" w:lineRule="exact"/>
              <w:jc w:val="center"/>
              <w:rPr>
                <w:b/>
                <w:bCs/>
                <w:szCs w:val="21"/>
                <w:lang w:val="de-DE"/>
              </w:rPr>
            </w:pPr>
            <w:r>
              <w:rPr>
                <w:b/>
                <w:bCs/>
                <w:szCs w:val="21"/>
                <w:lang w:val="de-DE"/>
              </w:rPr>
              <w:t>采样日期</w:t>
            </w:r>
          </w:p>
        </w:tc>
        <w:tc>
          <w:tcPr>
            <w:tcW w:w="683" w:type="pct"/>
            <w:vAlign w:val="center"/>
          </w:tcPr>
          <w:p w14:paraId="5D6072A9">
            <w:pPr>
              <w:adjustRightInd w:val="0"/>
              <w:snapToGrid w:val="0"/>
              <w:spacing w:line="320" w:lineRule="exact"/>
              <w:jc w:val="center"/>
              <w:rPr>
                <w:b/>
                <w:bCs/>
                <w:szCs w:val="21"/>
              </w:rPr>
            </w:pPr>
            <w:r>
              <w:rPr>
                <w:rFonts w:hint="eastAsia"/>
                <w:b/>
                <w:bCs/>
                <w:szCs w:val="21"/>
              </w:rPr>
              <w:t>天气状况</w:t>
            </w:r>
          </w:p>
        </w:tc>
        <w:tc>
          <w:tcPr>
            <w:tcW w:w="683" w:type="pct"/>
            <w:vAlign w:val="center"/>
          </w:tcPr>
          <w:p w14:paraId="5B9074F7">
            <w:pPr>
              <w:adjustRightInd w:val="0"/>
              <w:snapToGrid w:val="0"/>
              <w:spacing w:line="320" w:lineRule="exact"/>
              <w:jc w:val="center"/>
              <w:rPr>
                <w:b/>
                <w:bCs/>
                <w:szCs w:val="21"/>
                <w:lang w:val="de-DE"/>
              </w:rPr>
            </w:pPr>
            <w:r>
              <w:rPr>
                <w:b/>
                <w:bCs/>
                <w:szCs w:val="21"/>
                <w:lang w:val="de-DE"/>
              </w:rPr>
              <w:t>风向</w:t>
            </w:r>
          </w:p>
        </w:tc>
        <w:tc>
          <w:tcPr>
            <w:tcW w:w="683" w:type="pct"/>
            <w:vAlign w:val="center"/>
          </w:tcPr>
          <w:p w14:paraId="40E87250">
            <w:pPr>
              <w:adjustRightInd w:val="0"/>
              <w:snapToGrid w:val="0"/>
              <w:spacing w:line="320" w:lineRule="exact"/>
              <w:jc w:val="center"/>
              <w:rPr>
                <w:b/>
                <w:bCs/>
                <w:szCs w:val="21"/>
                <w:lang w:val="de-DE"/>
              </w:rPr>
            </w:pPr>
            <w:r>
              <w:rPr>
                <w:b/>
                <w:bCs/>
                <w:szCs w:val="21"/>
                <w:lang w:val="de-DE"/>
              </w:rPr>
              <w:t>风速</w:t>
            </w:r>
          </w:p>
          <w:p w14:paraId="671DC6C0">
            <w:pPr>
              <w:adjustRightInd w:val="0"/>
              <w:snapToGrid w:val="0"/>
              <w:spacing w:line="320" w:lineRule="exact"/>
              <w:jc w:val="center"/>
              <w:rPr>
                <w:b/>
                <w:bCs/>
                <w:szCs w:val="21"/>
                <w:lang w:val="de-DE"/>
              </w:rPr>
            </w:pPr>
            <w:r>
              <w:rPr>
                <w:b/>
                <w:bCs/>
                <w:szCs w:val="21"/>
                <w:lang w:val="de-DE"/>
              </w:rPr>
              <w:t>(m/s)</w:t>
            </w:r>
          </w:p>
        </w:tc>
        <w:tc>
          <w:tcPr>
            <w:tcW w:w="683" w:type="pct"/>
            <w:vAlign w:val="center"/>
          </w:tcPr>
          <w:p w14:paraId="004D311C">
            <w:pPr>
              <w:adjustRightInd w:val="0"/>
              <w:snapToGrid w:val="0"/>
              <w:spacing w:line="320" w:lineRule="exact"/>
              <w:jc w:val="center"/>
              <w:rPr>
                <w:b/>
                <w:bCs/>
                <w:szCs w:val="21"/>
              </w:rPr>
            </w:pPr>
            <w:r>
              <w:rPr>
                <w:rFonts w:hint="eastAsia"/>
                <w:b/>
                <w:bCs/>
                <w:szCs w:val="21"/>
              </w:rPr>
              <w:t>环境气温</w:t>
            </w:r>
          </w:p>
          <w:p w14:paraId="6C5B0BD2">
            <w:pPr>
              <w:adjustRightInd w:val="0"/>
              <w:snapToGrid w:val="0"/>
              <w:spacing w:line="320" w:lineRule="exact"/>
              <w:jc w:val="center"/>
              <w:rPr>
                <w:b/>
                <w:bCs/>
                <w:szCs w:val="21"/>
                <w:lang w:val="de-DE"/>
              </w:rPr>
            </w:pPr>
            <w:r>
              <w:rPr>
                <w:b/>
                <w:bCs/>
                <w:szCs w:val="21"/>
                <w:lang w:val="de-DE"/>
              </w:rPr>
              <w:t>(℃)</w:t>
            </w:r>
          </w:p>
        </w:tc>
        <w:tc>
          <w:tcPr>
            <w:tcW w:w="686" w:type="pct"/>
            <w:vAlign w:val="center"/>
          </w:tcPr>
          <w:p w14:paraId="18F2BF35">
            <w:pPr>
              <w:adjustRightInd w:val="0"/>
              <w:snapToGrid w:val="0"/>
              <w:spacing w:line="320" w:lineRule="exact"/>
              <w:jc w:val="center"/>
              <w:rPr>
                <w:b/>
                <w:bCs/>
                <w:szCs w:val="21"/>
                <w:lang w:val="de-DE"/>
              </w:rPr>
            </w:pPr>
            <w:r>
              <w:rPr>
                <w:rFonts w:hint="eastAsia"/>
                <w:b/>
                <w:bCs/>
                <w:szCs w:val="21"/>
              </w:rPr>
              <w:t>环境</w:t>
            </w:r>
            <w:r>
              <w:rPr>
                <w:b/>
                <w:bCs/>
                <w:szCs w:val="21"/>
                <w:lang w:val="de-DE"/>
              </w:rPr>
              <w:t>气压(</w:t>
            </w:r>
            <w:r>
              <w:rPr>
                <w:rFonts w:hint="eastAsia"/>
                <w:b/>
                <w:bCs/>
                <w:szCs w:val="21"/>
              </w:rPr>
              <w:t>k</w:t>
            </w:r>
            <w:r>
              <w:rPr>
                <w:b/>
                <w:bCs/>
                <w:szCs w:val="21"/>
                <w:lang w:val="de-DE"/>
              </w:rPr>
              <w:t>Pa)</w:t>
            </w:r>
          </w:p>
        </w:tc>
        <w:tc>
          <w:tcPr>
            <w:tcW w:w="683" w:type="pct"/>
            <w:vAlign w:val="center"/>
          </w:tcPr>
          <w:p w14:paraId="0C0606F4">
            <w:pPr>
              <w:adjustRightInd w:val="0"/>
              <w:snapToGrid w:val="0"/>
              <w:spacing w:line="320" w:lineRule="exact"/>
              <w:jc w:val="center"/>
              <w:rPr>
                <w:b/>
                <w:bCs/>
                <w:szCs w:val="21"/>
              </w:rPr>
            </w:pPr>
            <w:r>
              <w:rPr>
                <w:rFonts w:hint="eastAsia"/>
                <w:b/>
                <w:bCs/>
                <w:szCs w:val="21"/>
              </w:rPr>
              <w:t>相对湿度（%）</w:t>
            </w:r>
          </w:p>
        </w:tc>
      </w:tr>
      <w:tr w14:paraId="78E66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Align w:val="center"/>
          </w:tcPr>
          <w:p w14:paraId="35CB083C">
            <w:pPr>
              <w:adjustRightInd w:val="0"/>
              <w:snapToGrid w:val="0"/>
              <w:spacing w:line="320" w:lineRule="exact"/>
              <w:jc w:val="center"/>
              <w:rPr>
                <w:szCs w:val="21"/>
              </w:rPr>
            </w:pPr>
            <w:r>
              <w:rPr>
                <w:rFonts w:hint="eastAsia"/>
                <w:szCs w:val="21"/>
              </w:rPr>
              <w:t>2023.8.11</w:t>
            </w:r>
          </w:p>
        </w:tc>
        <w:tc>
          <w:tcPr>
            <w:tcW w:w="683" w:type="pct"/>
            <w:vAlign w:val="center"/>
          </w:tcPr>
          <w:p w14:paraId="79DAA041">
            <w:pPr>
              <w:adjustRightInd w:val="0"/>
              <w:snapToGrid w:val="0"/>
              <w:spacing w:line="320" w:lineRule="exact"/>
              <w:jc w:val="center"/>
              <w:rPr>
                <w:szCs w:val="21"/>
              </w:rPr>
            </w:pPr>
            <w:r>
              <w:rPr>
                <w:rFonts w:hint="eastAsia"/>
                <w:szCs w:val="21"/>
              </w:rPr>
              <w:t>晴</w:t>
            </w:r>
          </w:p>
        </w:tc>
        <w:tc>
          <w:tcPr>
            <w:tcW w:w="683" w:type="pct"/>
            <w:vAlign w:val="center"/>
          </w:tcPr>
          <w:p w14:paraId="39766777">
            <w:pPr>
              <w:adjustRightInd w:val="0"/>
              <w:snapToGrid w:val="0"/>
              <w:spacing w:line="320" w:lineRule="exact"/>
              <w:jc w:val="center"/>
              <w:rPr>
                <w:szCs w:val="21"/>
              </w:rPr>
            </w:pPr>
            <w:r>
              <w:rPr>
                <w:rFonts w:hint="eastAsia"/>
                <w:szCs w:val="21"/>
              </w:rPr>
              <w:t>西北</w:t>
            </w:r>
          </w:p>
        </w:tc>
        <w:tc>
          <w:tcPr>
            <w:tcW w:w="683" w:type="pct"/>
            <w:vAlign w:val="center"/>
          </w:tcPr>
          <w:p w14:paraId="3FD7EBCE">
            <w:pPr>
              <w:adjustRightInd w:val="0"/>
              <w:snapToGrid w:val="0"/>
              <w:spacing w:line="320" w:lineRule="exact"/>
              <w:jc w:val="center"/>
              <w:rPr>
                <w:szCs w:val="21"/>
              </w:rPr>
            </w:pPr>
            <w:r>
              <w:rPr>
                <w:rFonts w:hint="eastAsia"/>
                <w:szCs w:val="21"/>
              </w:rPr>
              <w:t>1.1~1.5</w:t>
            </w:r>
          </w:p>
        </w:tc>
        <w:tc>
          <w:tcPr>
            <w:tcW w:w="683" w:type="pct"/>
            <w:vAlign w:val="center"/>
          </w:tcPr>
          <w:p w14:paraId="7A216D26">
            <w:pPr>
              <w:adjustRightInd w:val="0"/>
              <w:snapToGrid w:val="0"/>
              <w:spacing w:line="320" w:lineRule="exact"/>
              <w:jc w:val="center"/>
              <w:rPr>
                <w:szCs w:val="21"/>
              </w:rPr>
            </w:pPr>
            <w:r>
              <w:rPr>
                <w:rFonts w:hint="eastAsia"/>
                <w:szCs w:val="21"/>
              </w:rPr>
              <w:t>27~38</w:t>
            </w:r>
          </w:p>
        </w:tc>
        <w:tc>
          <w:tcPr>
            <w:tcW w:w="686" w:type="pct"/>
            <w:vAlign w:val="center"/>
          </w:tcPr>
          <w:p w14:paraId="5CE99096">
            <w:pPr>
              <w:adjustRightInd w:val="0"/>
              <w:snapToGrid w:val="0"/>
              <w:spacing w:line="320" w:lineRule="exact"/>
              <w:jc w:val="center"/>
              <w:rPr>
                <w:szCs w:val="21"/>
              </w:rPr>
            </w:pPr>
            <w:r>
              <w:rPr>
                <w:rFonts w:hint="eastAsia"/>
                <w:szCs w:val="21"/>
              </w:rPr>
              <w:t>99.7~100.4</w:t>
            </w:r>
          </w:p>
        </w:tc>
        <w:tc>
          <w:tcPr>
            <w:tcW w:w="683" w:type="pct"/>
            <w:vAlign w:val="center"/>
          </w:tcPr>
          <w:p w14:paraId="66F35BF5">
            <w:pPr>
              <w:adjustRightInd w:val="0"/>
              <w:snapToGrid w:val="0"/>
              <w:spacing w:line="320" w:lineRule="exact"/>
              <w:jc w:val="center"/>
              <w:rPr>
                <w:szCs w:val="21"/>
              </w:rPr>
            </w:pPr>
            <w:r>
              <w:rPr>
                <w:rFonts w:hint="eastAsia"/>
                <w:szCs w:val="21"/>
              </w:rPr>
              <w:t>54~61</w:t>
            </w:r>
          </w:p>
        </w:tc>
      </w:tr>
      <w:tr w14:paraId="29838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Align w:val="center"/>
          </w:tcPr>
          <w:p w14:paraId="481AFC18">
            <w:pPr>
              <w:adjustRightInd w:val="0"/>
              <w:snapToGrid w:val="0"/>
              <w:spacing w:line="320" w:lineRule="exact"/>
              <w:jc w:val="center"/>
              <w:rPr>
                <w:szCs w:val="21"/>
              </w:rPr>
            </w:pPr>
            <w:r>
              <w:rPr>
                <w:rFonts w:hint="eastAsia"/>
                <w:szCs w:val="21"/>
              </w:rPr>
              <w:t>2023.8.12</w:t>
            </w:r>
          </w:p>
        </w:tc>
        <w:tc>
          <w:tcPr>
            <w:tcW w:w="683" w:type="pct"/>
            <w:vAlign w:val="center"/>
          </w:tcPr>
          <w:p w14:paraId="238A00D8">
            <w:pPr>
              <w:adjustRightInd w:val="0"/>
              <w:snapToGrid w:val="0"/>
              <w:spacing w:line="320" w:lineRule="exact"/>
              <w:jc w:val="center"/>
              <w:rPr>
                <w:szCs w:val="21"/>
              </w:rPr>
            </w:pPr>
            <w:r>
              <w:rPr>
                <w:rFonts w:hint="eastAsia"/>
                <w:szCs w:val="21"/>
              </w:rPr>
              <w:t>晴</w:t>
            </w:r>
          </w:p>
        </w:tc>
        <w:tc>
          <w:tcPr>
            <w:tcW w:w="683" w:type="pct"/>
            <w:vAlign w:val="center"/>
          </w:tcPr>
          <w:p w14:paraId="2C8455B6">
            <w:pPr>
              <w:adjustRightInd w:val="0"/>
              <w:snapToGrid w:val="0"/>
              <w:spacing w:line="320" w:lineRule="exact"/>
              <w:jc w:val="center"/>
              <w:rPr>
                <w:szCs w:val="21"/>
              </w:rPr>
            </w:pPr>
            <w:r>
              <w:rPr>
                <w:rFonts w:hint="eastAsia"/>
                <w:szCs w:val="21"/>
              </w:rPr>
              <w:t>西北</w:t>
            </w:r>
          </w:p>
        </w:tc>
        <w:tc>
          <w:tcPr>
            <w:tcW w:w="683" w:type="pct"/>
            <w:vAlign w:val="center"/>
          </w:tcPr>
          <w:p w14:paraId="062D89A2">
            <w:pPr>
              <w:adjustRightInd w:val="0"/>
              <w:snapToGrid w:val="0"/>
              <w:spacing w:line="320" w:lineRule="exact"/>
              <w:jc w:val="center"/>
              <w:rPr>
                <w:szCs w:val="21"/>
              </w:rPr>
            </w:pPr>
            <w:r>
              <w:rPr>
                <w:rFonts w:hint="eastAsia"/>
                <w:szCs w:val="21"/>
              </w:rPr>
              <w:t>1.0~1.4</w:t>
            </w:r>
          </w:p>
        </w:tc>
        <w:tc>
          <w:tcPr>
            <w:tcW w:w="683" w:type="pct"/>
            <w:vAlign w:val="center"/>
          </w:tcPr>
          <w:p w14:paraId="073D33CE">
            <w:pPr>
              <w:adjustRightInd w:val="0"/>
              <w:snapToGrid w:val="0"/>
              <w:spacing w:line="320" w:lineRule="exact"/>
              <w:jc w:val="center"/>
              <w:rPr>
                <w:szCs w:val="21"/>
              </w:rPr>
            </w:pPr>
            <w:r>
              <w:rPr>
                <w:rFonts w:hint="eastAsia"/>
                <w:szCs w:val="21"/>
              </w:rPr>
              <w:t>27~39</w:t>
            </w:r>
          </w:p>
        </w:tc>
        <w:tc>
          <w:tcPr>
            <w:tcW w:w="686" w:type="pct"/>
            <w:vAlign w:val="center"/>
          </w:tcPr>
          <w:p w14:paraId="618CFE66">
            <w:pPr>
              <w:adjustRightInd w:val="0"/>
              <w:snapToGrid w:val="0"/>
              <w:spacing w:line="320" w:lineRule="exact"/>
              <w:jc w:val="center"/>
              <w:rPr>
                <w:szCs w:val="21"/>
              </w:rPr>
            </w:pPr>
            <w:r>
              <w:rPr>
                <w:rFonts w:hint="eastAsia"/>
                <w:szCs w:val="21"/>
              </w:rPr>
              <w:t>99.8~100.5</w:t>
            </w:r>
          </w:p>
        </w:tc>
        <w:tc>
          <w:tcPr>
            <w:tcW w:w="683" w:type="pct"/>
            <w:vAlign w:val="center"/>
          </w:tcPr>
          <w:p w14:paraId="4EF5BA0D">
            <w:pPr>
              <w:adjustRightInd w:val="0"/>
              <w:snapToGrid w:val="0"/>
              <w:spacing w:line="320" w:lineRule="exact"/>
              <w:jc w:val="center"/>
              <w:rPr>
                <w:szCs w:val="21"/>
              </w:rPr>
            </w:pPr>
            <w:r>
              <w:rPr>
                <w:rFonts w:hint="eastAsia"/>
                <w:szCs w:val="21"/>
              </w:rPr>
              <w:t>54~61</w:t>
            </w:r>
          </w:p>
        </w:tc>
      </w:tr>
      <w:tr w14:paraId="5371E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Align w:val="center"/>
          </w:tcPr>
          <w:p w14:paraId="1E3E4248">
            <w:pPr>
              <w:adjustRightInd w:val="0"/>
              <w:snapToGrid w:val="0"/>
              <w:spacing w:line="320" w:lineRule="exact"/>
              <w:jc w:val="center"/>
              <w:rPr>
                <w:szCs w:val="21"/>
              </w:rPr>
            </w:pPr>
            <w:r>
              <w:rPr>
                <w:rFonts w:hint="eastAsia"/>
                <w:szCs w:val="21"/>
              </w:rPr>
              <w:t>2023.8.13</w:t>
            </w:r>
          </w:p>
        </w:tc>
        <w:tc>
          <w:tcPr>
            <w:tcW w:w="683" w:type="pct"/>
            <w:vAlign w:val="center"/>
          </w:tcPr>
          <w:p w14:paraId="3A2FF871">
            <w:pPr>
              <w:adjustRightInd w:val="0"/>
              <w:snapToGrid w:val="0"/>
              <w:spacing w:line="320" w:lineRule="exact"/>
              <w:jc w:val="center"/>
              <w:rPr>
                <w:szCs w:val="21"/>
              </w:rPr>
            </w:pPr>
            <w:r>
              <w:rPr>
                <w:rFonts w:hint="eastAsia"/>
                <w:szCs w:val="21"/>
              </w:rPr>
              <w:t>晴</w:t>
            </w:r>
          </w:p>
        </w:tc>
        <w:tc>
          <w:tcPr>
            <w:tcW w:w="683" w:type="pct"/>
            <w:vAlign w:val="center"/>
          </w:tcPr>
          <w:p w14:paraId="10F5044D">
            <w:pPr>
              <w:adjustRightInd w:val="0"/>
              <w:snapToGrid w:val="0"/>
              <w:spacing w:line="320" w:lineRule="exact"/>
              <w:jc w:val="center"/>
              <w:rPr>
                <w:szCs w:val="21"/>
              </w:rPr>
            </w:pPr>
            <w:r>
              <w:rPr>
                <w:rFonts w:hint="eastAsia"/>
                <w:szCs w:val="21"/>
              </w:rPr>
              <w:t>东北</w:t>
            </w:r>
          </w:p>
        </w:tc>
        <w:tc>
          <w:tcPr>
            <w:tcW w:w="683" w:type="pct"/>
            <w:vAlign w:val="center"/>
          </w:tcPr>
          <w:p w14:paraId="3673719D">
            <w:pPr>
              <w:adjustRightInd w:val="0"/>
              <w:snapToGrid w:val="0"/>
              <w:spacing w:line="320" w:lineRule="exact"/>
              <w:jc w:val="center"/>
              <w:rPr>
                <w:szCs w:val="21"/>
              </w:rPr>
            </w:pPr>
            <w:r>
              <w:rPr>
                <w:rFonts w:hint="eastAsia"/>
                <w:szCs w:val="21"/>
              </w:rPr>
              <w:t>1.1~1.7</w:t>
            </w:r>
          </w:p>
        </w:tc>
        <w:tc>
          <w:tcPr>
            <w:tcW w:w="683" w:type="pct"/>
            <w:vAlign w:val="center"/>
          </w:tcPr>
          <w:p w14:paraId="2BB4C45C">
            <w:pPr>
              <w:adjustRightInd w:val="0"/>
              <w:snapToGrid w:val="0"/>
              <w:spacing w:line="320" w:lineRule="exact"/>
              <w:jc w:val="center"/>
              <w:rPr>
                <w:szCs w:val="21"/>
              </w:rPr>
            </w:pPr>
            <w:r>
              <w:rPr>
                <w:rFonts w:hint="eastAsia"/>
                <w:szCs w:val="21"/>
              </w:rPr>
              <w:t>28~38</w:t>
            </w:r>
          </w:p>
        </w:tc>
        <w:tc>
          <w:tcPr>
            <w:tcW w:w="686" w:type="pct"/>
            <w:vAlign w:val="center"/>
          </w:tcPr>
          <w:p w14:paraId="7ADA17DA">
            <w:pPr>
              <w:adjustRightInd w:val="0"/>
              <w:snapToGrid w:val="0"/>
              <w:spacing w:line="320" w:lineRule="exact"/>
              <w:jc w:val="center"/>
              <w:rPr>
                <w:szCs w:val="21"/>
              </w:rPr>
            </w:pPr>
            <w:r>
              <w:rPr>
                <w:rFonts w:hint="eastAsia"/>
                <w:szCs w:val="21"/>
              </w:rPr>
              <w:t>99.6~100.3</w:t>
            </w:r>
          </w:p>
        </w:tc>
        <w:tc>
          <w:tcPr>
            <w:tcW w:w="683" w:type="pct"/>
            <w:vAlign w:val="center"/>
          </w:tcPr>
          <w:p w14:paraId="01C2B8AE">
            <w:pPr>
              <w:adjustRightInd w:val="0"/>
              <w:snapToGrid w:val="0"/>
              <w:spacing w:line="320" w:lineRule="exact"/>
              <w:jc w:val="center"/>
              <w:rPr>
                <w:szCs w:val="21"/>
              </w:rPr>
            </w:pPr>
            <w:r>
              <w:rPr>
                <w:rFonts w:hint="eastAsia"/>
                <w:szCs w:val="21"/>
              </w:rPr>
              <w:t>53~60</w:t>
            </w:r>
          </w:p>
        </w:tc>
      </w:tr>
      <w:tr w14:paraId="54A13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Align w:val="center"/>
          </w:tcPr>
          <w:p w14:paraId="4182C89E">
            <w:pPr>
              <w:adjustRightInd w:val="0"/>
              <w:snapToGrid w:val="0"/>
              <w:spacing w:line="320" w:lineRule="exact"/>
              <w:jc w:val="center"/>
              <w:rPr>
                <w:szCs w:val="21"/>
              </w:rPr>
            </w:pPr>
            <w:r>
              <w:rPr>
                <w:rFonts w:hint="eastAsia"/>
                <w:szCs w:val="21"/>
              </w:rPr>
              <w:t>2023.8.14</w:t>
            </w:r>
          </w:p>
        </w:tc>
        <w:tc>
          <w:tcPr>
            <w:tcW w:w="683" w:type="pct"/>
            <w:vAlign w:val="center"/>
          </w:tcPr>
          <w:p w14:paraId="29F428E8">
            <w:pPr>
              <w:adjustRightInd w:val="0"/>
              <w:snapToGrid w:val="0"/>
              <w:spacing w:line="320" w:lineRule="exact"/>
              <w:jc w:val="center"/>
              <w:rPr>
                <w:szCs w:val="21"/>
              </w:rPr>
            </w:pPr>
            <w:r>
              <w:rPr>
                <w:rFonts w:hint="eastAsia"/>
                <w:szCs w:val="21"/>
              </w:rPr>
              <w:t>晴</w:t>
            </w:r>
          </w:p>
        </w:tc>
        <w:tc>
          <w:tcPr>
            <w:tcW w:w="683" w:type="pct"/>
            <w:vAlign w:val="center"/>
          </w:tcPr>
          <w:p w14:paraId="11DE2770">
            <w:pPr>
              <w:adjustRightInd w:val="0"/>
              <w:snapToGrid w:val="0"/>
              <w:spacing w:line="320" w:lineRule="exact"/>
              <w:jc w:val="center"/>
              <w:rPr>
                <w:szCs w:val="21"/>
              </w:rPr>
            </w:pPr>
            <w:r>
              <w:rPr>
                <w:rFonts w:hint="eastAsia"/>
                <w:szCs w:val="21"/>
              </w:rPr>
              <w:t>西南</w:t>
            </w:r>
          </w:p>
        </w:tc>
        <w:tc>
          <w:tcPr>
            <w:tcW w:w="683" w:type="pct"/>
            <w:vAlign w:val="center"/>
          </w:tcPr>
          <w:p w14:paraId="02C1432B">
            <w:pPr>
              <w:adjustRightInd w:val="0"/>
              <w:snapToGrid w:val="0"/>
              <w:spacing w:line="320" w:lineRule="exact"/>
              <w:jc w:val="center"/>
              <w:rPr>
                <w:szCs w:val="21"/>
              </w:rPr>
            </w:pPr>
            <w:r>
              <w:rPr>
                <w:rFonts w:hint="eastAsia"/>
                <w:szCs w:val="21"/>
              </w:rPr>
              <w:t>1.2~1.8</w:t>
            </w:r>
          </w:p>
        </w:tc>
        <w:tc>
          <w:tcPr>
            <w:tcW w:w="683" w:type="pct"/>
            <w:vAlign w:val="center"/>
          </w:tcPr>
          <w:p w14:paraId="7D8261D5">
            <w:pPr>
              <w:adjustRightInd w:val="0"/>
              <w:snapToGrid w:val="0"/>
              <w:spacing w:line="320" w:lineRule="exact"/>
              <w:jc w:val="center"/>
              <w:rPr>
                <w:szCs w:val="21"/>
              </w:rPr>
            </w:pPr>
            <w:r>
              <w:rPr>
                <w:rFonts w:hint="eastAsia"/>
                <w:szCs w:val="21"/>
              </w:rPr>
              <w:t>28~39</w:t>
            </w:r>
          </w:p>
        </w:tc>
        <w:tc>
          <w:tcPr>
            <w:tcW w:w="686" w:type="pct"/>
            <w:vAlign w:val="center"/>
          </w:tcPr>
          <w:p w14:paraId="3719F3E6">
            <w:pPr>
              <w:adjustRightInd w:val="0"/>
              <w:snapToGrid w:val="0"/>
              <w:spacing w:line="320" w:lineRule="exact"/>
              <w:jc w:val="center"/>
              <w:rPr>
                <w:szCs w:val="21"/>
              </w:rPr>
            </w:pPr>
            <w:r>
              <w:rPr>
                <w:rFonts w:hint="eastAsia"/>
                <w:szCs w:val="21"/>
              </w:rPr>
              <w:t>99.7~100.3</w:t>
            </w:r>
          </w:p>
        </w:tc>
        <w:tc>
          <w:tcPr>
            <w:tcW w:w="683" w:type="pct"/>
            <w:vAlign w:val="center"/>
          </w:tcPr>
          <w:p w14:paraId="4F772EB0">
            <w:pPr>
              <w:adjustRightInd w:val="0"/>
              <w:snapToGrid w:val="0"/>
              <w:spacing w:line="320" w:lineRule="exact"/>
              <w:jc w:val="center"/>
              <w:rPr>
                <w:szCs w:val="21"/>
              </w:rPr>
            </w:pPr>
            <w:r>
              <w:rPr>
                <w:rFonts w:hint="eastAsia"/>
                <w:szCs w:val="21"/>
              </w:rPr>
              <w:t>56~62</w:t>
            </w:r>
          </w:p>
        </w:tc>
      </w:tr>
      <w:tr w14:paraId="54BE3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Align w:val="center"/>
          </w:tcPr>
          <w:p w14:paraId="266DA279">
            <w:pPr>
              <w:adjustRightInd w:val="0"/>
              <w:snapToGrid w:val="0"/>
              <w:spacing w:line="320" w:lineRule="exact"/>
              <w:jc w:val="center"/>
              <w:rPr>
                <w:szCs w:val="21"/>
              </w:rPr>
            </w:pPr>
            <w:r>
              <w:rPr>
                <w:rFonts w:hint="eastAsia"/>
                <w:szCs w:val="21"/>
              </w:rPr>
              <w:t>2023.8.15</w:t>
            </w:r>
          </w:p>
        </w:tc>
        <w:tc>
          <w:tcPr>
            <w:tcW w:w="683" w:type="pct"/>
            <w:vAlign w:val="center"/>
          </w:tcPr>
          <w:p w14:paraId="63F9DEC7">
            <w:pPr>
              <w:adjustRightInd w:val="0"/>
              <w:snapToGrid w:val="0"/>
              <w:spacing w:line="320" w:lineRule="exact"/>
              <w:jc w:val="center"/>
              <w:rPr>
                <w:szCs w:val="21"/>
              </w:rPr>
            </w:pPr>
            <w:r>
              <w:rPr>
                <w:rFonts w:hint="eastAsia"/>
                <w:szCs w:val="21"/>
              </w:rPr>
              <w:t>晴</w:t>
            </w:r>
          </w:p>
        </w:tc>
        <w:tc>
          <w:tcPr>
            <w:tcW w:w="683" w:type="pct"/>
            <w:vAlign w:val="center"/>
          </w:tcPr>
          <w:p w14:paraId="2958EF42">
            <w:pPr>
              <w:adjustRightInd w:val="0"/>
              <w:snapToGrid w:val="0"/>
              <w:spacing w:line="320" w:lineRule="exact"/>
              <w:jc w:val="center"/>
              <w:rPr>
                <w:szCs w:val="21"/>
              </w:rPr>
            </w:pPr>
            <w:r>
              <w:rPr>
                <w:rFonts w:hint="eastAsia"/>
                <w:szCs w:val="21"/>
              </w:rPr>
              <w:t>西南</w:t>
            </w:r>
          </w:p>
        </w:tc>
        <w:tc>
          <w:tcPr>
            <w:tcW w:w="683" w:type="pct"/>
            <w:vAlign w:val="center"/>
          </w:tcPr>
          <w:p w14:paraId="6795FEB9">
            <w:pPr>
              <w:adjustRightInd w:val="0"/>
              <w:snapToGrid w:val="0"/>
              <w:spacing w:line="320" w:lineRule="exact"/>
              <w:jc w:val="center"/>
              <w:rPr>
                <w:szCs w:val="21"/>
              </w:rPr>
            </w:pPr>
            <w:r>
              <w:rPr>
                <w:rFonts w:hint="eastAsia"/>
                <w:szCs w:val="21"/>
              </w:rPr>
              <w:t>1.3~1.7</w:t>
            </w:r>
          </w:p>
        </w:tc>
        <w:tc>
          <w:tcPr>
            <w:tcW w:w="683" w:type="pct"/>
            <w:vAlign w:val="center"/>
          </w:tcPr>
          <w:p w14:paraId="43D01056">
            <w:pPr>
              <w:adjustRightInd w:val="0"/>
              <w:snapToGrid w:val="0"/>
              <w:spacing w:line="320" w:lineRule="exact"/>
              <w:jc w:val="center"/>
              <w:rPr>
                <w:szCs w:val="21"/>
              </w:rPr>
            </w:pPr>
            <w:r>
              <w:rPr>
                <w:rFonts w:hint="eastAsia"/>
                <w:szCs w:val="21"/>
              </w:rPr>
              <w:t>26~38</w:t>
            </w:r>
          </w:p>
        </w:tc>
        <w:tc>
          <w:tcPr>
            <w:tcW w:w="686" w:type="pct"/>
            <w:vAlign w:val="center"/>
          </w:tcPr>
          <w:p w14:paraId="67464D6D">
            <w:pPr>
              <w:adjustRightInd w:val="0"/>
              <w:snapToGrid w:val="0"/>
              <w:spacing w:line="320" w:lineRule="exact"/>
              <w:jc w:val="center"/>
              <w:rPr>
                <w:szCs w:val="21"/>
              </w:rPr>
            </w:pPr>
            <w:r>
              <w:rPr>
                <w:rFonts w:hint="eastAsia"/>
                <w:szCs w:val="21"/>
              </w:rPr>
              <w:t>99.7~100.4</w:t>
            </w:r>
          </w:p>
        </w:tc>
        <w:tc>
          <w:tcPr>
            <w:tcW w:w="683" w:type="pct"/>
            <w:vAlign w:val="center"/>
          </w:tcPr>
          <w:p w14:paraId="1A53DCE8">
            <w:pPr>
              <w:adjustRightInd w:val="0"/>
              <w:snapToGrid w:val="0"/>
              <w:spacing w:line="320" w:lineRule="exact"/>
              <w:jc w:val="center"/>
              <w:rPr>
                <w:szCs w:val="21"/>
              </w:rPr>
            </w:pPr>
            <w:r>
              <w:rPr>
                <w:rFonts w:hint="eastAsia"/>
                <w:szCs w:val="21"/>
              </w:rPr>
              <w:t>53~61</w:t>
            </w:r>
          </w:p>
        </w:tc>
      </w:tr>
      <w:tr w14:paraId="7409F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Align w:val="center"/>
          </w:tcPr>
          <w:p w14:paraId="70B0EFD6">
            <w:pPr>
              <w:adjustRightInd w:val="0"/>
              <w:snapToGrid w:val="0"/>
              <w:spacing w:line="320" w:lineRule="exact"/>
              <w:jc w:val="center"/>
              <w:rPr>
                <w:szCs w:val="21"/>
              </w:rPr>
            </w:pPr>
            <w:r>
              <w:rPr>
                <w:rFonts w:hint="eastAsia"/>
                <w:szCs w:val="21"/>
              </w:rPr>
              <w:t>2023.8.16</w:t>
            </w:r>
          </w:p>
        </w:tc>
        <w:tc>
          <w:tcPr>
            <w:tcW w:w="683" w:type="pct"/>
            <w:vAlign w:val="center"/>
          </w:tcPr>
          <w:p w14:paraId="57DE1031">
            <w:pPr>
              <w:adjustRightInd w:val="0"/>
              <w:snapToGrid w:val="0"/>
              <w:spacing w:line="320" w:lineRule="exact"/>
              <w:jc w:val="center"/>
              <w:rPr>
                <w:szCs w:val="21"/>
              </w:rPr>
            </w:pPr>
            <w:r>
              <w:rPr>
                <w:rFonts w:hint="eastAsia"/>
                <w:szCs w:val="21"/>
              </w:rPr>
              <w:t>晴</w:t>
            </w:r>
          </w:p>
        </w:tc>
        <w:tc>
          <w:tcPr>
            <w:tcW w:w="683" w:type="pct"/>
            <w:vAlign w:val="center"/>
          </w:tcPr>
          <w:p w14:paraId="22107BEE">
            <w:pPr>
              <w:adjustRightInd w:val="0"/>
              <w:snapToGrid w:val="0"/>
              <w:spacing w:line="320" w:lineRule="exact"/>
              <w:jc w:val="center"/>
              <w:rPr>
                <w:szCs w:val="21"/>
              </w:rPr>
            </w:pPr>
            <w:r>
              <w:rPr>
                <w:rFonts w:hint="eastAsia"/>
                <w:szCs w:val="21"/>
              </w:rPr>
              <w:t>东北</w:t>
            </w:r>
          </w:p>
        </w:tc>
        <w:tc>
          <w:tcPr>
            <w:tcW w:w="683" w:type="pct"/>
            <w:vAlign w:val="center"/>
          </w:tcPr>
          <w:p w14:paraId="00870927">
            <w:pPr>
              <w:adjustRightInd w:val="0"/>
              <w:snapToGrid w:val="0"/>
              <w:spacing w:line="320" w:lineRule="exact"/>
              <w:jc w:val="center"/>
              <w:rPr>
                <w:szCs w:val="21"/>
              </w:rPr>
            </w:pPr>
            <w:r>
              <w:rPr>
                <w:rFonts w:hint="eastAsia"/>
                <w:szCs w:val="21"/>
              </w:rPr>
              <w:t>1.0~1.6</w:t>
            </w:r>
          </w:p>
        </w:tc>
        <w:tc>
          <w:tcPr>
            <w:tcW w:w="683" w:type="pct"/>
            <w:vAlign w:val="center"/>
          </w:tcPr>
          <w:p w14:paraId="43737D5F">
            <w:pPr>
              <w:adjustRightInd w:val="0"/>
              <w:snapToGrid w:val="0"/>
              <w:spacing w:line="320" w:lineRule="exact"/>
              <w:jc w:val="center"/>
              <w:rPr>
                <w:szCs w:val="21"/>
              </w:rPr>
            </w:pPr>
            <w:r>
              <w:rPr>
                <w:rFonts w:hint="eastAsia"/>
                <w:szCs w:val="21"/>
              </w:rPr>
              <w:t>28~37</w:t>
            </w:r>
          </w:p>
        </w:tc>
        <w:tc>
          <w:tcPr>
            <w:tcW w:w="686" w:type="pct"/>
            <w:vAlign w:val="center"/>
          </w:tcPr>
          <w:p w14:paraId="7703011E">
            <w:pPr>
              <w:adjustRightInd w:val="0"/>
              <w:snapToGrid w:val="0"/>
              <w:spacing w:line="320" w:lineRule="exact"/>
              <w:jc w:val="center"/>
              <w:rPr>
                <w:szCs w:val="21"/>
              </w:rPr>
            </w:pPr>
            <w:r>
              <w:rPr>
                <w:rFonts w:hint="eastAsia"/>
                <w:szCs w:val="21"/>
              </w:rPr>
              <w:t>99.8~100.3</w:t>
            </w:r>
          </w:p>
        </w:tc>
        <w:tc>
          <w:tcPr>
            <w:tcW w:w="683" w:type="pct"/>
            <w:vAlign w:val="center"/>
          </w:tcPr>
          <w:p w14:paraId="1498D44F">
            <w:pPr>
              <w:adjustRightInd w:val="0"/>
              <w:snapToGrid w:val="0"/>
              <w:spacing w:line="320" w:lineRule="exact"/>
              <w:jc w:val="center"/>
              <w:rPr>
                <w:szCs w:val="21"/>
              </w:rPr>
            </w:pPr>
            <w:r>
              <w:rPr>
                <w:rFonts w:hint="eastAsia"/>
                <w:szCs w:val="21"/>
              </w:rPr>
              <w:t>55~64</w:t>
            </w:r>
          </w:p>
        </w:tc>
      </w:tr>
      <w:tr w14:paraId="7D994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94" w:type="pct"/>
            <w:vAlign w:val="center"/>
          </w:tcPr>
          <w:p w14:paraId="4C02F559">
            <w:pPr>
              <w:adjustRightInd w:val="0"/>
              <w:snapToGrid w:val="0"/>
              <w:spacing w:line="320" w:lineRule="exact"/>
              <w:jc w:val="center"/>
              <w:rPr>
                <w:szCs w:val="21"/>
              </w:rPr>
            </w:pPr>
            <w:r>
              <w:rPr>
                <w:rFonts w:hint="eastAsia"/>
                <w:szCs w:val="21"/>
              </w:rPr>
              <w:t>2023.8.17</w:t>
            </w:r>
          </w:p>
        </w:tc>
        <w:tc>
          <w:tcPr>
            <w:tcW w:w="683" w:type="pct"/>
            <w:vAlign w:val="center"/>
          </w:tcPr>
          <w:p w14:paraId="3590B193">
            <w:pPr>
              <w:adjustRightInd w:val="0"/>
              <w:snapToGrid w:val="0"/>
              <w:spacing w:line="320" w:lineRule="exact"/>
              <w:jc w:val="center"/>
              <w:rPr>
                <w:szCs w:val="21"/>
              </w:rPr>
            </w:pPr>
            <w:r>
              <w:rPr>
                <w:rFonts w:hint="eastAsia"/>
                <w:szCs w:val="21"/>
              </w:rPr>
              <w:t>晴</w:t>
            </w:r>
          </w:p>
        </w:tc>
        <w:tc>
          <w:tcPr>
            <w:tcW w:w="683" w:type="pct"/>
            <w:vAlign w:val="center"/>
          </w:tcPr>
          <w:p w14:paraId="65A81A65">
            <w:pPr>
              <w:adjustRightInd w:val="0"/>
              <w:snapToGrid w:val="0"/>
              <w:spacing w:line="320" w:lineRule="exact"/>
              <w:jc w:val="center"/>
              <w:rPr>
                <w:szCs w:val="21"/>
              </w:rPr>
            </w:pPr>
            <w:r>
              <w:rPr>
                <w:rFonts w:hint="eastAsia"/>
                <w:szCs w:val="21"/>
              </w:rPr>
              <w:t>西北</w:t>
            </w:r>
          </w:p>
        </w:tc>
        <w:tc>
          <w:tcPr>
            <w:tcW w:w="683" w:type="pct"/>
            <w:vAlign w:val="center"/>
          </w:tcPr>
          <w:p w14:paraId="735C1439">
            <w:pPr>
              <w:adjustRightInd w:val="0"/>
              <w:snapToGrid w:val="0"/>
              <w:spacing w:line="320" w:lineRule="exact"/>
              <w:jc w:val="center"/>
              <w:rPr>
                <w:szCs w:val="21"/>
              </w:rPr>
            </w:pPr>
            <w:r>
              <w:rPr>
                <w:rFonts w:hint="eastAsia"/>
                <w:szCs w:val="21"/>
              </w:rPr>
              <w:t>1.4~1.9</w:t>
            </w:r>
          </w:p>
        </w:tc>
        <w:tc>
          <w:tcPr>
            <w:tcW w:w="683" w:type="pct"/>
            <w:vAlign w:val="center"/>
          </w:tcPr>
          <w:p w14:paraId="14EDC571">
            <w:pPr>
              <w:adjustRightInd w:val="0"/>
              <w:snapToGrid w:val="0"/>
              <w:spacing w:line="320" w:lineRule="exact"/>
              <w:jc w:val="center"/>
              <w:rPr>
                <w:szCs w:val="21"/>
              </w:rPr>
            </w:pPr>
            <w:r>
              <w:rPr>
                <w:rFonts w:hint="eastAsia"/>
                <w:szCs w:val="21"/>
              </w:rPr>
              <w:t>27~38</w:t>
            </w:r>
          </w:p>
        </w:tc>
        <w:tc>
          <w:tcPr>
            <w:tcW w:w="686" w:type="pct"/>
            <w:vAlign w:val="center"/>
          </w:tcPr>
          <w:p w14:paraId="48736D33">
            <w:pPr>
              <w:adjustRightInd w:val="0"/>
              <w:snapToGrid w:val="0"/>
              <w:spacing w:line="320" w:lineRule="exact"/>
              <w:jc w:val="center"/>
              <w:rPr>
                <w:szCs w:val="21"/>
              </w:rPr>
            </w:pPr>
            <w:r>
              <w:rPr>
                <w:rFonts w:hint="eastAsia"/>
                <w:szCs w:val="21"/>
              </w:rPr>
              <w:t>99.7~100.3</w:t>
            </w:r>
          </w:p>
        </w:tc>
        <w:tc>
          <w:tcPr>
            <w:tcW w:w="683" w:type="pct"/>
            <w:vAlign w:val="center"/>
          </w:tcPr>
          <w:p w14:paraId="3FDAC239">
            <w:pPr>
              <w:adjustRightInd w:val="0"/>
              <w:snapToGrid w:val="0"/>
              <w:spacing w:line="320" w:lineRule="exact"/>
              <w:jc w:val="center"/>
              <w:rPr>
                <w:szCs w:val="21"/>
              </w:rPr>
            </w:pPr>
            <w:r>
              <w:rPr>
                <w:rFonts w:hint="eastAsia"/>
                <w:szCs w:val="21"/>
              </w:rPr>
              <w:t>51~63</w:t>
            </w:r>
          </w:p>
        </w:tc>
      </w:tr>
    </w:tbl>
    <w:p w14:paraId="2FC46C14">
      <w:pPr>
        <w:pStyle w:val="904"/>
        <w:spacing w:before="120" w:beforeLines="50"/>
      </w:pPr>
      <w:r>
        <w:t>表4.2-</w:t>
      </w:r>
      <w:r>
        <w:rPr>
          <w:rFonts w:hint="eastAsia"/>
        </w:rPr>
        <w:t>6</w:t>
      </w:r>
      <w:r>
        <w:t>大气环境质量现状监测结果(mg/m</w:t>
      </w:r>
      <w:r>
        <w:rPr>
          <w:vertAlign w:val="superscript"/>
        </w:rPr>
        <w:t>3</w:t>
      </w:r>
      <w:r>
        <w:t>)</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1617"/>
        <w:gridCol w:w="1887"/>
        <w:gridCol w:w="2323"/>
        <w:gridCol w:w="2624"/>
      </w:tblGrid>
      <w:tr w14:paraId="4A1E4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Align w:val="center"/>
          </w:tcPr>
          <w:p w14:paraId="78BDB0FF">
            <w:pPr>
              <w:pStyle w:val="1343"/>
            </w:pPr>
            <w:r>
              <w:t>采样点位</w:t>
            </w:r>
          </w:p>
        </w:tc>
        <w:tc>
          <w:tcPr>
            <w:tcW w:w="843" w:type="pct"/>
            <w:vAlign w:val="center"/>
          </w:tcPr>
          <w:p w14:paraId="37696CCD">
            <w:pPr>
              <w:pStyle w:val="1343"/>
            </w:pPr>
            <w:r>
              <w:t>采样日期</w:t>
            </w:r>
          </w:p>
        </w:tc>
        <w:tc>
          <w:tcPr>
            <w:tcW w:w="984" w:type="pct"/>
            <w:vAlign w:val="center"/>
          </w:tcPr>
          <w:p w14:paraId="66FBE5F9">
            <w:pPr>
              <w:pStyle w:val="1343"/>
            </w:pPr>
            <w:r>
              <w:t>采样时间</w:t>
            </w:r>
          </w:p>
        </w:tc>
        <w:tc>
          <w:tcPr>
            <w:tcW w:w="1211" w:type="pct"/>
            <w:vAlign w:val="center"/>
          </w:tcPr>
          <w:p w14:paraId="7E7FD7F0">
            <w:pPr>
              <w:pStyle w:val="1343"/>
            </w:pPr>
            <w:r>
              <w:t>甲烷（mg/m</w:t>
            </w:r>
            <w:r>
              <w:rPr>
                <w:vertAlign w:val="superscript"/>
              </w:rPr>
              <w:t>3</w:t>
            </w:r>
            <w:r>
              <w:t>）</w:t>
            </w:r>
          </w:p>
        </w:tc>
        <w:tc>
          <w:tcPr>
            <w:tcW w:w="1368" w:type="pct"/>
            <w:vAlign w:val="center"/>
          </w:tcPr>
          <w:p w14:paraId="63C13481">
            <w:pPr>
              <w:pStyle w:val="1343"/>
            </w:pPr>
            <w:r>
              <w:t>非甲烷总烃（mg/m</w:t>
            </w:r>
            <w:r>
              <w:rPr>
                <w:vertAlign w:val="superscript"/>
              </w:rPr>
              <w:t>3</w:t>
            </w:r>
            <w:r>
              <w:t>）</w:t>
            </w:r>
          </w:p>
        </w:tc>
      </w:tr>
      <w:tr w14:paraId="2D6C4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restart"/>
            <w:vAlign w:val="center"/>
          </w:tcPr>
          <w:p w14:paraId="0C1F560F">
            <w:pPr>
              <w:pStyle w:val="1343"/>
            </w:pPr>
            <w:r>
              <w:t>A1</w:t>
            </w:r>
            <w:r>
              <w:rPr>
                <w:rFonts w:hint="eastAsia"/>
              </w:rPr>
              <w:t>铜角湾</w:t>
            </w:r>
          </w:p>
        </w:tc>
        <w:tc>
          <w:tcPr>
            <w:tcW w:w="843" w:type="pct"/>
            <w:vMerge w:val="restart"/>
            <w:vAlign w:val="center"/>
          </w:tcPr>
          <w:p w14:paraId="6603CDAE">
            <w:pPr>
              <w:pStyle w:val="1343"/>
            </w:pPr>
            <w:r>
              <w:rPr>
                <w:rFonts w:hint="eastAsia"/>
              </w:rPr>
              <w:t>2023.8.11</w:t>
            </w:r>
          </w:p>
        </w:tc>
        <w:tc>
          <w:tcPr>
            <w:tcW w:w="984" w:type="pct"/>
            <w:vAlign w:val="center"/>
          </w:tcPr>
          <w:p w14:paraId="78612C3E">
            <w:pPr>
              <w:pStyle w:val="1343"/>
            </w:pPr>
            <w:r>
              <w:rPr>
                <w:rFonts w:hint="eastAsia"/>
              </w:rPr>
              <w:t>第一次</w:t>
            </w:r>
          </w:p>
        </w:tc>
        <w:tc>
          <w:tcPr>
            <w:tcW w:w="1211" w:type="pct"/>
            <w:vAlign w:val="center"/>
          </w:tcPr>
          <w:p w14:paraId="0C1107AA">
            <w:pPr>
              <w:pStyle w:val="1343"/>
            </w:pPr>
            <w:r>
              <w:rPr>
                <w:rFonts w:hint="eastAsia"/>
              </w:rPr>
              <w:t>0.38</w:t>
            </w:r>
          </w:p>
        </w:tc>
        <w:tc>
          <w:tcPr>
            <w:tcW w:w="1368" w:type="pct"/>
            <w:vAlign w:val="center"/>
          </w:tcPr>
          <w:p w14:paraId="60A4FD10">
            <w:pPr>
              <w:pStyle w:val="1343"/>
            </w:pPr>
            <w:r>
              <w:rPr>
                <w:rFonts w:hint="eastAsia"/>
              </w:rPr>
              <w:t>0.35</w:t>
            </w:r>
          </w:p>
        </w:tc>
      </w:tr>
      <w:tr w14:paraId="77CE9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592" w:type="pct"/>
            <w:vMerge w:val="continue"/>
            <w:vAlign w:val="center"/>
          </w:tcPr>
          <w:p w14:paraId="0DAEDBD1">
            <w:pPr>
              <w:pStyle w:val="1343"/>
            </w:pPr>
          </w:p>
        </w:tc>
        <w:tc>
          <w:tcPr>
            <w:tcW w:w="843" w:type="pct"/>
            <w:vMerge w:val="continue"/>
            <w:vAlign w:val="center"/>
          </w:tcPr>
          <w:p w14:paraId="760B01F5">
            <w:pPr>
              <w:pStyle w:val="1343"/>
            </w:pPr>
          </w:p>
        </w:tc>
        <w:tc>
          <w:tcPr>
            <w:tcW w:w="984" w:type="pct"/>
            <w:vAlign w:val="center"/>
          </w:tcPr>
          <w:p w14:paraId="24E69460">
            <w:pPr>
              <w:pStyle w:val="1343"/>
            </w:pPr>
            <w:r>
              <w:rPr>
                <w:rFonts w:hint="eastAsia"/>
              </w:rPr>
              <w:t>第二次</w:t>
            </w:r>
          </w:p>
        </w:tc>
        <w:tc>
          <w:tcPr>
            <w:tcW w:w="1211" w:type="pct"/>
            <w:vAlign w:val="center"/>
          </w:tcPr>
          <w:p w14:paraId="720D9583">
            <w:pPr>
              <w:pStyle w:val="1343"/>
            </w:pPr>
            <w:r>
              <w:rPr>
                <w:rFonts w:hint="eastAsia"/>
              </w:rPr>
              <w:t>0.39</w:t>
            </w:r>
          </w:p>
        </w:tc>
        <w:tc>
          <w:tcPr>
            <w:tcW w:w="1368" w:type="pct"/>
            <w:vAlign w:val="center"/>
          </w:tcPr>
          <w:p w14:paraId="78608EB0">
            <w:pPr>
              <w:pStyle w:val="1343"/>
            </w:pPr>
            <w:r>
              <w:rPr>
                <w:rFonts w:hint="eastAsia"/>
              </w:rPr>
              <w:t>0.31</w:t>
            </w:r>
          </w:p>
        </w:tc>
      </w:tr>
      <w:tr w14:paraId="53DDE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30FF3E2F">
            <w:pPr>
              <w:pStyle w:val="1343"/>
            </w:pPr>
          </w:p>
        </w:tc>
        <w:tc>
          <w:tcPr>
            <w:tcW w:w="843" w:type="pct"/>
            <w:vMerge w:val="continue"/>
            <w:vAlign w:val="center"/>
          </w:tcPr>
          <w:p w14:paraId="78D38176">
            <w:pPr>
              <w:pStyle w:val="1343"/>
            </w:pPr>
          </w:p>
        </w:tc>
        <w:tc>
          <w:tcPr>
            <w:tcW w:w="984" w:type="pct"/>
            <w:vAlign w:val="center"/>
          </w:tcPr>
          <w:p w14:paraId="63BE6B55">
            <w:pPr>
              <w:pStyle w:val="1343"/>
            </w:pPr>
            <w:r>
              <w:rPr>
                <w:rFonts w:hint="eastAsia"/>
              </w:rPr>
              <w:t>第三次</w:t>
            </w:r>
          </w:p>
        </w:tc>
        <w:tc>
          <w:tcPr>
            <w:tcW w:w="1211" w:type="pct"/>
            <w:vAlign w:val="center"/>
          </w:tcPr>
          <w:p w14:paraId="354E7F4D">
            <w:pPr>
              <w:pStyle w:val="1343"/>
            </w:pPr>
            <w:r>
              <w:rPr>
                <w:rFonts w:hint="eastAsia"/>
              </w:rPr>
              <w:t>0.41</w:t>
            </w:r>
          </w:p>
        </w:tc>
        <w:tc>
          <w:tcPr>
            <w:tcW w:w="1368" w:type="pct"/>
            <w:vAlign w:val="center"/>
          </w:tcPr>
          <w:p w14:paraId="0F386068">
            <w:pPr>
              <w:pStyle w:val="1343"/>
            </w:pPr>
            <w:r>
              <w:rPr>
                <w:rFonts w:hint="eastAsia"/>
              </w:rPr>
              <w:t>0.29</w:t>
            </w:r>
          </w:p>
        </w:tc>
      </w:tr>
      <w:tr w14:paraId="164A4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5C5E085B">
            <w:pPr>
              <w:pStyle w:val="1343"/>
            </w:pPr>
          </w:p>
        </w:tc>
        <w:tc>
          <w:tcPr>
            <w:tcW w:w="843" w:type="pct"/>
            <w:vMerge w:val="continue"/>
            <w:vAlign w:val="center"/>
          </w:tcPr>
          <w:p w14:paraId="337B9137">
            <w:pPr>
              <w:pStyle w:val="1343"/>
            </w:pPr>
          </w:p>
        </w:tc>
        <w:tc>
          <w:tcPr>
            <w:tcW w:w="984" w:type="pct"/>
            <w:vAlign w:val="center"/>
          </w:tcPr>
          <w:p w14:paraId="521C97D5">
            <w:pPr>
              <w:pStyle w:val="1343"/>
            </w:pPr>
            <w:r>
              <w:rPr>
                <w:rFonts w:hint="eastAsia"/>
              </w:rPr>
              <w:t>第四次</w:t>
            </w:r>
          </w:p>
        </w:tc>
        <w:tc>
          <w:tcPr>
            <w:tcW w:w="1211" w:type="pct"/>
            <w:vAlign w:val="center"/>
          </w:tcPr>
          <w:p w14:paraId="2B02E035">
            <w:pPr>
              <w:pStyle w:val="1343"/>
            </w:pPr>
            <w:r>
              <w:rPr>
                <w:rFonts w:hint="eastAsia"/>
              </w:rPr>
              <w:t>0.41</w:t>
            </w:r>
          </w:p>
        </w:tc>
        <w:tc>
          <w:tcPr>
            <w:tcW w:w="1368" w:type="pct"/>
            <w:vAlign w:val="center"/>
          </w:tcPr>
          <w:p w14:paraId="630081A5">
            <w:pPr>
              <w:pStyle w:val="1343"/>
            </w:pPr>
            <w:r>
              <w:rPr>
                <w:rFonts w:hint="eastAsia"/>
              </w:rPr>
              <w:t>0.32</w:t>
            </w:r>
          </w:p>
        </w:tc>
      </w:tr>
      <w:tr w14:paraId="7DAFA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673850B7">
            <w:pPr>
              <w:pStyle w:val="1343"/>
            </w:pPr>
          </w:p>
        </w:tc>
        <w:tc>
          <w:tcPr>
            <w:tcW w:w="843" w:type="pct"/>
            <w:vMerge w:val="restart"/>
            <w:vAlign w:val="center"/>
          </w:tcPr>
          <w:p w14:paraId="7822C0D3">
            <w:pPr>
              <w:pStyle w:val="1343"/>
            </w:pPr>
            <w:r>
              <w:rPr>
                <w:rFonts w:hint="eastAsia"/>
              </w:rPr>
              <w:t>2023.8.12</w:t>
            </w:r>
          </w:p>
        </w:tc>
        <w:tc>
          <w:tcPr>
            <w:tcW w:w="984" w:type="pct"/>
            <w:vAlign w:val="center"/>
          </w:tcPr>
          <w:p w14:paraId="0BCC4197">
            <w:pPr>
              <w:pStyle w:val="1343"/>
            </w:pPr>
            <w:r>
              <w:rPr>
                <w:rFonts w:hint="eastAsia"/>
              </w:rPr>
              <w:t>第一次</w:t>
            </w:r>
          </w:p>
        </w:tc>
        <w:tc>
          <w:tcPr>
            <w:tcW w:w="1211" w:type="pct"/>
            <w:vAlign w:val="center"/>
          </w:tcPr>
          <w:p w14:paraId="66678380">
            <w:pPr>
              <w:pStyle w:val="1343"/>
            </w:pPr>
            <w:r>
              <w:rPr>
                <w:rFonts w:hint="eastAsia"/>
              </w:rPr>
              <w:t>0.40</w:t>
            </w:r>
          </w:p>
        </w:tc>
        <w:tc>
          <w:tcPr>
            <w:tcW w:w="1368" w:type="pct"/>
            <w:vAlign w:val="center"/>
          </w:tcPr>
          <w:p w14:paraId="799D4ACE">
            <w:pPr>
              <w:pStyle w:val="1343"/>
            </w:pPr>
            <w:r>
              <w:rPr>
                <w:rFonts w:hint="eastAsia"/>
              </w:rPr>
              <w:t>0.36</w:t>
            </w:r>
          </w:p>
        </w:tc>
      </w:tr>
      <w:tr w14:paraId="64679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6C50F0C2">
            <w:pPr>
              <w:pStyle w:val="1343"/>
            </w:pPr>
          </w:p>
        </w:tc>
        <w:tc>
          <w:tcPr>
            <w:tcW w:w="843" w:type="pct"/>
            <w:vMerge w:val="continue"/>
            <w:vAlign w:val="center"/>
          </w:tcPr>
          <w:p w14:paraId="4F60DEFE">
            <w:pPr>
              <w:pStyle w:val="1343"/>
            </w:pPr>
          </w:p>
        </w:tc>
        <w:tc>
          <w:tcPr>
            <w:tcW w:w="984" w:type="pct"/>
            <w:vAlign w:val="center"/>
          </w:tcPr>
          <w:p w14:paraId="38F88EAD">
            <w:pPr>
              <w:pStyle w:val="1343"/>
            </w:pPr>
            <w:r>
              <w:rPr>
                <w:rFonts w:hint="eastAsia"/>
              </w:rPr>
              <w:t>第二次</w:t>
            </w:r>
          </w:p>
        </w:tc>
        <w:tc>
          <w:tcPr>
            <w:tcW w:w="1211" w:type="pct"/>
            <w:vAlign w:val="center"/>
          </w:tcPr>
          <w:p w14:paraId="05B590D8">
            <w:pPr>
              <w:pStyle w:val="1343"/>
            </w:pPr>
            <w:r>
              <w:rPr>
                <w:rFonts w:hint="eastAsia"/>
              </w:rPr>
              <w:t>0.40</w:t>
            </w:r>
          </w:p>
        </w:tc>
        <w:tc>
          <w:tcPr>
            <w:tcW w:w="1368" w:type="pct"/>
            <w:vAlign w:val="center"/>
          </w:tcPr>
          <w:p w14:paraId="27175D85">
            <w:pPr>
              <w:pStyle w:val="1343"/>
            </w:pPr>
            <w:r>
              <w:rPr>
                <w:rFonts w:hint="eastAsia"/>
              </w:rPr>
              <w:t>0.33</w:t>
            </w:r>
          </w:p>
        </w:tc>
      </w:tr>
      <w:tr w14:paraId="639A6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3520ED52">
            <w:pPr>
              <w:pStyle w:val="1343"/>
            </w:pPr>
          </w:p>
        </w:tc>
        <w:tc>
          <w:tcPr>
            <w:tcW w:w="843" w:type="pct"/>
            <w:vMerge w:val="continue"/>
            <w:vAlign w:val="center"/>
          </w:tcPr>
          <w:p w14:paraId="70A3F132">
            <w:pPr>
              <w:pStyle w:val="1343"/>
            </w:pPr>
          </w:p>
        </w:tc>
        <w:tc>
          <w:tcPr>
            <w:tcW w:w="984" w:type="pct"/>
            <w:vAlign w:val="center"/>
          </w:tcPr>
          <w:p w14:paraId="34FBE22F">
            <w:pPr>
              <w:pStyle w:val="1343"/>
            </w:pPr>
            <w:r>
              <w:rPr>
                <w:rFonts w:hint="eastAsia"/>
              </w:rPr>
              <w:t>第三次</w:t>
            </w:r>
          </w:p>
        </w:tc>
        <w:tc>
          <w:tcPr>
            <w:tcW w:w="1211" w:type="pct"/>
            <w:vAlign w:val="center"/>
          </w:tcPr>
          <w:p w14:paraId="38C3885C">
            <w:pPr>
              <w:pStyle w:val="1343"/>
            </w:pPr>
            <w:r>
              <w:rPr>
                <w:rFonts w:hint="eastAsia"/>
              </w:rPr>
              <w:t>0.41</w:t>
            </w:r>
          </w:p>
        </w:tc>
        <w:tc>
          <w:tcPr>
            <w:tcW w:w="1368" w:type="pct"/>
            <w:vAlign w:val="center"/>
          </w:tcPr>
          <w:p w14:paraId="591626FA">
            <w:pPr>
              <w:pStyle w:val="1343"/>
            </w:pPr>
            <w:r>
              <w:rPr>
                <w:rFonts w:hint="eastAsia"/>
              </w:rPr>
              <w:t>0.37</w:t>
            </w:r>
          </w:p>
        </w:tc>
      </w:tr>
      <w:tr w14:paraId="26DC8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03E0D007">
            <w:pPr>
              <w:pStyle w:val="1343"/>
            </w:pPr>
          </w:p>
        </w:tc>
        <w:tc>
          <w:tcPr>
            <w:tcW w:w="843" w:type="pct"/>
            <w:vMerge w:val="continue"/>
            <w:vAlign w:val="center"/>
          </w:tcPr>
          <w:p w14:paraId="5F5F17E8">
            <w:pPr>
              <w:pStyle w:val="1343"/>
            </w:pPr>
          </w:p>
        </w:tc>
        <w:tc>
          <w:tcPr>
            <w:tcW w:w="984" w:type="pct"/>
            <w:vAlign w:val="center"/>
          </w:tcPr>
          <w:p w14:paraId="235E23E2">
            <w:pPr>
              <w:pStyle w:val="1343"/>
            </w:pPr>
            <w:r>
              <w:rPr>
                <w:rFonts w:hint="eastAsia"/>
              </w:rPr>
              <w:t>第四次</w:t>
            </w:r>
          </w:p>
        </w:tc>
        <w:tc>
          <w:tcPr>
            <w:tcW w:w="1211" w:type="pct"/>
            <w:vAlign w:val="center"/>
          </w:tcPr>
          <w:p w14:paraId="311288CE">
            <w:pPr>
              <w:pStyle w:val="1343"/>
            </w:pPr>
            <w:r>
              <w:rPr>
                <w:rFonts w:hint="eastAsia"/>
              </w:rPr>
              <w:t>0.40</w:t>
            </w:r>
          </w:p>
        </w:tc>
        <w:tc>
          <w:tcPr>
            <w:tcW w:w="1368" w:type="pct"/>
            <w:vAlign w:val="center"/>
          </w:tcPr>
          <w:p w14:paraId="2FE9A1A6">
            <w:pPr>
              <w:pStyle w:val="1343"/>
            </w:pPr>
            <w:r>
              <w:rPr>
                <w:rFonts w:hint="eastAsia"/>
              </w:rPr>
              <w:t>0.35</w:t>
            </w:r>
          </w:p>
        </w:tc>
      </w:tr>
      <w:tr w14:paraId="0DBE4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2F9C7C40">
            <w:pPr>
              <w:pStyle w:val="1343"/>
            </w:pPr>
          </w:p>
        </w:tc>
        <w:tc>
          <w:tcPr>
            <w:tcW w:w="843" w:type="pct"/>
            <w:vMerge w:val="restart"/>
            <w:vAlign w:val="center"/>
          </w:tcPr>
          <w:p w14:paraId="5D87B061">
            <w:pPr>
              <w:pStyle w:val="1343"/>
            </w:pPr>
            <w:r>
              <w:rPr>
                <w:rFonts w:hint="eastAsia"/>
              </w:rPr>
              <w:t>2023.8.13</w:t>
            </w:r>
          </w:p>
        </w:tc>
        <w:tc>
          <w:tcPr>
            <w:tcW w:w="984" w:type="pct"/>
            <w:vAlign w:val="center"/>
          </w:tcPr>
          <w:p w14:paraId="7DF574FF">
            <w:pPr>
              <w:pStyle w:val="1343"/>
            </w:pPr>
            <w:r>
              <w:rPr>
                <w:rFonts w:hint="eastAsia"/>
              </w:rPr>
              <w:t>第一次</w:t>
            </w:r>
          </w:p>
        </w:tc>
        <w:tc>
          <w:tcPr>
            <w:tcW w:w="1211" w:type="pct"/>
            <w:vAlign w:val="center"/>
          </w:tcPr>
          <w:p w14:paraId="5D44F170">
            <w:pPr>
              <w:pStyle w:val="1343"/>
            </w:pPr>
            <w:r>
              <w:rPr>
                <w:rFonts w:hint="eastAsia"/>
              </w:rPr>
              <w:t>0.41</w:t>
            </w:r>
          </w:p>
        </w:tc>
        <w:tc>
          <w:tcPr>
            <w:tcW w:w="1368" w:type="pct"/>
            <w:vAlign w:val="center"/>
          </w:tcPr>
          <w:p w14:paraId="05673105">
            <w:pPr>
              <w:pStyle w:val="1343"/>
            </w:pPr>
            <w:r>
              <w:rPr>
                <w:rFonts w:hint="eastAsia"/>
              </w:rPr>
              <w:t>0.28</w:t>
            </w:r>
          </w:p>
        </w:tc>
      </w:tr>
      <w:tr w14:paraId="34F76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63048EF0">
            <w:pPr>
              <w:pStyle w:val="1343"/>
            </w:pPr>
          </w:p>
        </w:tc>
        <w:tc>
          <w:tcPr>
            <w:tcW w:w="843" w:type="pct"/>
            <w:vMerge w:val="continue"/>
            <w:vAlign w:val="center"/>
          </w:tcPr>
          <w:p w14:paraId="4FA02151">
            <w:pPr>
              <w:pStyle w:val="1343"/>
            </w:pPr>
          </w:p>
        </w:tc>
        <w:tc>
          <w:tcPr>
            <w:tcW w:w="984" w:type="pct"/>
            <w:vAlign w:val="center"/>
          </w:tcPr>
          <w:p w14:paraId="747067B9">
            <w:pPr>
              <w:pStyle w:val="1343"/>
            </w:pPr>
            <w:r>
              <w:rPr>
                <w:rFonts w:hint="eastAsia"/>
              </w:rPr>
              <w:t>第二次</w:t>
            </w:r>
          </w:p>
        </w:tc>
        <w:tc>
          <w:tcPr>
            <w:tcW w:w="1211" w:type="pct"/>
            <w:vAlign w:val="center"/>
          </w:tcPr>
          <w:p w14:paraId="2EB3DDBD">
            <w:pPr>
              <w:pStyle w:val="1343"/>
            </w:pPr>
            <w:r>
              <w:rPr>
                <w:rFonts w:hint="eastAsia"/>
              </w:rPr>
              <w:t>0.41</w:t>
            </w:r>
          </w:p>
        </w:tc>
        <w:tc>
          <w:tcPr>
            <w:tcW w:w="1368" w:type="pct"/>
            <w:vAlign w:val="center"/>
          </w:tcPr>
          <w:p w14:paraId="64C1F484">
            <w:pPr>
              <w:pStyle w:val="1343"/>
            </w:pPr>
            <w:r>
              <w:rPr>
                <w:rFonts w:hint="eastAsia"/>
              </w:rPr>
              <w:t>0.34</w:t>
            </w:r>
          </w:p>
        </w:tc>
      </w:tr>
      <w:tr w14:paraId="557C2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0735A7BE">
            <w:pPr>
              <w:pStyle w:val="1343"/>
            </w:pPr>
          </w:p>
        </w:tc>
        <w:tc>
          <w:tcPr>
            <w:tcW w:w="843" w:type="pct"/>
            <w:vMerge w:val="continue"/>
            <w:vAlign w:val="center"/>
          </w:tcPr>
          <w:p w14:paraId="61F37D13">
            <w:pPr>
              <w:pStyle w:val="1343"/>
            </w:pPr>
          </w:p>
        </w:tc>
        <w:tc>
          <w:tcPr>
            <w:tcW w:w="984" w:type="pct"/>
            <w:vAlign w:val="center"/>
          </w:tcPr>
          <w:p w14:paraId="7ED3C747">
            <w:pPr>
              <w:pStyle w:val="1343"/>
            </w:pPr>
            <w:r>
              <w:rPr>
                <w:rFonts w:hint="eastAsia"/>
              </w:rPr>
              <w:t>第三次</w:t>
            </w:r>
          </w:p>
        </w:tc>
        <w:tc>
          <w:tcPr>
            <w:tcW w:w="1211" w:type="pct"/>
            <w:vAlign w:val="center"/>
          </w:tcPr>
          <w:p w14:paraId="2084F234">
            <w:pPr>
              <w:pStyle w:val="1343"/>
            </w:pPr>
            <w:r>
              <w:rPr>
                <w:rFonts w:hint="eastAsia"/>
              </w:rPr>
              <w:t>0.40</w:t>
            </w:r>
          </w:p>
        </w:tc>
        <w:tc>
          <w:tcPr>
            <w:tcW w:w="1368" w:type="pct"/>
            <w:vAlign w:val="center"/>
          </w:tcPr>
          <w:p w14:paraId="0A518FD3">
            <w:pPr>
              <w:pStyle w:val="1343"/>
            </w:pPr>
            <w:r>
              <w:rPr>
                <w:rFonts w:hint="eastAsia"/>
              </w:rPr>
              <w:t>0.32</w:t>
            </w:r>
          </w:p>
        </w:tc>
      </w:tr>
      <w:tr w14:paraId="59152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215FE359">
            <w:pPr>
              <w:pStyle w:val="1343"/>
            </w:pPr>
          </w:p>
        </w:tc>
        <w:tc>
          <w:tcPr>
            <w:tcW w:w="843" w:type="pct"/>
            <w:vMerge w:val="continue"/>
            <w:vAlign w:val="center"/>
          </w:tcPr>
          <w:p w14:paraId="740F7E7C">
            <w:pPr>
              <w:pStyle w:val="1343"/>
            </w:pPr>
          </w:p>
        </w:tc>
        <w:tc>
          <w:tcPr>
            <w:tcW w:w="984" w:type="pct"/>
            <w:vAlign w:val="center"/>
          </w:tcPr>
          <w:p w14:paraId="0ABDDDD2">
            <w:pPr>
              <w:pStyle w:val="1343"/>
            </w:pPr>
            <w:r>
              <w:rPr>
                <w:rFonts w:hint="eastAsia"/>
              </w:rPr>
              <w:t>第四次</w:t>
            </w:r>
          </w:p>
        </w:tc>
        <w:tc>
          <w:tcPr>
            <w:tcW w:w="1211" w:type="pct"/>
            <w:vAlign w:val="center"/>
          </w:tcPr>
          <w:p w14:paraId="08FE5327">
            <w:pPr>
              <w:pStyle w:val="1343"/>
            </w:pPr>
            <w:r>
              <w:rPr>
                <w:rFonts w:hint="eastAsia"/>
              </w:rPr>
              <w:t>0.41</w:t>
            </w:r>
          </w:p>
        </w:tc>
        <w:tc>
          <w:tcPr>
            <w:tcW w:w="1368" w:type="pct"/>
            <w:vAlign w:val="center"/>
          </w:tcPr>
          <w:p w14:paraId="4E2A4999">
            <w:pPr>
              <w:pStyle w:val="1343"/>
            </w:pPr>
            <w:r>
              <w:rPr>
                <w:rFonts w:hint="eastAsia"/>
              </w:rPr>
              <w:t>0.29</w:t>
            </w:r>
          </w:p>
        </w:tc>
      </w:tr>
      <w:tr w14:paraId="2C00E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5096261F">
            <w:pPr>
              <w:pStyle w:val="1343"/>
            </w:pPr>
          </w:p>
        </w:tc>
        <w:tc>
          <w:tcPr>
            <w:tcW w:w="843" w:type="pct"/>
            <w:vMerge w:val="restart"/>
            <w:vAlign w:val="center"/>
          </w:tcPr>
          <w:p w14:paraId="7C0A5630">
            <w:pPr>
              <w:pStyle w:val="1343"/>
            </w:pPr>
            <w:r>
              <w:rPr>
                <w:rFonts w:hint="eastAsia"/>
              </w:rPr>
              <w:t>2023.8.14</w:t>
            </w:r>
          </w:p>
        </w:tc>
        <w:tc>
          <w:tcPr>
            <w:tcW w:w="984" w:type="pct"/>
            <w:vAlign w:val="center"/>
          </w:tcPr>
          <w:p w14:paraId="285940B6">
            <w:pPr>
              <w:pStyle w:val="1343"/>
            </w:pPr>
            <w:r>
              <w:rPr>
                <w:rFonts w:hint="eastAsia"/>
              </w:rPr>
              <w:t>第一次</w:t>
            </w:r>
          </w:p>
        </w:tc>
        <w:tc>
          <w:tcPr>
            <w:tcW w:w="1211" w:type="pct"/>
            <w:vAlign w:val="center"/>
          </w:tcPr>
          <w:p w14:paraId="3FD6A844">
            <w:pPr>
              <w:pStyle w:val="1343"/>
            </w:pPr>
            <w:r>
              <w:rPr>
                <w:rFonts w:hint="eastAsia"/>
              </w:rPr>
              <w:t>0.41</w:t>
            </w:r>
          </w:p>
        </w:tc>
        <w:tc>
          <w:tcPr>
            <w:tcW w:w="1368" w:type="pct"/>
            <w:vAlign w:val="center"/>
          </w:tcPr>
          <w:p w14:paraId="38CCC366">
            <w:pPr>
              <w:pStyle w:val="1343"/>
            </w:pPr>
            <w:r>
              <w:rPr>
                <w:rFonts w:hint="eastAsia"/>
              </w:rPr>
              <w:t>0.31</w:t>
            </w:r>
          </w:p>
        </w:tc>
      </w:tr>
      <w:tr w14:paraId="41DB0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61A9233F">
            <w:pPr>
              <w:pStyle w:val="1343"/>
            </w:pPr>
          </w:p>
        </w:tc>
        <w:tc>
          <w:tcPr>
            <w:tcW w:w="843" w:type="pct"/>
            <w:vMerge w:val="continue"/>
            <w:vAlign w:val="center"/>
          </w:tcPr>
          <w:p w14:paraId="203B1EA9">
            <w:pPr>
              <w:pStyle w:val="1343"/>
            </w:pPr>
          </w:p>
        </w:tc>
        <w:tc>
          <w:tcPr>
            <w:tcW w:w="984" w:type="pct"/>
            <w:vAlign w:val="center"/>
          </w:tcPr>
          <w:p w14:paraId="670E9E0A">
            <w:pPr>
              <w:pStyle w:val="1343"/>
            </w:pPr>
            <w:r>
              <w:rPr>
                <w:rFonts w:hint="eastAsia"/>
              </w:rPr>
              <w:t>第二次</w:t>
            </w:r>
          </w:p>
        </w:tc>
        <w:tc>
          <w:tcPr>
            <w:tcW w:w="1211" w:type="pct"/>
            <w:vAlign w:val="center"/>
          </w:tcPr>
          <w:p w14:paraId="2C753B95">
            <w:pPr>
              <w:pStyle w:val="1343"/>
            </w:pPr>
            <w:r>
              <w:rPr>
                <w:rFonts w:hint="eastAsia"/>
              </w:rPr>
              <w:t>0.41</w:t>
            </w:r>
          </w:p>
        </w:tc>
        <w:tc>
          <w:tcPr>
            <w:tcW w:w="1368" w:type="pct"/>
            <w:vAlign w:val="center"/>
          </w:tcPr>
          <w:p w14:paraId="428DF0A9">
            <w:pPr>
              <w:pStyle w:val="1343"/>
            </w:pPr>
            <w:r>
              <w:rPr>
                <w:rFonts w:hint="eastAsia"/>
              </w:rPr>
              <w:t>0.36</w:t>
            </w:r>
          </w:p>
        </w:tc>
      </w:tr>
      <w:tr w14:paraId="77FD5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0116FF2E">
            <w:pPr>
              <w:pStyle w:val="1343"/>
            </w:pPr>
          </w:p>
        </w:tc>
        <w:tc>
          <w:tcPr>
            <w:tcW w:w="843" w:type="pct"/>
            <w:vMerge w:val="continue"/>
            <w:vAlign w:val="center"/>
          </w:tcPr>
          <w:p w14:paraId="26F6E204">
            <w:pPr>
              <w:pStyle w:val="1343"/>
            </w:pPr>
          </w:p>
        </w:tc>
        <w:tc>
          <w:tcPr>
            <w:tcW w:w="984" w:type="pct"/>
            <w:vAlign w:val="center"/>
          </w:tcPr>
          <w:p w14:paraId="4AA60CAA">
            <w:pPr>
              <w:pStyle w:val="1343"/>
            </w:pPr>
            <w:r>
              <w:rPr>
                <w:rFonts w:hint="eastAsia"/>
              </w:rPr>
              <w:t>第三次</w:t>
            </w:r>
          </w:p>
        </w:tc>
        <w:tc>
          <w:tcPr>
            <w:tcW w:w="1211" w:type="pct"/>
            <w:vAlign w:val="center"/>
          </w:tcPr>
          <w:p w14:paraId="41233EA7">
            <w:pPr>
              <w:pStyle w:val="1343"/>
            </w:pPr>
            <w:r>
              <w:rPr>
                <w:rFonts w:hint="eastAsia"/>
              </w:rPr>
              <w:t>0.41</w:t>
            </w:r>
          </w:p>
        </w:tc>
        <w:tc>
          <w:tcPr>
            <w:tcW w:w="1368" w:type="pct"/>
            <w:vAlign w:val="center"/>
          </w:tcPr>
          <w:p w14:paraId="63E824BF">
            <w:pPr>
              <w:pStyle w:val="1343"/>
            </w:pPr>
            <w:r>
              <w:rPr>
                <w:rFonts w:hint="eastAsia"/>
              </w:rPr>
              <w:t>0.35</w:t>
            </w:r>
          </w:p>
        </w:tc>
      </w:tr>
      <w:tr w14:paraId="2C024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38FEC6DD">
            <w:pPr>
              <w:pStyle w:val="1343"/>
            </w:pPr>
          </w:p>
        </w:tc>
        <w:tc>
          <w:tcPr>
            <w:tcW w:w="843" w:type="pct"/>
            <w:vMerge w:val="continue"/>
            <w:vAlign w:val="center"/>
          </w:tcPr>
          <w:p w14:paraId="21BE933C">
            <w:pPr>
              <w:pStyle w:val="1343"/>
            </w:pPr>
          </w:p>
        </w:tc>
        <w:tc>
          <w:tcPr>
            <w:tcW w:w="984" w:type="pct"/>
            <w:vAlign w:val="center"/>
          </w:tcPr>
          <w:p w14:paraId="6DD1424C">
            <w:pPr>
              <w:pStyle w:val="1343"/>
            </w:pPr>
            <w:r>
              <w:rPr>
                <w:rFonts w:hint="eastAsia"/>
              </w:rPr>
              <w:t>第四次</w:t>
            </w:r>
          </w:p>
        </w:tc>
        <w:tc>
          <w:tcPr>
            <w:tcW w:w="1211" w:type="pct"/>
            <w:vAlign w:val="center"/>
          </w:tcPr>
          <w:p w14:paraId="06717AF6">
            <w:pPr>
              <w:pStyle w:val="1343"/>
            </w:pPr>
            <w:r>
              <w:rPr>
                <w:rFonts w:hint="eastAsia"/>
              </w:rPr>
              <w:t>0.43</w:t>
            </w:r>
          </w:p>
        </w:tc>
        <w:tc>
          <w:tcPr>
            <w:tcW w:w="1368" w:type="pct"/>
            <w:vAlign w:val="center"/>
          </w:tcPr>
          <w:p w14:paraId="59815ACC">
            <w:pPr>
              <w:pStyle w:val="1343"/>
            </w:pPr>
            <w:r>
              <w:rPr>
                <w:rFonts w:hint="eastAsia"/>
              </w:rPr>
              <w:t>0.33</w:t>
            </w:r>
          </w:p>
        </w:tc>
      </w:tr>
      <w:tr w14:paraId="0AD82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4A8B0314">
            <w:pPr>
              <w:pStyle w:val="1343"/>
            </w:pPr>
          </w:p>
        </w:tc>
        <w:tc>
          <w:tcPr>
            <w:tcW w:w="843" w:type="pct"/>
            <w:vMerge w:val="restart"/>
            <w:vAlign w:val="center"/>
          </w:tcPr>
          <w:p w14:paraId="5C4B1C57">
            <w:pPr>
              <w:pStyle w:val="1343"/>
            </w:pPr>
            <w:r>
              <w:rPr>
                <w:rFonts w:hint="eastAsia"/>
              </w:rPr>
              <w:t>2023.8.15</w:t>
            </w:r>
          </w:p>
        </w:tc>
        <w:tc>
          <w:tcPr>
            <w:tcW w:w="984" w:type="pct"/>
            <w:vAlign w:val="center"/>
          </w:tcPr>
          <w:p w14:paraId="79F7587D">
            <w:pPr>
              <w:pStyle w:val="1343"/>
            </w:pPr>
            <w:r>
              <w:rPr>
                <w:rFonts w:hint="eastAsia"/>
              </w:rPr>
              <w:t>第一次</w:t>
            </w:r>
          </w:p>
        </w:tc>
        <w:tc>
          <w:tcPr>
            <w:tcW w:w="1211" w:type="pct"/>
            <w:vAlign w:val="center"/>
          </w:tcPr>
          <w:p w14:paraId="629A4105">
            <w:pPr>
              <w:pStyle w:val="1343"/>
            </w:pPr>
            <w:r>
              <w:rPr>
                <w:rFonts w:hint="eastAsia"/>
              </w:rPr>
              <w:t>0.41</w:t>
            </w:r>
          </w:p>
        </w:tc>
        <w:tc>
          <w:tcPr>
            <w:tcW w:w="1368" w:type="pct"/>
            <w:vAlign w:val="center"/>
          </w:tcPr>
          <w:p w14:paraId="3B3E2173">
            <w:pPr>
              <w:pStyle w:val="1343"/>
            </w:pPr>
            <w:r>
              <w:rPr>
                <w:rFonts w:hint="eastAsia"/>
              </w:rPr>
              <w:t>0.33</w:t>
            </w:r>
          </w:p>
        </w:tc>
      </w:tr>
      <w:tr w14:paraId="1F6D2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2A4ED444">
            <w:pPr>
              <w:pStyle w:val="1343"/>
            </w:pPr>
          </w:p>
        </w:tc>
        <w:tc>
          <w:tcPr>
            <w:tcW w:w="843" w:type="pct"/>
            <w:vMerge w:val="continue"/>
            <w:vAlign w:val="center"/>
          </w:tcPr>
          <w:p w14:paraId="1DBFBB67">
            <w:pPr>
              <w:pStyle w:val="1343"/>
            </w:pPr>
          </w:p>
        </w:tc>
        <w:tc>
          <w:tcPr>
            <w:tcW w:w="984" w:type="pct"/>
            <w:vAlign w:val="center"/>
          </w:tcPr>
          <w:p w14:paraId="7E7D5085">
            <w:pPr>
              <w:pStyle w:val="1343"/>
            </w:pPr>
            <w:r>
              <w:rPr>
                <w:rFonts w:hint="eastAsia"/>
              </w:rPr>
              <w:t>第二次</w:t>
            </w:r>
          </w:p>
        </w:tc>
        <w:tc>
          <w:tcPr>
            <w:tcW w:w="1211" w:type="pct"/>
            <w:vAlign w:val="center"/>
          </w:tcPr>
          <w:p w14:paraId="5521BEFA">
            <w:pPr>
              <w:pStyle w:val="1343"/>
            </w:pPr>
            <w:r>
              <w:rPr>
                <w:rFonts w:hint="eastAsia"/>
              </w:rPr>
              <w:t>0.42</w:t>
            </w:r>
          </w:p>
        </w:tc>
        <w:tc>
          <w:tcPr>
            <w:tcW w:w="1368" w:type="pct"/>
            <w:vAlign w:val="center"/>
          </w:tcPr>
          <w:p w14:paraId="27A80174">
            <w:pPr>
              <w:pStyle w:val="1343"/>
            </w:pPr>
            <w:r>
              <w:rPr>
                <w:rFonts w:hint="eastAsia"/>
              </w:rPr>
              <w:t>0.30</w:t>
            </w:r>
          </w:p>
        </w:tc>
      </w:tr>
      <w:tr w14:paraId="721D9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1A785B39">
            <w:pPr>
              <w:pStyle w:val="1343"/>
            </w:pPr>
          </w:p>
        </w:tc>
        <w:tc>
          <w:tcPr>
            <w:tcW w:w="843" w:type="pct"/>
            <w:vMerge w:val="continue"/>
            <w:vAlign w:val="center"/>
          </w:tcPr>
          <w:p w14:paraId="619DC765">
            <w:pPr>
              <w:pStyle w:val="1343"/>
            </w:pPr>
          </w:p>
        </w:tc>
        <w:tc>
          <w:tcPr>
            <w:tcW w:w="984" w:type="pct"/>
            <w:vAlign w:val="center"/>
          </w:tcPr>
          <w:p w14:paraId="183F2E31">
            <w:pPr>
              <w:pStyle w:val="1343"/>
            </w:pPr>
            <w:r>
              <w:rPr>
                <w:rFonts w:hint="eastAsia"/>
              </w:rPr>
              <w:t>第三次</w:t>
            </w:r>
          </w:p>
        </w:tc>
        <w:tc>
          <w:tcPr>
            <w:tcW w:w="1211" w:type="pct"/>
            <w:vAlign w:val="center"/>
          </w:tcPr>
          <w:p w14:paraId="33BA51FE">
            <w:pPr>
              <w:pStyle w:val="1343"/>
            </w:pPr>
            <w:r>
              <w:rPr>
                <w:rFonts w:hint="eastAsia"/>
              </w:rPr>
              <w:t>0.38</w:t>
            </w:r>
          </w:p>
        </w:tc>
        <w:tc>
          <w:tcPr>
            <w:tcW w:w="1368" w:type="pct"/>
            <w:vAlign w:val="center"/>
          </w:tcPr>
          <w:p w14:paraId="066B3C99">
            <w:pPr>
              <w:pStyle w:val="1343"/>
            </w:pPr>
            <w:r>
              <w:rPr>
                <w:rFonts w:hint="eastAsia"/>
              </w:rPr>
              <w:t>0.37</w:t>
            </w:r>
          </w:p>
        </w:tc>
      </w:tr>
      <w:tr w14:paraId="166CA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63FC73DA">
            <w:pPr>
              <w:pStyle w:val="1343"/>
            </w:pPr>
          </w:p>
        </w:tc>
        <w:tc>
          <w:tcPr>
            <w:tcW w:w="843" w:type="pct"/>
            <w:vMerge w:val="continue"/>
            <w:vAlign w:val="center"/>
          </w:tcPr>
          <w:p w14:paraId="009E260E">
            <w:pPr>
              <w:pStyle w:val="1343"/>
            </w:pPr>
          </w:p>
        </w:tc>
        <w:tc>
          <w:tcPr>
            <w:tcW w:w="984" w:type="pct"/>
            <w:vAlign w:val="center"/>
          </w:tcPr>
          <w:p w14:paraId="57A51A0D">
            <w:pPr>
              <w:pStyle w:val="1343"/>
            </w:pPr>
            <w:r>
              <w:rPr>
                <w:rFonts w:hint="eastAsia"/>
              </w:rPr>
              <w:t>第四次</w:t>
            </w:r>
          </w:p>
        </w:tc>
        <w:tc>
          <w:tcPr>
            <w:tcW w:w="1211" w:type="pct"/>
            <w:vAlign w:val="center"/>
          </w:tcPr>
          <w:p w14:paraId="02B1FE9A">
            <w:pPr>
              <w:pStyle w:val="1343"/>
            </w:pPr>
            <w:r>
              <w:rPr>
                <w:rFonts w:hint="eastAsia"/>
              </w:rPr>
              <w:t>0.43</w:t>
            </w:r>
          </w:p>
        </w:tc>
        <w:tc>
          <w:tcPr>
            <w:tcW w:w="1368" w:type="pct"/>
            <w:vAlign w:val="center"/>
          </w:tcPr>
          <w:p w14:paraId="7CADC860">
            <w:pPr>
              <w:pStyle w:val="1343"/>
            </w:pPr>
            <w:r>
              <w:rPr>
                <w:rFonts w:hint="eastAsia"/>
              </w:rPr>
              <w:t>0.34</w:t>
            </w:r>
          </w:p>
        </w:tc>
      </w:tr>
      <w:tr w14:paraId="17331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14CF4598">
            <w:pPr>
              <w:pStyle w:val="1343"/>
            </w:pPr>
          </w:p>
        </w:tc>
        <w:tc>
          <w:tcPr>
            <w:tcW w:w="843" w:type="pct"/>
            <w:vMerge w:val="restart"/>
            <w:vAlign w:val="center"/>
          </w:tcPr>
          <w:p w14:paraId="16BC0E03">
            <w:pPr>
              <w:pStyle w:val="1343"/>
            </w:pPr>
            <w:r>
              <w:rPr>
                <w:rFonts w:hint="eastAsia"/>
              </w:rPr>
              <w:t>2023.8.16</w:t>
            </w:r>
          </w:p>
        </w:tc>
        <w:tc>
          <w:tcPr>
            <w:tcW w:w="984" w:type="pct"/>
            <w:vAlign w:val="center"/>
          </w:tcPr>
          <w:p w14:paraId="78E1B08B">
            <w:pPr>
              <w:pStyle w:val="1343"/>
            </w:pPr>
            <w:r>
              <w:rPr>
                <w:rFonts w:hint="eastAsia"/>
              </w:rPr>
              <w:t>第一次</w:t>
            </w:r>
          </w:p>
        </w:tc>
        <w:tc>
          <w:tcPr>
            <w:tcW w:w="1211" w:type="pct"/>
            <w:vAlign w:val="center"/>
          </w:tcPr>
          <w:p w14:paraId="1FFDF3F5">
            <w:pPr>
              <w:pStyle w:val="1343"/>
            </w:pPr>
            <w:r>
              <w:rPr>
                <w:rFonts w:hint="eastAsia"/>
              </w:rPr>
              <w:t>0.38</w:t>
            </w:r>
          </w:p>
        </w:tc>
        <w:tc>
          <w:tcPr>
            <w:tcW w:w="1368" w:type="pct"/>
            <w:vAlign w:val="center"/>
          </w:tcPr>
          <w:p w14:paraId="02EFCD89">
            <w:pPr>
              <w:pStyle w:val="1343"/>
            </w:pPr>
            <w:r>
              <w:rPr>
                <w:rFonts w:hint="eastAsia"/>
              </w:rPr>
              <w:t>0.33</w:t>
            </w:r>
          </w:p>
        </w:tc>
      </w:tr>
      <w:tr w14:paraId="4774D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12549F0A">
            <w:pPr>
              <w:pStyle w:val="1343"/>
            </w:pPr>
          </w:p>
        </w:tc>
        <w:tc>
          <w:tcPr>
            <w:tcW w:w="843" w:type="pct"/>
            <w:vMerge w:val="continue"/>
            <w:vAlign w:val="center"/>
          </w:tcPr>
          <w:p w14:paraId="55E3ECB2">
            <w:pPr>
              <w:pStyle w:val="1343"/>
            </w:pPr>
          </w:p>
        </w:tc>
        <w:tc>
          <w:tcPr>
            <w:tcW w:w="984" w:type="pct"/>
            <w:vAlign w:val="center"/>
          </w:tcPr>
          <w:p w14:paraId="3BF36AA3">
            <w:pPr>
              <w:pStyle w:val="1343"/>
            </w:pPr>
            <w:r>
              <w:rPr>
                <w:rFonts w:hint="eastAsia"/>
              </w:rPr>
              <w:t>第二次</w:t>
            </w:r>
          </w:p>
        </w:tc>
        <w:tc>
          <w:tcPr>
            <w:tcW w:w="1211" w:type="pct"/>
            <w:vAlign w:val="center"/>
          </w:tcPr>
          <w:p w14:paraId="6E4BEA01">
            <w:pPr>
              <w:pStyle w:val="1343"/>
            </w:pPr>
            <w:r>
              <w:rPr>
                <w:rFonts w:hint="eastAsia"/>
              </w:rPr>
              <w:t>0.41</w:t>
            </w:r>
          </w:p>
        </w:tc>
        <w:tc>
          <w:tcPr>
            <w:tcW w:w="1368" w:type="pct"/>
            <w:vAlign w:val="center"/>
          </w:tcPr>
          <w:p w14:paraId="4BCB3751">
            <w:pPr>
              <w:pStyle w:val="1343"/>
            </w:pPr>
            <w:r>
              <w:rPr>
                <w:rFonts w:hint="eastAsia"/>
              </w:rPr>
              <w:t>0.31</w:t>
            </w:r>
          </w:p>
        </w:tc>
      </w:tr>
      <w:tr w14:paraId="37EB9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1BAE2A77">
            <w:pPr>
              <w:pStyle w:val="1343"/>
            </w:pPr>
          </w:p>
        </w:tc>
        <w:tc>
          <w:tcPr>
            <w:tcW w:w="843" w:type="pct"/>
            <w:vMerge w:val="continue"/>
            <w:vAlign w:val="center"/>
          </w:tcPr>
          <w:p w14:paraId="2A67ADDC">
            <w:pPr>
              <w:pStyle w:val="1343"/>
            </w:pPr>
          </w:p>
        </w:tc>
        <w:tc>
          <w:tcPr>
            <w:tcW w:w="984" w:type="pct"/>
            <w:vAlign w:val="center"/>
          </w:tcPr>
          <w:p w14:paraId="4B35BE04">
            <w:pPr>
              <w:pStyle w:val="1343"/>
            </w:pPr>
            <w:r>
              <w:rPr>
                <w:rFonts w:hint="eastAsia"/>
              </w:rPr>
              <w:t>第三次</w:t>
            </w:r>
          </w:p>
        </w:tc>
        <w:tc>
          <w:tcPr>
            <w:tcW w:w="1211" w:type="pct"/>
            <w:vAlign w:val="center"/>
          </w:tcPr>
          <w:p w14:paraId="0CDBBDC3">
            <w:pPr>
              <w:pStyle w:val="1343"/>
            </w:pPr>
            <w:r>
              <w:rPr>
                <w:rFonts w:hint="eastAsia"/>
              </w:rPr>
              <w:t>0.40</w:t>
            </w:r>
          </w:p>
        </w:tc>
        <w:tc>
          <w:tcPr>
            <w:tcW w:w="1368" w:type="pct"/>
            <w:vAlign w:val="center"/>
          </w:tcPr>
          <w:p w14:paraId="470AFC73">
            <w:pPr>
              <w:pStyle w:val="1343"/>
            </w:pPr>
            <w:r>
              <w:rPr>
                <w:rFonts w:hint="eastAsia"/>
              </w:rPr>
              <w:t>0.34</w:t>
            </w:r>
          </w:p>
        </w:tc>
      </w:tr>
      <w:tr w14:paraId="2E622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769E714D">
            <w:pPr>
              <w:pStyle w:val="1343"/>
            </w:pPr>
          </w:p>
        </w:tc>
        <w:tc>
          <w:tcPr>
            <w:tcW w:w="843" w:type="pct"/>
            <w:vMerge w:val="continue"/>
            <w:vAlign w:val="center"/>
          </w:tcPr>
          <w:p w14:paraId="1D95C48F">
            <w:pPr>
              <w:pStyle w:val="1343"/>
            </w:pPr>
          </w:p>
        </w:tc>
        <w:tc>
          <w:tcPr>
            <w:tcW w:w="984" w:type="pct"/>
            <w:vAlign w:val="center"/>
          </w:tcPr>
          <w:p w14:paraId="3D72C2AC">
            <w:pPr>
              <w:pStyle w:val="1343"/>
            </w:pPr>
            <w:r>
              <w:rPr>
                <w:rFonts w:hint="eastAsia"/>
              </w:rPr>
              <w:t>第四次</w:t>
            </w:r>
          </w:p>
        </w:tc>
        <w:tc>
          <w:tcPr>
            <w:tcW w:w="1211" w:type="pct"/>
            <w:vAlign w:val="center"/>
          </w:tcPr>
          <w:p w14:paraId="74D5F6F2">
            <w:pPr>
              <w:pStyle w:val="1343"/>
            </w:pPr>
            <w:r>
              <w:rPr>
                <w:rFonts w:hint="eastAsia"/>
              </w:rPr>
              <w:t>0.40</w:t>
            </w:r>
          </w:p>
        </w:tc>
        <w:tc>
          <w:tcPr>
            <w:tcW w:w="1368" w:type="pct"/>
            <w:vAlign w:val="center"/>
          </w:tcPr>
          <w:p w14:paraId="07967992">
            <w:pPr>
              <w:pStyle w:val="1343"/>
            </w:pPr>
            <w:r>
              <w:rPr>
                <w:rFonts w:hint="eastAsia"/>
              </w:rPr>
              <w:t>0.32</w:t>
            </w:r>
          </w:p>
        </w:tc>
      </w:tr>
      <w:tr w14:paraId="2A744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6373F5D4">
            <w:pPr>
              <w:pStyle w:val="1343"/>
            </w:pPr>
          </w:p>
        </w:tc>
        <w:tc>
          <w:tcPr>
            <w:tcW w:w="843" w:type="pct"/>
            <w:vMerge w:val="restart"/>
            <w:vAlign w:val="center"/>
          </w:tcPr>
          <w:p w14:paraId="7B3F97F5">
            <w:pPr>
              <w:pStyle w:val="1343"/>
            </w:pPr>
            <w:r>
              <w:rPr>
                <w:rFonts w:hint="eastAsia"/>
              </w:rPr>
              <w:t>2023.8.17</w:t>
            </w:r>
          </w:p>
        </w:tc>
        <w:tc>
          <w:tcPr>
            <w:tcW w:w="984" w:type="pct"/>
            <w:vAlign w:val="center"/>
          </w:tcPr>
          <w:p w14:paraId="53AB85F8">
            <w:pPr>
              <w:pStyle w:val="1343"/>
            </w:pPr>
            <w:r>
              <w:rPr>
                <w:rFonts w:hint="eastAsia"/>
              </w:rPr>
              <w:t>第一次</w:t>
            </w:r>
          </w:p>
        </w:tc>
        <w:tc>
          <w:tcPr>
            <w:tcW w:w="1211" w:type="pct"/>
            <w:vAlign w:val="center"/>
          </w:tcPr>
          <w:p w14:paraId="07945115">
            <w:pPr>
              <w:pStyle w:val="1343"/>
            </w:pPr>
            <w:r>
              <w:rPr>
                <w:rFonts w:hint="eastAsia"/>
              </w:rPr>
              <w:t>0.41</w:t>
            </w:r>
          </w:p>
        </w:tc>
        <w:tc>
          <w:tcPr>
            <w:tcW w:w="1368" w:type="pct"/>
            <w:vAlign w:val="center"/>
          </w:tcPr>
          <w:p w14:paraId="1EF020FF">
            <w:pPr>
              <w:pStyle w:val="1343"/>
            </w:pPr>
            <w:r>
              <w:rPr>
                <w:rFonts w:hint="eastAsia"/>
              </w:rPr>
              <w:t>0.30</w:t>
            </w:r>
          </w:p>
        </w:tc>
      </w:tr>
      <w:tr w14:paraId="55DBC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079FC844">
            <w:pPr>
              <w:pStyle w:val="1343"/>
            </w:pPr>
          </w:p>
        </w:tc>
        <w:tc>
          <w:tcPr>
            <w:tcW w:w="843" w:type="pct"/>
            <w:vMerge w:val="continue"/>
            <w:vAlign w:val="center"/>
          </w:tcPr>
          <w:p w14:paraId="153A2A19">
            <w:pPr>
              <w:pStyle w:val="1343"/>
            </w:pPr>
          </w:p>
        </w:tc>
        <w:tc>
          <w:tcPr>
            <w:tcW w:w="984" w:type="pct"/>
            <w:vAlign w:val="center"/>
          </w:tcPr>
          <w:p w14:paraId="315EA778">
            <w:pPr>
              <w:pStyle w:val="1343"/>
            </w:pPr>
            <w:r>
              <w:rPr>
                <w:rFonts w:hint="eastAsia"/>
              </w:rPr>
              <w:t>第二次</w:t>
            </w:r>
          </w:p>
        </w:tc>
        <w:tc>
          <w:tcPr>
            <w:tcW w:w="1211" w:type="pct"/>
            <w:vAlign w:val="center"/>
          </w:tcPr>
          <w:p w14:paraId="5DFE5933">
            <w:pPr>
              <w:pStyle w:val="1343"/>
            </w:pPr>
            <w:r>
              <w:rPr>
                <w:rFonts w:hint="eastAsia"/>
              </w:rPr>
              <w:t>0.39</w:t>
            </w:r>
          </w:p>
        </w:tc>
        <w:tc>
          <w:tcPr>
            <w:tcW w:w="1368" w:type="pct"/>
            <w:vAlign w:val="center"/>
          </w:tcPr>
          <w:p w14:paraId="0B82AE1C">
            <w:pPr>
              <w:pStyle w:val="1343"/>
            </w:pPr>
            <w:r>
              <w:rPr>
                <w:rFonts w:hint="eastAsia"/>
              </w:rPr>
              <w:t>0.32</w:t>
            </w:r>
          </w:p>
        </w:tc>
      </w:tr>
      <w:tr w14:paraId="36617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1BC14D69">
            <w:pPr>
              <w:pStyle w:val="1343"/>
            </w:pPr>
          </w:p>
        </w:tc>
        <w:tc>
          <w:tcPr>
            <w:tcW w:w="843" w:type="pct"/>
            <w:vMerge w:val="continue"/>
            <w:vAlign w:val="center"/>
          </w:tcPr>
          <w:p w14:paraId="18B96176">
            <w:pPr>
              <w:pStyle w:val="1343"/>
            </w:pPr>
          </w:p>
        </w:tc>
        <w:tc>
          <w:tcPr>
            <w:tcW w:w="984" w:type="pct"/>
            <w:vAlign w:val="center"/>
          </w:tcPr>
          <w:p w14:paraId="39BEA78F">
            <w:pPr>
              <w:pStyle w:val="1343"/>
            </w:pPr>
            <w:r>
              <w:rPr>
                <w:rFonts w:hint="eastAsia"/>
              </w:rPr>
              <w:t>第三次</w:t>
            </w:r>
          </w:p>
        </w:tc>
        <w:tc>
          <w:tcPr>
            <w:tcW w:w="1211" w:type="pct"/>
            <w:vAlign w:val="center"/>
          </w:tcPr>
          <w:p w14:paraId="18165F5F">
            <w:pPr>
              <w:pStyle w:val="1343"/>
            </w:pPr>
            <w:r>
              <w:rPr>
                <w:rFonts w:hint="eastAsia"/>
              </w:rPr>
              <w:t>0.40</w:t>
            </w:r>
          </w:p>
        </w:tc>
        <w:tc>
          <w:tcPr>
            <w:tcW w:w="1368" w:type="pct"/>
            <w:vAlign w:val="center"/>
          </w:tcPr>
          <w:p w14:paraId="39357CA3">
            <w:pPr>
              <w:pStyle w:val="1343"/>
            </w:pPr>
            <w:r>
              <w:rPr>
                <w:rFonts w:hint="eastAsia"/>
              </w:rPr>
              <w:t>0.38</w:t>
            </w:r>
          </w:p>
        </w:tc>
      </w:tr>
      <w:tr w14:paraId="7F13F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2" w:type="pct"/>
            <w:vMerge w:val="continue"/>
            <w:vAlign w:val="center"/>
          </w:tcPr>
          <w:p w14:paraId="2B92CF2D">
            <w:pPr>
              <w:pStyle w:val="1343"/>
            </w:pPr>
          </w:p>
        </w:tc>
        <w:tc>
          <w:tcPr>
            <w:tcW w:w="843" w:type="pct"/>
            <w:vMerge w:val="continue"/>
            <w:vAlign w:val="center"/>
          </w:tcPr>
          <w:p w14:paraId="0391726B">
            <w:pPr>
              <w:pStyle w:val="1343"/>
            </w:pPr>
          </w:p>
        </w:tc>
        <w:tc>
          <w:tcPr>
            <w:tcW w:w="984" w:type="pct"/>
            <w:vAlign w:val="center"/>
          </w:tcPr>
          <w:p w14:paraId="10CB590C">
            <w:pPr>
              <w:pStyle w:val="1343"/>
            </w:pPr>
            <w:r>
              <w:rPr>
                <w:rFonts w:hint="eastAsia"/>
              </w:rPr>
              <w:t>第四次</w:t>
            </w:r>
          </w:p>
        </w:tc>
        <w:tc>
          <w:tcPr>
            <w:tcW w:w="1211" w:type="pct"/>
            <w:vAlign w:val="center"/>
          </w:tcPr>
          <w:p w14:paraId="48A7F435">
            <w:pPr>
              <w:pStyle w:val="1343"/>
            </w:pPr>
            <w:r>
              <w:rPr>
                <w:rFonts w:hint="eastAsia"/>
              </w:rPr>
              <w:t>0.41</w:t>
            </w:r>
          </w:p>
        </w:tc>
        <w:tc>
          <w:tcPr>
            <w:tcW w:w="1368" w:type="pct"/>
            <w:vAlign w:val="center"/>
          </w:tcPr>
          <w:p w14:paraId="7AAC8E4C">
            <w:pPr>
              <w:pStyle w:val="1343"/>
            </w:pPr>
            <w:r>
              <w:rPr>
                <w:rFonts w:hint="eastAsia"/>
              </w:rPr>
              <w:t>0.36</w:t>
            </w:r>
          </w:p>
        </w:tc>
      </w:tr>
    </w:tbl>
    <w:p w14:paraId="0E5A76A9">
      <w:pPr>
        <w:pStyle w:val="904"/>
        <w:spacing w:before="120" w:beforeLines="50"/>
      </w:pPr>
      <w:bookmarkStart w:id="169" w:name="_Ref76906187"/>
      <w:bookmarkStart w:id="170" w:name="_Ref76906142"/>
      <w:r>
        <w:t>表</w:t>
      </w:r>
      <w:bookmarkEnd w:id="169"/>
      <w:r>
        <w:t>4.2-</w:t>
      </w:r>
      <w:r>
        <w:rPr>
          <w:rFonts w:hint="eastAsia"/>
        </w:rPr>
        <w:t>7</w:t>
      </w:r>
      <w:r>
        <w:t>大气</w:t>
      </w:r>
      <w:bookmarkEnd w:id="170"/>
      <w:r>
        <w:t>环境质量现状监测结果标准指数一览表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6"/>
        <w:gridCol w:w="1201"/>
        <w:gridCol w:w="1755"/>
        <w:gridCol w:w="1981"/>
        <w:gridCol w:w="1241"/>
        <w:gridCol w:w="1237"/>
        <w:gridCol w:w="1235"/>
      </w:tblGrid>
      <w:tr w14:paraId="64225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8" w:type="pct"/>
            <w:vMerge w:val="restart"/>
            <w:vAlign w:val="center"/>
          </w:tcPr>
          <w:p w14:paraId="4726ABFC">
            <w:pPr>
              <w:pStyle w:val="1343"/>
            </w:pPr>
            <w:r>
              <w:rPr>
                <w:b/>
                <w:bCs/>
              </w:rPr>
              <w:t>项目</w:t>
            </w:r>
          </w:p>
        </w:tc>
        <w:tc>
          <w:tcPr>
            <w:tcW w:w="626" w:type="pct"/>
            <w:vMerge w:val="restart"/>
            <w:vAlign w:val="center"/>
          </w:tcPr>
          <w:p w14:paraId="6DD0B9AE">
            <w:pPr>
              <w:pStyle w:val="1343"/>
            </w:pPr>
            <w:r>
              <w:rPr>
                <w:b/>
                <w:bCs/>
              </w:rPr>
              <w:t>点位</w:t>
            </w:r>
          </w:p>
        </w:tc>
        <w:tc>
          <w:tcPr>
            <w:tcW w:w="2595" w:type="pct"/>
            <w:gridSpan w:val="3"/>
            <w:vAlign w:val="center"/>
          </w:tcPr>
          <w:p w14:paraId="64972E9C">
            <w:pPr>
              <w:pStyle w:val="1343"/>
            </w:pPr>
            <w:r>
              <w:rPr>
                <w:rFonts w:eastAsia="Times New Roman"/>
                <w:b/>
                <w:bCs/>
              </w:rPr>
              <w:t xml:space="preserve">1 </w:t>
            </w:r>
            <w:r>
              <w:rPr>
                <w:b/>
                <w:bCs/>
              </w:rPr>
              <w:t>小时平均浓度</w:t>
            </w:r>
          </w:p>
        </w:tc>
        <w:tc>
          <w:tcPr>
            <w:tcW w:w="645" w:type="pct"/>
            <w:vMerge w:val="restart"/>
            <w:vAlign w:val="center"/>
          </w:tcPr>
          <w:p w14:paraId="0F03D723">
            <w:pPr>
              <w:pStyle w:val="1343"/>
            </w:pPr>
            <w:r>
              <w:rPr>
                <w:b/>
                <w:bCs/>
              </w:rPr>
              <w:t>评价标准</w:t>
            </w:r>
            <w:r>
              <w:rPr>
                <w:rFonts w:hint="eastAsia"/>
                <w:b/>
                <w:bCs/>
              </w:rPr>
              <w:t>(</w:t>
            </w:r>
            <w:r>
              <w:rPr>
                <w:b/>
                <w:bCs/>
              </w:rPr>
              <w:t>mg</w:t>
            </w:r>
            <w:r>
              <w:rPr>
                <w:rFonts w:hint="eastAsia"/>
                <w:b/>
                <w:bCs/>
              </w:rPr>
              <w:t>/m</w:t>
            </w:r>
            <w:r>
              <w:rPr>
                <w:b/>
                <w:bCs/>
                <w:vertAlign w:val="superscript"/>
              </w:rPr>
              <w:t>3</w:t>
            </w:r>
            <w:r>
              <w:rPr>
                <w:b/>
                <w:bCs/>
              </w:rPr>
              <w:t>)</w:t>
            </w:r>
          </w:p>
        </w:tc>
        <w:tc>
          <w:tcPr>
            <w:tcW w:w="644" w:type="pct"/>
            <w:vMerge w:val="restart"/>
            <w:vAlign w:val="center"/>
          </w:tcPr>
          <w:p w14:paraId="1B3FFC33">
            <w:pPr>
              <w:pStyle w:val="1343"/>
            </w:pPr>
            <w:r>
              <w:rPr>
                <w:b/>
                <w:bCs/>
              </w:rPr>
              <w:t>达标情况</w:t>
            </w:r>
          </w:p>
        </w:tc>
      </w:tr>
      <w:tr w14:paraId="650C1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8" w:type="pct"/>
            <w:vMerge w:val="continue"/>
            <w:vAlign w:val="center"/>
          </w:tcPr>
          <w:p w14:paraId="7F399E4F">
            <w:pPr>
              <w:pStyle w:val="1343"/>
            </w:pPr>
          </w:p>
        </w:tc>
        <w:tc>
          <w:tcPr>
            <w:tcW w:w="626" w:type="pct"/>
            <w:vMerge w:val="continue"/>
            <w:vAlign w:val="center"/>
          </w:tcPr>
          <w:p w14:paraId="7D58CD46">
            <w:pPr>
              <w:pStyle w:val="1343"/>
            </w:pPr>
          </w:p>
        </w:tc>
        <w:tc>
          <w:tcPr>
            <w:tcW w:w="915" w:type="pct"/>
            <w:vAlign w:val="center"/>
          </w:tcPr>
          <w:p w14:paraId="3EA4730B">
            <w:pPr>
              <w:pStyle w:val="1343"/>
            </w:pPr>
            <w:r>
              <w:rPr>
                <w:b/>
                <w:bCs/>
              </w:rPr>
              <w:t>浓度范围</w:t>
            </w:r>
          </w:p>
        </w:tc>
        <w:tc>
          <w:tcPr>
            <w:tcW w:w="1033" w:type="pct"/>
            <w:vAlign w:val="center"/>
          </w:tcPr>
          <w:p w14:paraId="4725F8D0">
            <w:pPr>
              <w:pStyle w:val="1343"/>
            </w:pPr>
            <w:r>
              <w:rPr>
                <w:b/>
                <w:bCs/>
              </w:rPr>
              <w:t>最大浓度占标率</w:t>
            </w:r>
          </w:p>
          <w:p w14:paraId="442A22D5">
            <w:pPr>
              <w:pStyle w:val="1343"/>
            </w:pPr>
            <w:r>
              <w:rPr>
                <w:b/>
                <w:bCs/>
                <w:spacing w:val="-1"/>
              </w:rPr>
              <w:t>(</w:t>
            </w:r>
            <w:r>
              <w:rPr>
                <w:rFonts w:eastAsia="Times New Roman"/>
                <w:b/>
                <w:bCs/>
                <w:spacing w:val="-1"/>
              </w:rPr>
              <w:t>%</w:t>
            </w:r>
            <w:r>
              <w:rPr>
                <w:b/>
                <w:bCs/>
                <w:spacing w:val="-1"/>
              </w:rPr>
              <w:t>)</w:t>
            </w:r>
          </w:p>
        </w:tc>
        <w:tc>
          <w:tcPr>
            <w:tcW w:w="646" w:type="pct"/>
            <w:vAlign w:val="center"/>
          </w:tcPr>
          <w:p w14:paraId="5A9015DC">
            <w:pPr>
              <w:pStyle w:val="1343"/>
            </w:pPr>
            <w:r>
              <w:rPr>
                <w:b/>
                <w:bCs/>
              </w:rPr>
              <w:t>超标率</w:t>
            </w:r>
          </w:p>
          <w:p w14:paraId="745266D6">
            <w:pPr>
              <w:pStyle w:val="1343"/>
              <w:rPr>
                <w:rFonts w:eastAsia="Times New Roman"/>
              </w:rPr>
            </w:pPr>
            <w:r>
              <w:rPr>
                <w:b/>
                <w:spacing w:val="-1"/>
              </w:rPr>
              <w:t>(%)</w:t>
            </w:r>
          </w:p>
        </w:tc>
        <w:tc>
          <w:tcPr>
            <w:tcW w:w="645" w:type="pct"/>
            <w:vMerge w:val="continue"/>
            <w:vAlign w:val="center"/>
          </w:tcPr>
          <w:p w14:paraId="4D85DD97">
            <w:pPr>
              <w:pStyle w:val="1343"/>
            </w:pPr>
          </w:p>
        </w:tc>
        <w:tc>
          <w:tcPr>
            <w:tcW w:w="644" w:type="pct"/>
            <w:vMerge w:val="continue"/>
            <w:vAlign w:val="center"/>
          </w:tcPr>
          <w:p w14:paraId="65C0F9D2">
            <w:pPr>
              <w:pStyle w:val="1343"/>
            </w:pPr>
          </w:p>
        </w:tc>
      </w:tr>
      <w:tr w14:paraId="04743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8" w:type="pct"/>
            <w:vAlign w:val="center"/>
          </w:tcPr>
          <w:p w14:paraId="274CAE60">
            <w:pPr>
              <w:pStyle w:val="1343"/>
            </w:pPr>
            <w:r>
              <w:t>甲烷</w:t>
            </w:r>
          </w:p>
        </w:tc>
        <w:tc>
          <w:tcPr>
            <w:tcW w:w="626" w:type="pct"/>
            <w:vAlign w:val="center"/>
          </w:tcPr>
          <w:p w14:paraId="13069FA8">
            <w:pPr>
              <w:pStyle w:val="1343"/>
              <w:rPr>
                <w:rFonts w:eastAsia="Times New Roman"/>
              </w:rPr>
            </w:pPr>
            <w:r>
              <w:rPr>
                <w:spacing w:val="1"/>
              </w:rPr>
              <w:t>A1</w:t>
            </w:r>
          </w:p>
        </w:tc>
        <w:tc>
          <w:tcPr>
            <w:tcW w:w="915" w:type="pct"/>
            <w:vAlign w:val="center"/>
          </w:tcPr>
          <w:p w14:paraId="1105788F">
            <w:pPr>
              <w:pStyle w:val="1343"/>
              <w:rPr>
                <w:rFonts w:eastAsiaTheme="minorEastAsia"/>
              </w:rPr>
            </w:pPr>
            <w:r>
              <w:rPr>
                <w:rFonts w:hint="eastAsia" w:eastAsiaTheme="minorEastAsia"/>
              </w:rPr>
              <w:t>0.38</w:t>
            </w:r>
            <w:r>
              <w:rPr>
                <w:rFonts w:eastAsiaTheme="minorEastAsia"/>
              </w:rPr>
              <w:t>~</w:t>
            </w:r>
            <w:r>
              <w:rPr>
                <w:rFonts w:hint="eastAsia" w:eastAsiaTheme="minorEastAsia"/>
              </w:rPr>
              <w:t>0.43</w:t>
            </w:r>
          </w:p>
        </w:tc>
        <w:tc>
          <w:tcPr>
            <w:tcW w:w="1033" w:type="pct"/>
            <w:vAlign w:val="center"/>
          </w:tcPr>
          <w:p w14:paraId="34236FEB">
            <w:pPr>
              <w:pStyle w:val="1343"/>
              <w:rPr>
                <w:rFonts w:eastAsiaTheme="minorEastAsia"/>
              </w:rPr>
            </w:pPr>
            <w:r>
              <w:t>/</w:t>
            </w:r>
          </w:p>
        </w:tc>
        <w:tc>
          <w:tcPr>
            <w:tcW w:w="646" w:type="pct"/>
            <w:vAlign w:val="center"/>
          </w:tcPr>
          <w:p w14:paraId="70399D0B">
            <w:pPr>
              <w:pStyle w:val="1343"/>
              <w:rPr>
                <w:rFonts w:eastAsia="Times New Roman"/>
              </w:rPr>
            </w:pPr>
            <w:r>
              <w:t>/</w:t>
            </w:r>
          </w:p>
        </w:tc>
        <w:tc>
          <w:tcPr>
            <w:tcW w:w="645" w:type="pct"/>
            <w:vAlign w:val="center"/>
          </w:tcPr>
          <w:p w14:paraId="6CFE882F">
            <w:pPr>
              <w:pStyle w:val="1343"/>
              <w:rPr>
                <w:rFonts w:eastAsia="Times New Roman"/>
              </w:rPr>
            </w:pPr>
            <w:r>
              <w:t>/</w:t>
            </w:r>
          </w:p>
        </w:tc>
        <w:tc>
          <w:tcPr>
            <w:tcW w:w="644" w:type="pct"/>
            <w:vAlign w:val="center"/>
          </w:tcPr>
          <w:p w14:paraId="422429FF">
            <w:pPr>
              <w:pStyle w:val="1343"/>
            </w:pPr>
            <w:r>
              <w:t>/</w:t>
            </w:r>
          </w:p>
        </w:tc>
      </w:tr>
      <w:tr w14:paraId="3130F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8" w:type="pct"/>
            <w:vAlign w:val="center"/>
          </w:tcPr>
          <w:p w14:paraId="69E42FB6">
            <w:pPr>
              <w:pStyle w:val="1343"/>
            </w:pPr>
            <w:r>
              <w:t>非甲烷总烃</w:t>
            </w:r>
          </w:p>
        </w:tc>
        <w:tc>
          <w:tcPr>
            <w:tcW w:w="626" w:type="pct"/>
            <w:vAlign w:val="center"/>
          </w:tcPr>
          <w:p w14:paraId="11812DB7">
            <w:pPr>
              <w:pStyle w:val="1343"/>
              <w:rPr>
                <w:rFonts w:eastAsia="Times New Roman"/>
              </w:rPr>
            </w:pPr>
            <w:r>
              <w:rPr>
                <w:spacing w:val="1"/>
              </w:rPr>
              <w:t>A1</w:t>
            </w:r>
          </w:p>
        </w:tc>
        <w:tc>
          <w:tcPr>
            <w:tcW w:w="915" w:type="pct"/>
            <w:vAlign w:val="center"/>
          </w:tcPr>
          <w:p w14:paraId="48EB7E85">
            <w:pPr>
              <w:pStyle w:val="1343"/>
              <w:rPr>
                <w:rFonts w:eastAsiaTheme="minorEastAsia"/>
              </w:rPr>
            </w:pPr>
            <w:r>
              <w:rPr>
                <w:rFonts w:eastAsiaTheme="minorEastAsia"/>
              </w:rPr>
              <w:t>0.</w:t>
            </w:r>
            <w:r>
              <w:rPr>
                <w:rFonts w:hint="eastAsia" w:eastAsiaTheme="minorEastAsia"/>
              </w:rPr>
              <w:t>28</w:t>
            </w:r>
            <w:r>
              <w:rPr>
                <w:rFonts w:eastAsiaTheme="minorEastAsia"/>
              </w:rPr>
              <w:t>~0.</w:t>
            </w:r>
            <w:r>
              <w:rPr>
                <w:rFonts w:hint="eastAsia" w:eastAsiaTheme="minorEastAsia"/>
              </w:rPr>
              <w:t>38</w:t>
            </w:r>
          </w:p>
        </w:tc>
        <w:tc>
          <w:tcPr>
            <w:tcW w:w="1033" w:type="pct"/>
            <w:vAlign w:val="center"/>
          </w:tcPr>
          <w:p w14:paraId="565AC887">
            <w:pPr>
              <w:pStyle w:val="1343"/>
              <w:rPr>
                <w:rFonts w:eastAsiaTheme="minorEastAsia"/>
              </w:rPr>
            </w:pPr>
            <w:r>
              <w:rPr>
                <w:rFonts w:hint="eastAsia" w:eastAsiaTheme="minorEastAsia"/>
              </w:rPr>
              <w:t>19</w:t>
            </w:r>
            <w:r>
              <w:rPr>
                <w:rFonts w:eastAsiaTheme="minorEastAsia"/>
              </w:rPr>
              <w:t>%</w:t>
            </w:r>
          </w:p>
        </w:tc>
        <w:tc>
          <w:tcPr>
            <w:tcW w:w="646" w:type="pct"/>
            <w:vAlign w:val="center"/>
          </w:tcPr>
          <w:p w14:paraId="065D56E7">
            <w:pPr>
              <w:pStyle w:val="1343"/>
              <w:rPr>
                <w:rFonts w:eastAsiaTheme="minorEastAsia"/>
              </w:rPr>
            </w:pPr>
            <w:r>
              <w:rPr>
                <w:rFonts w:eastAsiaTheme="minorEastAsia"/>
              </w:rPr>
              <w:t>0</w:t>
            </w:r>
          </w:p>
        </w:tc>
        <w:tc>
          <w:tcPr>
            <w:tcW w:w="645" w:type="pct"/>
            <w:vAlign w:val="center"/>
          </w:tcPr>
          <w:p w14:paraId="2C2EACCD">
            <w:pPr>
              <w:pStyle w:val="1343"/>
              <w:rPr>
                <w:rFonts w:eastAsia="Times New Roman"/>
              </w:rPr>
            </w:pPr>
            <w:r>
              <w:t>2</w:t>
            </w:r>
          </w:p>
        </w:tc>
        <w:tc>
          <w:tcPr>
            <w:tcW w:w="644" w:type="pct"/>
            <w:vAlign w:val="center"/>
          </w:tcPr>
          <w:p w14:paraId="689B561C">
            <w:pPr>
              <w:pStyle w:val="1343"/>
            </w:pPr>
            <w:r>
              <w:t>达标</w:t>
            </w:r>
          </w:p>
        </w:tc>
      </w:tr>
    </w:tbl>
    <w:p w14:paraId="2B1BBEE6">
      <w:pPr>
        <w:pStyle w:val="234"/>
        <w:snapToGrid w:val="0"/>
        <w:spacing w:before="120" w:beforeLines="50"/>
      </w:pPr>
      <w:r>
        <w:t>因甲烷无环境质量标准，本次环评不对其进一步评价，仅给出监测结果的统计情况。根据监测结果表可知本次评价大气环境监测点位非甲烷总烃均可以满足《大气污染物综合排放标准》(GB16297-1996)详解中环境质量标准要求。</w:t>
      </w:r>
    </w:p>
    <w:p w14:paraId="21168169">
      <w:pPr>
        <w:pStyle w:val="5"/>
        <w:rPr>
          <w:color w:val="auto"/>
        </w:rPr>
      </w:pPr>
      <w:r>
        <w:rPr>
          <w:color w:val="auto"/>
        </w:rPr>
        <w:t>地表水环境质量现状</w:t>
      </w:r>
    </w:p>
    <w:p w14:paraId="27C1DDE5">
      <w:pPr>
        <w:pStyle w:val="234"/>
        <w:ind w:firstLine="482"/>
        <w:rPr>
          <w:b/>
          <w:bCs/>
        </w:rPr>
      </w:pPr>
      <w:r>
        <w:rPr>
          <w:b/>
          <w:bCs/>
        </w:rPr>
        <w:t>（1）监测布点</w:t>
      </w:r>
    </w:p>
    <w:p w14:paraId="3A70381A">
      <w:pPr>
        <w:pStyle w:val="234"/>
      </w:pPr>
      <w:r>
        <w:t>根据本工程设计及现场踏勘，本工程</w:t>
      </w:r>
      <w:r>
        <w:rPr>
          <w:rFonts w:hint="eastAsia"/>
        </w:rPr>
        <w:t>管线附近有几处坑塘，功能为农田灌溉</w:t>
      </w:r>
      <w:r>
        <w:t>。根据管道走向，为了解本工程</w:t>
      </w:r>
      <w:r>
        <w:rPr>
          <w:rFonts w:hint="eastAsia"/>
        </w:rPr>
        <w:t>区域地表水</w:t>
      </w:r>
      <w:r>
        <w:t>水质情况，</w:t>
      </w:r>
      <w:r>
        <w:rPr>
          <w:rFonts w:hint="eastAsia"/>
        </w:rPr>
        <w:t>在蒋家冲东北侧坑塘</w:t>
      </w:r>
      <w:r>
        <w:t>布设</w:t>
      </w:r>
      <w:r>
        <w:rPr>
          <w:rFonts w:hint="eastAsia"/>
        </w:rPr>
        <w:t>1</w:t>
      </w:r>
      <w:r>
        <w:t>个断面进行监测</w:t>
      </w:r>
      <w:r>
        <w:rPr>
          <w:rFonts w:hint="eastAsia"/>
        </w:rPr>
        <w:t>，其功能为农田灌溉（水田）</w:t>
      </w:r>
      <w:r>
        <w:t>，具体位置见</w:t>
      </w:r>
      <w:r>
        <w:rPr>
          <w:rFonts w:hint="eastAsia"/>
        </w:rPr>
        <w:t>表4</w:t>
      </w:r>
      <w:r>
        <w:t>.2</w:t>
      </w:r>
      <w:r>
        <w:rPr>
          <w:rFonts w:hint="eastAsia"/>
        </w:rPr>
        <w:t>-</w:t>
      </w:r>
      <w:r>
        <w:t>7及图4.2-1。</w:t>
      </w:r>
    </w:p>
    <w:p w14:paraId="0620CAEF">
      <w:pPr>
        <w:pStyle w:val="904"/>
      </w:pPr>
      <w:bookmarkStart w:id="171" w:name="_Ref76996355"/>
      <w:r>
        <w:t xml:space="preserve">表 </w:t>
      </w:r>
      <w:r>
        <w:fldChar w:fldCharType="begin"/>
      </w:r>
      <w:r>
        <w:instrText xml:space="preserve"> STYLEREF 2 \s </w:instrText>
      </w:r>
      <w:r>
        <w:fldChar w:fldCharType="separate"/>
      </w:r>
      <w:r>
        <w:t>4.2</w:t>
      </w:r>
      <w:r>
        <w:fldChar w:fldCharType="end"/>
      </w:r>
      <w:r>
        <w:noBreakHyphen/>
      </w:r>
      <w:bookmarkEnd w:id="171"/>
      <w:r>
        <w:t>7地表水现状监测断面一览表</w:t>
      </w:r>
    </w:p>
    <w:tbl>
      <w:tblPr>
        <w:tblStyle w:val="139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2158"/>
        <w:gridCol w:w="2411"/>
        <w:gridCol w:w="1408"/>
        <w:gridCol w:w="1257"/>
        <w:gridCol w:w="1652"/>
      </w:tblGrid>
      <w:tr w14:paraId="44911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5" w:type="pct"/>
            <w:vAlign w:val="center"/>
          </w:tcPr>
          <w:p w14:paraId="3D6F250C">
            <w:pPr>
              <w:pStyle w:val="1343"/>
            </w:pPr>
            <w:r>
              <w:t>序号</w:t>
            </w:r>
          </w:p>
        </w:tc>
        <w:tc>
          <w:tcPr>
            <w:tcW w:w="1125" w:type="pct"/>
            <w:vAlign w:val="center"/>
          </w:tcPr>
          <w:p w14:paraId="0AD3A2CD">
            <w:pPr>
              <w:pStyle w:val="1343"/>
            </w:pPr>
            <w:r>
              <w:t>监测点位</w:t>
            </w:r>
          </w:p>
        </w:tc>
        <w:tc>
          <w:tcPr>
            <w:tcW w:w="1257" w:type="pct"/>
            <w:vAlign w:val="center"/>
          </w:tcPr>
          <w:p w14:paraId="60514CD9">
            <w:pPr>
              <w:pStyle w:val="1343"/>
            </w:pPr>
            <w:r>
              <w:t>位置</w:t>
            </w:r>
          </w:p>
        </w:tc>
        <w:tc>
          <w:tcPr>
            <w:tcW w:w="734" w:type="pct"/>
            <w:vAlign w:val="center"/>
          </w:tcPr>
          <w:p w14:paraId="39A146E4">
            <w:pPr>
              <w:pStyle w:val="1343"/>
            </w:pPr>
            <w:r>
              <w:t>经度</w:t>
            </w:r>
          </w:p>
        </w:tc>
        <w:tc>
          <w:tcPr>
            <w:tcW w:w="655" w:type="pct"/>
            <w:vAlign w:val="center"/>
          </w:tcPr>
          <w:p w14:paraId="2E56675B">
            <w:pPr>
              <w:pStyle w:val="1343"/>
            </w:pPr>
            <w:r>
              <w:t>纬度</w:t>
            </w:r>
          </w:p>
        </w:tc>
        <w:tc>
          <w:tcPr>
            <w:tcW w:w="861" w:type="pct"/>
            <w:vAlign w:val="center"/>
          </w:tcPr>
          <w:p w14:paraId="5C7B2887">
            <w:pPr>
              <w:pStyle w:val="1343"/>
            </w:pPr>
            <w:r>
              <w:t>功能</w:t>
            </w:r>
          </w:p>
        </w:tc>
      </w:tr>
      <w:tr w14:paraId="058D3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5" w:type="pct"/>
            <w:vAlign w:val="center"/>
          </w:tcPr>
          <w:p w14:paraId="46A4BE06">
            <w:pPr>
              <w:pStyle w:val="1343"/>
              <w:rPr>
                <w:rFonts w:eastAsia="Times New Roman"/>
              </w:rPr>
            </w:pPr>
            <w:r>
              <w:rPr>
                <w:bCs/>
              </w:rPr>
              <w:t>W1</w:t>
            </w:r>
          </w:p>
        </w:tc>
        <w:tc>
          <w:tcPr>
            <w:tcW w:w="1125" w:type="pct"/>
            <w:vAlign w:val="center"/>
          </w:tcPr>
          <w:p w14:paraId="6C5B46E2">
            <w:pPr>
              <w:pStyle w:val="1343"/>
            </w:pPr>
            <w:r>
              <w:rPr>
                <w:rFonts w:hint="eastAsia"/>
              </w:rPr>
              <w:t>管线附近坑塘</w:t>
            </w:r>
          </w:p>
        </w:tc>
        <w:tc>
          <w:tcPr>
            <w:tcW w:w="1257" w:type="pct"/>
            <w:vAlign w:val="center"/>
          </w:tcPr>
          <w:p w14:paraId="69BB4C9D">
            <w:pPr>
              <w:pStyle w:val="1343"/>
            </w:pPr>
            <w:r>
              <w:rPr>
                <w:rFonts w:hint="eastAsia"/>
              </w:rPr>
              <w:t>管线西侧8m</w:t>
            </w:r>
          </w:p>
        </w:tc>
        <w:tc>
          <w:tcPr>
            <w:tcW w:w="734" w:type="pct"/>
            <w:vAlign w:val="center"/>
          </w:tcPr>
          <w:p w14:paraId="62DEC3E4">
            <w:pPr>
              <w:pStyle w:val="1343"/>
              <w:rPr>
                <w:rFonts w:eastAsia="等线"/>
              </w:rPr>
            </w:pPr>
            <w:r>
              <w:rPr>
                <w:rFonts w:hint="eastAsia" w:eastAsia="等线"/>
              </w:rPr>
              <w:t>112.923</w:t>
            </w:r>
          </w:p>
        </w:tc>
        <w:tc>
          <w:tcPr>
            <w:tcW w:w="655" w:type="pct"/>
            <w:vAlign w:val="center"/>
          </w:tcPr>
          <w:p w14:paraId="26D8BF58">
            <w:pPr>
              <w:pStyle w:val="1343"/>
              <w:rPr>
                <w:rFonts w:eastAsia="等线"/>
              </w:rPr>
            </w:pPr>
            <w:r>
              <w:rPr>
                <w:rFonts w:hint="eastAsia" w:eastAsia="等线"/>
              </w:rPr>
              <w:t>26.415</w:t>
            </w:r>
          </w:p>
        </w:tc>
        <w:tc>
          <w:tcPr>
            <w:tcW w:w="861" w:type="pct"/>
            <w:vAlign w:val="center"/>
          </w:tcPr>
          <w:p w14:paraId="580BC8CD">
            <w:pPr>
              <w:pStyle w:val="1343"/>
            </w:pPr>
            <w:r>
              <w:rPr>
                <w:rFonts w:hint="eastAsia"/>
                <w:bCs/>
                <w:color w:val="FF0000"/>
                <w:lang w:val="en-US" w:eastAsia="zh-CN"/>
              </w:rPr>
              <w:t>Ⅲ</w:t>
            </w:r>
            <w:r>
              <w:rPr>
                <w:bCs/>
                <w:color w:val="FF0000"/>
              </w:rPr>
              <w:t>类</w:t>
            </w:r>
          </w:p>
        </w:tc>
      </w:tr>
    </w:tbl>
    <w:p w14:paraId="61A7E861">
      <w:pPr>
        <w:pStyle w:val="234"/>
        <w:spacing w:before="120" w:beforeLines="50"/>
        <w:ind w:firstLine="482"/>
        <w:rPr>
          <w:b/>
          <w:bCs/>
        </w:rPr>
      </w:pPr>
      <w:r>
        <w:rPr>
          <w:b/>
          <w:bCs/>
        </w:rPr>
        <w:t>（2）监测因子</w:t>
      </w:r>
    </w:p>
    <w:p w14:paraId="69277E9E">
      <w:pPr>
        <w:pStyle w:val="234"/>
      </w:pPr>
      <w:r>
        <w:rPr>
          <w:kern w:val="0"/>
          <w:szCs w:val="21"/>
        </w:rPr>
        <w:t>pH、COD</w:t>
      </w:r>
      <w:r>
        <w:rPr>
          <w:rFonts w:hint="eastAsia"/>
          <w:kern w:val="0"/>
          <w:szCs w:val="21"/>
        </w:rPr>
        <w:t>cr</w:t>
      </w:r>
      <w:r>
        <w:rPr>
          <w:kern w:val="0"/>
          <w:szCs w:val="21"/>
        </w:rPr>
        <w:t>、BOD</w:t>
      </w:r>
      <w:r>
        <w:rPr>
          <w:kern w:val="0"/>
          <w:szCs w:val="21"/>
          <w:vertAlign w:val="subscript"/>
        </w:rPr>
        <w:t>5</w:t>
      </w:r>
      <w:r>
        <w:rPr>
          <w:kern w:val="0"/>
          <w:szCs w:val="21"/>
        </w:rPr>
        <w:t>、石油类</w:t>
      </w:r>
      <w:r>
        <w:rPr>
          <w:rFonts w:hint="eastAsia"/>
          <w:kern w:val="0"/>
          <w:szCs w:val="21"/>
        </w:rPr>
        <w:t>、挥发酚</w:t>
      </w:r>
      <w:r>
        <w:rPr>
          <w:kern w:val="0"/>
          <w:szCs w:val="21"/>
        </w:rPr>
        <w:t>、SS</w:t>
      </w:r>
      <w:r>
        <w:rPr>
          <w:rFonts w:hint="eastAsia"/>
          <w:kern w:val="0"/>
          <w:szCs w:val="21"/>
        </w:rPr>
        <w:t>、粪大肠菌群数</w:t>
      </w:r>
      <w:r>
        <w:t>共计</w:t>
      </w:r>
      <w:r>
        <w:rPr>
          <w:rFonts w:hint="eastAsia"/>
        </w:rPr>
        <w:t>7</w:t>
      </w:r>
      <w:r>
        <w:t>项。</w:t>
      </w:r>
    </w:p>
    <w:p w14:paraId="46FD419B">
      <w:pPr>
        <w:pStyle w:val="234"/>
        <w:ind w:firstLine="482"/>
        <w:rPr>
          <w:b/>
          <w:bCs/>
        </w:rPr>
      </w:pPr>
      <w:r>
        <w:rPr>
          <w:b/>
          <w:bCs/>
        </w:rPr>
        <w:t>（3）监测频次与时间</w:t>
      </w:r>
    </w:p>
    <w:p w14:paraId="4E13CC85">
      <w:pPr>
        <w:pStyle w:val="234"/>
      </w:pPr>
      <w:r>
        <w:t>监测时间：202</w:t>
      </w:r>
      <w:r>
        <w:rPr>
          <w:rFonts w:hint="eastAsia"/>
        </w:rPr>
        <w:t>3</w:t>
      </w:r>
      <w:r>
        <w:t>年</w:t>
      </w:r>
      <w:r>
        <w:rPr>
          <w:rFonts w:hint="eastAsia"/>
        </w:rPr>
        <w:t>8</w:t>
      </w:r>
      <w:r>
        <w:t>月</w:t>
      </w:r>
      <w:r>
        <w:rPr>
          <w:rFonts w:hint="eastAsia"/>
        </w:rPr>
        <w:t>11</w:t>
      </w:r>
      <w:r>
        <w:t>日~</w:t>
      </w:r>
      <w:r>
        <w:rPr>
          <w:rFonts w:hint="eastAsia"/>
        </w:rPr>
        <w:t>8</w:t>
      </w:r>
      <w:r>
        <w:t>月1</w:t>
      </w:r>
      <w:r>
        <w:rPr>
          <w:rFonts w:hint="eastAsia"/>
        </w:rPr>
        <w:t>2</w:t>
      </w:r>
      <w:r>
        <w:t>日。</w:t>
      </w:r>
    </w:p>
    <w:p w14:paraId="11161F7C">
      <w:pPr>
        <w:pStyle w:val="234"/>
      </w:pPr>
      <w:r>
        <w:t>监测频次：连续监测</w:t>
      </w:r>
      <w:r>
        <w:rPr>
          <w:rFonts w:hint="eastAsia"/>
        </w:rPr>
        <w:t>2</w:t>
      </w:r>
      <w:r>
        <w:t>天，每天采样1次。</w:t>
      </w:r>
    </w:p>
    <w:p w14:paraId="2331F1AB">
      <w:pPr>
        <w:pStyle w:val="234"/>
        <w:ind w:firstLine="482"/>
        <w:rPr>
          <w:b/>
          <w:bCs/>
        </w:rPr>
      </w:pPr>
      <w:r>
        <w:rPr>
          <w:b/>
          <w:bCs/>
        </w:rPr>
        <w:t>（4）监测及分析方法</w:t>
      </w:r>
    </w:p>
    <w:p w14:paraId="44EA5CFA">
      <w:pPr>
        <w:pStyle w:val="234"/>
      </w:pPr>
      <w:r>
        <w:t>采样方法执行《地表水环境质量监测技术规范》(HJ91.2</w:t>
      </w:r>
      <w:r>
        <w:rPr>
          <w:rFonts w:hint="eastAsia"/>
        </w:rPr>
        <w:t>-</w:t>
      </w:r>
      <w:r>
        <w:t>2022）中规定的方法，具体检测分析方法见</w:t>
      </w:r>
      <w:r>
        <w:fldChar w:fldCharType="begin"/>
      </w:r>
      <w:r>
        <w:instrText xml:space="preserve"> REF _Ref76995933 \h  \* MERGEFORMAT </w:instrText>
      </w:r>
      <w:r>
        <w:fldChar w:fldCharType="separate"/>
      </w:r>
      <w:r>
        <w:t>表4.2</w:t>
      </w:r>
      <w:r>
        <w:noBreakHyphen/>
      </w:r>
      <w:r>
        <w:fldChar w:fldCharType="end"/>
      </w:r>
      <w:r>
        <w:t>8。</w:t>
      </w:r>
    </w:p>
    <w:p w14:paraId="17019960">
      <w:pPr>
        <w:pStyle w:val="904"/>
      </w:pPr>
      <w:bookmarkStart w:id="172" w:name="_Ref76995933"/>
      <w:r>
        <w:t>表</w:t>
      </w:r>
      <w:r>
        <w:fldChar w:fldCharType="begin"/>
      </w:r>
      <w:r>
        <w:instrText xml:space="preserve"> STYLEREF 2 \s </w:instrText>
      </w:r>
      <w:r>
        <w:fldChar w:fldCharType="separate"/>
      </w:r>
      <w:r>
        <w:t>4.2</w:t>
      </w:r>
      <w:r>
        <w:fldChar w:fldCharType="end"/>
      </w:r>
      <w:r>
        <w:noBreakHyphen/>
      </w:r>
      <w:bookmarkEnd w:id="172"/>
      <w:r>
        <w:t>8监测分析方法一览表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6"/>
        <w:gridCol w:w="6625"/>
        <w:gridCol w:w="1265"/>
      </w:tblGrid>
      <w:tr w14:paraId="6EF4D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Align w:val="center"/>
          </w:tcPr>
          <w:p w14:paraId="7DD27F86">
            <w:pPr>
              <w:pStyle w:val="1343"/>
            </w:pPr>
            <w:r>
              <w:t>检测项目</w:t>
            </w:r>
          </w:p>
        </w:tc>
        <w:tc>
          <w:tcPr>
            <w:tcW w:w="6625" w:type="dxa"/>
            <w:vAlign w:val="center"/>
          </w:tcPr>
          <w:p w14:paraId="0787D424">
            <w:pPr>
              <w:pStyle w:val="1343"/>
            </w:pPr>
            <w:r>
              <w:t>分析方法</w:t>
            </w:r>
          </w:p>
        </w:tc>
        <w:tc>
          <w:tcPr>
            <w:tcW w:w="0" w:type="auto"/>
            <w:vAlign w:val="center"/>
          </w:tcPr>
          <w:p w14:paraId="6C2F29C6">
            <w:pPr>
              <w:pStyle w:val="1343"/>
            </w:pPr>
            <w:r>
              <w:t>检出限</w:t>
            </w:r>
          </w:p>
        </w:tc>
      </w:tr>
      <w:tr w14:paraId="5F9C9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Align w:val="center"/>
          </w:tcPr>
          <w:p w14:paraId="413B1887">
            <w:pPr>
              <w:pStyle w:val="1343"/>
            </w:pPr>
            <w:r>
              <w:t>pH值</w:t>
            </w:r>
          </w:p>
        </w:tc>
        <w:tc>
          <w:tcPr>
            <w:tcW w:w="6625" w:type="dxa"/>
            <w:vAlign w:val="center"/>
          </w:tcPr>
          <w:p w14:paraId="2E3EE6B2">
            <w:pPr>
              <w:pStyle w:val="1343"/>
            </w:pPr>
            <w:r>
              <w:t>HJ 1147-2020 水质 pH值的测定 电极法</w:t>
            </w:r>
          </w:p>
        </w:tc>
        <w:tc>
          <w:tcPr>
            <w:tcW w:w="0" w:type="auto"/>
            <w:vAlign w:val="center"/>
          </w:tcPr>
          <w:p w14:paraId="2EE8A5F8">
            <w:pPr>
              <w:pStyle w:val="1343"/>
              <w:rPr>
                <w:rFonts w:eastAsia="Times New Roman"/>
              </w:rPr>
            </w:pPr>
            <w:r>
              <w:t>/</w:t>
            </w:r>
          </w:p>
        </w:tc>
      </w:tr>
      <w:tr w14:paraId="629DF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Align w:val="center"/>
          </w:tcPr>
          <w:p w14:paraId="65AB9A65">
            <w:pPr>
              <w:pStyle w:val="1343"/>
            </w:pPr>
            <w:r>
              <w:rPr>
                <w:rFonts w:hint="eastAsia"/>
              </w:rPr>
              <w:t>化学需氧量</w:t>
            </w:r>
          </w:p>
        </w:tc>
        <w:tc>
          <w:tcPr>
            <w:tcW w:w="6625" w:type="dxa"/>
            <w:vAlign w:val="center"/>
          </w:tcPr>
          <w:p w14:paraId="0F9F6C3D">
            <w:pPr>
              <w:pStyle w:val="1343"/>
            </w:pPr>
            <w:r>
              <w:t>HJ 828-2017 水质 化学需氧量的测定 重铬酸盐法</w:t>
            </w:r>
          </w:p>
        </w:tc>
        <w:tc>
          <w:tcPr>
            <w:tcW w:w="0" w:type="auto"/>
            <w:vAlign w:val="center"/>
          </w:tcPr>
          <w:p w14:paraId="398A9EFD">
            <w:pPr>
              <w:pStyle w:val="1343"/>
              <w:rPr>
                <w:rFonts w:eastAsia="Times New Roman"/>
              </w:rPr>
            </w:pPr>
            <w:r>
              <w:t>4mg/L</w:t>
            </w:r>
          </w:p>
        </w:tc>
      </w:tr>
      <w:tr w14:paraId="5AC38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Align w:val="center"/>
          </w:tcPr>
          <w:p w14:paraId="5644512E">
            <w:pPr>
              <w:pStyle w:val="1343"/>
            </w:pPr>
            <w:r>
              <w:t>石油类</w:t>
            </w:r>
          </w:p>
        </w:tc>
        <w:tc>
          <w:tcPr>
            <w:tcW w:w="6625" w:type="dxa"/>
            <w:vAlign w:val="center"/>
          </w:tcPr>
          <w:p w14:paraId="3B9E290D">
            <w:pPr>
              <w:pStyle w:val="1343"/>
            </w:pPr>
            <w:r>
              <w:t>HJ 970-2018水质 石油类的测定 紫外分光光度法（试行）</w:t>
            </w:r>
          </w:p>
        </w:tc>
        <w:tc>
          <w:tcPr>
            <w:tcW w:w="0" w:type="auto"/>
            <w:vAlign w:val="center"/>
          </w:tcPr>
          <w:p w14:paraId="547DFCF0">
            <w:pPr>
              <w:pStyle w:val="1343"/>
              <w:rPr>
                <w:rFonts w:eastAsia="Times New Roman"/>
              </w:rPr>
            </w:pPr>
            <w:r>
              <w:t>0.01mg/L</w:t>
            </w:r>
          </w:p>
        </w:tc>
      </w:tr>
      <w:tr w14:paraId="695F9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Align w:val="center"/>
          </w:tcPr>
          <w:p w14:paraId="0F134D5A">
            <w:pPr>
              <w:pStyle w:val="1343"/>
            </w:pPr>
            <w:r>
              <w:rPr>
                <w:rFonts w:hint="eastAsia"/>
              </w:rPr>
              <w:t>悬浮物</w:t>
            </w:r>
          </w:p>
        </w:tc>
        <w:tc>
          <w:tcPr>
            <w:tcW w:w="6625" w:type="dxa"/>
            <w:vAlign w:val="center"/>
          </w:tcPr>
          <w:p w14:paraId="5F6B95AB">
            <w:pPr>
              <w:pStyle w:val="1343"/>
            </w:pPr>
            <w:r>
              <w:t>GB/T 11901-1989水质 悬浮物的测定 重量法</w:t>
            </w:r>
          </w:p>
        </w:tc>
        <w:tc>
          <w:tcPr>
            <w:tcW w:w="0" w:type="auto"/>
            <w:vAlign w:val="center"/>
          </w:tcPr>
          <w:p w14:paraId="6133C279">
            <w:pPr>
              <w:pStyle w:val="1343"/>
              <w:rPr>
                <w:rFonts w:eastAsia="Times New Roman"/>
                <w:color w:val="0000FF"/>
              </w:rPr>
            </w:pPr>
            <w:r>
              <w:t>4mg/L</w:t>
            </w:r>
          </w:p>
        </w:tc>
      </w:tr>
      <w:tr w14:paraId="13AFB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Align w:val="center"/>
          </w:tcPr>
          <w:p w14:paraId="08478CD1">
            <w:pPr>
              <w:pStyle w:val="1343"/>
            </w:pPr>
            <w:r>
              <w:t>BOD</w:t>
            </w:r>
            <w:r>
              <w:rPr>
                <w:vertAlign w:val="subscript"/>
              </w:rPr>
              <w:t>5</w:t>
            </w:r>
          </w:p>
        </w:tc>
        <w:tc>
          <w:tcPr>
            <w:tcW w:w="6625" w:type="dxa"/>
            <w:vAlign w:val="center"/>
          </w:tcPr>
          <w:p w14:paraId="09D8B13C">
            <w:pPr>
              <w:pStyle w:val="1343"/>
            </w:pPr>
            <w:r>
              <w:rPr>
                <w:rFonts w:hint="eastAsia"/>
              </w:rPr>
              <w:t>HJ505-2009水质 五日生化需氧量（</w:t>
            </w:r>
            <w:r>
              <w:t>BOD</w:t>
            </w:r>
            <w:r>
              <w:rPr>
                <w:vertAlign w:val="subscript"/>
              </w:rPr>
              <w:t>5</w:t>
            </w:r>
            <w:r>
              <w:rPr>
                <w:rFonts w:hint="eastAsia"/>
              </w:rPr>
              <w:t>）的测定 稀释与接种法</w:t>
            </w:r>
          </w:p>
        </w:tc>
        <w:tc>
          <w:tcPr>
            <w:tcW w:w="0" w:type="auto"/>
            <w:vAlign w:val="center"/>
          </w:tcPr>
          <w:p w14:paraId="58E4E4A0">
            <w:pPr>
              <w:pStyle w:val="1343"/>
              <w:rPr>
                <w:rFonts w:eastAsia="Times New Roman"/>
              </w:rPr>
            </w:pPr>
            <w:r>
              <w:t>0.5mg/L</w:t>
            </w:r>
          </w:p>
        </w:tc>
      </w:tr>
      <w:tr w14:paraId="2FF19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Align w:val="center"/>
          </w:tcPr>
          <w:p w14:paraId="75B0CAF0">
            <w:pPr>
              <w:pStyle w:val="1343"/>
            </w:pPr>
            <w:r>
              <w:rPr>
                <w:rFonts w:hint="eastAsia"/>
              </w:rPr>
              <w:t>挥发酚</w:t>
            </w:r>
          </w:p>
        </w:tc>
        <w:tc>
          <w:tcPr>
            <w:tcW w:w="6625" w:type="dxa"/>
            <w:vAlign w:val="center"/>
          </w:tcPr>
          <w:p w14:paraId="24F779BF">
            <w:pPr>
              <w:pStyle w:val="1343"/>
            </w:pPr>
            <w:r>
              <w:rPr>
                <w:rFonts w:hint="eastAsia"/>
              </w:rPr>
              <w:t>HJ503-2009水质 挥发酚的测定4-氨基安替比林分光光度法（萃取分光光度法）</w:t>
            </w:r>
          </w:p>
        </w:tc>
        <w:tc>
          <w:tcPr>
            <w:tcW w:w="0" w:type="auto"/>
            <w:vAlign w:val="center"/>
          </w:tcPr>
          <w:p w14:paraId="62BFFDF9">
            <w:pPr>
              <w:pStyle w:val="1343"/>
            </w:pPr>
            <w:r>
              <w:rPr>
                <w:rFonts w:hint="eastAsia"/>
              </w:rPr>
              <w:t>0.0003</w:t>
            </w:r>
            <w:r>
              <w:t>mg/L</w:t>
            </w:r>
          </w:p>
        </w:tc>
      </w:tr>
      <w:tr w14:paraId="005EC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Align w:val="center"/>
          </w:tcPr>
          <w:p w14:paraId="495A44A9">
            <w:pPr>
              <w:pStyle w:val="1343"/>
            </w:pPr>
            <w:r>
              <w:rPr>
                <w:rFonts w:hint="eastAsia"/>
              </w:rPr>
              <w:t>粪大肠菌群</w:t>
            </w:r>
          </w:p>
        </w:tc>
        <w:tc>
          <w:tcPr>
            <w:tcW w:w="6625" w:type="dxa"/>
            <w:vAlign w:val="center"/>
          </w:tcPr>
          <w:p w14:paraId="39BFF729">
            <w:pPr>
              <w:pStyle w:val="1343"/>
            </w:pPr>
            <w:r>
              <w:rPr>
                <w:rFonts w:hint="eastAsia"/>
              </w:rPr>
              <w:t>HJ347.2-2018水质 粪大肠菌群的测定 多管发酵法</w:t>
            </w:r>
          </w:p>
        </w:tc>
        <w:tc>
          <w:tcPr>
            <w:tcW w:w="0" w:type="auto"/>
            <w:vAlign w:val="center"/>
          </w:tcPr>
          <w:p w14:paraId="0DE81191">
            <w:pPr>
              <w:pStyle w:val="1343"/>
            </w:pPr>
            <w:r>
              <w:rPr>
                <w:rFonts w:hint="eastAsia"/>
              </w:rPr>
              <w:t>20MPN/L</w:t>
            </w:r>
          </w:p>
        </w:tc>
      </w:tr>
    </w:tbl>
    <w:p w14:paraId="59C93E14">
      <w:pPr>
        <w:pStyle w:val="234"/>
        <w:spacing w:before="120" w:beforeLines="50"/>
        <w:ind w:firstLine="482"/>
        <w:rPr>
          <w:b/>
          <w:bCs/>
        </w:rPr>
      </w:pPr>
      <w:r>
        <w:rPr>
          <w:b/>
          <w:bCs/>
        </w:rPr>
        <w:t>（5）评价方法</w:t>
      </w:r>
    </w:p>
    <w:p w14:paraId="7F56A749">
      <w:pPr>
        <w:pStyle w:val="234"/>
      </w:pPr>
      <w:r>
        <w:t>采用单因子指数法进行评价。</w:t>
      </w:r>
    </w:p>
    <w:p w14:paraId="0B584BBE">
      <w:pPr>
        <w:pStyle w:val="234"/>
      </w:pPr>
      <w:r>
        <w:rPr>
          <w:rFonts w:hint="eastAsia" w:ascii="宋体" w:hAnsi="宋体" w:cs="宋体"/>
        </w:rPr>
        <w:t>①</w:t>
      </w:r>
      <w:r>
        <w:t>一般水质因子的计算公式为：</w:t>
      </w:r>
    </w:p>
    <w:p w14:paraId="67166430">
      <w:pPr>
        <w:pStyle w:val="234"/>
        <w:jc w:val="center"/>
      </w:pPr>
      <w:r>
        <w:t>S</w:t>
      </w:r>
      <w:r>
        <w:rPr>
          <w:vertAlign w:val="subscript"/>
        </w:rPr>
        <w:t>i</w:t>
      </w:r>
      <w:r>
        <w:rPr>
          <w:rFonts w:hint="eastAsia"/>
          <w:vertAlign w:val="subscript"/>
        </w:rPr>
        <w:t>,</w:t>
      </w:r>
      <w:r>
        <w:rPr>
          <w:vertAlign w:val="subscript"/>
        </w:rPr>
        <w:t>j</w:t>
      </w:r>
      <w:r>
        <w:t>= C</w:t>
      </w:r>
      <w:r>
        <w:rPr>
          <w:vertAlign w:val="subscript"/>
        </w:rPr>
        <w:t>i</w:t>
      </w:r>
      <w:r>
        <w:rPr>
          <w:rFonts w:hint="eastAsia"/>
          <w:vertAlign w:val="subscript"/>
        </w:rPr>
        <w:t>,</w:t>
      </w:r>
      <w:r>
        <w:rPr>
          <w:vertAlign w:val="subscript"/>
        </w:rPr>
        <w:t>j</w:t>
      </w:r>
      <w:r>
        <w:t>/C</w:t>
      </w:r>
      <w:r>
        <w:rPr>
          <w:vertAlign w:val="subscript"/>
        </w:rPr>
        <w:t>si</w:t>
      </w:r>
    </w:p>
    <w:p w14:paraId="35EEF0B8">
      <w:pPr>
        <w:pStyle w:val="234"/>
      </w:pPr>
      <w:r>
        <w:t>式中：S</w:t>
      </w:r>
      <w:r>
        <w:rPr>
          <w:vertAlign w:val="subscript"/>
        </w:rPr>
        <w:t>i</w:t>
      </w:r>
      <w:r>
        <w:rPr>
          <w:rFonts w:hint="eastAsia"/>
          <w:vertAlign w:val="subscript"/>
        </w:rPr>
        <w:t>,</w:t>
      </w:r>
      <w:r>
        <w:rPr>
          <w:vertAlign w:val="subscript"/>
        </w:rPr>
        <w:t>j</w:t>
      </w:r>
      <w:r>
        <w:t>—</w:t>
      </w:r>
      <w:r>
        <w:rPr>
          <w:rFonts w:hint="eastAsia"/>
        </w:rPr>
        <w:t>评价因子i的水质指数，大于1表明该水质因子超标</w:t>
      </w:r>
      <w:r>
        <w:t>；</w:t>
      </w:r>
    </w:p>
    <w:p w14:paraId="717B86CD">
      <w:pPr>
        <w:pStyle w:val="234"/>
      </w:pPr>
      <w:r>
        <w:t>C</w:t>
      </w:r>
      <w:r>
        <w:rPr>
          <w:vertAlign w:val="subscript"/>
        </w:rPr>
        <w:t>i</w:t>
      </w:r>
      <w:r>
        <w:rPr>
          <w:rFonts w:hint="eastAsia"/>
          <w:vertAlign w:val="subscript"/>
        </w:rPr>
        <w:t>,</w:t>
      </w:r>
      <w:r>
        <w:rPr>
          <w:vertAlign w:val="subscript"/>
        </w:rPr>
        <w:t>j</w:t>
      </w:r>
      <w:r>
        <w:t>—</w:t>
      </w:r>
      <w:r>
        <w:rPr>
          <w:rFonts w:hint="eastAsia"/>
        </w:rPr>
        <w:t>评价因子i在j点</w:t>
      </w:r>
      <w:r>
        <w:t>的实测</w:t>
      </w:r>
      <w:r>
        <w:rPr>
          <w:rFonts w:hint="eastAsia"/>
        </w:rPr>
        <w:t>统计代表值</w:t>
      </w:r>
      <w:r>
        <w:t>，mg/L；</w:t>
      </w:r>
    </w:p>
    <w:p w14:paraId="442719C2">
      <w:pPr>
        <w:pStyle w:val="234"/>
      </w:pPr>
      <w:r>
        <w:t>C</w:t>
      </w:r>
      <w:r>
        <w:rPr>
          <w:vertAlign w:val="subscript"/>
        </w:rPr>
        <w:t>si</w:t>
      </w:r>
      <w:r>
        <w:t>—</w:t>
      </w:r>
      <w:r>
        <w:rPr>
          <w:rFonts w:hint="eastAsia"/>
        </w:rPr>
        <w:t>评价因子i的水质评价标准限值</w:t>
      </w:r>
      <w:r>
        <w:t>，mg/L。</w:t>
      </w:r>
    </w:p>
    <w:p w14:paraId="4E52386A">
      <w:pPr>
        <w:pStyle w:val="234"/>
        <w:rPr>
          <w:kern w:val="0"/>
        </w:rPr>
      </w:pPr>
      <w:r>
        <w:rPr>
          <w:rFonts w:hint="eastAsia" w:ascii="宋体" w:hAnsi="宋体" w:cs="宋体"/>
        </w:rPr>
        <w:t>②</w:t>
      </w:r>
      <w:r>
        <w:t>对于</w:t>
      </w:r>
      <w:r>
        <w:rPr>
          <w:spacing w:val="-61"/>
        </w:rPr>
        <w:t xml:space="preserve"> </w:t>
      </w:r>
      <w:r>
        <w:t>pH，单项标准指数计算公式为：</w:t>
      </w:r>
    </w:p>
    <w:p w14:paraId="09E3124A">
      <w:pPr>
        <w:pStyle w:val="234"/>
        <w:jc w:val="center"/>
      </w:pPr>
      <w:r>
        <w:t>S</w:t>
      </w:r>
      <w:r>
        <w:rPr>
          <w:vertAlign w:val="subscript"/>
        </w:rPr>
        <w:t>pH</w:t>
      </w:r>
      <w:r>
        <w:rPr>
          <w:rFonts w:hint="eastAsia"/>
          <w:vertAlign w:val="subscript"/>
        </w:rPr>
        <w:t>,</w:t>
      </w:r>
      <w:r>
        <w:rPr>
          <w:vertAlign w:val="subscript"/>
        </w:rPr>
        <w:t>j</w:t>
      </w:r>
      <w:r>
        <w:t>=(7.0-</w:t>
      </w:r>
      <w:r>
        <w:rPr>
          <w:rFonts w:hint="eastAsia"/>
        </w:rPr>
        <w:t>p</w:t>
      </w:r>
      <w:r>
        <w:t>H</w:t>
      </w:r>
      <w:r>
        <w:rPr>
          <w:vertAlign w:val="subscript"/>
        </w:rPr>
        <w:t>j</w:t>
      </w:r>
      <w:r>
        <w:t>)/(7.0-pH</w:t>
      </w:r>
      <w:r>
        <w:rPr>
          <w:vertAlign w:val="subscript"/>
        </w:rPr>
        <w:t>sd</w:t>
      </w:r>
      <w:r>
        <w:t>)   当≤7.0时；</w:t>
      </w:r>
    </w:p>
    <w:p w14:paraId="5DD52E4C">
      <w:pPr>
        <w:pStyle w:val="234"/>
        <w:jc w:val="center"/>
      </w:pPr>
      <w:r>
        <w:t>S</w:t>
      </w:r>
      <w:r>
        <w:rPr>
          <w:vertAlign w:val="subscript"/>
        </w:rPr>
        <w:t>pH</w:t>
      </w:r>
      <w:r>
        <w:rPr>
          <w:rFonts w:hint="eastAsia"/>
          <w:vertAlign w:val="subscript"/>
        </w:rPr>
        <w:t>,</w:t>
      </w:r>
      <w:r>
        <w:rPr>
          <w:vertAlign w:val="subscript"/>
        </w:rPr>
        <w:t>j</w:t>
      </w:r>
      <w:r>
        <w:t>=(</w:t>
      </w:r>
      <w:r>
        <w:rPr>
          <w:rFonts w:hint="eastAsia"/>
        </w:rPr>
        <w:t>p</w:t>
      </w:r>
      <w:r>
        <w:t>H</w:t>
      </w:r>
      <w:r>
        <w:rPr>
          <w:vertAlign w:val="subscript"/>
        </w:rPr>
        <w:t>j</w:t>
      </w:r>
      <w:r>
        <w:t>-7.0)/(pH</w:t>
      </w:r>
      <w:r>
        <w:rPr>
          <w:vertAlign w:val="subscript"/>
        </w:rPr>
        <w:t>su</w:t>
      </w:r>
      <w:r>
        <w:t>-7.0)    当＞7.0 时。</w:t>
      </w:r>
    </w:p>
    <w:p w14:paraId="30819132">
      <w:pPr>
        <w:pStyle w:val="234"/>
      </w:pPr>
      <w:r>
        <w:t>式中：S</w:t>
      </w:r>
      <w:r>
        <w:rPr>
          <w:vertAlign w:val="subscript"/>
        </w:rPr>
        <w:t>pH</w:t>
      </w:r>
      <w:r>
        <w:rPr>
          <w:rFonts w:hint="eastAsia"/>
          <w:vertAlign w:val="subscript"/>
        </w:rPr>
        <w:t>,</w:t>
      </w:r>
      <w:r>
        <w:rPr>
          <w:vertAlign w:val="subscript"/>
        </w:rPr>
        <w:t>j</w:t>
      </w:r>
      <w:r>
        <w:t>—pH</w:t>
      </w:r>
      <w:r>
        <w:rPr>
          <w:rFonts w:hint="eastAsia"/>
        </w:rPr>
        <w:t>值的指数，大于1表明该水质因子超标</w:t>
      </w:r>
      <w:r>
        <w:t>；</w:t>
      </w:r>
    </w:p>
    <w:p w14:paraId="437390C3">
      <w:pPr>
        <w:pStyle w:val="234"/>
        <w:ind w:firstLine="1200" w:firstLineChars="500"/>
      </w:pPr>
      <w:r>
        <w:rPr>
          <w:rFonts w:hint="eastAsia"/>
        </w:rPr>
        <w:t>p</w:t>
      </w:r>
      <w:r>
        <w:t>H</w:t>
      </w:r>
      <w:r>
        <w:rPr>
          <w:vertAlign w:val="subscript"/>
        </w:rPr>
        <w:t>j</w:t>
      </w:r>
      <w:r>
        <w:t>—pH实测</w:t>
      </w:r>
      <w:r>
        <w:rPr>
          <w:rFonts w:hint="eastAsia"/>
        </w:rPr>
        <w:t>统计代表</w:t>
      </w:r>
      <w:r>
        <w:t>值；</w:t>
      </w:r>
    </w:p>
    <w:p w14:paraId="36E4DE10">
      <w:pPr>
        <w:pStyle w:val="234"/>
        <w:ind w:firstLine="1200" w:firstLineChars="500"/>
      </w:pPr>
      <w:r>
        <w:t>pH</w:t>
      </w:r>
      <w:r>
        <w:rPr>
          <w:vertAlign w:val="subscript"/>
        </w:rPr>
        <w:t>sd</w:t>
      </w:r>
      <w:r>
        <w:t>—标准中pH的下限值；</w:t>
      </w:r>
    </w:p>
    <w:p w14:paraId="75B76BF3">
      <w:pPr>
        <w:pStyle w:val="234"/>
        <w:ind w:firstLine="1200" w:firstLineChars="500"/>
      </w:pPr>
      <w:r>
        <w:t>pH</w:t>
      </w:r>
      <w:r>
        <w:rPr>
          <w:vertAlign w:val="subscript"/>
        </w:rPr>
        <w:t>su</w:t>
      </w:r>
      <w:r>
        <w:t>—标准中pH的上限值。</w:t>
      </w:r>
    </w:p>
    <w:p w14:paraId="1A2A9584">
      <w:pPr>
        <w:pStyle w:val="234"/>
        <w:ind w:firstLine="482"/>
        <w:rPr>
          <w:b/>
          <w:bCs/>
        </w:rPr>
      </w:pPr>
      <w:r>
        <w:rPr>
          <w:b/>
          <w:bCs/>
        </w:rPr>
        <w:t>（6）评价结果</w:t>
      </w:r>
    </w:p>
    <w:p w14:paraId="7252184F">
      <w:pPr>
        <w:pStyle w:val="234"/>
      </w:pPr>
      <w:r>
        <w:t>本次环境监测期间地表水环境现状监测结果见4.2</w:t>
      </w:r>
      <w:r>
        <w:rPr>
          <w:rFonts w:hint="eastAsia"/>
        </w:rPr>
        <w:t>-9</w:t>
      </w:r>
      <w:r>
        <w:t>，地表水环境质量现状评价结果见</w:t>
      </w:r>
      <w:r>
        <w:rPr>
          <w:rFonts w:hint="eastAsia"/>
        </w:rPr>
        <w:t>表4</w:t>
      </w:r>
      <w:r>
        <w:t>.2</w:t>
      </w:r>
      <w:r>
        <w:rPr>
          <w:rFonts w:hint="eastAsia"/>
        </w:rPr>
        <w:t>-</w:t>
      </w:r>
      <w:r>
        <w:t>1</w:t>
      </w:r>
      <w:r>
        <w:rPr>
          <w:rFonts w:hint="eastAsia"/>
        </w:rPr>
        <w:t>0。</w:t>
      </w:r>
    </w:p>
    <w:p w14:paraId="3AFD1E4C">
      <w:pPr>
        <w:pStyle w:val="904"/>
        <w:rPr>
          <w:rFonts w:hint="eastAsia"/>
        </w:rPr>
      </w:pPr>
      <w:bookmarkStart w:id="173" w:name="表4.2-10__监测期间水文参数一览表"/>
      <w:bookmarkEnd w:id="173"/>
    </w:p>
    <w:p w14:paraId="08BD5E4E">
      <w:pPr>
        <w:pStyle w:val="904"/>
      </w:pPr>
      <w:r>
        <w:rPr>
          <w:rFonts w:hint="eastAsia"/>
        </w:rPr>
        <w:t>表</w:t>
      </w:r>
      <w:r>
        <w:t>4.2</w:t>
      </w:r>
      <w:r>
        <w:rPr>
          <w:rFonts w:hint="eastAsia"/>
        </w:rPr>
        <w:t xml:space="preserve">-9 </w:t>
      </w:r>
      <w:r>
        <w:t>地表水监测结果一览表(mg/L，pH无量纲）</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914"/>
        <w:gridCol w:w="859"/>
        <w:gridCol w:w="1143"/>
        <w:gridCol w:w="1143"/>
        <w:gridCol w:w="951"/>
        <w:gridCol w:w="818"/>
        <w:gridCol w:w="1337"/>
        <w:gridCol w:w="1334"/>
      </w:tblGrid>
      <w:tr w14:paraId="0A64A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Align w:val="center"/>
          </w:tcPr>
          <w:p w14:paraId="2D9F8EDB">
            <w:pPr>
              <w:pStyle w:val="1343"/>
            </w:pPr>
            <w:bookmarkStart w:id="174" w:name="_Ref76996667"/>
            <w:r>
              <w:t>监测点位</w:t>
            </w:r>
          </w:p>
        </w:tc>
        <w:tc>
          <w:tcPr>
            <w:tcW w:w="476" w:type="pct"/>
            <w:vAlign w:val="center"/>
          </w:tcPr>
          <w:p w14:paraId="38C3F6B1">
            <w:pPr>
              <w:pStyle w:val="1343"/>
            </w:pPr>
            <w:r>
              <w:t>采样</w:t>
            </w:r>
          </w:p>
          <w:p w14:paraId="79D807BB">
            <w:pPr>
              <w:pStyle w:val="1343"/>
            </w:pPr>
            <w:r>
              <w:t>时间</w:t>
            </w:r>
          </w:p>
        </w:tc>
        <w:tc>
          <w:tcPr>
            <w:tcW w:w="448" w:type="pct"/>
            <w:vAlign w:val="center"/>
          </w:tcPr>
          <w:p w14:paraId="3720F377">
            <w:pPr>
              <w:pStyle w:val="1343"/>
            </w:pPr>
            <w:r>
              <w:t>pH值</w:t>
            </w:r>
          </w:p>
        </w:tc>
        <w:tc>
          <w:tcPr>
            <w:tcW w:w="596" w:type="pct"/>
            <w:vAlign w:val="center"/>
          </w:tcPr>
          <w:p w14:paraId="013C543E">
            <w:pPr>
              <w:pStyle w:val="1343"/>
            </w:pPr>
            <w:r>
              <w:t>COD</w:t>
            </w:r>
          </w:p>
        </w:tc>
        <w:tc>
          <w:tcPr>
            <w:tcW w:w="596" w:type="pct"/>
            <w:vAlign w:val="center"/>
          </w:tcPr>
          <w:p w14:paraId="6AB1EB8E">
            <w:pPr>
              <w:pStyle w:val="1343"/>
            </w:pPr>
            <w:r>
              <w:t>BOD</w:t>
            </w:r>
            <w:r>
              <w:rPr>
                <w:vertAlign w:val="subscript"/>
              </w:rPr>
              <w:t>5</w:t>
            </w:r>
          </w:p>
        </w:tc>
        <w:tc>
          <w:tcPr>
            <w:tcW w:w="496" w:type="pct"/>
            <w:vAlign w:val="center"/>
          </w:tcPr>
          <w:p w14:paraId="6B240570">
            <w:pPr>
              <w:pStyle w:val="1343"/>
            </w:pPr>
            <w:r>
              <w:t>石油类</w:t>
            </w:r>
          </w:p>
        </w:tc>
        <w:tc>
          <w:tcPr>
            <w:tcW w:w="427" w:type="pct"/>
            <w:vAlign w:val="center"/>
          </w:tcPr>
          <w:p w14:paraId="2148908B">
            <w:pPr>
              <w:pStyle w:val="1343"/>
            </w:pPr>
            <w:r>
              <w:t>SS</w:t>
            </w:r>
          </w:p>
        </w:tc>
        <w:tc>
          <w:tcPr>
            <w:tcW w:w="696" w:type="pct"/>
            <w:vAlign w:val="center"/>
          </w:tcPr>
          <w:p w14:paraId="297F4504">
            <w:pPr>
              <w:pStyle w:val="1343"/>
            </w:pPr>
            <w:r>
              <w:rPr>
                <w:rFonts w:hint="eastAsia"/>
              </w:rPr>
              <w:t>挥发酚</w:t>
            </w:r>
          </w:p>
        </w:tc>
        <w:tc>
          <w:tcPr>
            <w:tcW w:w="695" w:type="pct"/>
            <w:vAlign w:val="center"/>
          </w:tcPr>
          <w:p w14:paraId="5321D28F">
            <w:pPr>
              <w:pStyle w:val="1343"/>
            </w:pPr>
            <w:r>
              <w:rPr>
                <w:rFonts w:hint="eastAsia"/>
              </w:rPr>
              <w:t>粪大肠菌群</w:t>
            </w:r>
          </w:p>
        </w:tc>
      </w:tr>
      <w:tr w14:paraId="6956A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restart"/>
            <w:vAlign w:val="center"/>
          </w:tcPr>
          <w:p w14:paraId="42E7D14A">
            <w:pPr>
              <w:pStyle w:val="1343"/>
            </w:pPr>
            <w:r>
              <w:t>W1</w:t>
            </w:r>
            <w:r>
              <w:rPr>
                <w:rFonts w:hint="eastAsia"/>
              </w:rPr>
              <w:t>管线附近坑塘</w:t>
            </w:r>
          </w:p>
        </w:tc>
        <w:tc>
          <w:tcPr>
            <w:tcW w:w="476" w:type="pct"/>
            <w:vAlign w:val="center"/>
          </w:tcPr>
          <w:p w14:paraId="30A14E65">
            <w:pPr>
              <w:pStyle w:val="1343"/>
            </w:pPr>
            <w:r>
              <w:rPr>
                <w:rFonts w:hint="eastAsia"/>
              </w:rPr>
              <w:t>8.11</w:t>
            </w:r>
          </w:p>
        </w:tc>
        <w:tc>
          <w:tcPr>
            <w:tcW w:w="448" w:type="pct"/>
            <w:vAlign w:val="center"/>
          </w:tcPr>
          <w:p w14:paraId="41645E5D">
            <w:pPr>
              <w:pStyle w:val="1343"/>
            </w:pPr>
            <w:r>
              <w:rPr>
                <w:rFonts w:hint="eastAsia"/>
              </w:rPr>
              <w:t>6.9</w:t>
            </w:r>
          </w:p>
        </w:tc>
        <w:tc>
          <w:tcPr>
            <w:tcW w:w="596" w:type="pct"/>
            <w:vAlign w:val="center"/>
          </w:tcPr>
          <w:p w14:paraId="688AE78F">
            <w:pPr>
              <w:pStyle w:val="1343"/>
            </w:pPr>
            <w:r>
              <w:rPr>
                <w:rFonts w:hint="eastAsia"/>
              </w:rPr>
              <w:t>8</w:t>
            </w:r>
          </w:p>
        </w:tc>
        <w:tc>
          <w:tcPr>
            <w:tcW w:w="596" w:type="pct"/>
            <w:vAlign w:val="center"/>
          </w:tcPr>
          <w:p w14:paraId="4ADD5278">
            <w:pPr>
              <w:pStyle w:val="1343"/>
            </w:pPr>
            <w:r>
              <w:rPr>
                <w:rFonts w:hint="eastAsia"/>
              </w:rPr>
              <w:t>1.4</w:t>
            </w:r>
          </w:p>
        </w:tc>
        <w:tc>
          <w:tcPr>
            <w:tcW w:w="496" w:type="pct"/>
            <w:vAlign w:val="center"/>
          </w:tcPr>
          <w:p w14:paraId="689B38B2">
            <w:pPr>
              <w:pStyle w:val="1343"/>
            </w:pPr>
            <w:r>
              <w:rPr>
                <w:rFonts w:hint="eastAsia"/>
              </w:rPr>
              <w:t>0.01L</w:t>
            </w:r>
          </w:p>
        </w:tc>
        <w:tc>
          <w:tcPr>
            <w:tcW w:w="427" w:type="pct"/>
            <w:vAlign w:val="center"/>
          </w:tcPr>
          <w:p w14:paraId="01AEF3C9">
            <w:pPr>
              <w:pStyle w:val="1343"/>
            </w:pPr>
            <w:r>
              <w:rPr>
                <w:rFonts w:hint="eastAsia"/>
              </w:rPr>
              <w:t>10</w:t>
            </w:r>
          </w:p>
        </w:tc>
        <w:tc>
          <w:tcPr>
            <w:tcW w:w="696" w:type="pct"/>
            <w:vAlign w:val="center"/>
          </w:tcPr>
          <w:p w14:paraId="6A51C653">
            <w:pPr>
              <w:pStyle w:val="1343"/>
            </w:pPr>
            <w:r>
              <w:rPr>
                <w:rFonts w:hint="eastAsia"/>
              </w:rPr>
              <w:t>0.0003L</w:t>
            </w:r>
          </w:p>
        </w:tc>
        <w:tc>
          <w:tcPr>
            <w:tcW w:w="695" w:type="pct"/>
            <w:vAlign w:val="center"/>
          </w:tcPr>
          <w:p w14:paraId="6864C169">
            <w:pPr>
              <w:pStyle w:val="1343"/>
            </w:pPr>
            <w:r>
              <w:rPr>
                <w:rFonts w:hint="eastAsia"/>
              </w:rPr>
              <w:t>110</w:t>
            </w:r>
          </w:p>
        </w:tc>
      </w:tr>
      <w:tr w14:paraId="13809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6A33050F">
            <w:pPr>
              <w:pStyle w:val="1343"/>
            </w:pPr>
          </w:p>
        </w:tc>
        <w:tc>
          <w:tcPr>
            <w:tcW w:w="476" w:type="pct"/>
            <w:vAlign w:val="center"/>
          </w:tcPr>
          <w:p w14:paraId="2E5810B2">
            <w:pPr>
              <w:pStyle w:val="1343"/>
            </w:pPr>
            <w:r>
              <w:rPr>
                <w:rFonts w:hint="eastAsia"/>
              </w:rPr>
              <w:t>8.12</w:t>
            </w:r>
          </w:p>
        </w:tc>
        <w:tc>
          <w:tcPr>
            <w:tcW w:w="448" w:type="pct"/>
            <w:vAlign w:val="center"/>
          </w:tcPr>
          <w:p w14:paraId="4FBA49D0">
            <w:pPr>
              <w:pStyle w:val="1343"/>
            </w:pPr>
            <w:r>
              <w:rPr>
                <w:rFonts w:hint="eastAsia"/>
              </w:rPr>
              <w:t>6.8</w:t>
            </w:r>
          </w:p>
        </w:tc>
        <w:tc>
          <w:tcPr>
            <w:tcW w:w="596" w:type="pct"/>
            <w:vAlign w:val="center"/>
          </w:tcPr>
          <w:p w14:paraId="23CBEBC0">
            <w:pPr>
              <w:pStyle w:val="1343"/>
            </w:pPr>
            <w:r>
              <w:rPr>
                <w:rFonts w:hint="eastAsia"/>
              </w:rPr>
              <w:t>12</w:t>
            </w:r>
          </w:p>
        </w:tc>
        <w:tc>
          <w:tcPr>
            <w:tcW w:w="596" w:type="pct"/>
            <w:vAlign w:val="center"/>
          </w:tcPr>
          <w:p w14:paraId="0AD3900D">
            <w:pPr>
              <w:pStyle w:val="1343"/>
            </w:pPr>
            <w:r>
              <w:rPr>
                <w:rFonts w:hint="eastAsia"/>
              </w:rPr>
              <w:t>1.1</w:t>
            </w:r>
          </w:p>
        </w:tc>
        <w:tc>
          <w:tcPr>
            <w:tcW w:w="496" w:type="pct"/>
            <w:vAlign w:val="center"/>
          </w:tcPr>
          <w:p w14:paraId="52336F1A">
            <w:pPr>
              <w:pStyle w:val="1343"/>
            </w:pPr>
            <w:r>
              <w:rPr>
                <w:rFonts w:hint="eastAsia"/>
              </w:rPr>
              <w:t>0.01L</w:t>
            </w:r>
          </w:p>
        </w:tc>
        <w:tc>
          <w:tcPr>
            <w:tcW w:w="427" w:type="pct"/>
            <w:vAlign w:val="center"/>
          </w:tcPr>
          <w:p w14:paraId="0774A362">
            <w:pPr>
              <w:pStyle w:val="1343"/>
            </w:pPr>
            <w:r>
              <w:rPr>
                <w:rFonts w:hint="eastAsia"/>
              </w:rPr>
              <w:t>9</w:t>
            </w:r>
          </w:p>
        </w:tc>
        <w:tc>
          <w:tcPr>
            <w:tcW w:w="696" w:type="pct"/>
            <w:vAlign w:val="center"/>
          </w:tcPr>
          <w:p w14:paraId="34006426">
            <w:pPr>
              <w:pStyle w:val="1343"/>
            </w:pPr>
            <w:r>
              <w:rPr>
                <w:rFonts w:hint="eastAsia"/>
              </w:rPr>
              <w:t>0.0003L</w:t>
            </w:r>
          </w:p>
        </w:tc>
        <w:tc>
          <w:tcPr>
            <w:tcW w:w="695" w:type="pct"/>
            <w:vAlign w:val="center"/>
          </w:tcPr>
          <w:p w14:paraId="7A7EE2B6">
            <w:pPr>
              <w:pStyle w:val="1343"/>
            </w:pPr>
            <w:r>
              <w:rPr>
                <w:rFonts w:hint="eastAsia"/>
              </w:rPr>
              <w:t>170</w:t>
            </w:r>
          </w:p>
        </w:tc>
      </w:tr>
      <w:tr w14:paraId="7D3CB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vAlign w:val="center"/>
          </w:tcPr>
          <w:p w14:paraId="185E8664">
            <w:pPr>
              <w:pStyle w:val="1343"/>
            </w:pPr>
          </w:p>
        </w:tc>
        <w:tc>
          <w:tcPr>
            <w:tcW w:w="476" w:type="pct"/>
            <w:vAlign w:val="center"/>
          </w:tcPr>
          <w:p w14:paraId="27643AF6">
            <w:pPr>
              <w:pStyle w:val="1343"/>
              <w:rPr>
                <w:i/>
                <w:iCs/>
                <w:color w:val="auto"/>
                <w:u w:val="single"/>
              </w:rPr>
            </w:pPr>
            <w:r>
              <w:rPr>
                <w:rFonts w:hint="eastAsia"/>
                <w:i/>
                <w:iCs/>
                <w:color w:val="auto"/>
                <w:u w:val="single"/>
              </w:rPr>
              <w:t>执行</w:t>
            </w:r>
          </w:p>
          <w:p w14:paraId="5370CAE3">
            <w:pPr>
              <w:pStyle w:val="1343"/>
              <w:rPr>
                <w:i/>
                <w:iCs/>
                <w:color w:val="auto"/>
                <w:u w:val="single"/>
              </w:rPr>
            </w:pPr>
            <w:r>
              <w:rPr>
                <w:rFonts w:hint="eastAsia"/>
                <w:i/>
                <w:iCs/>
                <w:color w:val="auto"/>
                <w:u w:val="single"/>
              </w:rPr>
              <w:t>标准</w:t>
            </w:r>
          </w:p>
        </w:tc>
        <w:tc>
          <w:tcPr>
            <w:tcW w:w="448" w:type="pct"/>
            <w:vAlign w:val="center"/>
          </w:tcPr>
          <w:p w14:paraId="729B3844">
            <w:pPr>
              <w:pStyle w:val="1343"/>
              <w:rPr>
                <w:i/>
                <w:iCs/>
                <w:color w:val="auto"/>
                <w:u w:val="single"/>
              </w:rPr>
            </w:pPr>
            <w:r>
              <w:rPr>
                <w:rFonts w:hint="eastAsia"/>
                <w:i/>
                <w:iCs/>
                <w:color w:val="auto"/>
                <w:u w:val="single"/>
              </w:rPr>
              <w:t>6~9</w:t>
            </w:r>
          </w:p>
        </w:tc>
        <w:tc>
          <w:tcPr>
            <w:tcW w:w="596" w:type="pct"/>
            <w:vAlign w:val="center"/>
          </w:tcPr>
          <w:p w14:paraId="34B7EC51">
            <w:pPr>
              <w:pStyle w:val="1343"/>
              <w:rPr>
                <w:rFonts w:hint="default" w:eastAsia="宋体"/>
                <w:i/>
                <w:iCs/>
                <w:color w:val="auto"/>
                <w:u w:val="single"/>
                <w:lang w:val="en-US" w:eastAsia="zh-CN"/>
              </w:rPr>
            </w:pPr>
            <w:r>
              <w:rPr>
                <w:rFonts w:hint="eastAsia"/>
                <w:i/>
                <w:iCs/>
                <w:color w:val="auto"/>
                <w:u w:val="single"/>
                <w:lang w:val="en-US" w:eastAsia="zh-CN"/>
              </w:rPr>
              <w:t>20</w:t>
            </w:r>
          </w:p>
        </w:tc>
        <w:tc>
          <w:tcPr>
            <w:tcW w:w="596" w:type="pct"/>
            <w:vAlign w:val="center"/>
          </w:tcPr>
          <w:p w14:paraId="5D949399">
            <w:pPr>
              <w:pStyle w:val="1343"/>
              <w:rPr>
                <w:rFonts w:hint="eastAsia" w:eastAsia="宋体"/>
                <w:i/>
                <w:iCs/>
                <w:color w:val="auto"/>
                <w:u w:val="single"/>
                <w:lang w:eastAsia="zh-CN"/>
              </w:rPr>
            </w:pPr>
            <w:r>
              <w:rPr>
                <w:rFonts w:hint="eastAsia"/>
                <w:i/>
                <w:iCs/>
                <w:color w:val="auto"/>
                <w:u w:val="single"/>
                <w:lang w:val="en-US" w:eastAsia="zh-CN"/>
              </w:rPr>
              <w:t>4</w:t>
            </w:r>
          </w:p>
        </w:tc>
        <w:tc>
          <w:tcPr>
            <w:tcW w:w="496" w:type="pct"/>
            <w:vAlign w:val="center"/>
          </w:tcPr>
          <w:p w14:paraId="1DE5D64C">
            <w:pPr>
              <w:pStyle w:val="1343"/>
              <w:rPr>
                <w:i/>
                <w:iCs/>
                <w:color w:val="auto"/>
                <w:u w:val="single"/>
              </w:rPr>
            </w:pPr>
            <w:r>
              <w:rPr>
                <w:rFonts w:hint="eastAsia"/>
                <w:i/>
                <w:iCs/>
                <w:color w:val="auto"/>
                <w:u w:val="single"/>
              </w:rPr>
              <w:t>0.</w:t>
            </w:r>
            <w:r>
              <w:rPr>
                <w:rFonts w:hint="eastAsia"/>
                <w:i/>
                <w:iCs/>
                <w:color w:val="auto"/>
                <w:u w:val="single"/>
                <w:lang w:val="en-US" w:eastAsia="zh-CN"/>
              </w:rPr>
              <w:t>0</w:t>
            </w:r>
            <w:r>
              <w:rPr>
                <w:rFonts w:hint="eastAsia"/>
                <w:i/>
                <w:iCs/>
                <w:color w:val="auto"/>
                <w:u w:val="single"/>
              </w:rPr>
              <w:t>5</w:t>
            </w:r>
          </w:p>
        </w:tc>
        <w:tc>
          <w:tcPr>
            <w:tcW w:w="427" w:type="pct"/>
            <w:vAlign w:val="center"/>
          </w:tcPr>
          <w:p w14:paraId="77C470D0">
            <w:pPr>
              <w:pStyle w:val="1343"/>
              <w:rPr>
                <w:i/>
                <w:iCs/>
                <w:color w:val="auto"/>
                <w:u w:val="single"/>
              </w:rPr>
            </w:pPr>
            <w:r>
              <w:rPr>
                <w:rFonts w:hint="eastAsia"/>
                <w:i/>
                <w:iCs/>
                <w:color w:val="auto"/>
                <w:u w:val="single"/>
              </w:rPr>
              <w:t>80</w:t>
            </w:r>
          </w:p>
        </w:tc>
        <w:tc>
          <w:tcPr>
            <w:tcW w:w="696" w:type="pct"/>
            <w:vAlign w:val="center"/>
          </w:tcPr>
          <w:p w14:paraId="0667CBB2">
            <w:pPr>
              <w:pStyle w:val="1343"/>
              <w:rPr>
                <w:rFonts w:hint="default" w:eastAsia="宋体"/>
                <w:i/>
                <w:iCs/>
                <w:color w:val="auto"/>
                <w:u w:val="single"/>
                <w:lang w:val="en-US" w:eastAsia="zh-CN"/>
              </w:rPr>
            </w:pPr>
            <w:r>
              <w:rPr>
                <w:rFonts w:hint="eastAsia"/>
                <w:i/>
                <w:iCs/>
                <w:color w:val="auto"/>
                <w:u w:val="single"/>
              </w:rPr>
              <w:t>0.0</w:t>
            </w:r>
            <w:r>
              <w:rPr>
                <w:rFonts w:hint="eastAsia"/>
                <w:i/>
                <w:iCs/>
                <w:color w:val="auto"/>
                <w:u w:val="single"/>
                <w:lang w:val="en-US" w:eastAsia="zh-CN"/>
              </w:rPr>
              <w:t>05</w:t>
            </w:r>
          </w:p>
        </w:tc>
        <w:tc>
          <w:tcPr>
            <w:tcW w:w="695" w:type="pct"/>
            <w:vAlign w:val="center"/>
          </w:tcPr>
          <w:p w14:paraId="14EC8184">
            <w:pPr>
              <w:pStyle w:val="1343"/>
              <w:rPr>
                <w:i/>
                <w:iCs/>
                <w:color w:val="auto"/>
                <w:u w:val="single"/>
              </w:rPr>
            </w:pPr>
            <w:r>
              <w:rPr>
                <w:rFonts w:hint="eastAsia"/>
                <w:i/>
                <w:iCs/>
                <w:color w:val="auto"/>
                <w:u w:val="single"/>
                <w:lang w:val="en-US" w:eastAsia="zh-CN"/>
              </w:rPr>
              <w:t>1</w:t>
            </w:r>
            <w:r>
              <w:rPr>
                <w:rFonts w:hint="eastAsia"/>
                <w:i/>
                <w:iCs/>
                <w:color w:val="auto"/>
                <w:u w:val="single"/>
              </w:rPr>
              <w:t>0000</w:t>
            </w:r>
          </w:p>
        </w:tc>
      </w:tr>
    </w:tbl>
    <w:p w14:paraId="452BB254">
      <w:pPr>
        <w:pStyle w:val="904"/>
        <w:spacing w:before="120" w:beforeLines="50"/>
      </w:pPr>
      <w:r>
        <w:t xml:space="preserve">表 </w:t>
      </w:r>
      <w:r>
        <w:fldChar w:fldCharType="begin"/>
      </w:r>
      <w:r>
        <w:instrText xml:space="preserve"> STYLEREF 2 \s </w:instrText>
      </w:r>
      <w:r>
        <w:fldChar w:fldCharType="separate"/>
      </w:r>
      <w:r>
        <w:t>4.2</w:t>
      </w:r>
      <w:r>
        <w:fldChar w:fldCharType="end"/>
      </w:r>
      <w:r>
        <w:noBreakHyphen/>
      </w:r>
      <w:bookmarkEnd w:id="174"/>
      <w:r>
        <w:t>1</w:t>
      </w:r>
      <w:r>
        <w:rPr>
          <w:rFonts w:hint="eastAsia"/>
        </w:rPr>
        <w:t>0</w:t>
      </w:r>
      <w:r>
        <w:t>地表水环境质量现状</w:t>
      </w:r>
      <w:r>
        <w:rPr>
          <w:rFonts w:hint="eastAsia"/>
        </w:rPr>
        <w:t>评价</w:t>
      </w:r>
      <w:r>
        <w:t>标准指数一览表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28"/>
        <w:gridCol w:w="3279"/>
        <w:gridCol w:w="3279"/>
      </w:tblGrid>
      <w:tr w14:paraId="5CBB3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9" w:type="pct"/>
            <w:vMerge w:val="restart"/>
            <w:noWrap/>
            <w:vAlign w:val="center"/>
          </w:tcPr>
          <w:p w14:paraId="5D54E112">
            <w:pPr>
              <w:pStyle w:val="1352"/>
              <w:jc w:val="center"/>
              <w:rPr>
                <w:color w:val="auto"/>
              </w:rPr>
            </w:pPr>
            <w:bookmarkStart w:id="175" w:name="OLE_LINK2"/>
            <w:r>
              <w:rPr>
                <w:color w:val="auto"/>
              </w:rPr>
              <w:t>监测因子</w:t>
            </w:r>
          </w:p>
        </w:tc>
        <w:tc>
          <w:tcPr>
            <w:tcW w:w="3420" w:type="pct"/>
            <w:gridSpan w:val="2"/>
            <w:noWrap/>
            <w:vAlign w:val="center"/>
          </w:tcPr>
          <w:p w14:paraId="21D7B301">
            <w:pPr>
              <w:pStyle w:val="1352"/>
              <w:jc w:val="center"/>
              <w:rPr>
                <w:color w:val="auto"/>
              </w:rPr>
            </w:pPr>
            <w:r>
              <w:rPr>
                <w:color w:val="auto"/>
              </w:rPr>
              <w:t>W1</w:t>
            </w:r>
            <w:r>
              <w:rPr>
                <w:rFonts w:hint="eastAsia"/>
                <w:color w:val="auto"/>
              </w:rPr>
              <w:t>管线附近坑塘</w:t>
            </w:r>
          </w:p>
        </w:tc>
      </w:tr>
      <w:tr w14:paraId="56E9B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9" w:type="pct"/>
            <w:vMerge w:val="continue"/>
            <w:noWrap/>
            <w:vAlign w:val="center"/>
          </w:tcPr>
          <w:p w14:paraId="4A99AE8D">
            <w:pPr>
              <w:pStyle w:val="1352"/>
              <w:jc w:val="center"/>
              <w:rPr>
                <w:color w:val="auto"/>
              </w:rPr>
            </w:pPr>
          </w:p>
        </w:tc>
        <w:tc>
          <w:tcPr>
            <w:tcW w:w="1710" w:type="pct"/>
            <w:noWrap/>
            <w:vAlign w:val="center"/>
          </w:tcPr>
          <w:p w14:paraId="56D0463A">
            <w:pPr>
              <w:pStyle w:val="1352"/>
              <w:jc w:val="center"/>
              <w:rPr>
                <w:color w:val="auto"/>
              </w:rPr>
            </w:pPr>
            <w:r>
              <w:rPr>
                <w:rFonts w:hint="eastAsia"/>
                <w:color w:val="auto"/>
              </w:rPr>
              <w:t>8月11日</w:t>
            </w:r>
          </w:p>
        </w:tc>
        <w:tc>
          <w:tcPr>
            <w:tcW w:w="1710" w:type="pct"/>
            <w:noWrap/>
            <w:vAlign w:val="center"/>
          </w:tcPr>
          <w:p w14:paraId="082B7421">
            <w:pPr>
              <w:pStyle w:val="1352"/>
              <w:jc w:val="center"/>
              <w:rPr>
                <w:color w:val="auto"/>
              </w:rPr>
            </w:pPr>
            <w:r>
              <w:rPr>
                <w:rFonts w:hint="eastAsia"/>
                <w:color w:val="auto"/>
              </w:rPr>
              <w:t>8月12日</w:t>
            </w:r>
          </w:p>
        </w:tc>
      </w:tr>
      <w:tr w14:paraId="2888F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9" w:type="pct"/>
            <w:noWrap/>
            <w:vAlign w:val="center"/>
          </w:tcPr>
          <w:p w14:paraId="7C984636">
            <w:pPr>
              <w:pStyle w:val="1352"/>
              <w:jc w:val="center"/>
              <w:rPr>
                <w:color w:val="auto"/>
              </w:rPr>
            </w:pPr>
            <w:r>
              <w:rPr>
                <w:color w:val="auto"/>
              </w:rPr>
              <w:t>pH值</w:t>
            </w:r>
          </w:p>
        </w:tc>
        <w:tc>
          <w:tcPr>
            <w:tcW w:w="1710" w:type="pct"/>
            <w:noWrap/>
            <w:vAlign w:val="center"/>
          </w:tcPr>
          <w:p w14:paraId="0FB70CAF">
            <w:pPr>
              <w:pStyle w:val="1343"/>
            </w:pPr>
            <w:r>
              <w:rPr>
                <w:rFonts w:hint="eastAsia"/>
              </w:rPr>
              <w:t>0.100</w:t>
            </w:r>
          </w:p>
        </w:tc>
        <w:tc>
          <w:tcPr>
            <w:tcW w:w="1710" w:type="pct"/>
            <w:noWrap/>
            <w:vAlign w:val="center"/>
          </w:tcPr>
          <w:p w14:paraId="1C5D9AFD">
            <w:pPr>
              <w:pStyle w:val="1343"/>
            </w:pPr>
            <w:r>
              <w:rPr>
                <w:rFonts w:hint="eastAsia"/>
              </w:rPr>
              <w:t>0.200</w:t>
            </w:r>
          </w:p>
        </w:tc>
      </w:tr>
      <w:tr w14:paraId="4E30D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9" w:type="pct"/>
            <w:noWrap/>
            <w:vAlign w:val="center"/>
          </w:tcPr>
          <w:p w14:paraId="0AD9DAB7">
            <w:pPr>
              <w:pStyle w:val="1352"/>
              <w:jc w:val="center"/>
              <w:rPr>
                <w:color w:val="auto"/>
              </w:rPr>
            </w:pPr>
            <w:r>
              <w:rPr>
                <w:color w:val="auto"/>
              </w:rPr>
              <w:t>COD</w:t>
            </w:r>
          </w:p>
        </w:tc>
        <w:tc>
          <w:tcPr>
            <w:tcW w:w="1710" w:type="pct"/>
            <w:noWrap/>
            <w:vAlign w:val="center"/>
          </w:tcPr>
          <w:p w14:paraId="5FB3B107">
            <w:pPr>
              <w:pStyle w:val="1343"/>
              <w:rPr>
                <w:rFonts w:hint="default" w:eastAsia="宋体"/>
                <w:i/>
                <w:iCs/>
                <w:color w:val="auto"/>
                <w:u w:val="single"/>
                <w:lang w:val="en-US" w:eastAsia="zh-CN"/>
              </w:rPr>
            </w:pPr>
            <w:r>
              <w:rPr>
                <w:rFonts w:hint="eastAsia"/>
                <w:i/>
                <w:iCs/>
                <w:color w:val="auto"/>
                <w:u w:val="single"/>
              </w:rPr>
              <w:t>0.</w:t>
            </w:r>
            <w:r>
              <w:rPr>
                <w:rFonts w:hint="eastAsia"/>
                <w:i/>
                <w:iCs/>
                <w:color w:val="auto"/>
                <w:u w:val="single"/>
                <w:lang w:val="en-US" w:eastAsia="zh-CN"/>
              </w:rPr>
              <w:t>400</w:t>
            </w:r>
          </w:p>
        </w:tc>
        <w:tc>
          <w:tcPr>
            <w:tcW w:w="1710" w:type="pct"/>
            <w:noWrap/>
            <w:vAlign w:val="center"/>
          </w:tcPr>
          <w:p w14:paraId="54FBF1A9">
            <w:pPr>
              <w:pStyle w:val="1343"/>
              <w:rPr>
                <w:i/>
                <w:iCs/>
                <w:color w:val="auto"/>
                <w:u w:val="single"/>
              </w:rPr>
            </w:pPr>
            <w:r>
              <w:rPr>
                <w:rFonts w:hint="eastAsia"/>
                <w:i/>
                <w:iCs/>
                <w:color w:val="auto"/>
                <w:u w:val="single"/>
              </w:rPr>
              <w:t>0.</w:t>
            </w:r>
            <w:r>
              <w:rPr>
                <w:rFonts w:hint="eastAsia"/>
                <w:i/>
                <w:iCs/>
                <w:color w:val="auto"/>
                <w:u w:val="single"/>
                <w:lang w:val="en-US" w:eastAsia="zh-CN"/>
              </w:rPr>
              <w:t>6</w:t>
            </w:r>
            <w:r>
              <w:rPr>
                <w:rFonts w:hint="eastAsia"/>
                <w:i/>
                <w:iCs/>
                <w:color w:val="auto"/>
                <w:u w:val="single"/>
              </w:rPr>
              <w:t>00</w:t>
            </w:r>
          </w:p>
        </w:tc>
      </w:tr>
      <w:tr w14:paraId="46CB0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9" w:type="pct"/>
            <w:noWrap/>
            <w:vAlign w:val="center"/>
          </w:tcPr>
          <w:p w14:paraId="17461FC7">
            <w:pPr>
              <w:pStyle w:val="1352"/>
              <w:jc w:val="center"/>
              <w:rPr>
                <w:color w:val="auto"/>
              </w:rPr>
            </w:pPr>
            <w:r>
              <w:rPr>
                <w:color w:val="auto"/>
              </w:rPr>
              <w:t>BOD</w:t>
            </w:r>
            <w:r>
              <w:rPr>
                <w:color w:val="auto"/>
                <w:vertAlign w:val="subscript"/>
              </w:rPr>
              <w:t>5</w:t>
            </w:r>
          </w:p>
        </w:tc>
        <w:tc>
          <w:tcPr>
            <w:tcW w:w="1710" w:type="pct"/>
            <w:noWrap/>
            <w:vAlign w:val="center"/>
          </w:tcPr>
          <w:p w14:paraId="217D0847">
            <w:pPr>
              <w:pStyle w:val="1343"/>
              <w:rPr>
                <w:rFonts w:hint="default" w:eastAsia="宋体"/>
                <w:i/>
                <w:iCs/>
                <w:color w:val="auto"/>
                <w:u w:val="single"/>
                <w:lang w:val="en-US" w:eastAsia="zh-CN"/>
              </w:rPr>
            </w:pPr>
            <w:r>
              <w:rPr>
                <w:rFonts w:hint="eastAsia"/>
                <w:i/>
                <w:iCs/>
                <w:color w:val="auto"/>
                <w:u w:val="single"/>
              </w:rPr>
              <w:t>0.</w:t>
            </w:r>
            <w:r>
              <w:rPr>
                <w:rFonts w:hint="eastAsia"/>
                <w:i/>
                <w:iCs/>
                <w:color w:val="auto"/>
                <w:u w:val="single"/>
                <w:lang w:val="en-US" w:eastAsia="zh-CN"/>
              </w:rPr>
              <w:t>350</w:t>
            </w:r>
          </w:p>
        </w:tc>
        <w:tc>
          <w:tcPr>
            <w:tcW w:w="1710" w:type="pct"/>
            <w:noWrap/>
            <w:vAlign w:val="center"/>
          </w:tcPr>
          <w:p w14:paraId="7C470020">
            <w:pPr>
              <w:pStyle w:val="1343"/>
              <w:rPr>
                <w:rFonts w:hint="default" w:eastAsia="宋体"/>
                <w:i/>
                <w:iCs/>
                <w:color w:val="auto"/>
                <w:u w:val="single"/>
                <w:lang w:val="en-US" w:eastAsia="zh-CN"/>
              </w:rPr>
            </w:pPr>
            <w:r>
              <w:rPr>
                <w:rFonts w:hint="eastAsia"/>
                <w:i/>
                <w:iCs/>
                <w:color w:val="auto"/>
                <w:u w:val="single"/>
              </w:rPr>
              <w:t>0.</w:t>
            </w:r>
            <w:r>
              <w:rPr>
                <w:rFonts w:hint="eastAsia"/>
                <w:i/>
                <w:iCs/>
                <w:color w:val="auto"/>
                <w:u w:val="single"/>
                <w:lang w:val="en-US" w:eastAsia="zh-CN"/>
              </w:rPr>
              <w:t>275</w:t>
            </w:r>
          </w:p>
        </w:tc>
      </w:tr>
      <w:tr w14:paraId="0A314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9" w:type="pct"/>
            <w:noWrap/>
            <w:vAlign w:val="center"/>
          </w:tcPr>
          <w:p w14:paraId="17A6BCF5">
            <w:pPr>
              <w:pStyle w:val="1352"/>
              <w:jc w:val="center"/>
              <w:rPr>
                <w:color w:val="auto"/>
              </w:rPr>
            </w:pPr>
            <w:r>
              <w:rPr>
                <w:color w:val="auto"/>
              </w:rPr>
              <w:t>石油类</w:t>
            </w:r>
          </w:p>
        </w:tc>
        <w:tc>
          <w:tcPr>
            <w:tcW w:w="1710" w:type="pct"/>
            <w:noWrap/>
            <w:vAlign w:val="center"/>
          </w:tcPr>
          <w:p w14:paraId="2012F286">
            <w:pPr>
              <w:pStyle w:val="1343"/>
            </w:pPr>
            <w:r>
              <w:rPr>
                <w:rFonts w:hint="eastAsia"/>
              </w:rPr>
              <w:t>未检出</w:t>
            </w:r>
          </w:p>
        </w:tc>
        <w:tc>
          <w:tcPr>
            <w:tcW w:w="1710" w:type="pct"/>
            <w:noWrap/>
            <w:vAlign w:val="center"/>
          </w:tcPr>
          <w:p w14:paraId="2B8AE17E">
            <w:pPr>
              <w:pStyle w:val="1343"/>
            </w:pPr>
            <w:r>
              <w:rPr>
                <w:rFonts w:hint="eastAsia"/>
              </w:rPr>
              <w:t>未检出</w:t>
            </w:r>
          </w:p>
        </w:tc>
      </w:tr>
      <w:tr w14:paraId="37459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9" w:type="pct"/>
            <w:noWrap/>
            <w:vAlign w:val="center"/>
          </w:tcPr>
          <w:p w14:paraId="13D1AAB1">
            <w:pPr>
              <w:pStyle w:val="1352"/>
              <w:jc w:val="center"/>
              <w:rPr>
                <w:color w:val="auto"/>
              </w:rPr>
            </w:pPr>
            <w:r>
              <w:rPr>
                <w:color w:val="auto"/>
              </w:rPr>
              <w:t>SS</w:t>
            </w:r>
          </w:p>
        </w:tc>
        <w:tc>
          <w:tcPr>
            <w:tcW w:w="1710" w:type="pct"/>
            <w:noWrap/>
            <w:vAlign w:val="center"/>
          </w:tcPr>
          <w:p w14:paraId="61EB7246">
            <w:pPr>
              <w:pStyle w:val="1343"/>
            </w:pPr>
            <w:r>
              <w:rPr>
                <w:rFonts w:hint="eastAsia"/>
              </w:rPr>
              <w:t>0.125</w:t>
            </w:r>
          </w:p>
        </w:tc>
        <w:tc>
          <w:tcPr>
            <w:tcW w:w="1710" w:type="pct"/>
            <w:noWrap/>
            <w:vAlign w:val="center"/>
          </w:tcPr>
          <w:p w14:paraId="60707F9E">
            <w:pPr>
              <w:pStyle w:val="1343"/>
            </w:pPr>
            <w:r>
              <w:rPr>
                <w:rFonts w:hint="eastAsia"/>
              </w:rPr>
              <w:t>0.113</w:t>
            </w:r>
          </w:p>
        </w:tc>
      </w:tr>
      <w:tr w14:paraId="5ECF3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9" w:type="pct"/>
            <w:noWrap/>
            <w:vAlign w:val="center"/>
          </w:tcPr>
          <w:p w14:paraId="1290F451">
            <w:pPr>
              <w:pStyle w:val="1352"/>
              <w:jc w:val="center"/>
              <w:rPr>
                <w:color w:val="auto"/>
              </w:rPr>
            </w:pPr>
            <w:r>
              <w:rPr>
                <w:rFonts w:hint="eastAsia"/>
                <w:color w:val="auto"/>
              </w:rPr>
              <w:t>挥发酚</w:t>
            </w:r>
          </w:p>
        </w:tc>
        <w:tc>
          <w:tcPr>
            <w:tcW w:w="1710" w:type="pct"/>
            <w:noWrap/>
            <w:vAlign w:val="center"/>
          </w:tcPr>
          <w:p w14:paraId="4023A708">
            <w:pPr>
              <w:pStyle w:val="1343"/>
            </w:pPr>
            <w:r>
              <w:rPr>
                <w:rFonts w:hint="eastAsia"/>
              </w:rPr>
              <w:t>未检出</w:t>
            </w:r>
          </w:p>
        </w:tc>
        <w:tc>
          <w:tcPr>
            <w:tcW w:w="1710" w:type="pct"/>
            <w:noWrap/>
            <w:vAlign w:val="center"/>
          </w:tcPr>
          <w:p w14:paraId="13D06F67">
            <w:pPr>
              <w:pStyle w:val="1343"/>
            </w:pPr>
            <w:r>
              <w:rPr>
                <w:rFonts w:hint="eastAsia"/>
              </w:rPr>
              <w:t>未检出</w:t>
            </w:r>
          </w:p>
        </w:tc>
      </w:tr>
      <w:tr w14:paraId="247E7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9" w:type="pct"/>
            <w:noWrap/>
            <w:vAlign w:val="center"/>
          </w:tcPr>
          <w:p w14:paraId="07F43727">
            <w:pPr>
              <w:pStyle w:val="1352"/>
              <w:jc w:val="center"/>
              <w:rPr>
                <w:color w:val="auto"/>
              </w:rPr>
            </w:pPr>
            <w:r>
              <w:rPr>
                <w:rFonts w:hint="eastAsia"/>
                <w:color w:val="auto"/>
              </w:rPr>
              <w:t>粪大肠菌群</w:t>
            </w:r>
          </w:p>
        </w:tc>
        <w:tc>
          <w:tcPr>
            <w:tcW w:w="1710" w:type="pct"/>
            <w:noWrap/>
            <w:vAlign w:val="center"/>
          </w:tcPr>
          <w:p w14:paraId="2D62B01C">
            <w:pPr>
              <w:pStyle w:val="1343"/>
              <w:rPr>
                <w:rFonts w:hint="default" w:eastAsia="宋体"/>
                <w:i/>
                <w:iCs/>
                <w:color w:val="auto"/>
                <w:u w:val="single"/>
                <w:lang w:val="en-US" w:eastAsia="zh-CN"/>
              </w:rPr>
            </w:pPr>
            <w:r>
              <w:rPr>
                <w:rFonts w:hint="eastAsia"/>
                <w:i/>
                <w:iCs/>
                <w:color w:val="auto"/>
                <w:u w:val="single"/>
              </w:rPr>
              <w:t>0.0</w:t>
            </w:r>
            <w:r>
              <w:rPr>
                <w:rFonts w:hint="eastAsia"/>
                <w:i/>
                <w:iCs/>
                <w:color w:val="auto"/>
                <w:u w:val="single"/>
                <w:lang w:val="en-US" w:eastAsia="zh-CN"/>
              </w:rPr>
              <w:t>11</w:t>
            </w:r>
          </w:p>
        </w:tc>
        <w:tc>
          <w:tcPr>
            <w:tcW w:w="1710" w:type="pct"/>
            <w:noWrap/>
            <w:vAlign w:val="center"/>
          </w:tcPr>
          <w:p w14:paraId="035B60EF">
            <w:pPr>
              <w:pStyle w:val="1343"/>
              <w:rPr>
                <w:rFonts w:hint="default" w:eastAsia="宋体"/>
                <w:i/>
                <w:iCs/>
                <w:color w:val="auto"/>
                <w:u w:val="single"/>
                <w:lang w:val="en-US" w:eastAsia="zh-CN"/>
              </w:rPr>
            </w:pPr>
            <w:r>
              <w:rPr>
                <w:rFonts w:hint="eastAsia"/>
                <w:i/>
                <w:iCs/>
                <w:color w:val="auto"/>
                <w:u w:val="single"/>
              </w:rPr>
              <w:t>0.0</w:t>
            </w:r>
            <w:r>
              <w:rPr>
                <w:rFonts w:hint="eastAsia"/>
                <w:i/>
                <w:iCs/>
                <w:color w:val="auto"/>
                <w:u w:val="single"/>
                <w:lang w:val="en-US" w:eastAsia="zh-CN"/>
              </w:rPr>
              <w:t>17</w:t>
            </w:r>
          </w:p>
        </w:tc>
      </w:tr>
      <w:bookmarkEnd w:id="175"/>
    </w:tbl>
    <w:p w14:paraId="7E89CE76">
      <w:pPr>
        <w:pStyle w:val="234"/>
        <w:spacing w:before="120" w:beforeLines="50"/>
      </w:pPr>
      <w:r>
        <w:t>根据评价结果可知，监测断面处各污染物均未出现超标现象</w:t>
      </w:r>
      <w:r>
        <w:rPr>
          <w:rFonts w:hint="eastAsia"/>
        </w:rPr>
        <w:t>，</w:t>
      </w:r>
      <w:r>
        <w:rPr>
          <w:i/>
          <w:iCs/>
          <w:color w:val="auto"/>
          <w:u w:val="single"/>
        </w:rPr>
        <w:t>能够满足《</w:t>
      </w:r>
      <w:r>
        <w:rPr>
          <w:rFonts w:hint="eastAsia"/>
          <w:i/>
          <w:iCs/>
          <w:color w:val="auto"/>
          <w:u w:val="single"/>
        </w:rPr>
        <w:t>地表水环境质量标</w:t>
      </w:r>
      <w:r>
        <w:rPr>
          <w:i/>
          <w:iCs/>
          <w:color w:val="auto"/>
          <w:u w:val="single"/>
        </w:rPr>
        <w:t>准》</w:t>
      </w:r>
      <w:r>
        <w:rPr>
          <w:rFonts w:hint="eastAsia"/>
          <w:i/>
          <w:iCs/>
          <w:color w:val="auto"/>
          <w:u w:val="single"/>
        </w:rPr>
        <w:t>（</w:t>
      </w:r>
      <w:r>
        <w:rPr>
          <w:i/>
          <w:iCs/>
          <w:color w:val="auto"/>
          <w:u w:val="single"/>
        </w:rPr>
        <w:t>GB</w:t>
      </w:r>
      <w:r>
        <w:rPr>
          <w:rFonts w:hint="eastAsia"/>
          <w:i/>
          <w:iCs/>
          <w:color w:val="auto"/>
          <w:u w:val="single"/>
        </w:rPr>
        <w:t>3838-2002）</w:t>
      </w:r>
      <w:r>
        <w:rPr>
          <w:i/>
          <w:iCs/>
          <w:color w:val="auto"/>
          <w:u w:val="single"/>
        </w:rPr>
        <w:t>中</w:t>
      </w:r>
      <w:r>
        <w:rPr>
          <w:rFonts w:hint="eastAsia"/>
          <w:i/>
          <w:iCs/>
          <w:color w:val="auto"/>
          <w:u w:val="single"/>
          <w:lang w:val="en-US" w:eastAsia="zh-CN"/>
        </w:rPr>
        <w:t>Ⅲ</w:t>
      </w:r>
      <w:r>
        <w:rPr>
          <w:rFonts w:hint="eastAsia"/>
          <w:i/>
          <w:iCs/>
          <w:color w:val="auto"/>
          <w:u w:val="single"/>
        </w:rPr>
        <w:t>类标准</w:t>
      </w:r>
      <w:r>
        <w:rPr>
          <w:i/>
          <w:iCs/>
          <w:color w:val="auto"/>
          <w:u w:val="single"/>
        </w:rPr>
        <w:t>限值</w:t>
      </w:r>
      <w:r>
        <w:rPr>
          <w:rFonts w:hint="eastAsia"/>
          <w:i/>
          <w:iCs/>
          <w:color w:val="auto"/>
          <w:u w:val="single"/>
        </w:rPr>
        <w:t>，</w:t>
      </w:r>
      <w:r>
        <w:rPr>
          <w:rFonts w:hint="eastAsia"/>
        </w:rPr>
        <w:t>悬浮物满足</w:t>
      </w:r>
      <w:r>
        <w:t>《农田灌溉水质标准》</w:t>
      </w:r>
      <w:r>
        <w:rPr>
          <w:rFonts w:hint="eastAsia"/>
        </w:rPr>
        <w:t>（</w:t>
      </w:r>
      <w:r>
        <w:t>GB 5084-2021</w:t>
      </w:r>
      <w:r>
        <w:rPr>
          <w:rFonts w:hint="eastAsia"/>
        </w:rPr>
        <w:t>）</w:t>
      </w:r>
      <w:r>
        <w:t>中</w:t>
      </w:r>
      <w:r>
        <w:rPr>
          <w:rFonts w:hint="eastAsia"/>
        </w:rPr>
        <w:t>水田</w:t>
      </w:r>
      <w:r>
        <w:t>作物种类要求限值要求。</w:t>
      </w:r>
    </w:p>
    <w:p w14:paraId="2D08478E">
      <w:pPr>
        <w:pStyle w:val="5"/>
        <w:rPr>
          <w:color w:val="auto"/>
        </w:rPr>
      </w:pPr>
      <w:r>
        <w:rPr>
          <w:color w:val="auto"/>
        </w:rPr>
        <w:t>地下水环境质量现状</w:t>
      </w:r>
    </w:p>
    <w:p w14:paraId="33AD8632">
      <w:pPr>
        <w:pStyle w:val="7"/>
      </w:pPr>
      <w:r>
        <w:t>监测点位布设</w:t>
      </w:r>
    </w:p>
    <w:p w14:paraId="62CCA7B2">
      <w:pPr>
        <w:pStyle w:val="234"/>
        <w:rPr>
          <w:rStyle w:val="557"/>
          <w:color w:val="auto"/>
        </w:rPr>
      </w:pPr>
      <w:r>
        <w:rPr>
          <w:i/>
          <w:iCs/>
          <w:color w:val="auto"/>
          <w:u w:val="single"/>
        </w:rPr>
        <w:t>本工程的地下水环境影响评价工作等级为三级</w:t>
      </w:r>
      <w:r>
        <w:rPr>
          <w:rFonts w:hint="eastAsia"/>
          <w:i/>
          <w:iCs/>
          <w:color w:val="auto"/>
          <w:u w:val="single"/>
        </w:rPr>
        <w:t>，</w:t>
      </w:r>
      <w:r>
        <w:rPr>
          <w:i/>
          <w:iCs/>
          <w:color w:val="auto"/>
          <w:u w:val="single"/>
        </w:rPr>
        <w:t>根据《环境影响评价技术导则</w:t>
      </w:r>
      <w:r>
        <w:rPr>
          <w:rFonts w:hint="eastAsia"/>
          <w:i/>
          <w:iCs/>
          <w:color w:val="auto"/>
          <w:u w:val="single"/>
        </w:rPr>
        <w:t xml:space="preserve"> </w:t>
      </w:r>
      <w:r>
        <w:rPr>
          <w:i/>
          <w:iCs/>
          <w:color w:val="auto"/>
          <w:u w:val="single"/>
        </w:rPr>
        <w:t>地下水环境》(HJ610-2016)的要求</w:t>
      </w:r>
      <w:r>
        <w:rPr>
          <w:rFonts w:hint="eastAsia"/>
          <w:i/>
          <w:iCs/>
          <w:color w:val="auto"/>
          <w:u w:val="single"/>
        </w:rPr>
        <w:t>：三级评价项目潜水含水层水质监测点应不少于3个，可能受建设项目影响且具有饮用水开发利用价值的含水层1~2个，原则上建设项目场地上游及下游影响区的地下水水质监测点各不得少于1个</w:t>
      </w:r>
      <w:r>
        <w:rPr>
          <w:i/>
          <w:iCs/>
          <w:color w:val="auto"/>
          <w:u w:val="single"/>
        </w:rPr>
        <w:t>，本次评价</w:t>
      </w:r>
      <w:r>
        <w:rPr>
          <w:rFonts w:hint="eastAsia"/>
          <w:i/>
          <w:iCs/>
          <w:color w:val="auto"/>
          <w:u w:val="single"/>
          <w:lang w:val="en-US" w:eastAsia="zh-CN"/>
        </w:rPr>
        <w:t>区域地下水流向为自西南向东北，</w:t>
      </w:r>
      <w:r>
        <w:rPr>
          <w:i/>
          <w:iCs/>
          <w:color w:val="auto"/>
          <w:u w:val="single"/>
        </w:rPr>
        <w:t>地下水现状监测在项目区域共选取</w:t>
      </w:r>
      <w:r>
        <w:rPr>
          <w:rFonts w:hint="eastAsia"/>
          <w:i/>
          <w:iCs/>
          <w:color w:val="auto"/>
          <w:u w:val="single"/>
          <w:lang w:val="en-US" w:eastAsia="zh-CN"/>
        </w:rPr>
        <w:t>5</w:t>
      </w:r>
      <w:r>
        <w:rPr>
          <w:i/>
          <w:iCs/>
          <w:color w:val="auto"/>
          <w:u w:val="single"/>
        </w:rPr>
        <w:t>个地下水</w:t>
      </w:r>
      <w:r>
        <w:rPr>
          <w:rFonts w:hint="eastAsia"/>
          <w:i/>
          <w:iCs/>
          <w:color w:val="auto"/>
          <w:u w:val="single"/>
          <w:lang w:val="en-US" w:eastAsia="zh-CN"/>
        </w:rPr>
        <w:t>水质</w:t>
      </w:r>
      <w:r>
        <w:rPr>
          <w:i/>
          <w:iCs/>
          <w:color w:val="auto"/>
          <w:u w:val="single"/>
        </w:rPr>
        <w:t>监测点位</w:t>
      </w:r>
      <w:r>
        <w:rPr>
          <w:rFonts w:hint="eastAsia"/>
          <w:i/>
          <w:iCs/>
          <w:color w:val="auto"/>
          <w:u w:val="single"/>
        </w:rPr>
        <w:t>，其中上游1个、侧向2个、下游2个</w:t>
      </w:r>
      <w:r>
        <w:rPr>
          <w:i/>
          <w:iCs/>
          <w:color w:val="auto"/>
          <w:u w:val="single"/>
        </w:rPr>
        <w:t>。</w:t>
      </w:r>
      <w:r>
        <w:rPr>
          <w:rStyle w:val="557"/>
          <w:color w:val="auto"/>
        </w:rPr>
        <w:t>监测点位见</w:t>
      </w:r>
      <w:r>
        <w:rPr>
          <w:rStyle w:val="557"/>
          <w:rFonts w:hint="eastAsia"/>
          <w:color w:val="auto"/>
        </w:rPr>
        <w:t>表4</w:t>
      </w:r>
      <w:r>
        <w:rPr>
          <w:rStyle w:val="557"/>
          <w:color w:val="auto"/>
        </w:rPr>
        <w:t>.2</w:t>
      </w:r>
      <w:r>
        <w:rPr>
          <w:rStyle w:val="557"/>
          <w:rFonts w:hint="eastAsia"/>
          <w:color w:val="auto"/>
        </w:rPr>
        <w:t>-</w:t>
      </w:r>
      <w:r>
        <w:rPr>
          <w:rStyle w:val="557"/>
          <w:color w:val="auto"/>
        </w:rPr>
        <w:t>1</w:t>
      </w:r>
      <w:r>
        <w:rPr>
          <w:rStyle w:val="557"/>
          <w:rFonts w:hint="eastAsia"/>
          <w:color w:val="auto"/>
        </w:rPr>
        <w:t>1</w:t>
      </w:r>
      <w:r>
        <w:rPr>
          <w:rStyle w:val="557"/>
          <w:color w:val="auto"/>
        </w:rPr>
        <w:t>及图4.2-1。</w:t>
      </w:r>
    </w:p>
    <w:p w14:paraId="26C8E50F">
      <w:pPr>
        <w:pStyle w:val="904"/>
      </w:pPr>
      <w:bookmarkStart w:id="176" w:name="_Ref76999435"/>
      <w:r>
        <w:t xml:space="preserve">表 </w:t>
      </w:r>
      <w:r>
        <w:fldChar w:fldCharType="begin"/>
      </w:r>
      <w:r>
        <w:instrText xml:space="preserve"> STYLEREF 2 \s </w:instrText>
      </w:r>
      <w:r>
        <w:fldChar w:fldCharType="separate"/>
      </w:r>
      <w:r>
        <w:t>4.2</w:t>
      </w:r>
      <w:r>
        <w:fldChar w:fldCharType="end"/>
      </w:r>
      <w:r>
        <w:noBreakHyphen/>
      </w:r>
      <w:r>
        <w:t>1</w:t>
      </w:r>
      <w:bookmarkEnd w:id="176"/>
      <w:r>
        <w:rPr>
          <w:rFonts w:hint="eastAsia"/>
        </w:rPr>
        <w:t>1</w:t>
      </w:r>
      <w:r>
        <w:t>地下水监测点位一览表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9"/>
        <w:gridCol w:w="2350"/>
        <w:gridCol w:w="4720"/>
        <w:gridCol w:w="1607"/>
      </w:tblGrid>
      <w:tr w14:paraId="5BE94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Align w:val="center"/>
          </w:tcPr>
          <w:p w14:paraId="13DD1A35">
            <w:pPr>
              <w:pStyle w:val="1343"/>
              <w:rPr>
                <w:kern w:val="2"/>
              </w:rPr>
            </w:pPr>
            <w:r>
              <w:t>序号</w:t>
            </w:r>
          </w:p>
        </w:tc>
        <w:tc>
          <w:tcPr>
            <w:tcW w:w="1225" w:type="pct"/>
            <w:vAlign w:val="center"/>
          </w:tcPr>
          <w:p w14:paraId="1FC1C6E1">
            <w:pPr>
              <w:pStyle w:val="1343"/>
            </w:pPr>
            <w:r>
              <w:t>监测位置</w:t>
            </w:r>
          </w:p>
        </w:tc>
        <w:tc>
          <w:tcPr>
            <w:tcW w:w="2461" w:type="pct"/>
            <w:vAlign w:val="center"/>
          </w:tcPr>
          <w:p w14:paraId="49DB952A">
            <w:pPr>
              <w:pStyle w:val="1343"/>
            </w:pPr>
            <w:r>
              <w:t>相对位置</w:t>
            </w:r>
          </w:p>
        </w:tc>
        <w:tc>
          <w:tcPr>
            <w:tcW w:w="838" w:type="pct"/>
            <w:vAlign w:val="center"/>
          </w:tcPr>
          <w:p w14:paraId="2A6EDAF3">
            <w:pPr>
              <w:pStyle w:val="1343"/>
            </w:pPr>
            <w:r>
              <w:t>监测内容</w:t>
            </w:r>
          </w:p>
        </w:tc>
      </w:tr>
      <w:tr w14:paraId="1993F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Align w:val="center"/>
          </w:tcPr>
          <w:p w14:paraId="776C6D9A">
            <w:pPr>
              <w:pStyle w:val="1343"/>
            </w:pPr>
            <w:r>
              <w:rPr>
                <w:bCs/>
              </w:rPr>
              <w:t>DW1</w:t>
            </w:r>
          </w:p>
        </w:tc>
        <w:tc>
          <w:tcPr>
            <w:tcW w:w="1225" w:type="pct"/>
            <w:vAlign w:val="center"/>
          </w:tcPr>
          <w:p w14:paraId="32AD7C61">
            <w:pPr>
              <w:adjustRightInd w:val="0"/>
              <w:snapToGrid w:val="0"/>
              <w:jc w:val="center"/>
              <w:rPr>
                <w:bCs/>
                <w:szCs w:val="21"/>
              </w:rPr>
            </w:pPr>
            <w:r>
              <w:rPr>
                <w:rFonts w:hint="eastAsia"/>
                <w:bCs/>
                <w:szCs w:val="21"/>
              </w:rPr>
              <w:t>大白石坳</w:t>
            </w:r>
          </w:p>
        </w:tc>
        <w:tc>
          <w:tcPr>
            <w:tcW w:w="4720" w:type="dxa"/>
            <w:vAlign w:val="center"/>
          </w:tcPr>
          <w:p w14:paraId="6D75CBC3">
            <w:pPr>
              <w:adjustRightInd w:val="0"/>
              <w:snapToGrid w:val="0"/>
              <w:jc w:val="center"/>
            </w:pPr>
            <w:r>
              <w:rPr>
                <w:rFonts w:hint="eastAsia"/>
                <w:bCs/>
                <w:szCs w:val="21"/>
              </w:rPr>
              <w:t>耒阳分输站西南侧880m（上游）</w:t>
            </w:r>
          </w:p>
        </w:tc>
        <w:tc>
          <w:tcPr>
            <w:tcW w:w="838" w:type="pct"/>
            <w:vMerge w:val="restart"/>
            <w:vAlign w:val="center"/>
          </w:tcPr>
          <w:p w14:paraId="110D9B60">
            <w:pPr>
              <w:pStyle w:val="1343"/>
            </w:pPr>
            <w:r>
              <w:t>水质、水位</w:t>
            </w:r>
          </w:p>
        </w:tc>
      </w:tr>
      <w:tr w14:paraId="0929F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Align w:val="center"/>
          </w:tcPr>
          <w:p w14:paraId="39F4D071">
            <w:pPr>
              <w:pStyle w:val="1343"/>
            </w:pPr>
            <w:r>
              <w:rPr>
                <w:bCs/>
              </w:rPr>
              <w:t>DW2</w:t>
            </w:r>
          </w:p>
        </w:tc>
        <w:tc>
          <w:tcPr>
            <w:tcW w:w="1225" w:type="pct"/>
            <w:vAlign w:val="center"/>
          </w:tcPr>
          <w:p w14:paraId="6A3CF5F0">
            <w:pPr>
              <w:adjustRightInd w:val="0"/>
              <w:snapToGrid w:val="0"/>
              <w:jc w:val="center"/>
              <w:rPr>
                <w:bCs/>
                <w:szCs w:val="21"/>
              </w:rPr>
            </w:pPr>
            <w:r>
              <w:rPr>
                <w:rFonts w:hint="eastAsia"/>
                <w:bCs/>
                <w:szCs w:val="21"/>
              </w:rPr>
              <w:t>资家湾</w:t>
            </w:r>
          </w:p>
        </w:tc>
        <w:tc>
          <w:tcPr>
            <w:tcW w:w="4720" w:type="dxa"/>
            <w:vAlign w:val="center"/>
          </w:tcPr>
          <w:p w14:paraId="1A903640">
            <w:pPr>
              <w:adjustRightInd w:val="0"/>
              <w:snapToGrid w:val="0"/>
              <w:jc w:val="center"/>
            </w:pPr>
            <w:r>
              <w:rPr>
                <w:rFonts w:hint="eastAsia"/>
                <w:bCs/>
                <w:szCs w:val="21"/>
              </w:rPr>
              <w:t>耒阳分输站北侧290m（下游）</w:t>
            </w:r>
          </w:p>
        </w:tc>
        <w:tc>
          <w:tcPr>
            <w:tcW w:w="838" w:type="pct"/>
            <w:vMerge w:val="continue"/>
            <w:vAlign w:val="center"/>
          </w:tcPr>
          <w:p w14:paraId="7FD83B4D">
            <w:pPr>
              <w:pStyle w:val="1343"/>
            </w:pPr>
          </w:p>
        </w:tc>
      </w:tr>
      <w:tr w14:paraId="29993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Align w:val="center"/>
          </w:tcPr>
          <w:p w14:paraId="67A89A52">
            <w:pPr>
              <w:pStyle w:val="1343"/>
            </w:pPr>
            <w:r>
              <w:rPr>
                <w:bCs/>
              </w:rPr>
              <w:t>DW3</w:t>
            </w:r>
          </w:p>
        </w:tc>
        <w:tc>
          <w:tcPr>
            <w:tcW w:w="1225" w:type="pct"/>
            <w:vAlign w:val="center"/>
          </w:tcPr>
          <w:p w14:paraId="4253685B">
            <w:pPr>
              <w:adjustRightInd w:val="0"/>
              <w:snapToGrid w:val="0"/>
              <w:jc w:val="center"/>
              <w:rPr>
                <w:bCs/>
                <w:szCs w:val="21"/>
              </w:rPr>
            </w:pPr>
            <w:r>
              <w:rPr>
                <w:rFonts w:hint="eastAsia"/>
                <w:bCs/>
                <w:szCs w:val="21"/>
              </w:rPr>
              <w:t>铜角湾</w:t>
            </w:r>
          </w:p>
        </w:tc>
        <w:tc>
          <w:tcPr>
            <w:tcW w:w="4720" w:type="dxa"/>
            <w:vAlign w:val="center"/>
          </w:tcPr>
          <w:p w14:paraId="1244B9B1">
            <w:pPr>
              <w:adjustRightInd w:val="0"/>
              <w:snapToGrid w:val="0"/>
              <w:jc w:val="center"/>
            </w:pPr>
            <w:r>
              <w:rPr>
                <w:rFonts w:hint="eastAsia"/>
                <w:bCs/>
                <w:szCs w:val="21"/>
              </w:rPr>
              <w:t>耒阳分输站东侧190m（侧向）</w:t>
            </w:r>
          </w:p>
        </w:tc>
        <w:tc>
          <w:tcPr>
            <w:tcW w:w="838" w:type="pct"/>
            <w:vMerge w:val="continue"/>
            <w:vAlign w:val="center"/>
          </w:tcPr>
          <w:p w14:paraId="00998A30">
            <w:pPr>
              <w:pStyle w:val="1343"/>
            </w:pPr>
          </w:p>
        </w:tc>
      </w:tr>
      <w:tr w14:paraId="6966D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Align w:val="center"/>
          </w:tcPr>
          <w:p w14:paraId="4F62BBC3">
            <w:pPr>
              <w:pStyle w:val="1343"/>
            </w:pPr>
            <w:r>
              <w:rPr>
                <w:bCs/>
              </w:rPr>
              <w:t>DW4</w:t>
            </w:r>
          </w:p>
        </w:tc>
        <w:tc>
          <w:tcPr>
            <w:tcW w:w="1225" w:type="pct"/>
            <w:vAlign w:val="center"/>
          </w:tcPr>
          <w:p w14:paraId="151ACC94">
            <w:pPr>
              <w:adjustRightInd w:val="0"/>
              <w:snapToGrid w:val="0"/>
              <w:jc w:val="center"/>
              <w:rPr>
                <w:bCs/>
                <w:szCs w:val="21"/>
              </w:rPr>
            </w:pPr>
            <w:r>
              <w:rPr>
                <w:rFonts w:hint="eastAsia"/>
                <w:bCs/>
                <w:szCs w:val="21"/>
              </w:rPr>
              <w:t>蒋家冲</w:t>
            </w:r>
          </w:p>
        </w:tc>
        <w:tc>
          <w:tcPr>
            <w:tcW w:w="4720" w:type="dxa"/>
            <w:vAlign w:val="center"/>
          </w:tcPr>
          <w:p w14:paraId="5FAAA62A">
            <w:pPr>
              <w:adjustRightInd w:val="0"/>
              <w:snapToGrid w:val="0"/>
              <w:jc w:val="center"/>
            </w:pPr>
            <w:r>
              <w:rPr>
                <w:rFonts w:hint="eastAsia"/>
                <w:bCs/>
                <w:szCs w:val="21"/>
              </w:rPr>
              <w:t>耒阳分输站西北侧320m（侧向）</w:t>
            </w:r>
          </w:p>
        </w:tc>
        <w:tc>
          <w:tcPr>
            <w:tcW w:w="838" w:type="pct"/>
            <w:vMerge w:val="continue"/>
            <w:vAlign w:val="center"/>
          </w:tcPr>
          <w:p w14:paraId="47422156">
            <w:pPr>
              <w:pStyle w:val="1343"/>
            </w:pPr>
          </w:p>
        </w:tc>
      </w:tr>
      <w:tr w14:paraId="36025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Align w:val="center"/>
          </w:tcPr>
          <w:p w14:paraId="4473B0AA">
            <w:pPr>
              <w:pStyle w:val="1343"/>
            </w:pPr>
            <w:r>
              <w:rPr>
                <w:bCs/>
              </w:rPr>
              <w:t>DW5</w:t>
            </w:r>
          </w:p>
        </w:tc>
        <w:tc>
          <w:tcPr>
            <w:tcW w:w="1225" w:type="pct"/>
            <w:vAlign w:val="center"/>
          </w:tcPr>
          <w:p w14:paraId="6BB7C01E">
            <w:pPr>
              <w:adjustRightInd w:val="0"/>
              <w:snapToGrid w:val="0"/>
              <w:jc w:val="center"/>
              <w:rPr>
                <w:bCs/>
                <w:szCs w:val="21"/>
              </w:rPr>
            </w:pPr>
            <w:r>
              <w:rPr>
                <w:rFonts w:hint="eastAsia"/>
                <w:bCs/>
                <w:szCs w:val="21"/>
              </w:rPr>
              <w:t>里王村</w:t>
            </w:r>
          </w:p>
        </w:tc>
        <w:tc>
          <w:tcPr>
            <w:tcW w:w="4720" w:type="dxa"/>
            <w:vAlign w:val="center"/>
          </w:tcPr>
          <w:p w14:paraId="2292D804">
            <w:pPr>
              <w:adjustRightInd w:val="0"/>
              <w:snapToGrid w:val="0"/>
              <w:jc w:val="center"/>
            </w:pPr>
            <w:r>
              <w:rPr>
                <w:rFonts w:hint="eastAsia"/>
                <w:bCs/>
                <w:szCs w:val="21"/>
              </w:rPr>
              <w:t>28号阀室北侧230m（下游）</w:t>
            </w:r>
          </w:p>
        </w:tc>
        <w:tc>
          <w:tcPr>
            <w:tcW w:w="838" w:type="pct"/>
            <w:vMerge w:val="continue"/>
            <w:vAlign w:val="center"/>
          </w:tcPr>
          <w:p w14:paraId="6E259ED3">
            <w:pPr>
              <w:pStyle w:val="1343"/>
            </w:pPr>
          </w:p>
        </w:tc>
      </w:tr>
      <w:tr w14:paraId="02CA5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Align w:val="center"/>
          </w:tcPr>
          <w:p w14:paraId="1591DBFD">
            <w:pPr>
              <w:pStyle w:val="1343"/>
            </w:pPr>
            <w:r>
              <w:rPr>
                <w:bCs/>
              </w:rPr>
              <w:t>DW6</w:t>
            </w:r>
          </w:p>
        </w:tc>
        <w:tc>
          <w:tcPr>
            <w:tcW w:w="1225" w:type="pct"/>
            <w:vAlign w:val="center"/>
          </w:tcPr>
          <w:p w14:paraId="089F1B7A">
            <w:pPr>
              <w:adjustRightInd w:val="0"/>
              <w:snapToGrid w:val="0"/>
              <w:jc w:val="center"/>
              <w:rPr>
                <w:bCs/>
                <w:szCs w:val="21"/>
              </w:rPr>
            </w:pPr>
            <w:r>
              <w:rPr>
                <w:rFonts w:hint="eastAsia"/>
                <w:bCs/>
                <w:szCs w:val="21"/>
              </w:rPr>
              <w:t>梁家新湾</w:t>
            </w:r>
          </w:p>
        </w:tc>
        <w:tc>
          <w:tcPr>
            <w:tcW w:w="4720" w:type="dxa"/>
            <w:vAlign w:val="center"/>
          </w:tcPr>
          <w:p w14:paraId="2E5836A7">
            <w:pPr>
              <w:adjustRightInd w:val="0"/>
              <w:snapToGrid w:val="0"/>
              <w:jc w:val="center"/>
              <w:rPr>
                <w:bCs/>
              </w:rPr>
            </w:pPr>
            <w:r>
              <w:rPr>
                <w:rFonts w:hint="eastAsia"/>
                <w:bCs/>
                <w:szCs w:val="21"/>
              </w:rPr>
              <w:t>耒阳分输站东北侧550m</w:t>
            </w:r>
          </w:p>
        </w:tc>
        <w:tc>
          <w:tcPr>
            <w:tcW w:w="838" w:type="pct"/>
            <w:vMerge w:val="restart"/>
            <w:vAlign w:val="center"/>
          </w:tcPr>
          <w:p w14:paraId="705EE4F0">
            <w:pPr>
              <w:pStyle w:val="1343"/>
            </w:pPr>
            <w:r>
              <w:t>水位</w:t>
            </w:r>
          </w:p>
        </w:tc>
      </w:tr>
      <w:tr w14:paraId="588BA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Align w:val="center"/>
          </w:tcPr>
          <w:p w14:paraId="5C8C2CFB">
            <w:pPr>
              <w:pStyle w:val="1343"/>
              <w:rPr>
                <w:bCs/>
              </w:rPr>
            </w:pPr>
            <w:r>
              <w:rPr>
                <w:bCs/>
              </w:rPr>
              <w:t>DW7</w:t>
            </w:r>
          </w:p>
        </w:tc>
        <w:tc>
          <w:tcPr>
            <w:tcW w:w="1225" w:type="pct"/>
            <w:vAlign w:val="center"/>
          </w:tcPr>
          <w:p w14:paraId="57F2139D">
            <w:pPr>
              <w:adjustRightInd w:val="0"/>
              <w:snapToGrid w:val="0"/>
              <w:jc w:val="center"/>
              <w:rPr>
                <w:bCs/>
                <w:szCs w:val="21"/>
              </w:rPr>
            </w:pPr>
            <w:r>
              <w:rPr>
                <w:rFonts w:hint="eastAsia"/>
                <w:bCs/>
                <w:szCs w:val="21"/>
              </w:rPr>
              <w:t>曾家</w:t>
            </w:r>
          </w:p>
        </w:tc>
        <w:tc>
          <w:tcPr>
            <w:tcW w:w="4720" w:type="dxa"/>
            <w:vAlign w:val="center"/>
          </w:tcPr>
          <w:p w14:paraId="7CEEE3A5">
            <w:pPr>
              <w:adjustRightInd w:val="0"/>
              <w:snapToGrid w:val="0"/>
              <w:jc w:val="center"/>
              <w:rPr>
                <w:bCs/>
              </w:rPr>
            </w:pPr>
            <w:r>
              <w:rPr>
                <w:rFonts w:hint="eastAsia" w:hAnsi="宋体"/>
                <w:bCs/>
                <w:szCs w:val="21"/>
              </w:rPr>
              <w:t>耒阳分输站东南侧340m</w:t>
            </w:r>
          </w:p>
        </w:tc>
        <w:tc>
          <w:tcPr>
            <w:tcW w:w="838" w:type="pct"/>
            <w:vMerge w:val="continue"/>
            <w:vAlign w:val="center"/>
          </w:tcPr>
          <w:p w14:paraId="38A1113A">
            <w:pPr>
              <w:pStyle w:val="1343"/>
            </w:pPr>
          </w:p>
        </w:tc>
      </w:tr>
      <w:tr w14:paraId="241C1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474" w:type="pct"/>
            <w:vAlign w:val="center"/>
          </w:tcPr>
          <w:p w14:paraId="5FC029E4">
            <w:pPr>
              <w:pStyle w:val="1343"/>
              <w:rPr>
                <w:bCs/>
              </w:rPr>
            </w:pPr>
            <w:r>
              <w:rPr>
                <w:bCs/>
              </w:rPr>
              <w:t>DW8</w:t>
            </w:r>
          </w:p>
        </w:tc>
        <w:tc>
          <w:tcPr>
            <w:tcW w:w="1225" w:type="pct"/>
            <w:vAlign w:val="center"/>
          </w:tcPr>
          <w:p w14:paraId="74460A7E">
            <w:pPr>
              <w:adjustRightInd w:val="0"/>
              <w:snapToGrid w:val="0"/>
              <w:jc w:val="center"/>
              <w:rPr>
                <w:bCs/>
                <w:szCs w:val="21"/>
              </w:rPr>
            </w:pPr>
            <w:r>
              <w:rPr>
                <w:rFonts w:hint="eastAsia"/>
                <w:bCs/>
                <w:szCs w:val="21"/>
              </w:rPr>
              <w:t>黎家洲</w:t>
            </w:r>
          </w:p>
        </w:tc>
        <w:tc>
          <w:tcPr>
            <w:tcW w:w="4720" w:type="dxa"/>
            <w:vAlign w:val="center"/>
          </w:tcPr>
          <w:p w14:paraId="2F6929AC">
            <w:pPr>
              <w:adjustRightInd w:val="0"/>
              <w:snapToGrid w:val="0"/>
              <w:jc w:val="center"/>
              <w:rPr>
                <w:bCs/>
              </w:rPr>
            </w:pPr>
            <w:r>
              <w:rPr>
                <w:rFonts w:hint="eastAsia" w:hAnsi="宋体"/>
                <w:bCs/>
                <w:szCs w:val="21"/>
              </w:rPr>
              <w:t>28号阀室东北侧480m</w:t>
            </w:r>
          </w:p>
        </w:tc>
        <w:tc>
          <w:tcPr>
            <w:tcW w:w="838" w:type="pct"/>
            <w:vMerge w:val="continue"/>
            <w:vAlign w:val="center"/>
          </w:tcPr>
          <w:p w14:paraId="28DD8D5B">
            <w:pPr>
              <w:pStyle w:val="1343"/>
            </w:pPr>
          </w:p>
        </w:tc>
      </w:tr>
      <w:tr w14:paraId="56FB9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474" w:type="pct"/>
            <w:vAlign w:val="center"/>
          </w:tcPr>
          <w:p w14:paraId="29C456C7">
            <w:pPr>
              <w:pStyle w:val="1343"/>
              <w:rPr>
                <w:bCs/>
              </w:rPr>
            </w:pPr>
            <w:r>
              <w:rPr>
                <w:bCs/>
              </w:rPr>
              <w:t>DW9</w:t>
            </w:r>
          </w:p>
        </w:tc>
        <w:tc>
          <w:tcPr>
            <w:tcW w:w="1225" w:type="pct"/>
            <w:vAlign w:val="center"/>
          </w:tcPr>
          <w:p w14:paraId="03A16ED4">
            <w:pPr>
              <w:adjustRightInd w:val="0"/>
              <w:snapToGrid w:val="0"/>
              <w:jc w:val="center"/>
              <w:rPr>
                <w:bCs/>
                <w:szCs w:val="21"/>
              </w:rPr>
            </w:pPr>
            <w:r>
              <w:rPr>
                <w:rFonts w:hint="eastAsia"/>
                <w:bCs/>
                <w:szCs w:val="21"/>
              </w:rPr>
              <w:t>黎家</w:t>
            </w:r>
          </w:p>
        </w:tc>
        <w:tc>
          <w:tcPr>
            <w:tcW w:w="4720" w:type="dxa"/>
            <w:vAlign w:val="center"/>
          </w:tcPr>
          <w:p w14:paraId="5440BBC4">
            <w:pPr>
              <w:adjustRightInd w:val="0"/>
              <w:snapToGrid w:val="0"/>
              <w:jc w:val="center"/>
              <w:rPr>
                <w:bCs/>
              </w:rPr>
            </w:pPr>
            <w:r>
              <w:rPr>
                <w:rFonts w:hint="eastAsia" w:hAnsi="宋体"/>
                <w:bCs/>
                <w:szCs w:val="21"/>
              </w:rPr>
              <w:t>28号阀室西北侧730m</w:t>
            </w:r>
          </w:p>
        </w:tc>
        <w:tc>
          <w:tcPr>
            <w:tcW w:w="838" w:type="pct"/>
            <w:vMerge w:val="continue"/>
            <w:vAlign w:val="center"/>
          </w:tcPr>
          <w:p w14:paraId="5B2AA80C">
            <w:pPr>
              <w:pStyle w:val="1343"/>
            </w:pPr>
          </w:p>
        </w:tc>
      </w:tr>
      <w:tr w14:paraId="21AED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Align w:val="center"/>
          </w:tcPr>
          <w:p w14:paraId="3A0072F6">
            <w:pPr>
              <w:pStyle w:val="1343"/>
              <w:rPr>
                <w:bCs/>
              </w:rPr>
            </w:pPr>
            <w:r>
              <w:rPr>
                <w:bCs/>
              </w:rPr>
              <w:t>DW10</w:t>
            </w:r>
          </w:p>
        </w:tc>
        <w:tc>
          <w:tcPr>
            <w:tcW w:w="1225" w:type="pct"/>
            <w:vAlign w:val="center"/>
          </w:tcPr>
          <w:p w14:paraId="29AE05D1">
            <w:pPr>
              <w:adjustRightInd w:val="0"/>
              <w:snapToGrid w:val="0"/>
              <w:jc w:val="center"/>
              <w:rPr>
                <w:bCs/>
                <w:szCs w:val="21"/>
              </w:rPr>
            </w:pPr>
            <w:r>
              <w:rPr>
                <w:rFonts w:hint="eastAsia"/>
                <w:bCs/>
                <w:szCs w:val="21"/>
              </w:rPr>
              <w:t>蒋家冲</w:t>
            </w:r>
          </w:p>
        </w:tc>
        <w:tc>
          <w:tcPr>
            <w:tcW w:w="4720" w:type="dxa"/>
            <w:vAlign w:val="center"/>
          </w:tcPr>
          <w:p w14:paraId="620C5B15">
            <w:pPr>
              <w:adjustRightInd w:val="0"/>
              <w:snapToGrid w:val="0"/>
              <w:jc w:val="center"/>
              <w:rPr>
                <w:bCs/>
              </w:rPr>
            </w:pPr>
            <w:r>
              <w:rPr>
                <w:rFonts w:hint="eastAsia"/>
                <w:bCs/>
                <w:szCs w:val="21"/>
              </w:rPr>
              <w:t>管线西侧40m</w:t>
            </w:r>
          </w:p>
        </w:tc>
        <w:tc>
          <w:tcPr>
            <w:tcW w:w="838" w:type="pct"/>
            <w:vMerge w:val="continue"/>
            <w:vAlign w:val="center"/>
          </w:tcPr>
          <w:p w14:paraId="79A3B02D">
            <w:pPr>
              <w:pStyle w:val="1343"/>
            </w:pPr>
          </w:p>
        </w:tc>
      </w:tr>
    </w:tbl>
    <w:p w14:paraId="0550C774">
      <w:pPr>
        <w:pStyle w:val="7"/>
        <w:spacing w:before="120" w:beforeLines="50"/>
        <w:rPr>
          <w:rStyle w:val="557"/>
          <w:color w:val="auto"/>
        </w:rPr>
      </w:pPr>
      <w:r>
        <w:rPr>
          <w:rStyle w:val="557"/>
          <w:color w:val="auto"/>
        </w:rPr>
        <w:t>监测因子</w:t>
      </w:r>
    </w:p>
    <w:p w14:paraId="17F90308">
      <w:pPr>
        <w:pStyle w:val="234"/>
      </w:pPr>
      <w:r>
        <w:t>背景离子：K</w:t>
      </w:r>
      <w:r>
        <w:rPr>
          <w:vertAlign w:val="superscript"/>
        </w:rPr>
        <w:t>+</w:t>
      </w:r>
      <w:r>
        <w:t>、Na</w:t>
      </w:r>
      <w:r>
        <w:rPr>
          <w:vertAlign w:val="superscript"/>
        </w:rPr>
        <w:t>+</w:t>
      </w:r>
      <w:r>
        <w:t>、Ca</w:t>
      </w:r>
      <w:r>
        <w:rPr>
          <w:vertAlign w:val="superscript"/>
        </w:rPr>
        <w:t>2+</w:t>
      </w:r>
      <w:r>
        <w:t>、Mg</w:t>
      </w:r>
      <w:r>
        <w:rPr>
          <w:vertAlign w:val="superscript"/>
        </w:rPr>
        <w:t>2+</w:t>
      </w:r>
      <w:r>
        <w:t>、CO</w:t>
      </w:r>
      <w:r>
        <w:rPr>
          <w:vertAlign w:val="subscript"/>
        </w:rPr>
        <w:t>3</w:t>
      </w:r>
      <w:r>
        <w:rPr>
          <w:vertAlign w:val="superscript"/>
        </w:rPr>
        <w:t>2-</w:t>
      </w:r>
      <w:r>
        <w:t>、HCO</w:t>
      </w:r>
      <w:r>
        <w:rPr>
          <w:vertAlign w:val="subscript"/>
        </w:rPr>
        <w:t>3</w:t>
      </w:r>
      <w:r>
        <w:rPr>
          <w:vertAlign w:val="superscript"/>
        </w:rPr>
        <w:t>-</w:t>
      </w:r>
      <w:r>
        <w:t>、Cl</w:t>
      </w:r>
      <w:r>
        <w:rPr>
          <w:vertAlign w:val="superscript"/>
        </w:rPr>
        <w:t>-</w:t>
      </w:r>
      <w:r>
        <w:t>、SO</w:t>
      </w:r>
      <w:r>
        <w:rPr>
          <w:vertAlign w:val="subscript"/>
        </w:rPr>
        <w:t>4</w:t>
      </w:r>
      <w:r>
        <w:rPr>
          <w:vertAlign w:val="superscript"/>
        </w:rPr>
        <w:t>2-</w:t>
      </w:r>
      <w:r>
        <w:t>，共8项；</w:t>
      </w:r>
    </w:p>
    <w:p w14:paraId="3C7C22D2">
      <w:pPr>
        <w:pStyle w:val="234"/>
      </w:pPr>
      <w:r>
        <w:t>水质因子：pH、氨氮(以N计)、硝酸盐(以N计)、亚硝酸盐(以N计)、挥发性酚类(以苯酚计)、氰化物、砷、汞、总硬度(以CaCO</w:t>
      </w:r>
      <w:r>
        <w:rPr>
          <w:vertAlign w:val="subscript"/>
        </w:rPr>
        <w:t>3</w:t>
      </w:r>
      <w:r>
        <w:t>计)、铅、铬(六价)、氟、镉、铁、锰、溶解性总固体、耗氧量(COD</w:t>
      </w:r>
      <w:r>
        <w:rPr>
          <w:vertAlign w:val="subscript"/>
        </w:rPr>
        <w:t>Mn</w:t>
      </w:r>
      <w:r>
        <w:t>法，以O</w:t>
      </w:r>
      <w:r>
        <w:rPr>
          <w:vertAlign w:val="subscript"/>
        </w:rPr>
        <w:t>2</w:t>
      </w:r>
      <w:r>
        <w:t>计)、总大肠菌群、菌落总数，石油类，共21项；</w:t>
      </w:r>
      <w:r>
        <w:rPr>
          <w:bCs/>
          <w:szCs w:val="21"/>
        </w:rPr>
        <w:t>同时测量井深、埋深、水位、水温等参数，并记录水井功能</w:t>
      </w:r>
      <w:r>
        <w:t>。</w:t>
      </w:r>
    </w:p>
    <w:p w14:paraId="33A87E98">
      <w:pPr>
        <w:pStyle w:val="7"/>
      </w:pPr>
      <w:r>
        <w:t>监测频次</w:t>
      </w:r>
    </w:p>
    <w:p w14:paraId="2AF80830">
      <w:pPr>
        <w:pStyle w:val="234"/>
      </w:pPr>
      <w:r>
        <w:t>监测单位：</w:t>
      </w:r>
      <w:r>
        <w:rPr>
          <w:rFonts w:hint="eastAsia"/>
        </w:rPr>
        <w:t>湖南华清检测技术有限公司</w:t>
      </w:r>
    </w:p>
    <w:p w14:paraId="6B8BE684">
      <w:pPr>
        <w:pStyle w:val="234"/>
      </w:pPr>
      <w:r>
        <w:t>监测时间：202</w:t>
      </w:r>
      <w:r>
        <w:rPr>
          <w:rFonts w:hint="eastAsia"/>
        </w:rPr>
        <w:t>3</w:t>
      </w:r>
      <w:r>
        <w:t>年</w:t>
      </w:r>
      <w:r>
        <w:rPr>
          <w:rFonts w:hint="eastAsia"/>
        </w:rPr>
        <w:t>8</w:t>
      </w:r>
      <w:r>
        <w:t>月1</w:t>
      </w:r>
      <w:r>
        <w:rPr>
          <w:rFonts w:hint="eastAsia"/>
        </w:rPr>
        <w:t>1</w:t>
      </w:r>
      <w:r>
        <w:t>日。</w:t>
      </w:r>
    </w:p>
    <w:p w14:paraId="6B80EB70">
      <w:pPr>
        <w:pStyle w:val="234"/>
      </w:pPr>
      <w:r>
        <w:t>监测频次：监测</w:t>
      </w:r>
      <w:r>
        <w:rPr>
          <w:rFonts w:hint="eastAsia"/>
        </w:rPr>
        <w:t>1</w:t>
      </w:r>
      <w:r>
        <w:t>天，采样1次。</w:t>
      </w:r>
    </w:p>
    <w:p w14:paraId="72999CCF">
      <w:pPr>
        <w:pStyle w:val="7"/>
      </w:pPr>
      <w:r>
        <w:t>监测分析方法</w:t>
      </w:r>
    </w:p>
    <w:p w14:paraId="087A491C">
      <w:pPr>
        <w:pStyle w:val="234"/>
      </w:pPr>
      <w:r>
        <w:t>本次监测分析方法及依据来源见</w:t>
      </w:r>
      <w:r>
        <w:rPr>
          <w:rFonts w:hint="eastAsia"/>
        </w:rPr>
        <w:t>表4</w:t>
      </w:r>
      <w:r>
        <w:t>.2</w:t>
      </w:r>
      <w:r>
        <w:rPr>
          <w:rFonts w:hint="eastAsia"/>
        </w:rPr>
        <w:t>-</w:t>
      </w:r>
      <w:r>
        <w:t>1</w:t>
      </w:r>
      <w:r>
        <w:rPr>
          <w:rFonts w:hint="eastAsia"/>
        </w:rPr>
        <w:t>2</w:t>
      </w:r>
      <w:r>
        <w:t>。</w:t>
      </w:r>
    </w:p>
    <w:p w14:paraId="29EE0806">
      <w:pPr>
        <w:pStyle w:val="904"/>
      </w:pPr>
      <w:r>
        <w:rPr>
          <w:rFonts w:hint="eastAsia"/>
        </w:rPr>
        <w:t>表4</w:t>
      </w:r>
      <w:r>
        <w:t>.2</w:t>
      </w:r>
      <w:r>
        <w:rPr>
          <w:rFonts w:hint="eastAsia"/>
        </w:rPr>
        <w:t>-</w:t>
      </w:r>
      <w:r>
        <w:t>1</w:t>
      </w:r>
      <w:r>
        <w:rPr>
          <w:rFonts w:hint="eastAsia"/>
        </w:rPr>
        <w:t>2</w:t>
      </w:r>
      <w:r>
        <w:t xml:space="preserve"> 地下水监测分析方法一览表</w:t>
      </w:r>
    </w:p>
    <w:tbl>
      <w:tblPr>
        <w:tblStyle w:val="88"/>
        <w:tblW w:w="5000" w:type="pct"/>
        <w:tblInd w:w="0" w:type="dxa"/>
        <w:tblLayout w:type="fixed"/>
        <w:tblCellMar>
          <w:top w:w="0" w:type="dxa"/>
          <w:left w:w="108" w:type="dxa"/>
          <w:bottom w:w="0" w:type="dxa"/>
          <w:right w:w="108" w:type="dxa"/>
        </w:tblCellMar>
      </w:tblPr>
      <w:tblGrid>
        <w:gridCol w:w="1255"/>
        <w:gridCol w:w="6918"/>
        <w:gridCol w:w="1413"/>
      </w:tblGrid>
      <w:tr w14:paraId="59D8DE1D">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29C614CA">
            <w:pPr>
              <w:pStyle w:val="1343"/>
            </w:pPr>
            <w:r>
              <w:t>检测项目</w:t>
            </w:r>
          </w:p>
        </w:tc>
        <w:tc>
          <w:tcPr>
            <w:tcW w:w="3607" w:type="pct"/>
            <w:tcBorders>
              <w:top w:val="single" w:color="000000" w:sz="4" w:space="0"/>
              <w:left w:val="single" w:color="000000" w:sz="4" w:space="0"/>
              <w:bottom w:val="single" w:color="000000" w:sz="4" w:space="0"/>
              <w:right w:val="single" w:color="000000" w:sz="4" w:space="0"/>
            </w:tcBorders>
            <w:vAlign w:val="center"/>
          </w:tcPr>
          <w:p w14:paraId="05B8EE0D">
            <w:pPr>
              <w:pStyle w:val="1343"/>
            </w:pPr>
            <w:r>
              <w:t>分析方法</w:t>
            </w:r>
          </w:p>
        </w:tc>
        <w:tc>
          <w:tcPr>
            <w:tcW w:w="737" w:type="pct"/>
            <w:tcBorders>
              <w:top w:val="single" w:color="000000" w:sz="4" w:space="0"/>
              <w:left w:val="single" w:color="000000" w:sz="4" w:space="0"/>
              <w:bottom w:val="single" w:color="000000" w:sz="4" w:space="0"/>
              <w:right w:val="single" w:color="000000" w:sz="4" w:space="0"/>
            </w:tcBorders>
            <w:vAlign w:val="center"/>
          </w:tcPr>
          <w:p w14:paraId="65ED5608">
            <w:pPr>
              <w:pStyle w:val="1343"/>
            </w:pPr>
            <w:r>
              <w:t>检出限</w:t>
            </w:r>
          </w:p>
        </w:tc>
      </w:tr>
      <w:tr w14:paraId="7E2E44CA">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41D74DA8">
            <w:pPr>
              <w:pStyle w:val="1343"/>
            </w:pPr>
            <w:r>
              <w:rPr>
                <w:kern w:val="2"/>
              </w:rPr>
              <w:t>pH值</w:t>
            </w:r>
          </w:p>
        </w:tc>
        <w:tc>
          <w:tcPr>
            <w:tcW w:w="3607" w:type="pct"/>
            <w:tcBorders>
              <w:top w:val="single" w:color="000000" w:sz="4" w:space="0"/>
              <w:left w:val="single" w:color="000000" w:sz="4" w:space="0"/>
              <w:bottom w:val="single" w:color="000000" w:sz="4" w:space="0"/>
              <w:right w:val="single" w:color="000000" w:sz="4" w:space="0"/>
            </w:tcBorders>
            <w:vAlign w:val="center"/>
          </w:tcPr>
          <w:p w14:paraId="0415159C">
            <w:pPr>
              <w:pStyle w:val="1343"/>
            </w:pPr>
            <w:r>
              <w:t>HJ 1147-2020 水质 pH值的测定 电极法</w:t>
            </w:r>
          </w:p>
        </w:tc>
        <w:tc>
          <w:tcPr>
            <w:tcW w:w="737" w:type="pct"/>
            <w:tcBorders>
              <w:top w:val="single" w:color="000000" w:sz="4" w:space="0"/>
              <w:left w:val="single" w:color="000000" w:sz="4" w:space="0"/>
              <w:bottom w:val="single" w:color="000000" w:sz="4" w:space="0"/>
              <w:right w:val="single" w:color="000000" w:sz="4" w:space="0"/>
            </w:tcBorders>
            <w:vAlign w:val="center"/>
          </w:tcPr>
          <w:p w14:paraId="7638AF68">
            <w:pPr>
              <w:pStyle w:val="1343"/>
            </w:pPr>
            <w:r>
              <w:rPr>
                <w:kern w:val="2"/>
              </w:rPr>
              <w:t>/</w:t>
            </w:r>
          </w:p>
        </w:tc>
      </w:tr>
      <w:tr w14:paraId="4B2E532C">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55480DF1">
            <w:pPr>
              <w:pStyle w:val="1343"/>
            </w:pPr>
            <w:r>
              <w:t>氨氮</w:t>
            </w:r>
          </w:p>
        </w:tc>
        <w:tc>
          <w:tcPr>
            <w:tcW w:w="3607" w:type="pct"/>
            <w:tcBorders>
              <w:top w:val="single" w:color="000000" w:sz="4" w:space="0"/>
              <w:left w:val="single" w:color="000000" w:sz="4" w:space="0"/>
              <w:bottom w:val="single" w:color="000000" w:sz="4" w:space="0"/>
              <w:right w:val="single" w:color="000000" w:sz="4" w:space="0"/>
            </w:tcBorders>
            <w:vAlign w:val="center"/>
          </w:tcPr>
          <w:p w14:paraId="353D09A5">
            <w:pPr>
              <w:pStyle w:val="1343"/>
            </w:pPr>
            <w:r>
              <w:rPr>
                <w:rFonts w:hint="eastAsia"/>
              </w:rPr>
              <w:t>HJ535-2009水质 氨氮的测定 纳氏试剂分光光度法</w:t>
            </w:r>
          </w:p>
        </w:tc>
        <w:tc>
          <w:tcPr>
            <w:tcW w:w="737" w:type="pct"/>
            <w:tcBorders>
              <w:top w:val="single" w:color="000000" w:sz="4" w:space="0"/>
              <w:left w:val="single" w:color="000000" w:sz="4" w:space="0"/>
              <w:bottom w:val="single" w:color="000000" w:sz="4" w:space="0"/>
              <w:right w:val="single" w:color="000000" w:sz="4" w:space="0"/>
            </w:tcBorders>
            <w:vAlign w:val="center"/>
          </w:tcPr>
          <w:p w14:paraId="7AD266D2">
            <w:pPr>
              <w:pStyle w:val="1343"/>
              <w:rPr>
                <w:rFonts w:eastAsia="Times New Roman"/>
              </w:rPr>
            </w:pPr>
            <w:r>
              <w:t>0.02</w:t>
            </w:r>
            <w:r>
              <w:rPr>
                <w:rFonts w:hint="eastAsia"/>
              </w:rPr>
              <w:t>5</w:t>
            </w:r>
            <w:r>
              <w:t>mg/L</w:t>
            </w:r>
          </w:p>
        </w:tc>
      </w:tr>
      <w:tr w14:paraId="7AA9DD18">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39F36500">
            <w:pPr>
              <w:pStyle w:val="1343"/>
            </w:pPr>
            <w:r>
              <w:rPr>
                <w:kern w:val="2"/>
              </w:rPr>
              <w:t>铅</w:t>
            </w:r>
          </w:p>
        </w:tc>
        <w:tc>
          <w:tcPr>
            <w:tcW w:w="3607" w:type="pct"/>
            <w:tcBorders>
              <w:top w:val="single" w:color="000000" w:sz="4" w:space="0"/>
              <w:left w:val="single" w:color="000000" w:sz="4" w:space="0"/>
              <w:bottom w:val="single" w:color="000000" w:sz="4" w:space="0"/>
              <w:right w:val="single" w:color="000000" w:sz="4" w:space="0"/>
            </w:tcBorders>
            <w:vAlign w:val="center"/>
          </w:tcPr>
          <w:p w14:paraId="2278B8B3">
            <w:pPr>
              <w:pStyle w:val="1343"/>
            </w:pPr>
            <w:r>
              <w:rPr>
                <w:rFonts w:hint="eastAsia"/>
              </w:rPr>
              <w:t>GB7457-87水质 铜、锌、铅、镉的测定 原子吸收分光光度法 螯合萃取法</w:t>
            </w:r>
          </w:p>
        </w:tc>
        <w:tc>
          <w:tcPr>
            <w:tcW w:w="737" w:type="pct"/>
            <w:tcBorders>
              <w:top w:val="single" w:color="000000" w:sz="4" w:space="0"/>
              <w:left w:val="single" w:color="000000" w:sz="4" w:space="0"/>
              <w:bottom w:val="single" w:color="000000" w:sz="4" w:space="0"/>
              <w:right w:val="single" w:color="000000" w:sz="4" w:space="0"/>
            </w:tcBorders>
            <w:vAlign w:val="center"/>
          </w:tcPr>
          <w:p w14:paraId="34D848FB">
            <w:pPr>
              <w:pStyle w:val="1343"/>
              <w:rPr>
                <w:rFonts w:eastAsia="Times New Roman"/>
              </w:rPr>
            </w:pPr>
            <w:r>
              <w:rPr>
                <w:rFonts w:hint="eastAsia"/>
              </w:rPr>
              <w:t>0.002mg</w:t>
            </w:r>
            <w:r>
              <w:t>/L</w:t>
            </w:r>
          </w:p>
        </w:tc>
      </w:tr>
      <w:tr w14:paraId="2EAA77DB">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0F4599AF">
            <w:pPr>
              <w:pStyle w:val="1343"/>
              <w:rPr>
                <w:kern w:val="2"/>
              </w:rPr>
            </w:pPr>
            <w:r>
              <w:rPr>
                <w:kern w:val="2"/>
              </w:rPr>
              <w:t>镉</w:t>
            </w:r>
          </w:p>
        </w:tc>
        <w:tc>
          <w:tcPr>
            <w:tcW w:w="3607" w:type="pct"/>
            <w:tcBorders>
              <w:top w:val="single" w:color="000000" w:sz="4" w:space="0"/>
              <w:left w:val="single" w:color="000000" w:sz="4" w:space="0"/>
              <w:bottom w:val="single" w:color="000000" w:sz="4" w:space="0"/>
              <w:right w:val="single" w:color="000000" w:sz="4" w:space="0"/>
            </w:tcBorders>
            <w:vAlign w:val="center"/>
          </w:tcPr>
          <w:p w14:paraId="6C1A4172">
            <w:pPr>
              <w:pStyle w:val="1343"/>
            </w:pPr>
            <w:r>
              <w:rPr>
                <w:rFonts w:hint="eastAsia"/>
              </w:rPr>
              <w:t>GB7457-87水质 铜、锌、铅、镉的测定 原子吸收分光光度法 螯合萃取法</w:t>
            </w:r>
          </w:p>
        </w:tc>
        <w:tc>
          <w:tcPr>
            <w:tcW w:w="737" w:type="pct"/>
            <w:tcBorders>
              <w:top w:val="single" w:color="000000" w:sz="4" w:space="0"/>
              <w:left w:val="single" w:color="000000" w:sz="4" w:space="0"/>
              <w:bottom w:val="single" w:color="000000" w:sz="4" w:space="0"/>
              <w:right w:val="single" w:color="000000" w:sz="4" w:space="0"/>
            </w:tcBorders>
            <w:vAlign w:val="center"/>
          </w:tcPr>
          <w:p w14:paraId="2D101DA4">
            <w:pPr>
              <w:pStyle w:val="1343"/>
              <w:rPr>
                <w:rFonts w:eastAsia="Times New Roman"/>
              </w:rPr>
            </w:pPr>
            <w:r>
              <w:rPr>
                <w:rFonts w:hint="eastAsia"/>
              </w:rPr>
              <w:t>0.0002mg</w:t>
            </w:r>
            <w:r>
              <w:t>/L</w:t>
            </w:r>
          </w:p>
        </w:tc>
      </w:tr>
      <w:tr w14:paraId="1BBD9A2B">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046CD632">
            <w:pPr>
              <w:pStyle w:val="1343"/>
              <w:rPr>
                <w:kern w:val="2"/>
              </w:rPr>
            </w:pPr>
            <w:r>
              <w:rPr>
                <w:rFonts w:hint="eastAsia"/>
                <w:kern w:val="2"/>
              </w:rPr>
              <w:t>砷</w:t>
            </w:r>
          </w:p>
        </w:tc>
        <w:tc>
          <w:tcPr>
            <w:tcW w:w="3607" w:type="pct"/>
            <w:tcBorders>
              <w:top w:val="single" w:color="000000" w:sz="4" w:space="0"/>
              <w:left w:val="single" w:color="000000" w:sz="4" w:space="0"/>
              <w:bottom w:val="single" w:color="000000" w:sz="4" w:space="0"/>
              <w:right w:val="single" w:color="000000" w:sz="4" w:space="0"/>
            </w:tcBorders>
            <w:vAlign w:val="center"/>
          </w:tcPr>
          <w:p w14:paraId="76F363BD">
            <w:pPr>
              <w:pStyle w:val="1343"/>
            </w:pPr>
            <w:r>
              <w:rPr>
                <w:rFonts w:hint="eastAsia"/>
              </w:rPr>
              <w:t>HJ694-2014水质 汞、砷、硒、铋和锑的测定 原子荧光法</w:t>
            </w:r>
          </w:p>
        </w:tc>
        <w:tc>
          <w:tcPr>
            <w:tcW w:w="737" w:type="pct"/>
            <w:tcBorders>
              <w:top w:val="single" w:color="000000" w:sz="4" w:space="0"/>
              <w:left w:val="single" w:color="000000" w:sz="4" w:space="0"/>
              <w:bottom w:val="single" w:color="000000" w:sz="4" w:space="0"/>
              <w:right w:val="single" w:color="000000" w:sz="4" w:space="0"/>
            </w:tcBorders>
            <w:vAlign w:val="center"/>
          </w:tcPr>
          <w:p w14:paraId="6CEACD1B">
            <w:pPr>
              <w:pStyle w:val="1343"/>
            </w:pPr>
            <w:r>
              <w:rPr>
                <w:rFonts w:hint="eastAsia"/>
              </w:rPr>
              <w:t>0.0003mg</w:t>
            </w:r>
            <w:r>
              <w:t>/L</w:t>
            </w:r>
          </w:p>
        </w:tc>
      </w:tr>
      <w:tr w14:paraId="123E00A6">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5B576EDF">
            <w:pPr>
              <w:pStyle w:val="1343"/>
              <w:rPr>
                <w:kern w:val="2"/>
              </w:rPr>
            </w:pPr>
            <w:r>
              <w:rPr>
                <w:rFonts w:hint="eastAsia"/>
                <w:kern w:val="2"/>
              </w:rPr>
              <w:t>汞</w:t>
            </w:r>
          </w:p>
        </w:tc>
        <w:tc>
          <w:tcPr>
            <w:tcW w:w="3607" w:type="pct"/>
            <w:tcBorders>
              <w:top w:val="single" w:color="000000" w:sz="4" w:space="0"/>
              <w:left w:val="single" w:color="000000" w:sz="4" w:space="0"/>
              <w:bottom w:val="single" w:color="000000" w:sz="4" w:space="0"/>
              <w:right w:val="single" w:color="000000" w:sz="4" w:space="0"/>
            </w:tcBorders>
            <w:vAlign w:val="center"/>
          </w:tcPr>
          <w:p w14:paraId="79118109">
            <w:pPr>
              <w:pStyle w:val="1343"/>
            </w:pPr>
            <w:r>
              <w:rPr>
                <w:rFonts w:hint="eastAsia"/>
              </w:rPr>
              <w:t>HJ694-2014水质 汞、砷、硒、铋和锑的测定 原子荧光法</w:t>
            </w:r>
          </w:p>
        </w:tc>
        <w:tc>
          <w:tcPr>
            <w:tcW w:w="737" w:type="pct"/>
            <w:tcBorders>
              <w:top w:val="single" w:color="000000" w:sz="4" w:space="0"/>
              <w:left w:val="single" w:color="000000" w:sz="4" w:space="0"/>
              <w:bottom w:val="single" w:color="000000" w:sz="4" w:space="0"/>
              <w:right w:val="single" w:color="000000" w:sz="4" w:space="0"/>
            </w:tcBorders>
            <w:vAlign w:val="center"/>
          </w:tcPr>
          <w:p w14:paraId="7D61DA06">
            <w:pPr>
              <w:pStyle w:val="1343"/>
            </w:pPr>
            <w:r>
              <w:rPr>
                <w:rFonts w:hint="eastAsia"/>
              </w:rPr>
              <w:t>0.00004mg</w:t>
            </w:r>
            <w:r>
              <w:t>/L</w:t>
            </w:r>
          </w:p>
        </w:tc>
      </w:tr>
      <w:tr w14:paraId="70DF3B53">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2525C74E">
            <w:pPr>
              <w:pStyle w:val="1343"/>
            </w:pPr>
            <w:r>
              <w:rPr>
                <w:kern w:val="2"/>
              </w:rPr>
              <w:t>溶解性总固体</w:t>
            </w:r>
          </w:p>
        </w:tc>
        <w:tc>
          <w:tcPr>
            <w:tcW w:w="3607" w:type="pct"/>
            <w:tcBorders>
              <w:top w:val="single" w:color="000000" w:sz="4" w:space="0"/>
              <w:left w:val="single" w:color="000000" w:sz="4" w:space="0"/>
              <w:bottom w:val="single" w:color="000000" w:sz="4" w:space="0"/>
              <w:right w:val="single" w:color="000000" w:sz="4" w:space="0"/>
            </w:tcBorders>
            <w:vAlign w:val="center"/>
          </w:tcPr>
          <w:p w14:paraId="00454FB6">
            <w:pPr>
              <w:pStyle w:val="1343"/>
            </w:pPr>
            <w:r>
              <w:rPr>
                <w:kern w:val="2"/>
              </w:rPr>
              <w:t>GB/T 5750.4-2006生活饮用水标准检验方法 感官性状和物理指标（8.1 溶解性总固体 称重法）</w:t>
            </w:r>
          </w:p>
        </w:tc>
        <w:tc>
          <w:tcPr>
            <w:tcW w:w="737" w:type="pct"/>
            <w:tcBorders>
              <w:top w:val="single" w:color="000000" w:sz="4" w:space="0"/>
              <w:left w:val="single" w:color="000000" w:sz="4" w:space="0"/>
              <w:bottom w:val="single" w:color="000000" w:sz="4" w:space="0"/>
              <w:right w:val="single" w:color="000000" w:sz="4" w:space="0"/>
            </w:tcBorders>
            <w:vAlign w:val="center"/>
          </w:tcPr>
          <w:p w14:paraId="20EDFCDF">
            <w:pPr>
              <w:pStyle w:val="1343"/>
              <w:rPr>
                <w:rFonts w:eastAsia="Times New Roman"/>
              </w:rPr>
            </w:pPr>
            <w:r>
              <w:rPr>
                <w:kern w:val="2"/>
              </w:rPr>
              <w:t>/</w:t>
            </w:r>
          </w:p>
        </w:tc>
      </w:tr>
      <w:tr w14:paraId="3DC4EE2D">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189810CC">
            <w:pPr>
              <w:pStyle w:val="1343"/>
            </w:pPr>
            <w:r>
              <w:rPr>
                <w:kern w:val="2"/>
              </w:rPr>
              <w:t>氟化物</w:t>
            </w:r>
          </w:p>
        </w:tc>
        <w:tc>
          <w:tcPr>
            <w:tcW w:w="3607" w:type="pct"/>
            <w:tcBorders>
              <w:top w:val="single" w:color="000000" w:sz="4" w:space="0"/>
              <w:left w:val="single" w:color="000000" w:sz="4" w:space="0"/>
              <w:bottom w:val="single" w:color="000000" w:sz="4" w:space="0"/>
              <w:right w:val="single" w:color="000000" w:sz="4" w:space="0"/>
            </w:tcBorders>
            <w:vAlign w:val="center"/>
          </w:tcPr>
          <w:p w14:paraId="366AA35C">
            <w:pPr>
              <w:pStyle w:val="1343"/>
            </w:pPr>
            <w:r>
              <w:rPr>
                <w:rFonts w:hint="eastAsia"/>
              </w:rPr>
              <w:t>GB7484-78水质 氟化物饿测定 离子选择电极法</w:t>
            </w:r>
          </w:p>
        </w:tc>
        <w:tc>
          <w:tcPr>
            <w:tcW w:w="737" w:type="pct"/>
            <w:tcBorders>
              <w:top w:val="single" w:color="000000" w:sz="4" w:space="0"/>
              <w:left w:val="single" w:color="000000" w:sz="4" w:space="0"/>
              <w:bottom w:val="single" w:color="000000" w:sz="4" w:space="0"/>
              <w:right w:val="single" w:color="000000" w:sz="4" w:space="0"/>
            </w:tcBorders>
            <w:vAlign w:val="center"/>
          </w:tcPr>
          <w:p w14:paraId="529D2735">
            <w:pPr>
              <w:pStyle w:val="1343"/>
              <w:rPr>
                <w:rFonts w:eastAsia="Times New Roman"/>
              </w:rPr>
            </w:pPr>
            <w:r>
              <w:rPr>
                <w:kern w:val="2"/>
              </w:rPr>
              <w:t>0.</w:t>
            </w:r>
            <w:r>
              <w:rPr>
                <w:rFonts w:hint="eastAsia"/>
                <w:kern w:val="2"/>
              </w:rPr>
              <w:t>05</w:t>
            </w:r>
            <w:r>
              <w:t>mg/L</w:t>
            </w:r>
          </w:p>
        </w:tc>
      </w:tr>
      <w:tr w14:paraId="6AEECFEA">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6367491C">
            <w:pPr>
              <w:pStyle w:val="1343"/>
            </w:pPr>
            <w:r>
              <w:t>挥发性酚类(以苯酚计)</w:t>
            </w:r>
          </w:p>
        </w:tc>
        <w:tc>
          <w:tcPr>
            <w:tcW w:w="3607" w:type="pct"/>
            <w:tcBorders>
              <w:top w:val="single" w:color="000000" w:sz="4" w:space="0"/>
              <w:left w:val="single" w:color="000000" w:sz="4" w:space="0"/>
              <w:bottom w:val="single" w:color="000000" w:sz="4" w:space="0"/>
              <w:right w:val="single" w:color="000000" w:sz="4" w:space="0"/>
            </w:tcBorders>
            <w:vAlign w:val="center"/>
          </w:tcPr>
          <w:p w14:paraId="32A17C26">
            <w:pPr>
              <w:pStyle w:val="1343"/>
            </w:pPr>
            <w:r>
              <w:rPr>
                <w:kern w:val="2"/>
              </w:rPr>
              <w:t>HJ 503-2009水质 挥发酚的测定 4-氨基安替比林分光光度法（萃取分光光度法）</w:t>
            </w:r>
          </w:p>
        </w:tc>
        <w:tc>
          <w:tcPr>
            <w:tcW w:w="737" w:type="pct"/>
            <w:tcBorders>
              <w:top w:val="single" w:color="000000" w:sz="4" w:space="0"/>
              <w:left w:val="single" w:color="000000" w:sz="4" w:space="0"/>
              <w:bottom w:val="single" w:color="000000" w:sz="4" w:space="0"/>
              <w:right w:val="single" w:color="000000" w:sz="4" w:space="0"/>
            </w:tcBorders>
            <w:vAlign w:val="center"/>
          </w:tcPr>
          <w:p w14:paraId="6B82A079">
            <w:pPr>
              <w:pStyle w:val="1343"/>
              <w:rPr>
                <w:rFonts w:eastAsia="Times New Roman"/>
              </w:rPr>
            </w:pPr>
            <w:r>
              <w:t>0.0003mg/L</w:t>
            </w:r>
          </w:p>
        </w:tc>
      </w:tr>
      <w:tr w14:paraId="6D1299A3">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05B313DD">
            <w:pPr>
              <w:pStyle w:val="1343"/>
            </w:pPr>
            <w:r>
              <w:rPr>
                <w:kern w:val="2"/>
              </w:rPr>
              <w:t>碳酸根</w:t>
            </w:r>
          </w:p>
        </w:tc>
        <w:tc>
          <w:tcPr>
            <w:tcW w:w="3607" w:type="pct"/>
            <w:tcBorders>
              <w:top w:val="single" w:color="000000" w:sz="4" w:space="0"/>
              <w:left w:val="single" w:color="000000" w:sz="4" w:space="0"/>
              <w:bottom w:val="single" w:color="000000" w:sz="4" w:space="0"/>
              <w:right w:val="single" w:color="000000" w:sz="4" w:space="0"/>
            </w:tcBorders>
            <w:vAlign w:val="center"/>
          </w:tcPr>
          <w:p w14:paraId="44D519DF">
            <w:pPr>
              <w:pStyle w:val="1343"/>
            </w:pPr>
            <w:r>
              <w:rPr>
                <w:kern w:val="2"/>
              </w:rPr>
              <w:t>国家环境保护总局 （2002年）第四版 增补版 水和废水监测分析方法 第三篇/第一章/十二/（一） 酸碱指示剂滴定法</w:t>
            </w:r>
          </w:p>
        </w:tc>
        <w:tc>
          <w:tcPr>
            <w:tcW w:w="737" w:type="pct"/>
            <w:tcBorders>
              <w:top w:val="single" w:color="000000" w:sz="4" w:space="0"/>
              <w:left w:val="single" w:color="000000" w:sz="4" w:space="0"/>
              <w:bottom w:val="single" w:color="000000" w:sz="4" w:space="0"/>
              <w:right w:val="single" w:color="000000" w:sz="4" w:space="0"/>
            </w:tcBorders>
            <w:vAlign w:val="center"/>
          </w:tcPr>
          <w:p w14:paraId="238C494E">
            <w:pPr>
              <w:pStyle w:val="1343"/>
            </w:pPr>
            <w:r>
              <w:rPr>
                <w:rFonts w:hint="eastAsia"/>
              </w:rPr>
              <w:t>/</w:t>
            </w:r>
          </w:p>
        </w:tc>
      </w:tr>
      <w:tr w14:paraId="0D066EEE">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7D4B6818">
            <w:pPr>
              <w:pStyle w:val="1343"/>
            </w:pPr>
            <w:r>
              <w:rPr>
                <w:kern w:val="2"/>
              </w:rPr>
              <w:t>碳酸氢根</w:t>
            </w:r>
          </w:p>
        </w:tc>
        <w:tc>
          <w:tcPr>
            <w:tcW w:w="3607" w:type="pct"/>
            <w:tcBorders>
              <w:top w:val="single" w:color="000000" w:sz="4" w:space="0"/>
              <w:left w:val="single" w:color="000000" w:sz="4" w:space="0"/>
              <w:bottom w:val="single" w:color="000000" w:sz="4" w:space="0"/>
              <w:right w:val="single" w:color="000000" w:sz="4" w:space="0"/>
            </w:tcBorders>
            <w:vAlign w:val="center"/>
          </w:tcPr>
          <w:p w14:paraId="65BADBCB">
            <w:pPr>
              <w:pStyle w:val="1343"/>
            </w:pPr>
            <w:r>
              <w:rPr>
                <w:kern w:val="2"/>
              </w:rPr>
              <w:t>国家环境保护总局 （2002年）第四版 增补版 水和废水监测分析方法 第三篇/第一章/十二/（一） 酸碱指示剂滴定法</w:t>
            </w:r>
          </w:p>
        </w:tc>
        <w:tc>
          <w:tcPr>
            <w:tcW w:w="737" w:type="pct"/>
            <w:tcBorders>
              <w:top w:val="single" w:color="000000" w:sz="4" w:space="0"/>
              <w:left w:val="single" w:color="000000" w:sz="4" w:space="0"/>
              <w:bottom w:val="single" w:color="000000" w:sz="4" w:space="0"/>
              <w:right w:val="single" w:color="000000" w:sz="4" w:space="0"/>
            </w:tcBorders>
            <w:vAlign w:val="center"/>
          </w:tcPr>
          <w:p w14:paraId="39CD1D5E">
            <w:pPr>
              <w:pStyle w:val="1343"/>
            </w:pPr>
            <w:r>
              <w:rPr>
                <w:rFonts w:hint="eastAsia"/>
              </w:rPr>
              <w:t>/</w:t>
            </w:r>
          </w:p>
        </w:tc>
      </w:tr>
      <w:tr w14:paraId="3177DCB9">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25E32C5C">
            <w:pPr>
              <w:pStyle w:val="1343"/>
            </w:pPr>
            <w:r>
              <w:t>铬(六价)</w:t>
            </w:r>
          </w:p>
        </w:tc>
        <w:tc>
          <w:tcPr>
            <w:tcW w:w="3607" w:type="pct"/>
            <w:tcBorders>
              <w:top w:val="single" w:color="000000" w:sz="4" w:space="0"/>
              <w:left w:val="single" w:color="000000" w:sz="4" w:space="0"/>
              <w:bottom w:val="single" w:color="000000" w:sz="4" w:space="0"/>
              <w:right w:val="single" w:color="000000" w:sz="4" w:space="0"/>
            </w:tcBorders>
            <w:vAlign w:val="center"/>
          </w:tcPr>
          <w:p w14:paraId="708523E8">
            <w:pPr>
              <w:pStyle w:val="1343"/>
            </w:pPr>
            <w:r>
              <w:rPr>
                <w:rFonts w:hint="eastAsia"/>
              </w:rPr>
              <w:t>GB7467-1987水质 六价铬的测定 二苯碳酰二肼分光光度法</w:t>
            </w:r>
          </w:p>
        </w:tc>
        <w:tc>
          <w:tcPr>
            <w:tcW w:w="737" w:type="pct"/>
            <w:tcBorders>
              <w:top w:val="single" w:color="000000" w:sz="4" w:space="0"/>
              <w:left w:val="single" w:color="000000" w:sz="4" w:space="0"/>
              <w:bottom w:val="single" w:color="000000" w:sz="4" w:space="0"/>
              <w:right w:val="single" w:color="000000" w:sz="4" w:space="0"/>
            </w:tcBorders>
            <w:vAlign w:val="center"/>
          </w:tcPr>
          <w:p w14:paraId="6DB8C31F">
            <w:pPr>
              <w:pStyle w:val="1343"/>
              <w:rPr>
                <w:rFonts w:eastAsia="Times New Roman"/>
              </w:rPr>
            </w:pPr>
            <w:r>
              <w:t>0.004mg/L</w:t>
            </w:r>
          </w:p>
        </w:tc>
      </w:tr>
      <w:tr w14:paraId="6805CBAB">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340910EA">
            <w:pPr>
              <w:pStyle w:val="1343"/>
            </w:pPr>
            <w:r>
              <w:t>硝酸盐</w:t>
            </w:r>
          </w:p>
          <w:p w14:paraId="4AB5D705">
            <w:pPr>
              <w:pStyle w:val="1343"/>
            </w:pPr>
            <w:r>
              <w:t>(以N计)</w:t>
            </w:r>
          </w:p>
        </w:tc>
        <w:tc>
          <w:tcPr>
            <w:tcW w:w="3607" w:type="pct"/>
            <w:tcBorders>
              <w:top w:val="single" w:color="000000" w:sz="4" w:space="0"/>
              <w:left w:val="single" w:color="000000" w:sz="4" w:space="0"/>
              <w:bottom w:val="single" w:color="000000" w:sz="4" w:space="0"/>
              <w:right w:val="single" w:color="000000" w:sz="4" w:space="0"/>
            </w:tcBorders>
            <w:vAlign w:val="center"/>
          </w:tcPr>
          <w:p w14:paraId="2A624407">
            <w:pPr>
              <w:pStyle w:val="1343"/>
            </w:pPr>
            <w:r>
              <w:rPr>
                <w:rFonts w:hint="eastAsia"/>
              </w:rPr>
              <w:t>HJ/T346-2007水质 硝酸盐氮的测定 紫外分光光度法（试行）</w:t>
            </w:r>
          </w:p>
        </w:tc>
        <w:tc>
          <w:tcPr>
            <w:tcW w:w="737" w:type="pct"/>
            <w:tcBorders>
              <w:top w:val="single" w:color="000000" w:sz="4" w:space="0"/>
              <w:left w:val="single" w:color="000000" w:sz="4" w:space="0"/>
              <w:bottom w:val="single" w:color="000000" w:sz="4" w:space="0"/>
              <w:right w:val="single" w:color="000000" w:sz="4" w:space="0"/>
            </w:tcBorders>
            <w:vAlign w:val="center"/>
          </w:tcPr>
          <w:p w14:paraId="57D381C8">
            <w:pPr>
              <w:pStyle w:val="1343"/>
              <w:rPr>
                <w:rFonts w:eastAsia="Times New Roman"/>
              </w:rPr>
            </w:pPr>
            <w:r>
              <w:rPr>
                <w:kern w:val="2"/>
              </w:rPr>
              <w:t>0.0</w:t>
            </w:r>
            <w:r>
              <w:rPr>
                <w:rFonts w:hint="eastAsia"/>
                <w:kern w:val="2"/>
              </w:rPr>
              <w:t>8</w:t>
            </w:r>
            <w:r>
              <w:rPr>
                <w:kern w:val="2"/>
              </w:rPr>
              <w:t>mg/L</w:t>
            </w:r>
          </w:p>
        </w:tc>
      </w:tr>
      <w:tr w14:paraId="65E94340">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05AF60B7">
            <w:pPr>
              <w:pStyle w:val="1343"/>
            </w:pPr>
            <w:r>
              <w:t>亚硝酸盐</w:t>
            </w:r>
          </w:p>
          <w:p w14:paraId="59F60BE8">
            <w:pPr>
              <w:pStyle w:val="1343"/>
            </w:pPr>
            <w:r>
              <w:t>(以N计)</w:t>
            </w:r>
          </w:p>
        </w:tc>
        <w:tc>
          <w:tcPr>
            <w:tcW w:w="3607" w:type="pct"/>
            <w:tcBorders>
              <w:top w:val="single" w:color="000000" w:sz="4" w:space="0"/>
              <w:left w:val="single" w:color="000000" w:sz="4" w:space="0"/>
              <w:bottom w:val="single" w:color="000000" w:sz="4" w:space="0"/>
              <w:right w:val="single" w:color="000000" w:sz="4" w:space="0"/>
            </w:tcBorders>
            <w:vAlign w:val="center"/>
          </w:tcPr>
          <w:p w14:paraId="47ED1096">
            <w:pPr>
              <w:pStyle w:val="1343"/>
            </w:pPr>
            <w:r>
              <w:rPr>
                <w:kern w:val="2"/>
              </w:rPr>
              <w:t>GB/T 7493-1987水质 亚硝酸盐氮的测定 分光光度法</w:t>
            </w:r>
          </w:p>
        </w:tc>
        <w:tc>
          <w:tcPr>
            <w:tcW w:w="737" w:type="pct"/>
            <w:tcBorders>
              <w:top w:val="single" w:color="000000" w:sz="4" w:space="0"/>
              <w:left w:val="single" w:color="000000" w:sz="4" w:space="0"/>
              <w:bottom w:val="single" w:color="000000" w:sz="4" w:space="0"/>
              <w:right w:val="single" w:color="000000" w:sz="4" w:space="0"/>
            </w:tcBorders>
            <w:vAlign w:val="center"/>
          </w:tcPr>
          <w:p w14:paraId="0E17F8B1">
            <w:pPr>
              <w:pStyle w:val="1343"/>
              <w:rPr>
                <w:rFonts w:eastAsia="Times New Roman"/>
              </w:rPr>
            </w:pPr>
            <w:r>
              <w:rPr>
                <w:kern w:val="2"/>
              </w:rPr>
              <w:t>0.003mg/L</w:t>
            </w:r>
          </w:p>
        </w:tc>
      </w:tr>
      <w:tr w14:paraId="1386C983">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38886EF3">
            <w:pPr>
              <w:pStyle w:val="1343"/>
            </w:pPr>
            <w:r>
              <w:rPr>
                <w:kern w:val="2"/>
              </w:rPr>
              <w:t>氰化物</w:t>
            </w:r>
          </w:p>
        </w:tc>
        <w:tc>
          <w:tcPr>
            <w:tcW w:w="3607" w:type="pct"/>
            <w:tcBorders>
              <w:top w:val="single" w:color="000000" w:sz="4" w:space="0"/>
              <w:left w:val="single" w:color="000000" w:sz="4" w:space="0"/>
              <w:bottom w:val="single" w:color="000000" w:sz="4" w:space="0"/>
              <w:right w:val="single" w:color="000000" w:sz="4" w:space="0"/>
            </w:tcBorders>
            <w:vAlign w:val="center"/>
          </w:tcPr>
          <w:p w14:paraId="1B03876A">
            <w:pPr>
              <w:pStyle w:val="1343"/>
            </w:pPr>
            <w:r>
              <w:rPr>
                <w:rFonts w:hint="eastAsia"/>
              </w:rPr>
              <w:t>HJ484-2009水质 氰化物的测定容量法和分光光度法</w:t>
            </w:r>
          </w:p>
        </w:tc>
        <w:tc>
          <w:tcPr>
            <w:tcW w:w="737" w:type="pct"/>
            <w:tcBorders>
              <w:top w:val="single" w:color="000000" w:sz="4" w:space="0"/>
              <w:left w:val="single" w:color="000000" w:sz="4" w:space="0"/>
              <w:bottom w:val="single" w:color="000000" w:sz="4" w:space="0"/>
              <w:right w:val="single" w:color="000000" w:sz="4" w:space="0"/>
            </w:tcBorders>
            <w:vAlign w:val="center"/>
          </w:tcPr>
          <w:p w14:paraId="47E79F71">
            <w:pPr>
              <w:pStyle w:val="1343"/>
              <w:rPr>
                <w:rFonts w:eastAsia="Times New Roman"/>
              </w:rPr>
            </w:pPr>
            <w:r>
              <w:rPr>
                <w:kern w:val="2"/>
              </w:rPr>
              <w:t>0.00</w:t>
            </w:r>
            <w:r>
              <w:rPr>
                <w:rFonts w:hint="eastAsia"/>
                <w:kern w:val="2"/>
              </w:rPr>
              <w:t>4</w:t>
            </w:r>
            <w:r>
              <w:t>mg/L</w:t>
            </w:r>
          </w:p>
        </w:tc>
      </w:tr>
      <w:tr w14:paraId="6EB1422B">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1ADB319C">
            <w:pPr>
              <w:pStyle w:val="1343"/>
              <w:rPr>
                <w:kern w:val="2"/>
              </w:rPr>
            </w:pPr>
            <w:r>
              <w:rPr>
                <w:rFonts w:hint="eastAsia"/>
                <w:kern w:val="2"/>
              </w:rPr>
              <w:t>氯化物</w:t>
            </w:r>
          </w:p>
        </w:tc>
        <w:tc>
          <w:tcPr>
            <w:tcW w:w="3607" w:type="pct"/>
            <w:tcBorders>
              <w:top w:val="single" w:color="000000" w:sz="4" w:space="0"/>
              <w:left w:val="single" w:color="000000" w:sz="4" w:space="0"/>
              <w:bottom w:val="single" w:color="000000" w:sz="4" w:space="0"/>
              <w:right w:val="single" w:color="000000" w:sz="4" w:space="0"/>
            </w:tcBorders>
            <w:vAlign w:val="center"/>
          </w:tcPr>
          <w:p w14:paraId="4EF3B5EB">
            <w:pPr>
              <w:pStyle w:val="1343"/>
            </w:pPr>
            <w:r>
              <w:rPr>
                <w:rFonts w:hint="eastAsia"/>
              </w:rPr>
              <w:t>GB11896-1989水质 氯化物的测定 硝酸根滴定法</w:t>
            </w:r>
          </w:p>
        </w:tc>
        <w:tc>
          <w:tcPr>
            <w:tcW w:w="737" w:type="pct"/>
            <w:tcBorders>
              <w:top w:val="single" w:color="000000" w:sz="4" w:space="0"/>
              <w:left w:val="single" w:color="000000" w:sz="4" w:space="0"/>
              <w:bottom w:val="single" w:color="000000" w:sz="4" w:space="0"/>
              <w:right w:val="single" w:color="000000" w:sz="4" w:space="0"/>
            </w:tcBorders>
            <w:vAlign w:val="center"/>
          </w:tcPr>
          <w:p w14:paraId="2883145A">
            <w:pPr>
              <w:pStyle w:val="1343"/>
              <w:rPr>
                <w:kern w:val="2"/>
              </w:rPr>
            </w:pPr>
            <w:r>
              <w:rPr>
                <w:rFonts w:hint="eastAsia"/>
                <w:kern w:val="2"/>
              </w:rPr>
              <w:t>/</w:t>
            </w:r>
          </w:p>
        </w:tc>
      </w:tr>
      <w:tr w14:paraId="418A6E9A">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2CB8D037">
            <w:pPr>
              <w:pStyle w:val="1343"/>
              <w:rPr>
                <w:kern w:val="2"/>
              </w:rPr>
            </w:pPr>
            <w:r>
              <w:rPr>
                <w:rFonts w:hint="eastAsia"/>
                <w:kern w:val="2"/>
              </w:rPr>
              <w:t>硫酸盐</w:t>
            </w:r>
          </w:p>
        </w:tc>
        <w:tc>
          <w:tcPr>
            <w:tcW w:w="3607" w:type="pct"/>
            <w:tcBorders>
              <w:top w:val="single" w:color="000000" w:sz="4" w:space="0"/>
              <w:left w:val="single" w:color="000000" w:sz="4" w:space="0"/>
              <w:bottom w:val="single" w:color="000000" w:sz="4" w:space="0"/>
              <w:right w:val="single" w:color="000000" w:sz="4" w:space="0"/>
            </w:tcBorders>
            <w:vAlign w:val="center"/>
          </w:tcPr>
          <w:p w14:paraId="73E46894">
            <w:pPr>
              <w:pStyle w:val="1343"/>
            </w:pPr>
            <w:r>
              <w:rPr>
                <w:rFonts w:hint="eastAsia"/>
              </w:rPr>
              <w:t>HJ/T342-2007水质 硫酸盐的测定 铬酸钡分光光度法（试行）</w:t>
            </w:r>
          </w:p>
        </w:tc>
        <w:tc>
          <w:tcPr>
            <w:tcW w:w="737" w:type="pct"/>
            <w:tcBorders>
              <w:top w:val="single" w:color="000000" w:sz="4" w:space="0"/>
              <w:left w:val="single" w:color="000000" w:sz="4" w:space="0"/>
              <w:bottom w:val="single" w:color="000000" w:sz="4" w:space="0"/>
              <w:right w:val="single" w:color="000000" w:sz="4" w:space="0"/>
            </w:tcBorders>
            <w:vAlign w:val="center"/>
          </w:tcPr>
          <w:p w14:paraId="35F5CAD6">
            <w:pPr>
              <w:pStyle w:val="1343"/>
              <w:rPr>
                <w:kern w:val="2"/>
              </w:rPr>
            </w:pPr>
            <w:r>
              <w:rPr>
                <w:rFonts w:hint="eastAsia"/>
                <w:kern w:val="2"/>
              </w:rPr>
              <w:t>8</w:t>
            </w:r>
            <w:r>
              <w:t>mg/L</w:t>
            </w:r>
          </w:p>
        </w:tc>
      </w:tr>
      <w:tr w14:paraId="0796D94F">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441617CD">
            <w:pPr>
              <w:pStyle w:val="1343"/>
              <w:rPr>
                <w:kern w:val="2"/>
              </w:rPr>
            </w:pPr>
            <w:r>
              <w:rPr>
                <w:rFonts w:hint="eastAsia"/>
                <w:kern w:val="2"/>
              </w:rPr>
              <w:t>铁</w:t>
            </w:r>
          </w:p>
        </w:tc>
        <w:tc>
          <w:tcPr>
            <w:tcW w:w="3607" w:type="pct"/>
            <w:tcBorders>
              <w:top w:val="single" w:color="000000" w:sz="4" w:space="0"/>
              <w:left w:val="single" w:color="000000" w:sz="4" w:space="0"/>
              <w:bottom w:val="single" w:color="000000" w:sz="4" w:space="0"/>
              <w:right w:val="single" w:color="000000" w:sz="4" w:space="0"/>
            </w:tcBorders>
            <w:vAlign w:val="center"/>
          </w:tcPr>
          <w:p w14:paraId="114A9964">
            <w:pPr>
              <w:pStyle w:val="1343"/>
            </w:pPr>
            <w:r>
              <w:rPr>
                <w:rFonts w:hint="eastAsia"/>
              </w:rPr>
              <w:t>GB11911-1989水质 铁、锰的测定 火焰原子吸收分光光度法</w:t>
            </w:r>
          </w:p>
        </w:tc>
        <w:tc>
          <w:tcPr>
            <w:tcW w:w="737" w:type="pct"/>
            <w:tcBorders>
              <w:top w:val="single" w:color="000000" w:sz="4" w:space="0"/>
              <w:left w:val="single" w:color="000000" w:sz="4" w:space="0"/>
              <w:bottom w:val="single" w:color="000000" w:sz="4" w:space="0"/>
              <w:right w:val="single" w:color="000000" w:sz="4" w:space="0"/>
            </w:tcBorders>
            <w:vAlign w:val="center"/>
          </w:tcPr>
          <w:p w14:paraId="05015167">
            <w:pPr>
              <w:pStyle w:val="1343"/>
              <w:rPr>
                <w:kern w:val="2"/>
              </w:rPr>
            </w:pPr>
            <w:r>
              <w:rPr>
                <w:rFonts w:hint="eastAsia"/>
                <w:kern w:val="2"/>
              </w:rPr>
              <w:t>0.03</w:t>
            </w:r>
            <w:r>
              <w:t>mg/L</w:t>
            </w:r>
          </w:p>
        </w:tc>
      </w:tr>
      <w:tr w14:paraId="022AD28B">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75BCAD2B">
            <w:pPr>
              <w:pStyle w:val="1343"/>
            </w:pPr>
            <w:r>
              <w:rPr>
                <w:kern w:val="2"/>
              </w:rPr>
              <w:t>锰</w:t>
            </w:r>
          </w:p>
        </w:tc>
        <w:tc>
          <w:tcPr>
            <w:tcW w:w="3607" w:type="pct"/>
            <w:tcBorders>
              <w:top w:val="single" w:color="000000" w:sz="4" w:space="0"/>
              <w:left w:val="single" w:color="000000" w:sz="4" w:space="0"/>
              <w:bottom w:val="single" w:color="000000" w:sz="4" w:space="0"/>
              <w:right w:val="single" w:color="000000" w:sz="4" w:space="0"/>
            </w:tcBorders>
            <w:vAlign w:val="center"/>
          </w:tcPr>
          <w:p w14:paraId="26F58F02">
            <w:pPr>
              <w:pStyle w:val="1343"/>
            </w:pPr>
            <w:r>
              <w:rPr>
                <w:rFonts w:hint="eastAsia"/>
              </w:rPr>
              <w:t>GB11911-1989水质 铁、锰的测定 火焰原子吸收分光光度法</w:t>
            </w:r>
          </w:p>
        </w:tc>
        <w:tc>
          <w:tcPr>
            <w:tcW w:w="737" w:type="pct"/>
            <w:tcBorders>
              <w:top w:val="single" w:color="000000" w:sz="4" w:space="0"/>
              <w:left w:val="single" w:color="000000" w:sz="4" w:space="0"/>
              <w:bottom w:val="single" w:color="000000" w:sz="4" w:space="0"/>
              <w:right w:val="single" w:color="000000" w:sz="4" w:space="0"/>
            </w:tcBorders>
            <w:vAlign w:val="center"/>
          </w:tcPr>
          <w:p w14:paraId="1C4F8E74">
            <w:pPr>
              <w:pStyle w:val="1343"/>
            </w:pPr>
            <w:r>
              <w:rPr>
                <w:kern w:val="2"/>
              </w:rPr>
              <w:t>0.01</w:t>
            </w:r>
            <w:r>
              <w:t>mg/L</w:t>
            </w:r>
          </w:p>
        </w:tc>
      </w:tr>
      <w:tr w14:paraId="097E345E">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2BD0EF0F">
            <w:pPr>
              <w:pStyle w:val="1343"/>
            </w:pPr>
            <w:r>
              <w:t>菌落总数</w:t>
            </w:r>
          </w:p>
        </w:tc>
        <w:tc>
          <w:tcPr>
            <w:tcW w:w="3607" w:type="pct"/>
            <w:tcBorders>
              <w:top w:val="single" w:color="000000" w:sz="4" w:space="0"/>
              <w:left w:val="single" w:color="000000" w:sz="4" w:space="0"/>
              <w:bottom w:val="single" w:color="000000" w:sz="4" w:space="0"/>
              <w:right w:val="single" w:color="000000" w:sz="4" w:space="0"/>
            </w:tcBorders>
            <w:vAlign w:val="center"/>
          </w:tcPr>
          <w:p w14:paraId="39905204">
            <w:pPr>
              <w:pStyle w:val="1343"/>
            </w:pPr>
            <w:r>
              <w:t>GB/T 5750.12-2006生活饮用水标准检验方法 微生物指标(1.1)平皿计数法</w:t>
            </w:r>
          </w:p>
        </w:tc>
        <w:tc>
          <w:tcPr>
            <w:tcW w:w="737" w:type="pct"/>
            <w:tcBorders>
              <w:top w:val="single" w:color="000000" w:sz="4" w:space="0"/>
              <w:left w:val="single" w:color="000000" w:sz="4" w:space="0"/>
              <w:bottom w:val="single" w:color="000000" w:sz="4" w:space="0"/>
              <w:right w:val="single" w:color="000000" w:sz="4" w:space="0"/>
            </w:tcBorders>
            <w:vAlign w:val="center"/>
          </w:tcPr>
          <w:p w14:paraId="45B737CA">
            <w:pPr>
              <w:pStyle w:val="1343"/>
              <w:rPr>
                <w:rFonts w:eastAsia="Times New Roman"/>
              </w:rPr>
            </w:pPr>
            <w:r>
              <w:t>/</w:t>
            </w:r>
          </w:p>
        </w:tc>
      </w:tr>
      <w:tr w14:paraId="5A3B868C">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7DD0B110">
            <w:pPr>
              <w:pStyle w:val="1343"/>
            </w:pPr>
            <w:r>
              <w:t>总大肠菌群</w:t>
            </w:r>
          </w:p>
        </w:tc>
        <w:tc>
          <w:tcPr>
            <w:tcW w:w="3607" w:type="pct"/>
            <w:tcBorders>
              <w:top w:val="single" w:color="000000" w:sz="4" w:space="0"/>
              <w:left w:val="single" w:color="000000" w:sz="4" w:space="0"/>
              <w:bottom w:val="single" w:color="000000" w:sz="4" w:space="0"/>
              <w:right w:val="single" w:color="000000" w:sz="4" w:space="0"/>
            </w:tcBorders>
            <w:vAlign w:val="center"/>
          </w:tcPr>
          <w:p w14:paraId="4C36EABB">
            <w:pPr>
              <w:pStyle w:val="1343"/>
            </w:pPr>
            <w:r>
              <w:t>GB/T 5750.12-2006 生活饮用水标准检验方法 微生物指标(2.1)多管发酵法</w:t>
            </w:r>
          </w:p>
        </w:tc>
        <w:tc>
          <w:tcPr>
            <w:tcW w:w="737" w:type="pct"/>
            <w:tcBorders>
              <w:top w:val="single" w:color="000000" w:sz="4" w:space="0"/>
              <w:left w:val="single" w:color="000000" w:sz="4" w:space="0"/>
              <w:bottom w:val="single" w:color="000000" w:sz="4" w:space="0"/>
              <w:right w:val="single" w:color="000000" w:sz="4" w:space="0"/>
            </w:tcBorders>
            <w:vAlign w:val="center"/>
          </w:tcPr>
          <w:p w14:paraId="154BE0AA">
            <w:pPr>
              <w:pStyle w:val="1343"/>
            </w:pPr>
            <w:r>
              <w:rPr>
                <w:rFonts w:hint="eastAsia"/>
              </w:rPr>
              <w:t>/</w:t>
            </w:r>
          </w:p>
        </w:tc>
      </w:tr>
      <w:tr w14:paraId="35B4B7F1">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5D4D0178">
            <w:pPr>
              <w:pStyle w:val="1343"/>
            </w:pPr>
            <w:r>
              <w:t>总硬度(以CaCO</w:t>
            </w:r>
            <w:r>
              <w:rPr>
                <w:vertAlign w:val="subscript"/>
              </w:rPr>
              <w:t>3</w:t>
            </w:r>
            <w:r>
              <w:t>计)</w:t>
            </w:r>
          </w:p>
        </w:tc>
        <w:tc>
          <w:tcPr>
            <w:tcW w:w="3607" w:type="pct"/>
            <w:tcBorders>
              <w:top w:val="single" w:color="000000" w:sz="4" w:space="0"/>
              <w:left w:val="single" w:color="000000" w:sz="4" w:space="0"/>
              <w:bottom w:val="single" w:color="000000" w:sz="4" w:space="0"/>
              <w:right w:val="single" w:color="000000" w:sz="4" w:space="0"/>
            </w:tcBorders>
            <w:vAlign w:val="center"/>
          </w:tcPr>
          <w:p w14:paraId="3685EC8B">
            <w:pPr>
              <w:pStyle w:val="1343"/>
            </w:pPr>
            <w:r>
              <w:rPr>
                <w:rFonts w:hint="eastAsia"/>
              </w:rPr>
              <w:t>GB7477-1987水质 钙和镁总量的测定 EDTA滴定法</w:t>
            </w:r>
          </w:p>
        </w:tc>
        <w:tc>
          <w:tcPr>
            <w:tcW w:w="737" w:type="pct"/>
            <w:tcBorders>
              <w:top w:val="single" w:color="000000" w:sz="4" w:space="0"/>
              <w:left w:val="single" w:color="000000" w:sz="4" w:space="0"/>
              <w:bottom w:val="single" w:color="000000" w:sz="4" w:space="0"/>
              <w:right w:val="single" w:color="000000" w:sz="4" w:space="0"/>
            </w:tcBorders>
            <w:vAlign w:val="center"/>
          </w:tcPr>
          <w:p w14:paraId="79EDFAE8">
            <w:pPr>
              <w:pStyle w:val="1343"/>
              <w:rPr>
                <w:rFonts w:eastAsia="Times New Roman"/>
              </w:rPr>
            </w:pPr>
            <w:r>
              <w:rPr>
                <w:rFonts w:hint="eastAsia"/>
              </w:rPr>
              <w:t>5</w:t>
            </w:r>
            <w:r>
              <w:t>.0mg/L</w:t>
            </w:r>
          </w:p>
        </w:tc>
      </w:tr>
      <w:tr w14:paraId="54768105">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24211394">
            <w:pPr>
              <w:pStyle w:val="1343"/>
            </w:pPr>
            <w:r>
              <w:t>钾</w:t>
            </w:r>
          </w:p>
        </w:tc>
        <w:tc>
          <w:tcPr>
            <w:tcW w:w="3607" w:type="pct"/>
            <w:tcBorders>
              <w:top w:val="single" w:color="000000" w:sz="4" w:space="0"/>
              <w:left w:val="single" w:color="000000" w:sz="4" w:space="0"/>
              <w:bottom w:val="single" w:color="000000" w:sz="4" w:space="0"/>
              <w:right w:val="single" w:color="000000" w:sz="4" w:space="0"/>
            </w:tcBorders>
            <w:vAlign w:val="center"/>
          </w:tcPr>
          <w:p w14:paraId="4293C6D5">
            <w:pPr>
              <w:pStyle w:val="1343"/>
            </w:pPr>
            <w:r>
              <w:rPr>
                <w:rFonts w:hint="eastAsia"/>
              </w:rPr>
              <w:t>HJ776-2015水质 32中元素的测定 电感耦合等离子体发射光谱法</w:t>
            </w:r>
          </w:p>
        </w:tc>
        <w:tc>
          <w:tcPr>
            <w:tcW w:w="737" w:type="pct"/>
            <w:tcBorders>
              <w:top w:val="single" w:color="000000" w:sz="4" w:space="0"/>
              <w:left w:val="single" w:color="000000" w:sz="4" w:space="0"/>
              <w:bottom w:val="single" w:color="000000" w:sz="4" w:space="0"/>
              <w:right w:val="single" w:color="000000" w:sz="4" w:space="0"/>
            </w:tcBorders>
            <w:vAlign w:val="center"/>
          </w:tcPr>
          <w:p w14:paraId="0EF507DC">
            <w:pPr>
              <w:pStyle w:val="1343"/>
              <w:rPr>
                <w:rFonts w:eastAsia="Times New Roman"/>
              </w:rPr>
            </w:pPr>
            <w:r>
              <w:rPr>
                <w:kern w:val="2"/>
              </w:rPr>
              <w:t>0.0</w:t>
            </w:r>
            <w:r>
              <w:rPr>
                <w:rFonts w:hint="eastAsia"/>
                <w:kern w:val="2"/>
              </w:rPr>
              <w:t>5</w:t>
            </w:r>
            <w:r>
              <w:rPr>
                <w:kern w:val="2"/>
              </w:rPr>
              <w:t>mg/L</w:t>
            </w:r>
          </w:p>
        </w:tc>
      </w:tr>
      <w:tr w14:paraId="446E6CE3">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56AEF037">
            <w:pPr>
              <w:pStyle w:val="1343"/>
            </w:pPr>
            <w:r>
              <w:rPr>
                <w:kern w:val="2"/>
              </w:rPr>
              <w:t>钠</w:t>
            </w:r>
          </w:p>
        </w:tc>
        <w:tc>
          <w:tcPr>
            <w:tcW w:w="3607" w:type="pct"/>
            <w:tcBorders>
              <w:top w:val="single" w:color="000000" w:sz="4" w:space="0"/>
              <w:left w:val="single" w:color="000000" w:sz="4" w:space="0"/>
              <w:bottom w:val="single" w:color="000000" w:sz="4" w:space="0"/>
              <w:right w:val="single" w:color="000000" w:sz="4" w:space="0"/>
            </w:tcBorders>
            <w:vAlign w:val="center"/>
          </w:tcPr>
          <w:p w14:paraId="5465E87B">
            <w:pPr>
              <w:pStyle w:val="1343"/>
              <w:rPr>
                <w:color w:val="0000FF"/>
              </w:rPr>
            </w:pPr>
            <w:r>
              <w:rPr>
                <w:rFonts w:hint="eastAsia"/>
              </w:rPr>
              <w:t>HJ776-2015水质 32中元素的测定 电感耦合等离子体发射光谱法</w:t>
            </w:r>
          </w:p>
        </w:tc>
        <w:tc>
          <w:tcPr>
            <w:tcW w:w="737" w:type="pct"/>
            <w:tcBorders>
              <w:top w:val="single" w:color="000000" w:sz="4" w:space="0"/>
              <w:left w:val="single" w:color="000000" w:sz="4" w:space="0"/>
              <w:bottom w:val="single" w:color="000000" w:sz="4" w:space="0"/>
              <w:right w:val="single" w:color="000000" w:sz="4" w:space="0"/>
            </w:tcBorders>
            <w:vAlign w:val="center"/>
          </w:tcPr>
          <w:p w14:paraId="1BE15893">
            <w:pPr>
              <w:pStyle w:val="1343"/>
              <w:rPr>
                <w:rFonts w:eastAsia="Times New Roman"/>
              </w:rPr>
            </w:pPr>
            <w:r>
              <w:t>0.0</w:t>
            </w:r>
            <w:r>
              <w:rPr>
                <w:rFonts w:hint="eastAsia"/>
              </w:rPr>
              <w:t>3</w:t>
            </w:r>
            <w:r>
              <w:t>mg/L</w:t>
            </w:r>
          </w:p>
        </w:tc>
      </w:tr>
      <w:tr w14:paraId="7CD80D23">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7EB47541">
            <w:pPr>
              <w:pStyle w:val="1343"/>
              <w:rPr>
                <w:kern w:val="2"/>
              </w:rPr>
            </w:pPr>
            <w:r>
              <w:rPr>
                <w:rFonts w:hint="eastAsia"/>
                <w:kern w:val="2"/>
              </w:rPr>
              <w:t>钙</w:t>
            </w:r>
          </w:p>
        </w:tc>
        <w:tc>
          <w:tcPr>
            <w:tcW w:w="3607" w:type="pct"/>
            <w:tcBorders>
              <w:top w:val="single" w:color="000000" w:sz="4" w:space="0"/>
              <w:left w:val="single" w:color="000000" w:sz="4" w:space="0"/>
              <w:bottom w:val="single" w:color="000000" w:sz="4" w:space="0"/>
              <w:right w:val="single" w:color="000000" w:sz="4" w:space="0"/>
            </w:tcBorders>
            <w:vAlign w:val="center"/>
          </w:tcPr>
          <w:p w14:paraId="571F0DB7">
            <w:pPr>
              <w:pStyle w:val="1343"/>
              <w:rPr>
                <w:color w:val="0000FF"/>
              </w:rPr>
            </w:pPr>
            <w:r>
              <w:rPr>
                <w:rFonts w:hint="eastAsia"/>
              </w:rPr>
              <w:t>HJ776-2015水质 32中元素的测定 电感耦合等离子体发射光谱法</w:t>
            </w:r>
          </w:p>
        </w:tc>
        <w:tc>
          <w:tcPr>
            <w:tcW w:w="737" w:type="pct"/>
            <w:tcBorders>
              <w:top w:val="single" w:color="000000" w:sz="4" w:space="0"/>
              <w:left w:val="single" w:color="000000" w:sz="4" w:space="0"/>
              <w:bottom w:val="single" w:color="000000" w:sz="4" w:space="0"/>
              <w:right w:val="single" w:color="000000" w:sz="4" w:space="0"/>
            </w:tcBorders>
            <w:vAlign w:val="center"/>
          </w:tcPr>
          <w:p w14:paraId="25B39A0A">
            <w:pPr>
              <w:pStyle w:val="1343"/>
            </w:pPr>
            <w:r>
              <w:rPr>
                <w:rFonts w:hint="eastAsia"/>
              </w:rPr>
              <w:t>0.02</w:t>
            </w:r>
            <w:r>
              <w:t>mg/L</w:t>
            </w:r>
          </w:p>
        </w:tc>
      </w:tr>
      <w:tr w14:paraId="55FF46D2">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53690BC3">
            <w:pPr>
              <w:pStyle w:val="1343"/>
              <w:rPr>
                <w:kern w:val="2"/>
              </w:rPr>
            </w:pPr>
            <w:r>
              <w:rPr>
                <w:rFonts w:hint="eastAsia"/>
                <w:kern w:val="2"/>
              </w:rPr>
              <w:t>镁</w:t>
            </w:r>
          </w:p>
        </w:tc>
        <w:tc>
          <w:tcPr>
            <w:tcW w:w="3607" w:type="pct"/>
            <w:tcBorders>
              <w:top w:val="single" w:color="000000" w:sz="4" w:space="0"/>
              <w:left w:val="single" w:color="000000" w:sz="4" w:space="0"/>
              <w:bottom w:val="single" w:color="000000" w:sz="4" w:space="0"/>
              <w:right w:val="single" w:color="000000" w:sz="4" w:space="0"/>
            </w:tcBorders>
            <w:vAlign w:val="center"/>
          </w:tcPr>
          <w:p w14:paraId="37E6AF44">
            <w:pPr>
              <w:pStyle w:val="1343"/>
              <w:rPr>
                <w:color w:val="0000FF"/>
              </w:rPr>
            </w:pPr>
            <w:r>
              <w:rPr>
                <w:rFonts w:hint="eastAsia"/>
              </w:rPr>
              <w:t>HJ776-2015水质 32中元素的测定 电感耦合等离子体发射光谱法</w:t>
            </w:r>
          </w:p>
        </w:tc>
        <w:tc>
          <w:tcPr>
            <w:tcW w:w="737" w:type="pct"/>
            <w:tcBorders>
              <w:top w:val="single" w:color="000000" w:sz="4" w:space="0"/>
              <w:left w:val="single" w:color="000000" w:sz="4" w:space="0"/>
              <w:bottom w:val="single" w:color="000000" w:sz="4" w:space="0"/>
              <w:right w:val="single" w:color="000000" w:sz="4" w:space="0"/>
            </w:tcBorders>
            <w:vAlign w:val="center"/>
          </w:tcPr>
          <w:p w14:paraId="6B6FA98F">
            <w:pPr>
              <w:pStyle w:val="1343"/>
            </w:pPr>
            <w:r>
              <w:rPr>
                <w:rFonts w:hint="eastAsia"/>
              </w:rPr>
              <w:t>0.003</w:t>
            </w:r>
            <w:r>
              <w:t>mg/L</w:t>
            </w:r>
          </w:p>
        </w:tc>
      </w:tr>
      <w:tr w14:paraId="4B346240">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1D95C148">
            <w:pPr>
              <w:pStyle w:val="1343"/>
            </w:pPr>
            <w:r>
              <w:t>耗氧量</w:t>
            </w:r>
          </w:p>
        </w:tc>
        <w:tc>
          <w:tcPr>
            <w:tcW w:w="3607" w:type="pct"/>
            <w:tcBorders>
              <w:top w:val="single" w:color="000000" w:sz="4" w:space="0"/>
              <w:left w:val="single" w:color="000000" w:sz="4" w:space="0"/>
              <w:bottom w:val="single" w:color="000000" w:sz="4" w:space="0"/>
              <w:right w:val="single" w:color="000000" w:sz="4" w:space="0"/>
            </w:tcBorders>
            <w:vAlign w:val="center"/>
          </w:tcPr>
          <w:p w14:paraId="4743C3F9">
            <w:pPr>
              <w:pStyle w:val="1343"/>
            </w:pPr>
            <w:r>
              <w:t>GB/T 5750.</w:t>
            </w:r>
            <w:r>
              <w:rPr>
                <w:rFonts w:hint="eastAsia"/>
              </w:rPr>
              <w:t>7</w:t>
            </w:r>
            <w:r>
              <w:t>-2006生活饮用水标准检验方法 有机物综合指标（1.1  酸性高锰酸钾滴定法）</w:t>
            </w:r>
          </w:p>
        </w:tc>
        <w:tc>
          <w:tcPr>
            <w:tcW w:w="737" w:type="pct"/>
            <w:tcBorders>
              <w:top w:val="single" w:color="000000" w:sz="4" w:space="0"/>
              <w:left w:val="single" w:color="000000" w:sz="4" w:space="0"/>
              <w:bottom w:val="single" w:color="000000" w:sz="4" w:space="0"/>
              <w:right w:val="single" w:color="000000" w:sz="4" w:space="0"/>
            </w:tcBorders>
            <w:vAlign w:val="center"/>
          </w:tcPr>
          <w:p w14:paraId="2096E049">
            <w:pPr>
              <w:pStyle w:val="1343"/>
              <w:rPr>
                <w:rFonts w:eastAsia="Times New Roman"/>
              </w:rPr>
            </w:pPr>
            <w:r>
              <w:t>0.0</w:t>
            </w:r>
            <w:r>
              <w:rPr>
                <w:rFonts w:hint="eastAsia"/>
              </w:rPr>
              <w:t>1</w:t>
            </w:r>
            <w:r>
              <w:t>mg/L</w:t>
            </w:r>
          </w:p>
        </w:tc>
      </w:tr>
      <w:tr w14:paraId="2C8A1725">
        <w:tblPrEx>
          <w:tblCellMar>
            <w:top w:w="0" w:type="dxa"/>
            <w:left w:w="108" w:type="dxa"/>
            <w:bottom w:w="0" w:type="dxa"/>
            <w:right w:w="108" w:type="dxa"/>
          </w:tblCellMar>
        </w:tblPrEx>
        <w:trPr>
          <w:trHeight w:val="340" w:hRule="atLeast"/>
        </w:trPr>
        <w:tc>
          <w:tcPr>
            <w:tcW w:w="654" w:type="pct"/>
            <w:tcBorders>
              <w:top w:val="single" w:color="000000" w:sz="4" w:space="0"/>
              <w:left w:val="single" w:color="000000" w:sz="4" w:space="0"/>
              <w:bottom w:val="single" w:color="000000" w:sz="4" w:space="0"/>
              <w:right w:val="single" w:color="000000" w:sz="4" w:space="0"/>
            </w:tcBorders>
            <w:vAlign w:val="center"/>
          </w:tcPr>
          <w:p w14:paraId="48BFEB98">
            <w:pPr>
              <w:pStyle w:val="1343"/>
            </w:pPr>
            <w:r>
              <w:rPr>
                <w:kern w:val="2"/>
              </w:rPr>
              <w:t>石油类</w:t>
            </w:r>
          </w:p>
        </w:tc>
        <w:tc>
          <w:tcPr>
            <w:tcW w:w="3607" w:type="pct"/>
            <w:tcBorders>
              <w:top w:val="single" w:color="000000" w:sz="4" w:space="0"/>
              <w:left w:val="single" w:color="000000" w:sz="4" w:space="0"/>
              <w:bottom w:val="single" w:color="000000" w:sz="4" w:space="0"/>
              <w:right w:val="single" w:color="000000" w:sz="4" w:space="0"/>
            </w:tcBorders>
            <w:vAlign w:val="center"/>
          </w:tcPr>
          <w:p w14:paraId="0B5E8E0A">
            <w:pPr>
              <w:pStyle w:val="1343"/>
            </w:pPr>
            <w:r>
              <w:t>HJ 970-2018水质 石油类的测定 紫外分光光度法（试行）</w:t>
            </w:r>
          </w:p>
        </w:tc>
        <w:tc>
          <w:tcPr>
            <w:tcW w:w="737" w:type="pct"/>
            <w:tcBorders>
              <w:top w:val="single" w:color="000000" w:sz="4" w:space="0"/>
              <w:left w:val="single" w:color="000000" w:sz="4" w:space="0"/>
              <w:bottom w:val="single" w:color="000000" w:sz="4" w:space="0"/>
              <w:right w:val="single" w:color="000000" w:sz="4" w:space="0"/>
            </w:tcBorders>
            <w:vAlign w:val="center"/>
          </w:tcPr>
          <w:p w14:paraId="1F918CC6">
            <w:pPr>
              <w:pStyle w:val="1343"/>
              <w:rPr>
                <w:lang w:eastAsia="en-US"/>
              </w:rPr>
            </w:pPr>
            <w:r>
              <w:t>0.01mg/L</w:t>
            </w:r>
          </w:p>
        </w:tc>
      </w:tr>
    </w:tbl>
    <w:p w14:paraId="104401BE">
      <w:pPr>
        <w:pStyle w:val="7"/>
        <w:spacing w:before="120" w:beforeLines="50"/>
        <w:rPr>
          <w:rStyle w:val="557"/>
          <w:color w:val="auto"/>
        </w:rPr>
      </w:pPr>
      <w:r>
        <w:rPr>
          <w:rStyle w:val="557"/>
          <w:color w:val="auto"/>
        </w:rPr>
        <w:t>地下水监测结果</w:t>
      </w:r>
    </w:p>
    <w:p w14:paraId="751C986E">
      <w:pPr>
        <w:pStyle w:val="234"/>
      </w:pPr>
      <w:r>
        <w:t>地下水监测点位监测水文参数见</w:t>
      </w:r>
      <w:r>
        <w:rPr>
          <w:rFonts w:hint="eastAsia"/>
        </w:rPr>
        <w:t>表4</w:t>
      </w:r>
      <w:r>
        <w:t>.2</w:t>
      </w:r>
      <w:r>
        <w:rPr>
          <w:rFonts w:hint="eastAsia"/>
        </w:rPr>
        <w:t>-</w:t>
      </w:r>
      <w:r>
        <w:t>1</w:t>
      </w:r>
      <w:r>
        <w:rPr>
          <w:rFonts w:hint="eastAsia"/>
        </w:rPr>
        <w:t>3</w:t>
      </w:r>
      <w:r>
        <w:t>，</w:t>
      </w:r>
      <w:r>
        <w:rPr>
          <w:rFonts w:hint="eastAsia"/>
        </w:rPr>
        <w:t>阴阳</w:t>
      </w:r>
      <w:r>
        <w:t>离子计算结果见</w:t>
      </w:r>
      <w:r>
        <w:rPr>
          <w:rFonts w:hint="eastAsia"/>
        </w:rPr>
        <w:t>表4</w:t>
      </w:r>
      <w:r>
        <w:t>.2</w:t>
      </w:r>
      <w:r>
        <w:rPr>
          <w:rFonts w:hint="eastAsia"/>
        </w:rPr>
        <w:t>-</w:t>
      </w:r>
      <w:r>
        <w:t>1</w:t>
      </w:r>
      <w:r>
        <w:rPr>
          <w:rFonts w:hint="eastAsia"/>
        </w:rPr>
        <w:t>4</w:t>
      </w:r>
      <w:r>
        <w:t>，地下水监测结果见</w:t>
      </w:r>
      <w:r>
        <w:rPr>
          <w:rFonts w:hint="eastAsia"/>
        </w:rPr>
        <w:t>表4</w:t>
      </w:r>
      <w:r>
        <w:t>.2</w:t>
      </w:r>
      <w:r>
        <w:rPr>
          <w:rFonts w:hint="eastAsia"/>
        </w:rPr>
        <w:t>-</w:t>
      </w:r>
      <w:r>
        <w:t>1</w:t>
      </w:r>
      <w:r>
        <w:rPr>
          <w:rFonts w:hint="eastAsia"/>
        </w:rPr>
        <w:t>5。</w:t>
      </w:r>
    </w:p>
    <w:p w14:paraId="5B64F67C">
      <w:pPr>
        <w:pStyle w:val="904"/>
      </w:pPr>
      <w:bookmarkStart w:id="177" w:name="_Ref77002755"/>
      <w:r>
        <w:t xml:space="preserve">表 </w:t>
      </w:r>
      <w:r>
        <w:fldChar w:fldCharType="begin"/>
      </w:r>
      <w:r>
        <w:instrText xml:space="preserve"> STYLEREF 2 \s </w:instrText>
      </w:r>
      <w:r>
        <w:fldChar w:fldCharType="separate"/>
      </w:r>
      <w:r>
        <w:t>4.2</w:t>
      </w:r>
      <w:r>
        <w:fldChar w:fldCharType="end"/>
      </w:r>
      <w:bookmarkEnd w:id="177"/>
      <w:r>
        <w:rPr>
          <w:rFonts w:hint="eastAsia"/>
        </w:rPr>
        <w:t>-</w:t>
      </w:r>
      <w:r>
        <w:t>1</w:t>
      </w:r>
      <w:r>
        <w:rPr>
          <w:rFonts w:hint="eastAsia"/>
        </w:rPr>
        <w:t>3</w:t>
      </w:r>
      <w:r>
        <w:t>地下水监测点位水文参数</w:t>
      </w:r>
    </w:p>
    <w:tbl>
      <w:tblPr>
        <w:tblStyle w:val="88"/>
        <w:tblW w:w="5000" w:type="pct"/>
        <w:jc w:val="center"/>
        <w:tblLayout w:type="autofit"/>
        <w:tblCellMar>
          <w:top w:w="0" w:type="dxa"/>
          <w:left w:w="108" w:type="dxa"/>
          <w:bottom w:w="0" w:type="dxa"/>
          <w:right w:w="108" w:type="dxa"/>
        </w:tblCellMar>
      </w:tblPr>
      <w:tblGrid>
        <w:gridCol w:w="2588"/>
        <w:gridCol w:w="1445"/>
        <w:gridCol w:w="2089"/>
        <w:gridCol w:w="1521"/>
        <w:gridCol w:w="1943"/>
      </w:tblGrid>
      <w:tr w14:paraId="12B7FC16">
        <w:tblPrEx>
          <w:tblCellMar>
            <w:top w:w="0" w:type="dxa"/>
            <w:left w:w="108" w:type="dxa"/>
            <w:bottom w:w="0" w:type="dxa"/>
            <w:right w:w="108" w:type="dxa"/>
          </w:tblCellMar>
        </w:tblPrEx>
        <w:trPr>
          <w:trHeight w:val="340" w:hRule="atLeast"/>
          <w:jc w:val="center"/>
        </w:trPr>
        <w:tc>
          <w:tcPr>
            <w:tcW w:w="1349" w:type="pct"/>
            <w:tcBorders>
              <w:top w:val="single" w:color="000000" w:sz="4" w:space="0"/>
              <w:left w:val="single" w:color="000000" w:sz="4" w:space="0"/>
              <w:bottom w:val="single" w:color="000000" w:sz="4" w:space="0"/>
              <w:right w:val="single" w:color="000000" w:sz="4" w:space="0"/>
            </w:tcBorders>
            <w:vAlign w:val="center"/>
          </w:tcPr>
          <w:p w14:paraId="0B329547">
            <w:pPr>
              <w:pStyle w:val="1343"/>
              <w:rPr>
                <w:color w:val="0000FF"/>
              </w:rPr>
            </w:pPr>
            <w:r>
              <w:t>采样点位</w:t>
            </w:r>
          </w:p>
        </w:tc>
        <w:tc>
          <w:tcPr>
            <w:tcW w:w="753" w:type="pct"/>
            <w:tcBorders>
              <w:top w:val="single" w:color="000000" w:sz="4" w:space="0"/>
              <w:left w:val="single" w:color="000000" w:sz="4" w:space="0"/>
              <w:bottom w:val="single" w:color="000000" w:sz="4" w:space="0"/>
              <w:right w:val="single" w:color="000000" w:sz="4" w:space="0"/>
            </w:tcBorders>
            <w:vAlign w:val="center"/>
          </w:tcPr>
          <w:p w14:paraId="22FDF183">
            <w:pPr>
              <w:pStyle w:val="1343"/>
            </w:pPr>
            <w:r>
              <w:t>井深(m)</w:t>
            </w:r>
          </w:p>
        </w:tc>
        <w:tc>
          <w:tcPr>
            <w:tcW w:w="1089" w:type="pct"/>
            <w:tcBorders>
              <w:top w:val="single" w:color="000000" w:sz="4" w:space="0"/>
              <w:left w:val="single" w:color="000000" w:sz="4" w:space="0"/>
              <w:bottom w:val="single" w:color="000000" w:sz="4" w:space="0"/>
              <w:right w:val="single" w:color="000000" w:sz="4" w:space="0"/>
            </w:tcBorders>
            <w:vAlign w:val="center"/>
          </w:tcPr>
          <w:p w14:paraId="54FC60D4">
            <w:pPr>
              <w:pStyle w:val="1343"/>
            </w:pPr>
            <w:r>
              <w:t>水位(m)</w:t>
            </w:r>
          </w:p>
        </w:tc>
        <w:tc>
          <w:tcPr>
            <w:tcW w:w="793" w:type="pct"/>
            <w:tcBorders>
              <w:top w:val="single" w:color="000000" w:sz="4" w:space="0"/>
              <w:left w:val="single" w:color="000000" w:sz="4" w:space="0"/>
              <w:bottom w:val="single" w:color="000000" w:sz="4" w:space="0"/>
              <w:right w:val="single" w:color="000000" w:sz="4" w:space="0"/>
            </w:tcBorders>
            <w:vAlign w:val="center"/>
          </w:tcPr>
          <w:p w14:paraId="7CF41CB8">
            <w:pPr>
              <w:pStyle w:val="1343"/>
            </w:pPr>
            <w:r>
              <w:t>水温(℃)</w:t>
            </w:r>
          </w:p>
        </w:tc>
        <w:tc>
          <w:tcPr>
            <w:tcW w:w="1013" w:type="pct"/>
            <w:tcBorders>
              <w:top w:val="single" w:color="000000" w:sz="4" w:space="0"/>
              <w:left w:val="single" w:color="000000" w:sz="4" w:space="0"/>
              <w:bottom w:val="single" w:color="000000" w:sz="4" w:space="0"/>
              <w:right w:val="single" w:color="000000" w:sz="4" w:space="0"/>
            </w:tcBorders>
            <w:vAlign w:val="center"/>
          </w:tcPr>
          <w:p w14:paraId="7A0CDED2">
            <w:pPr>
              <w:pStyle w:val="1343"/>
            </w:pPr>
            <w:r>
              <w:rPr>
                <w:rFonts w:hint="eastAsia"/>
              </w:rPr>
              <w:t>主要功能</w:t>
            </w:r>
          </w:p>
        </w:tc>
      </w:tr>
      <w:tr w14:paraId="2ADED782">
        <w:tblPrEx>
          <w:tblCellMar>
            <w:top w:w="0" w:type="dxa"/>
            <w:left w:w="108" w:type="dxa"/>
            <w:bottom w:w="0" w:type="dxa"/>
            <w:right w:w="108" w:type="dxa"/>
          </w:tblCellMar>
        </w:tblPrEx>
        <w:trPr>
          <w:trHeight w:val="340" w:hRule="atLeast"/>
          <w:jc w:val="center"/>
        </w:trPr>
        <w:tc>
          <w:tcPr>
            <w:tcW w:w="1349" w:type="pct"/>
            <w:tcBorders>
              <w:top w:val="single" w:color="000000" w:sz="4" w:space="0"/>
              <w:left w:val="single" w:color="000000" w:sz="4" w:space="0"/>
              <w:bottom w:val="single" w:color="000000" w:sz="4" w:space="0"/>
              <w:right w:val="single" w:color="000000" w:sz="4" w:space="0"/>
            </w:tcBorders>
            <w:vAlign w:val="center"/>
          </w:tcPr>
          <w:p w14:paraId="2E21E3A2">
            <w:pPr>
              <w:adjustRightInd w:val="0"/>
              <w:snapToGrid w:val="0"/>
              <w:jc w:val="center"/>
              <w:rPr>
                <w:bCs/>
                <w:szCs w:val="21"/>
              </w:rPr>
            </w:pPr>
            <w:r>
              <w:rPr>
                <w:rFonts w:hint="eastAsia"/>
                <w:bCs/>
                <w:szCs w:val="21"/>
              </w:rPr>
              <w:t>大白石坳水井</w:t>
            </w:r>
          </w:p>
        </w:tc>
        <w:tc>
          <w:tcPr>
            <w:tcW w:w="753" w:type="pct"/>
            <w:tcBorders>
              <w:top w:val="single" w:color="000000" w:sz="4" w:space="0"/>
              <w:left w:val="single" w:color="000000" w:sz="4" w:space="0"/>
              <w:bottom w:val="single" w:color="000000" w:sz="4" w:space="0"/>
              <w:right w:val="single" w:color="000000" w:sz="4" w:space="0"/>
            </w:tcBorders>
            <w:vAlign w:val="center"/>
          </w:tcPr>
          <w:p w14:paraId="4ED3EB31">
            <w:pPr>
              <w:pStyle w:val="1343"/>
            </w:pPr>
            <w:r>
              <w:rPr>
                <w:rFonts w:hint="eastAsia"/>
              </w:rPr>
              <w:t>4.9</w:t>
            </w:r>
          </w:p>
        </w:tc>
        <w:tc>
          <w:tcPr>
            <w:tcW w:w="1089" w:type="pct"/>
            <w:tcBorders>
              <w:top w:val="single" w:color="000000" w:sz="4" w:space="0"/>
              <w:left w:val="single" w:color="000000" w:sz="4" w:space="0"/>
              <w:bottom w:val="single" w:color="000000" w:sz="4" w:space="0"/>
              <w:right w:val="single" w:color="000000" w:sz="4" w:space="0"/>
            </w:tcBorders>
            <w:vAlign w:val="center"/>
          </w:tcPr>
          <w:p w14:paraId="22409267">
            <w:pPr>
              <w:pStyle w:val="1343"/>
            </w:pPr>
            <w:r>
              <w:rPr>
                <w:rFonts w:hint="eastAsia"/>
              </w:rPr>
              <w:t>123.6</w:t>
            </w:r>
          </w:p>
        </w:tc>
        <w:tc>
          <w:tcPr>
            <w:tcW w:w="793" w:type="pct"/>
            <w:tcBorders>
              <w:top w:val="single" w:color="000000" w:sz="4" w:space="0"/>
              <w:left w:val="single" w:color="000000" w:sz="4" w:space="0"/>
              <w:bottom w:val="single" w:color="000000" w:sz="4" w:space="0"/>
              <w:right w:val="single" w:color="000000" w:sz="4" w:space="0"/>
            </w:tcBorders>
            <w:vAlign w:val="center"/>
          </w:tcPr>
          <w:p w14:paraId="646BD1F3">
            <w:pPr>
              <w:pStyle w:val="1343"/>
            </w:pPr>
            <w:r>
              <w:rPr>
                <w:rFonts w:hint="eastAsia"/>
              </w:rPr>
              <w:t>21.4</w:t>
            </w:r>
          </w:p>
        </w:tc>
        <w:tc>
          <w:tcPr>
            <w:tcW w:w="1013" w:type="pct"/>
            <w:tcBorders>
              <w:top w:val="single" w:color="000000" w:sz="4" w:space="0"/>
              <w:left w:val="single" w:color="000000" w:sz="4" w:space="0"/>
              <w:bottom w:val="single" w:color="000000" w:sz="4" w:space="0"/>
              <w:right w:val="single" w:color="000000" w:sz="4" w:space="0"/>
            </w:tcBorders>
            <w:vAlign w:val="center"/>
          </w:tcPr>
          <w:p w14:paraId="48CC4E4B">
            <w:pPr>
              <w:pStyle w:val="1343"/>
            </w:pPr>
            <w:r>
              <w:rPr>
                <w:rFonts w:hint="eastAsia"/>
              </w:rPr>
              <w:t>牲畜饮用</w:t>
            </w:r>
          </w:p>
        </w:tc>
      </w:tr>
      <w:tr w14:paraId="071E10D2">
        <w:tblPrEx>
          <w:tblCellMar>
            <w:top w:w="0" w:type="dxa"/>
            <w:left w:w="108" w:type="dxa"/>
            <w:bottom w:w="0" w:type="dxa"/>
            <w:right w:w="108" w:type="dxa"/>
          </w:tblCellMar>
        </w:tblPrEx>
        <w:trPr>
          <w:trHeight w:val="340" w:hRule="atLeast"/>
          <w:jc w:val="center"/>
        </w:trPr>
        <w:tc>
          <w:tcPr>
            <w:tcW w:w="1349" w:type="pct"/>
            <w:tcBorders>
              <w:top w:val="single" w:color="000000" w:sz="4" w:space="0"/>
              <w:left w:val="single" w:color="000000" w:sz="4" w:space="0"/>
              <w:bottom w:val="single" w:color="000000" w:sz="4" w:space="0"/>
              <w:right w:val="single" w:color="000000" w:sz="4" w:space="0"/>
            </w:tcBorders>
            <w:vAlign w:val="center"/>
          </w:tcPr>
          <w:p w14:paraId="0DFE6B5C">
            <w:pPr>
              <w:adjustRightInd w:val="0"/>
              <w:snapToGrid w:val="0"/>
              <w:jc w:val="center"/>
              <w:rPr>
                <w:bCs/>
                <w:szCs w:val="21"/>
              </w:rPr>
            </w:pPr>
            <w:r>
              <w:rPr>
                <w:rFonts w:hint="eastAsia"/>
                <w:bCs/>
                <w:szCs w:val="21"/>
              </w:rPr>
              <w:t>资家湾水井</w:t>
            </w:r>
          </w:p>
        </w:tc>
        <w:tc>
          <w:tcPr>
            <w:tcW w:w="753" w:type="pct"/>
            <w:tcBorders>
              <w:top w:val="single" w:color="000000" w:sz="4" w:space="0"/>
              <w:left w:val="single" w:color="000000" w:sz="4" w:space="0"/>
              <w:bottom w:val="single" w:color="000000" w:sz="4" w:space="0"/>
              <w:right w:val="single" w:color="000000" w:sz="4" w:space="0"/>
            </w:tcBorders>
            <w:vAlign w:val="center"/>
          </w:tcPr>
          <w:p w14:paraId="499CD4D0">
            <w:pPr>
              <w:pStyle w:val="1343"/>
            </w:pPr>
            <w:r>
              <w:rPr>
                <w:rFonts w:hint="eastAsia"/>
              </w:rPr>
              <w:t>5.3</w:t>
            </w:r>
          </w:p>
        </w:tc>
        <w:tc>
          <w:tcPr>
            <w:tcW w:w="1089" w:type="pct"/>
            <w:tcBorders>
              <w:top w:val="single" w:color="000000" w:sz="4" w:space="0"/>
              <w:left w:val="single" w:color="000000" w:sz="4" w:space="0"/>
              <w:bottom w:val="single" w:color="000000" w:sz="4" w:space="0"/>
              <w:right w:val="single" w:color="000000" w:sz="4" w:space="0"/>
            </w:tcBorders>
            <w:vAlign w:val="center"/>
          </w:tcPr>
          <w:p w14:paraId="615B82F0">
            <w:pPr>
              <w:pStyle w:val="1343"/>
            </w:pPr>
            <w:r>
              <w:rPr>
                <w:rFonts w:hint="eastAsia"/>
              </w:rPr>
              <w:t>103.7</w:t>
            </w:r>
          </w:p>
        </w:tc>
        <w:tc>
          <w:tcPr>
            <w:tcW w:w="793" w:type="pct"/>
            <w:tcBorders>
              <w:top w:val="single" w:color="000000" w:sz="4" w:space="0"/>
              <w:left w:val="single" w:color="000000" w:sz="4" w:space="0"/>
              <w:bottom w:val="single" w:color="000000" w:sz="4" w:space="0"/>
              <w:right w:val="single" w:color="000000" w:sz="4" w:space="0"/>
            </w:tcBorders>
            <w:vAlign w:val="center"/>
          </w:tcPr>
          <w:p w14:paraId="161C6B25">
            <w:pPr>
              <w:pStyle w:val="1343"/>
            </w:pPr>
            <w:r>
              <w:rPr>
                <w:rFonts w:hint="eastAsia"/>
              </w:rPr>
              <w:t>22.1</w:t>
            </w:r>
          </w:p>
        </w:tc>
        <w:tc>
          <w:tcPr>
            <w:tcW w:w="1013" w:type="pct"/>
            <w:tcBorders>
              <w:top w:val="single" w:color="000000" w:sz="4" w:space="0"/>
              <w:left w:val="single" w:color="000000" w:sz="4" w:space="0"/>
              <w:bottom w:val="single" w:color="000000" w:sz="4" w:space="0"/>
              <w:right w:val="single" w:color="000000" w:sz="4" w:space="0"/>
            </w:tcBorders>
            <w:vAlign w:val="center"/>
          </w:tcPr>
          <w:p w14:paraId="3C1DEAAD">
            <w:pPr>
              <w:pStyle w:val="1343"/>
            </w:pPr>
            <w:r>
              <w:rPr>
                <w:rFonts w:hint="eastAsia"/>
              </w:rPr>
              <w:t>牲畜饮用</w:t>
            </w:r>
          </w:p>
        </w:tc>
      </w:tr>
      <w:tr w14:paraId="4AC1C483">
        <w:tblPrEx>
          <w:tblCellMar>
            <w:top w:w="0" w:type="dxa"/>
            <w:left w:w="108" w:type="dxa"/>
            <w:bottom w:w="0" w:type="dxa"/>
            <w:right w:w="108" w:type="dxa"/>
          </w:tblCellMar>
        </w:tblPrEx>
        <w:trPr>
          <w:trHeight w:val="340" w:hRule="atLeast"/>
          <w:jc w:val="center"/>
        </w:trPr>
        <w:tc>
          <w:tcPr>
            <w:tcW w:w="1349" w:type="pct"/>
            <w:tcBorders>
              <w:top w:val="single" w:color="000000" w:sz="4" w:space="0"/>
              <w:left w:val="single" w:color="000000" w:sz="4" w:space="0"/>
              <w:bottom w:val="single" w:color="000000" w:sz="4" w:space="0"/>
              <w:right w:val="single" w:color="000000" w:sz="4" w:space="0"/>
            </w:tcBorders>
            <w:vAlign w:val="center"/>
          </w:tcPr>
          <w:p w14:paraId="05BFEB8D">
            <w:pPr>
              <w:adjustRightInd w:val="0"/>
              <w:snapToGrid w:val="0"/>
              <w:jc w:val="center"/>
              <w:rPr>
                <w:bCs/>
                <w:szCs w:val="21"/>
              </w:rPr>
            </w:pPr>
            <w:r>
              <w:rPr>
                <w:rFonts w:hint="eastAsia"/>
                <w:bCs/>
                <w:szCs w:val="21"/>
              </w:rPr>
              <w:t>铜角湾水井</w:t>
            </w:r>
          </w:p>
        </w:tc>
        <w:tc>
          <w:tcPr>
            <w:tcW w:w="753" w:type="pct"/>
            <w:tcBorders>
              <w:top w:val="single" w:color="000000" w:sz="4" w:space="0"/>
              <w:left w:val="single" w:color="000000" w:sz="4" w:space="0"/>
              <w:bottom w:val="single" w:color="000000" w:sz="4" w:space="0"/>
              <w:right w:val="single" w:color="000000" w:sz="4" w:space="0"/>
            </w:tcBorders>
            <w:vAlign w:val="center"/>
          </w:tcPr>
          <w:p w14:paraId="3A992E7B">
            <w:pPr>
              <w:pStyle w:val="1343"/>
            </w:pPr>
            <w:r>
              <w:rPr>
                <w:rFonts w:hint="eastAsia"/>
              </w:rPr>
              <w:t>3.8</w:t>
            </w:r>
          </w:p>
        </w:tc>
        <w:tc>
          <w:tcPr>
            <w:tcW w:w="1089" w:type="pct"/>
            <w:tcBorders>
              <w:top w:val="single" w:color="000000" w:sz="4" w:space="0"/>
              <w:left w:val="single" w:color="000000" w:sz="4" w:space="0"/>
              <w:bottom w:val="single" w:color="000000" w:sz="4" w:space="0"/>
              <w:right w:val="single" w:color="000000" w:sz="4" w:space="0"/>
            </w:tcBorders>
            <w:vAlign w:val="center"/>
          </w:tcPr>
          <w:p w14:paraId="42F7C6E4">
            <w:pPr>
              <w:pStyle w:val="1343"/>
            </w:pPr>
            <w:r>
              <w:rPr>
                <w:rFonts w:hint="eastAsia"/>
              </w:rPr>
              <w:t>105.6</w:t>
            </w:r>
          </w:p>
        </w:tc>
        <w:tc>
          <w:tcPr>
            <w:tcW w:w="793" w:type="pct"/>
            <w:tcBorders>
              <w:top w:val="single" w:color="000000" w:sz="4" w:space="0"/>
              <w:left w:val="single" w:color="000000" w:sz="4" w:space="0"/>
              <w:bottom w:val="single" w:color="000000" w:sz="4" w:space="0"/>
              <w:right w:val="single" w:color="000000" w:sz="4" w:space="0"/>
            </w:tcBorders>
            <w:vAlign w:val="center"/>
          </w:tcPr>
          <w:p w14:paraId="186C4B0C">
            <w:pPr>
              <w:pStyle w:val="1343"/>
            </w:pPr>
            <w:r>
              <w:rPr>
                <w:rFonts w:hint="eastAsia"/>
              </w:rPr>
              <w:t>21.8</w:t>
            </w:r>
          </w:p>
        </w:tc>
        <w:tc>
          <w:tcPr>
            <w:tcW w:w="1013" w:type="pct"/>
            <w:tcBorders>
              <w:top w:val="single" w:color="000000" w:sz="4" w:space="0"/>
              <w:left w:val="single" w:color="000000" w:sz="4" w:space="0"/>
              <w:bottom w:val="single" w:color="000000" w:sz="4" w:space="0"/>
              <w:right w:val="single" w:color="000000" w:sz="4" w:space="0"/>
            </w:tcBorders>
            <w:vAlign w:val="center"/>
          </w:tcPr>
          <w:p w14:paraId="4C05CE3E">
            <w:pPr>
              <w:pStyle w:val="1343"/>
            </w:pPr>
            <w:r>
              <w:rPr>
                <w:rFonts w:hint="eastAsia"/>
              </w:rPr>
              <w:t>牲畜饮用</w:t>
            </w:r>
          </w:p>
        </w:tc>
      </w:tr>
      <w:tr w14:paraId="3D491612">
        <w:tblPrEx>
          <w:tblCellMar>
            <w:top w:w="0" w:type="dxa"/>
            <w:left w:w="108" w:type="dxa"/>
            <w:bottom w:w="0" w:type="dxa"/>
            <w:right w:w="108" w:type="dxa"/>
          </w:tblCellMar>
        </w:tblPrEx>
        <w:trPr>
          <w:trHeight w:val="340" w:hRule="atLeast"/>
          <w:jc w:val="center"/>
        </w:trPr>
        <w:tc>
          <w:tcPr>
            <w:tcW w:w="1349" w:type="pct"/>
            <w:tcBorders>
              <w:top w:val="single" w:color="000000" w:sz="4" w:space="0"/>
              <w:left w:val="single" w:color="000000" w:sz="4" w:space="0"/>
              <w:bottom w:val="single" w:color="000000" w:sz="4" w:space="0"/>
              <w:right w:val="single" w:color="000000" w:sz="4" w:space="0"/>
            </w:tcBorders>
            <w:vAlign w:val="center"/>
          </w:tcPr>
          <w:p w14:paraId="7FBC3C55">
            <w:pPr>
              <w:adjustRightInd w:val="0"/>
              <w:snapToGrid w:val="0"/>
              <w:jc w:val="center"/>
              <w:rPr>
                <w:bCs/>
                <w:szCs w:val="21"/>
              </w:rPr>
            </w:pPr>
            <w:r>
              <w:rPr>
                <w:rFonts w:hint="eastAsia"/>
                <w:bCs/>
                <w:szCs w:val="21"/>
              </w:rPr>
              <w:t>蒋家冲水井</w:t>
            </w:r>
          </w:p>
        </w:tc>
        <w:tc>
          <w:tcPr>
            <w:tcW w:w="753" w:type="pct"/>
            <w:tcBorders>
              <w:top w:val="single" w:color="000000" w:sz="4" w:space="0"/>
              <w:left w:val="single" w:color="000000" w:sz="4" w:space="0"/>
              <w:bottom w:val="single" w:color="000000" w:sz="4" w:space="0"/>
              <w:right w:val="single" w:color="000000" w:sz="4" w:space="0"/>
            </w:tcBorders>
            <w:vAlign w:val="center"/>
          </w:tcPr>
          <w:p w14:paraId="71FA181D">
            <w:pPr>
              <w:pStyle w:val="1343"/>
            </w:pPr>
            <w:r>
              <w:rPr>
                <w:rFonts w:hint="eastAsia"/>
              </w:rPr>
              <w:t>6.2</w:t>
            </w:r>
          </w:p>
        </w:tc>
        <w:tc>
          <w:tcPr>
            <w:tcW w:w="1089" w:type="pct"/>
            <w:tcBorders>
              <w:top w:val="single" w:color="000000" w:sz="4" w:space="0"/>
              <w:left w:val="single" w:color="000000" w:sz="4" w:space="0"/>
              <w:bottom w:val="single" w:color="000000" w:sz="4" w:space="0"/>
              <w:right w:val="single" w:color="000000" w:sz="4" w:space="0"/>
            </w:tcBorders>
            <w:vAlign w:val="center"/>
          </w:tcPr>
          <w:p w14:paraId="62EE4EFB">
            <w:pPr>
              <w:pStyle w:val="1343"/>
            </w:pPr>
            <w:r>
              <w:rPr>
                <w:rFonts w:hint="eastAsia"/>
              </w:rPr>
              <w:t>108.7</w:t>
            </w:r>
          </w:p>
        </w:tc>
        <w:tc>
          <w:tcPr>
            <w:tcW w:w="793" w:type="pct"/>
            <w:tcBorders>
              <w:top w:val="single" w:color="000000" w:sz="4" w:space="0"/>
              <w:left w:val="single" w:color="000000" w:sz="4" w:space="0"/>
              <w:bottom w:val="single" w:color="000000" w:sz="4" w:space="0"/>
              <w:right w:val="single" w:color="000000" w:sz="4" w:space="0"/>
            </w:tcBorders>
            <w:vAlign w:val="center"/>
          </w:tcPr>
          <w:p w14:paraId="0C63B55F">
            <w:pPr>
              <w:pStyle w:val="1343"/>
            </w:pPr>
            <w:r>
              <w:rPr>
                <w:rFonts w:hint="eastAsia"/>
              </w:rPr>
              <w:t>23.4</w:t>
            </w:r>
          </w:p>
        </w:tc>
        <w:tc>
          <w:tcPr>
            <w:tcW w:w="1013" w:type="pct"/>
            <w:tcBorders>
              <w:top w:val="single" w:color="000000" w:sz="4" w:space="0"/>
              <w:left w:val="single" w:color="000000" w:sz="4" w:space="0"/>
              <w:bottom w:val="single" w:color="000000" w:sz="4" w:space="0"/>
              <w:right w:val="single" w:color="000000" w:sz="4" w:space="0"/>
            </w:tcBorders>
            <w:vAlign w:val="center"/>
          </w:tcPr>
          <w:p w14:paraId="74A4E041">
            <w:pPr>
              <w:pStyle w:val="1343"/>
            </w:pPr>
            <w:r>
              <w:rPr>
                <w:rFonts w:hint="eastAsia"/>
              </w:rPr>
              <w:t>牲畜饮用</w:t>
            </w:r>
          </w:p>
        </w:tc>
      </w:tr>
      <w:tr w14:paraId="573B4E07">
        <w:tblPrEx>
          <w:tblCellMar>
            <w:top w:w="0" w:type="dxa"/>
            <w:left w:w="108" w:type="dxa"/>
            <w:bottom w:w="0" w:type="dxa"/>
            <w:right w:w="108" w:type="dxa"/>
          </w:tblCellMar>
        </w:tblPrEx>
        <w:trPr>
          <w:trHeight w:val="340" w:hRule="atLeast"/>
          <w:jc w:val="center"/>
        </w:trPr>
        <w:tc>
          <w:tcPr>
            <w:tcW w:w="1349" w:type="pct"/>
            <w:tcBorders>
              <w:top w:val="single" w:color="000000" w:sz="4" w:space="0"/>
              <w:left w:val="single" w:color="000000" w:sz="4" w:space="0"/>
              <w:bottom w:val="single" w:color="000000" w:sz="4" w:space="0"/>
              <w:right w:val="single" w:color="000000" w:sz="4" w:space="0"/>
            </w:tcBorders>
            <w:vAlign w:val="center"/>
          </w:tcPr>
          <w:p w14:paraId="5E9B8E1B">
            <w:pPr>
              <w:adjustRightInd w:val="0"/>
              <w:snapToGrid w:val="0"/>
              <w:jc w:val="center"/>
              <w:rPr>
                <w:bCs/>
                <w:szCs w:val="21"/>
              </w:rPr>
            </w:pPr>
            <w:r>
              <w:rPr>
                <w:rFonts w:hint="eastAsia"/>
                <w:bCs/>
                <w:szCs w:val="21"/>
              </w:rPr>
              <w:t>里王村水井</w:t>
            </w:r>
          </w:p>
        </w:tc>
        <w:tc>
          <w:tcPr>
            <w:tcW w:w="753" w:type="pct"/>
            <w:tcBorders>
              <w:top w:val="single" w:color="000000" w:sz="4" w:space="0"/>
              <w:left w:val="single" w:color="000000" w:sz="4" w:space="0"/>
              <w:bottom w:val="single" w:color="000000" w:sz="4" w:space="0"/>
              <w:right w:val="single" w:color="000000" w:sz="4" w:space="0"/>
            </w:tcBorders>
            <w:vAlign w:val="center"/>
          </w:tcPr>
          <w:p w14:paraId="73221816">
            <w:pPr>
              <w:pStyle w:val="1343"/>
            </w:pPr>
            <w:r>
              <w:rPr>
                <w:rFonts w:hint="eastAsia"/>
              </w:rPr>
              <w:t>5.1</w:t>
            </w:r>
          </w:p>
        </w:tc>
        <w:tc>
          <w:tcPr>
            <w:tcW w:w="1089" w:type="pct"/>
            <w:tcBorders>
              <w:top w:val="single" w:color="000000" w:sz="4" w:space="0"/>
              <w:left w:val="single" w:color="000000" w:sz="4" w:space="0"/>
              <w:bottom w:val="single" w:color="000000" w:sz="4" w:space="0"/>
              <w:right w:val="single" w:color="000000" w:sz="4" w:space="0"/>
            </w:tcBorders>
            <w:vAlign w:val="center"/>
          </w:tcPr>
          <w:p w14:paraId="27BAAFF3">
            <w:pPr>
              <w:pStyle w:val="1343"/>
            </w:pPr>
            <w:r>
              <w:rPr>
                <w:rFonts w:hint="eastAsia"/>
              </w:rPr>
              <w:t>96.6</w:t>
            </w:r>
          </w:p>
        </w:tc>
        <w:tc>
          <w:tcPr>
            <w:tcW w:w="793" w:type="pct"/>
            <w:tcBorders>
              <w:top w:val="single" w:color="000000" w:sz="4" w:space="0"/>
              <w:left w:val="single" w:color="000000" w:sz="4" w:space="0"/>
              <w:bottom w:val="single" w:color="000000" w:sz="4" w:space="0"/>
              <w:right w:val="single" w:color="000000" w:sz="4" w:space="0"/>
            </w:tcBorders>
            <w:vAlign w:val="center"/>
          </w:tcPr>
          <w:p w14:paraId="21CCF911">
            <w:pPr>
              <w:pStyle w:val="1343"/>
            </w:pPr>
            <w:r>
              <w:rPr>
                <w:rFonts w:hint="eastAsia"/>
              </w:rPr>
              <w:t>22.3</w:t>
            </w:r>
          </w:p>
        </w:tc>
        <w:tc>
          <w:tcPr>
            <w:tcW w:w="1013" w:type="pct"/>
            <w:tcBorders>
              <w:top w:val="single" w:color="000000" w:sz="4" w:space="0"/>
              <w:left w:val="single" w:color="000000" w:sz="4" w:space="0"/>
              <w:bottom w:val="single" w:color="000000" w:sz="4" w:space="0"/>
              <w:right w:val="single" w:color="000000" w:sz="4" w:space="0"/>
            </w:tcBorders>
            <w:vAlign w:val="center"/>
          </w:tcPr>
          <w:p w14:paraId="7BC20B73">
            <w:pPr>
              <w:pStyle w:val="1343"/>
            </w:pPr>
            <w:r>
              <w:rPr>
                <w:rFonts w:hint="eastAsia"/>
              </w:rPr>
              <w:t>牲畜饮用</w:t>
            </w:r>
          </w:p>
        </w:tc>
      </w:tr>
      <w:tr w14:paraId="752167D3">
        <w:tblPrEx>
          <w:tblCellMar>
            <w:top w:w="0" w:type="dxa"/>
            <w:left w:w="108" w:type="dxa"/>
            <w:bottom w:w="0" w:type="dxa"/>
            <w:right w:w="108" w:type="dxa"/>
          </w:tblCellMar>
        </w:tblPrEx>
        <w:trPr>
          <w:trHeight w:val="340" w:hRule="atLeast"/>
          <w:jc w:val="center"/>
        </w:trPr>
        <w:tc>
          <w:tcPr>
            <w:tcW w:w="1349" w:type="pct"/>
            <w:tcBorders>
              <w:top w:val="single" w:color="000000" w:sz="4" w:space="0"/>
              <w:left w:val="single" w:color="000000" w:sz="4" w:space="0"/>
              <w:bottom w:val="single" w:color="000000" w:sz="4" w:space="0"/>
              <w:right w:val="single" w:color="000000" w:sz="4" w:space="0"/>
            </w:tcBorders>
            <w:vAlign w:val="center"/>
          </w:tcPr>
          <w:p w14:paraId="122AF6DB">
            <w:pPr>
              <w:adjustRightInd w:val="0"/>
              <w:snapToGrid w:val="0"/>
              <w:jc w:val="center"/>
              <w:rPr>
                <w:bCs/>
                <w:szCs w:val="21"/>
              </w:rPr>
            </w:pPr>
            <w:r>
              <w:rPr>
                <w:rFonts w:hint="eastAsia"/>
                <w:bCs/>
                <w:szCs w:val="21"/>
              </w:rPr>
              <w:t>梁家新湾水井</w:t>
            </w:r>
          </w:p>
        </w:tc>
        <w:tc>
          <w:tcPr>
            <w:tcW w:w="753" w:type="pct"/>
            <w:tcBorders>
              <w:top w:val="single" w:color="000000" w:sz="4" w:space="0"/>
              <w:left w:val="single" w:color="000000" w:sz="4" w:space="0"/>
              <w:bottom w:val="single" w:color="000000" w:sz="4" w:space="0"/>
              <w:right w:val="single" w:color="000000" w:sz="4" w:space="0"/>
            </w:tcBorders>
            <w:vAlign w:val="center"/>
          </w:tcPr>
          <w:p w14:paraId="56D15139">
            <w:pPr>
              <w:pStyle w:val="1343"/>
            </w:pPr>
            <w:r>
              <w:rPr>
                <w:rFonts w:hint="eastAsia"/>
              </w:rPr>
              <w:t>9.7</w:t>
            </w:r>
          </w:p>
        </w:tc>
        <w:tc>
          <w:tcPr>
            <w:tcW w:w="1089" w:type="pct"/>
            <w:tcBorders>
              <w:top w:val="single" w:color="000000" w:sz="4" w:space="0"/>
              <w:left w:val="single" w:color="000000" w:sz="4" w:space="0"/>
              <w:bottom w:val="single" w:color="000000" w:sz="4" w:space="0"/>
              <w:right w:val="single" w:color="000000" w:sz="4" w:space="0"/>
            </w:tcBorders>
            <w:vAlign w:val="center"/>
          </w:tcPr>
          <w:p w14:paraId="1D023E50">
            <w:pPr>
              <w:pStyle w:val="1343"/>
            </w:pPr>
            <w:r>
              <w:rPr>
                <w:rFonts w:hint="eastAsia"/>
              </w:rPr>
              <w:t>102.6</w:t>
            </w:r>
          </w:p>
        </w:tc>
        <w:tc>
          <w:tcPr>
            <w:tcW w:w="793" w:type="pct"/>
            <w:tcBorders>
              <w:top w:val="single" w:color="000000" w:sz="4" w:space="0"/>
              <w:left w:val="single" w:color="000000" w:sz="4" w:space="0"/>
              <w:bottom w:val="single" w:color="000000" w:sz="4" w:space="0"/>
              <w:right w:val="single" w:color="000000" w:sz="4" w:space="0"/>
            </w:tcBorders>
            <w:vAlign w:val="center"/>
          </w:tcPr>
          <w:p w14:paraId="43E4E64D">
            <w:pPr>
              <w:pStyle w:val="1343"/>
            </w:pPr>
            <w:r>
              <w:rPr>
                <w:rFonts w:hint="eastAsia"/>
              </w:rPr>
              <w:t>22.5</w:t>
            </w:r>
          </w:p>
        </w:tc>
        <w:tc>
          <w:tcPr>
            <w:tcW w:w="1013" w:type="pct"/>
            <w:tcBorders>
              <w:top w:val="single" w:color="000000" w:sz="4" w:space="0"/>
              <w:left w:val="single" w:color="000000" w:sz="4" w:space="0"/>
              <w:bottom w:val="single" w:color="000000" w:sz="4" w:space="0"/>
              <w:right w:val="single" w:color="000000" w:sz="4" w:space="0"/>
            </w:tcBorders>
            <w:vAlign w:val="center"/>
          </w:tcPr>
          <w:p w14:paraId="1C243170">
            <w:pPr>
              <w:pStyle w:val="1343"/>
            </w:pPr>
            <w:r>
              <w:rPr>
                <w:rFonts w:hint="eastAsia"/>
              </w:rPr>
              <w:t>牲畜饮用</w:t>
            </w:r>
          </w:p>
        </w:tc>
      </w:tr>
      <w:tr w14:paraId="76DB9BC2">
        <w:tblPrEx>
          <w:tblCellMar>
            <w:top w:w="0" w:type="dxa"/>
            <w:left w:w="108" w:type="dxa"/>
            <w:bottom w:w="0" w:type="dxa"/>
            <w:right w:w="108" w:type="dxa"/>
          </w:tblCellMar>
        </w:tblPrEx>
        <w:trPr>
          <w:trHeight w:val="340" w:hRule="atLeast"/>
          <w:jc w:val="center"/>
        </w:trPr>
        <w:tc>
          <w:tcPr>
            <w:tcW w:w="1349" w:type="pct"/>
            <w:tcBorders>
              <w:top w:val="single" w:color="000000" w:sz="4" w:space="0"/>
              <w:left w:val="single" w:color="000000" w:sz="4" w:space="0"/>
              <w:bottom w:val="single" w:color="000000" w:sz="4" w:space="0"/>
              <w:right w:val="single" w:color="000000" w:sz="4" w:space="0"/>
            </w:tcBorders>
            <w:vAlign w:val="center"/>
          </w:tcPr>
          <w:p w14:paraId="70C84E2F">
            <w:pPr>
              <w:adjustRightInd w:val="0"/>
              <w:snapToGrid w:val="0"/>
              <w:jc w:val="center"/>
              <w:rPr>
                <w:bCs/>
                <w:szCs w:val="21"/>
              </w:rPr>
            </w:pPr>
            <w:r>
              <w:rPr>
                <w:rFonts w:hint="eastAsia"/>
                <w:bCs/>
                <w:szCs w:val="21"/>
              </w:rPr>
              <w:t>曾家水井</w:t>
            </w:r>
          </w:p>
        </w:tc>
        <w:tc>
          <w:tcPr>
            <w:tcW w:w="753" w:type="pct"/>
            <w:tcBorders>
              <w:top w:val="single" w:color="000000" w:sz="4" w:space="0"/>
              <w:left w:val="single" w:color="000000" w:sz="4" w:space="0"/>
              <w:bottom w:val="single" w:color="000000" w:sz="4" w:space="0"/>
              <w:right w:val="single" w:color="000000" w:sz="4" w:space="0"/>
            </w:tcBorders>
            <w:vAlign w:val="center"/>
          </w:tcPr>
          <w:p w14:paraId="35595572">
            <w:pPr>
              <w:pStyle w:val="1343"/>
            </w:pPr>
            <w:r>
              <w:rPr>
                <w:rFonts w:hint="eastAsia"/>
              </w:rPr>
              <w:t>8.3</w:t>
            </w:r>
          </w:p>
        </w:tc>
        <w:tc>
          <w:tcPr>
            <w:tcW w:w="1089" w:type="pct"/>
            <w:tcBorders>
              <w:top w:val="single" w:color="000000" w:sz="4" w:space="0"/>
              <w:left w:val="single" w:color="000000" w:sz="4" w:space="0"/>
              <w:bottom w:val="single" w:color="000000" w:sz="4" w:space="0"/>
              <w:right w:val="single" w:color="000000" w:sz="4" w:space="0"/>
            </w:tcBorders>
            <w:vAlign w:val="center"/>
          </w:tcPr>
          <w:p w14:paraId="5A20C7B2">
            <w:pPr>
              <w:pStyle w:val="1343"/>
            </w:pPr>
            <w:r>
              <w:rPr>
                <w:rFonts w:hint="eastAsia"/>
              </w:rPr>
              <w:t>109.7</w:t>
            </w:r>
          </w:p>
        </w:tc>
        <w:tc>
          <w:tcPr>
            <w:tcW w:w="793" w:type="pct"/>
            <w:tcBorders>
              <w:top w:val="single" w:color="000000" w:sz="4" w:space="0"/>
              <w:left w:val="single" w:color="000000" w:sz="4" w:space="0"/>
              <w:bottom w:val="single" w:color="000000" w:sz="4" w:space="0"/>
              <w:right w:val="single" w:color="000000" w:sz="4" w:space="0"/>
            </w:tcBorders>
            <w:vAlign w:val="center"/>
          </w:tcPr>
          <w:p w14:paraId="123BF219">
            <w:pPr>
              <w:pStyle w:val="1343"/>
            </w:pPr>
            <w:r>
              <w:rPr>
                <w:rFonts w:hint="eastAsia"/>
              </w:rPr>
              <w:t>23.1</w:t>
            </w:r>
          </w:p>
        </w:tc>
        <w:tc>
          <w:tcPr>
            <w:tcW w:w="1013" w:type="pct"/>
            <w:tcBorders>
              <w:top w:val="single" w:color="000000" w:sz="4" w:space="0"/>
              <w:left w:val="single" w:color="000000" w:sz="4" w:space="0"/>
              <w:bottom w:val="single" w:color="000000" w:sz="4" w:space="0"/>
              <w:right w:val="single" w:color="000000" w:sz="4" w:space="0"/>
            </w:tcBorders>
            <w:vAlign w:val="center"/>
          </w:tcPr>
          <w:p w14:paraId="7E30EAAA">
            <w:pPr>
              <w:pStyle w:val="1343"/>
            </w:pPr>
            <w:r>
              <w:rPr>
                <w:rFonts w:hint="eastAsia"/>
              </w:rPr>
              <w:t>牲畜饮用</w:t>
            </w:r>
          </w:p>
        </w:tc>
      </w:tr>
      <w:tr w14:paraId="716AEDCE">
        <w:tblPrEx>
          <w:tblCellMar>
            <w:top w:w="0" w:type="dxa"/>
            <w:left w:w="108" w:type="dxa"/>
            <w:bottom w:w="0" w:type="dxa"/>
            <w:right w:w="108" w:type="dxa"/>
          </w:tblCellMar>
        </w:tblPrEx>
        <w:trPr>
          <w:trHeight w:val="340" w:hRule="atLeast"/>
          <w:jc w:val="center"/>
        </w:trPr>
        <w:tc>
          <w:tcPr>
            <w:tcW w:w="1349" w:type="pct"/>
            <w:tcBorders>
              <w:top w:val="single" w:color="000000" w:sz="4" w:space="0"/>
              <w:left w:val="single" w:color="000000" w:sz="4" w:space="0"/>
              <w:bottom w:val="single" w:color="000000" w:sz="4" w:space="0"/>
              <w:right w:val="single" w:color="000000" w:sz="4" w:space="0"/>
            </w:tcBorders>
            <w:vAlign w:val="center"/>
          </w:tcPr>
          <w:p w14:paraId="0FD67FC7">
            <w:pPr>
              <w:adjustRightInd w:val="0"/>
              <w:snapToGrid w:val="0"/>
              <w:jc w:val="center"/>
              <w:rPr>
                <w:bCs/>
                <w:szCs w:val="21"/>
              </w:rPr>
            </w:pPr>
            <w:r>
              <w:rPr>
                <w:rFonts w:hint="eastAsia"/>
                <w:bCs/>
                <w:szCs w:val="21"/>
              </w:rPr>
              <w:t>黎家洲水井</w:t>
            </w:r>
          </w:p>
        </w:tc>
        <w:tc>
          <w:tcPr>
            <w:tcW w:w="753" w:type="pct"/>
            <w:tcBorders>
              <w:top w:val="single" w:color="000000" w:sz="4" w:space="0"/>
              <w:left w:val="single" w:color="000000" w:sz="4" w:space="0"/>
              <w:bottom w:val="single" w:color="000000" w:sz="4" w:space="0"/>
              <w:right w:val="single" w:color="000000" w:sz="4" w:space="0"/>
            </w:tcBorders>
            <w:vAlign w:val="center"/>
          </w:tcPr>
          <w:p w14:paraId="76C2FC09">
            <w:pPr>
              <w:pStyle w:val="1343"/>
            </w:pPr>
            <w:r>
              <w:rPr>
                <w:rFonts w:hint="eastAsia"/>
              </w:rPr>
              <w:t>8.9</w:t>
            </w:r>
          </w:p>
        </w:tc>
        <w:tc>
          <w:tcPr>
            <w:tcW w:w="1089" w:type="pct"/>
            <w:tcBorders>
              <w:top w:val="single" w:color="000000" w:sz="4" w:space="0"/>
              <w:left w:val="single" w:color="000000" w:sz="4" w:space="0"/>
              <w:bottom w:val="single" w:color="000000" w:sz="4" w:space="0"/>
              <w:right w:val="single" w:color="000000" w:sz="4" w:space="0"/>
            </w:tcBorders>
            <w:vAlign w:val="center"/>
          </w:tcPr>
          <w:p w14:paraId="3C510C96">
            <w:pPr>
              <w:pStyle w:val="1343"/>
            </w:pPr>
            <w:r>
              <w:rPr>
                <w:rFonts w:hint="eastAsia"/>
              </w:rPr>
              <w:t>99.8</w:t>
            </w:r>
          </w:p>
        </w:tc>
        <w:tc>
          <w:tcPr>
            <w:tcW w:w="793" w:type="pct"/>
            <w:tcBorders>
              <w:top w:val="single" w:color="000000" w:sz="4" w:space="0"/>
              <w:left w:val="single" w:color="000000" w:sz="4" w:space="0"/>
              <w:bottom w:val="single" w:color="000000" w:sz="4" w:space="0"/>
              <w:right w:val="single" w:color="000000" w:sz="4" w:space="0"/>
            </w:tcBorders>
            <w:vAlign w:val="center"/>
          </w:tcPr>
          <w:p w14:paraId="2EF5BBD1">
            <w:pPr>
              <w:pStyle w:val="1343"/>
            </w:pPr>
            <w:r>
              <w:rPr>
                <w:rFonts w:hint="eastAsia"/>
              </w:rPr>
              <w:t>22.8</w:t>
            </w:r>
          </w:p>
        </w:tc>
        <w:tc>
          <w:tcPr>
            <w:tcW w:w="1013" w:type="pct"/>
            <w:tcBorders>
              <w:top w:val="single" w:color="000000" w:sz="4" w:space="0"/>
              <w:left w:val="single" w:color="000000" w:sz="4" w:space="0"/>
              <w:bottom w:val="single" w:color="000000" w:sz="4" w:space="0"/>
              <w:right w:val="single" w:color="000000" w:sz="4" w:space="0"/>
            </w:tcBorders>
            <w:vAlign w:val="center"/>
          </w:tcPr>
          <w:p w14:paraId="1B631664">
            <w:pPr>
              <w:pStyle w:val="1343"/>
            </w:pPr>
            <w:r>
              <w:rPr>
                <w:rFonts w:hint="eastAsia"/>
              </w:rPr>
              <w:t>牲畜饮用</w:t>
            </w:r>
          </w:p>
        </w:tc>
      </w:tr>
      <w:tr w14:paraId="07F30B7C">
        <w:tblPrEx>
          <w:tblCellMar>
            <w:top w:w="0" w:type="dxa"/>
            <w:left w:w="108" w:type="dxa"/>
            <w:bottom w:w="0" w:type="dxa"/>
            <w:right w:w="108" w:type="dxa"/>
          </w:tblCellMar>
        </w:tblPrEx>
        <w:trPr>
          <w:trHeight w:val="340" w:hRule="atLeast"/>
          <w:jc w:val="center"/>
        </w:trPr>
        <w:tc>
          <w:tcPr>
            <w:tcW w:w="1349" w:type="pct"/>
            <w:tcBorders>
              <w:top w:val="single" w:color="000000" w:sz="4" w:space="0"/>
              <w:left w:val="single" w:color="000000" w:sz="4" w:space="0"/>
              <w:bottom w:val="single" w:color="000000" w:sz="4" w:space="0"/>
              <w:right w:val="single" w:color="000000" w:sz="4" w:space="0"/>
            </w:tcBorders>
            <w:vAlign w:val="center"/>
          </w:tcPr>
          <w:p w14:paraId="033EFFEA">
            <w:pPr>
              <w:adjustRightInd w:val="0"/>
              <w:snapToGrid w:val="0"/>
              <w:jc w:val="center"/>
              <w:rPr>
                <w:bCs/>
                <w:szCs w:val="21"/>
              </w:rPr>
            </w:pPr>
            <w:r>
              <w:rPr>
                <w:rFonts w:hint="eastAsia"/>
                <w:bCs/>
                <w:szCs w:val="21"/>
              </w:rPr>
              <w:t>黎家水井</w:t>
            </w:r>
          </w:p>
        </w:tc>
        <w:tc>
          <w:tcPr>
            <w:tcW w:w="753" w:type="pct"/>
            <w:tcBorders>
              <w:top w:val="single" w:color="000000" w:sz="4" w:space="0"/>
              <w:left w:val="single" w:color="000000" w:sz="4" w:space="0"/>
              <w:bottom w:val="single" w:color="000000" w:sz="4" w:space="0"/>
              <w:right w:val="single" w:color="000000" w:sz="4" w:space="0"/>
            </w:tcBorders>
            <w:vAlign w:val="center"/>
          </w:tcPr>
          <w:p w14:paraId="6D7F78D4">
            <w:pPr>
              <w:pStyle w:val="1343"/>
            </w:pPr>
            <w:r>
              <w:rPr>
                <w:rFonts w:hint="eastAsia"/>
              </w:rPr>
              <w:t>7.6</w:t>
            </w:r>
          </w:p>
        </w:tc>
        <w:tc>
          <w:tcPr>
            <w:tcW w:w="1089" w:type="pct"/>
            <w:tcBorders>
              <w:top w:val="single" w:color="000000" w:sz="4" w:space="0"/>
              <w:left w:val="single" w:color="000000" w:sz="4" w:space="0"/>
              <w:bottom w:val="single" w:color="000000" w:sz="4" w:space="0"/>
              <w:right w:val="single" w:color="000000" w:sz="4" w:space="0"/>
            </w:tcBorders>
            <w:vAlign w:val="center"/>
          </w:tcPr>
          <w:p w14:paraId="5E6AB362">
            <w:pPr>
              <w:pStyle w:val="1343"/>
            </w:pPr>
            <w:r>
              <w:rPr>
                <w:rFonts w:hint="eastAsia"/>
              </w:rPr>
              <w:t>117.7</w:t>
            </w:r>
          </w:p>
        </w:tc>
        <w:tc>
          <w:tcPr>
            <w:tcW w:w="793" w:type="pct"/>
            <w:tcBorders>
              <w:top w:val="single" w:color="000000" w:sz="4" w:space="0"/>
              <w:left w:val="single" w:color="000000" w:sz="4" w:space="0"/>
              <w:bottom w:val="single" w:color="000000" w:sz="4" w:space="0"/>
              <w:right w:val="single" w:color="000000" w:sz="4" w:space="0"/>
            </w:tcBorders>
            <w:vAlign w:val="center"/>
          </w:tcPr>
          <w:p w14:paraId="5CF9FB5F">
            <w:pPr>
              <w:pStyle w:val="1343"/>
            </w:pPr>
            <w:r>
              <w:rPr>
                <w:rFonts w:hint="eastAsia"/>
              </w:rPr>
              <w:t>21.9</w:t>
            </w:r>
          </w:p>
        </w:tc>
        <w:tc>
          <w:tcPr>
            <w:tcW w:w="1013" w:type="pct"/>
            <w:tcBorders>
              <w:top w:val="single" w:color="000000" w:sz="4" w:space="0"/>
              <w:left w:val="single" w:color="000000" w:sz="4" w:space="0"/>
              <w:bottom w:val="single" w:color="000000" w:sz="4" w:space="0"/>
              <w:right w:val="single" w:color="000000" w:sz="4" w:space="0"/>
            </w:tcBorders>
            <w:vAlign w:val="center"/>
          </w:tcPr>
          <w:p w14:paraId="11881A82">
            <w:pPr>
              <w:pStyle w:val="1343"/>
            </w:pPr>
            <w:r>
              <w:rPr>
                <w:rFonts w:hint="eastAsia"/>
              </w:rPr>
              <w:t>牲畜饮用</w:t>
            </w:r>
          </w:p>
        </w:tc>
      </w:tr>
      <w:tr w14:paraId="32F4DC6D">
        <w:tblPrEx>
          <w:tblCellMar>
            <w:top w:w="0" w:type="dxa"/>
            <w:left w:w="108" w:type="dxa"/>
            <w:bottom w:w="0" w:type="dxa"/>
            <w:right w:w="108" w:type="dxa"/>
          </w:tblCellMar>
        </w:tblPrEx>
        <w:trPr>
          <w:trHeight w:val="340" w:hRule="atLeast"/>
          <w:jc w:val="center"/>
        </w:trPr>
        <w:tc>
          <w:tcPr>
            <w:tcW w:w="1349" w:type="pct"/>
            <w:tcBorders>
              <w:top w:val="single" w:color="000000" w:sz="4" w:space="0"/>
              <w:left w:val="single" w:color="000000" w:sz="4" w:space="0"/>
              <w:bottom w:val="single" w:color="000000" w:sz="4" w:space="0"/>
              <w:right w:val="single" w:color="000000" w:sz="4" w:space="0"/>
            </w:tcBorders>
            <w:vAlign w:val="center"/>
          </w:tcPr>
          <w:p w14:paraId="59AEB9F4">
            <w:pPr>
              <w:adjustRightInd w:val="0"/>
              <w:snapToGrid w:val="0"/>
              <w:jc w:val="center"/>
              <w:rPr>
                <w:bCs/>
                <w:szCs w:val="21"/>
              </w:rPr>
            </w:pPr>
            <w:r>
              <w:rPr>
                <w:rFonts w:hint="eastAsia"/>
                <w:bCs/>
                <w:szCs w:val="21"/>
              </w:rPr>
              <w:t>蒋家冲水井</w:t>
            </w:r>
          </w:p>
        </w:tc>
        <w:tc>
          <w:tcPr>
            <w:tcW w:w="753" w:type="pct"/>
            <w:tcBorders>
              <w:top w:val="single" w:color="000000" w:sz="4" w:space="0"/>
              <w:left w:val="single" w:color="000000" w:sz="4" w:space="0"/>
              <w:bottom w:val="single" w:color="000000" w:sz="4" w:space="0"/>
              <w:right w:val="single" w:color="000000" w:sz="4" w:space="0"/>
            </w:tcBorders>
            <w:vAlign w:val="center"/>
          </w:tcPr>
          <w:p w14:paraId="749F88E6">
            <w:pPr>
              <w:pStyle w:val="1343"/>
            </w:pPr>
            <w:r>
              <w:rPr>
                <w:rFonts w:hint="eastAsia"/>
              </w:rPr>
              <w:t>6.4</w:t>
            </w:r>
          </w:p>
        </w:tc>
        <w:tc>
          <w:tcPr>
            <w:tcW w:w="1089" w:type="pct"/>
            <w:tcBorders>
              <w:top w:val="single" w:color="000000" w:sz="4" w:space="0"/>
              <w:left w:val="single" w:color="000000" w:sz="4" w:space="0"/>
              <w:bottom w:val="single" w:color="000000" w:sz="4" w:space="0"/>
              <w:right w:val="single" w:color="000000" w:sz="4" w:space="0"/>
            </w:tcBorders>
            <w:vAlign w:val="center"/>
          </w:tcPr>
          <w:p w14:paraId="2340F0DB">
            <w:pPr>
              <w:pStyle w:val="1343"/>
            </w:pPr>
            <w:r>
              <w:rPr>
                <w:rFonts w:hint="eastAsia"/>
              </w:rPr>
              <w:t>112.6</w:t>
            </w:r>
          </w:p>
        </w:tc>
        <w:tc>
          <w:tcPr>
            <w:tcW w:w="793" w:type="pct"/>
            <w:tcBorders>
              <w:top w:val="single" w:color="000000" w:sz="4" w:space="0"/>
              <w:left w:val="single" w:color="000000" w:sz="4" w:space="0"/>
              <w:bottom w:val="single" w:color="000000" w:sz="4" w:space="0"/>
              <w:right w:val="single" w:color="000000" w:sz="4" w:space="0"/>
            </w:tcBorders>
            <w:vAlign w:val="center"/>
          </w:tcPr>
          <w:p w14:paraId="35940CB1">
            <w:pPr>
              <w:pStyle w:val="1343"/>
            </w:pPr>
            <w:r>
              <w:rPr>
                <w:rFonts w:hint="eastAsia"/>
              </w:rPr>
              <w:t>22.7</w:t>
            </w:r>
          </w:p>
        </w:tc>
        <w:tc>
          <w:tcPr>
            <w:tcW w:w="1013" w:type="pct"/>
            <w:tcBorders>
              <w:top w:val="single" w:color="000000" w:sz="4" w:space="0"/>
              <w:left w:val="single" w:color="000000" w:sz="4" w:space="0"/>
              <w:bottom w:val="single" w:color="000000" w:sz="4" w:space="0"/>
              <w:right w:val="single" w:color="000000" w:sz="4" w:space="0"/>
            </w:tcBorders>
            <w:vAlign w:val="center"/>
          </w:tcPr>
          <w:p w14:paraId="47F26657">
            <w:pPr>
              <w:pStyle w:val="1343"/>
            </w:pPr>
            <w:r>
              <w:rPr>
                <w:rFonts w:hint="eastAsia"/>
              </w:rPr>
              <w:t>牲畜饮用</w:t>
            </w:r>
          </w:p>
        </w:tc>
      </w:tr>
    </w:tbl>
    <w:p w14:paraId="4895FFEB">
      <w:pPr>
        <w:pStyle w:val="904"/>
        <w:spacing w:before="120" w:beforeLines="50"/>
      </w:pPr>
      <w:r>
        <w:t xml:space="preserve">表 </w:t>
      </w:r>
      <w:r>
        <w:fldChar w:fldCharType="begin"/>
      </w:r>
      <w:r>
        <w:instrText xml:space="preserve"> STYLEREF 2 \s </w:instrText>
      </w:r>
      <w:r>
        <w:fldChar w:fldCharType="separate"/>
      </w:r>
      <w:r>
        <w:t>4.2</w:t>
      </w:r>
      <w:r>
        <w:fldChar w:fldCharType="end"/>
      </w:r>
      <w:r>
        <w:noBreakHyphen/>
      </w:r>
      <w:r>
        <w:t>1</w:t>
      </w:r>
      <w:r>
        <w:rPr>
          <w:rFonts w:hint="eastAsia"/>
        </w:rPr>
        <w:t>4</w:t>
      </w:r>
      <w:r>
        <w:t xml:space="preserve"> 地下水</w:t>
      </w:r>
      <w:r>
        <w:rPr>
          <w:rFonts w:hint="eastAsia"/>
        </w:rPr>
        <w:t>阴阳</w:t>
      </w:r>
      <w:r>
        <w:t>离子检验计算表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0"/>
        <w:gridCol w:w="1119"/>
        <w:gridCol w:w="1119"/>
        <w:gridCol w:w="1581"/>
        <w:gridCol w:w="1466"/>
        <w:gridCol w:w="1318"/>
        <w:gridCol w:w="906"/>
        <w:gridCol w:w="1087"/>
      </w:tblGrid>
      <w:tr w14:paraId="0130A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restart"/>
            <w:vAlign w:val="center"/>
          </w:tcPr>
          <w:p w14:paraId="7EC62ADC">
            <w:pPr>
              <w:pStyle w:val="1343"/>
            </w:pPr>
            <w:r>
              <w:t>监测点位</w:t>
            </w:r>
          </w:p>
        </w:tc>
        <w:tc>
          <w:tcPr>
            <w:tcW w:w="583" w:type="pct"/>
            <w:vMerge w:val="restart"/>
            <w:vAlign w:val="center"/>
          </w:tcPr>
          <w:p w14:paraId="01432706">
            <w:pPr>
              <w:pStyle w:val="1343"/>
            </w:pPr>
            <w:r>
              <w:t>监测时间</w:t>
            </w:r>
          </w:p>
        </w:tc>
        <w:tc>
          <w:tcPr>
            <w:tcW w:w="583" w:type="pct"/>
            <w:vAlign w:val="center"/>
          </w:tcPr>
          <w:p w14:paraId="499C58BF">
            <w:pPr>
              <w:pStyle w:val="1343"/>
            </w:pPr>
            <w:r>
              <w:t>监测</w:t>
            </w:r>
          </w:p>
        </w:tc>
        <w:tc>
          <w:tcPr>
            <w:tcW w:w="824" w:type="pct"/>
            <w:vAlign w:val="center"/>
          </w:tcPr>
          <w:p w14:paraId="039124FF">
            <w:pPr>
              <w:pStyle w:val="1343"/>
            </w:pPr>
            <w:r>
              <w:t>监测值</w:t>
            </w:r>
          </w:p>
        </w:tc>
        <w:tc>
          <w:tcPr>
            <w:tcW w:w="764" w:type="pct"/>
            <w:vMerge w:val="restart"/>
            <w:vAlign w:val="center"/>
          </w:tcPr>
          <w:p w14:paraId="5C5E39DC">
            <w:pPr>
              <w:pStyle w:val="1343"/>
            </w:pPr>
            <w:r>
              <w:t>阳离子毫克当量数总和</w:t>
            </w:r>
          </w:p>
        </w:tc>
        <w:tc>
          <w:tcPr>
            <w:tcW w:w="687" w:type="pct"/>
            <w:vMerge w:val="restart"/>
            <w:vAlign w:val="center"/>
          </w:tcPr>
          <w:p w14:paraId="1BE656FF">
            <w:pPr>
              <w:pStyle w:val="1343"/>
            </w:pPr>
            <w:r>
              <w:t>阴离子毫克当量数总和</w:t>
            </w:r>
          </w:p>
        </w:tc>
        <w:tc>
          <w:tcPr>
            <w:tcW w:w="472" w:type="pct"/>
            <w:vMerge w:val="restart"/>
            <w:vAlign w:val="center"/>
          </w:tcPr>
          <w:p w14:paraId="0617F80B">
            <w:pPr>
              <w:pStyle w:val="1343"/>
              <w:rPr>
                <w:rFonts w:eastAsia="等线"/>
              </w:rPr>
            </w:pPr>
            <w:r>
              <w:rPr>
                <w:rFonts w:eastAsia="等线"/>
              </w:rPr>
              <w:t>E</w:t>
            </w:r>
          </w:p>
          <w:p w14:paraId="23345C5E">
            <w:pPr>
              <w:pStyle w:val="1343"/>
              <w:rPr>
                <w:rFonts w:eastAsia="等线"/>
              </w:rPr>
            </w:pPr>
            <w:r>
              <w:t>(%)</w:t>
            </w:r>
          </w:p>
        </w:tc>
        <w:tc>
          <w:tcPr>
            <w:tcW w:w="566" w:type="pct"/>
            <w:vMerge w:val="restart"/>
            <w:vAlign w:val="center"/>
          </w:tcPr>
          <w:p w14:paraId="6F260A93">
            <w:pPr>
              <w:pStyle w:val="1343"/>
            </w:pPr>
            <w:r>
              <w:t>矿化度(</w:t>
            </w:r>
            <w:r>
              <w:rPr>
                <w:rFonts w:hint="eastAsia"/>
              </w:rPr>
              <w:t>m</w:t>
            </w:r>
            <w:r>
              <w:t>g/L)</w:t>
            </w:r>
          </w:p>
        </w:tc>
      </w:tr>
      <w:tr w14:paraId="4DF73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585C817E">
            <w:pPr>
              <w:pStyle w:val="1343"/>
              <w:rPr>
                <w:color w:val="0000FF"/>
              </w:rPr>
            </w:pPr>
          </w:p>
        </w:tc>
        <w:tc>
          <w:tcPr>
            <w:tcW w:w="583" w:type="pct"/>
            <w:vMerge w:val="continue"/>
            <w:vAlign w:val="center"/>
          </w:tcPr>
          <w:p w14:paraId="07ECA7FD">
            <w:pPr>
              <w:pStyle w:val="1343"/>
              <w:rPr>
                <w:color w:val="0000FF"/>
              </w:rPr>
            </w:pPr>
          </w:p>
        </w:tc>
        <w:tc>
          <w:tcPr>
            <w:tcW w:w="583" w:type="pct"/>
            <w:vAlign w:val="center"/>
          </w:tcPr>
          <w:p w14:paraId="589DEA77">
            <w:pPr>
              <w:pStyle w:val="1343"/>
            </w:pPr>
            <w:r>
              <w:t>因子</w:t>
            </w:r>
          </w:p>
        </w:tc>
        <w:tc>
          <w:tcPr>
            <w:tcW w:w="824" w:type="pct"/>
            <w:vAlign w:val="center"/>
          </w:tcPr>
          <w:p w14:paraId="06BF6CD5">
            <w:pPr>
              <w:pStyle w:val="1343"/>
            </w:pPr>
            <w:r>
              <w:t>(mg/L)</w:t>
            </w:r>
          </w:p>
        </w:tc>
        <w:tc>
          <w:tcPr>
            <w:tcW w:w="764" w:type="pct"/>
            <w:vMerge w:val="continue"/>
            <w:vAlign w:val="center"/>
          </w:tcPr>
          <w:p w14:paraId="56FC684F">
            <w:pPr>
              <w:pStyle w:val="1343"/>
              <w:rPr>
                <w:color w:val="0000FF"/>
              </w:rPr>
            </w:pPr>
          </w:p>
        </w:tc>
        <w:tc>
          <w:tcPr>
            <w:tcW w:w="687" w:type="pct"/>
            <w:vMerge w:val="continue"/>
            <w:vAlign w:val="center"/>
          </w:tcPr>
          <w:p w14:paraId="06AF99F1">
            <w:pPr>
              <w:pStyle w:val="1343"/>
              <w:rPr>
                <w:color w:val="0000FF"/>
              </w:rPr>
            </w:pPr>
          </w:p>
        </w:tc>
        <w:tc>
          <w:tcPr>
            <w:tcW w:w="472" w:type="pct"/>
            <w:vMerge w:val="continue"/>
            <w:vAlign w:val="center"/>
          </w:tcPr>
          <w:p w14:paraId="4AF33916">
            <w:pPr>
              <w:pStyle w:val="1343"/>
              <w:rPr>
                <w:rFonts w:eastAsia="等线"/>
                <w:color w:val="0000FF"/>
              </w:rPr>
            </w:pPr>
          </w:p>
        </w:tc>
        <w:tc>
          <w:tcPr>
            <w:tcW w:w="566" w:type="pct"/>
            <w:vMerge w:val="continue"/>
            <w:vAlign w:val="center"/>
          </w:tcPr>
          <w:p w14:paraId="5FA77A10">
            <w:pPr>
              <w:pStyle w:val="1343"/>
              <w:rPr>
                <w:color w:val="0000FF"/>
              </w:rPr>
            </w:pPr>
          </w:p>
        </w:tc>
      </w:tr>
      <w:tr w14:paraId="2CAD0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restart"/>
            <w:vAlign w:val="center"/>
          </w:tcPr>
          <w:p w14:paraId="1E5BD902">
            <w:pPr>
              <w:adjustRightInd w:val="0"/>
              <w:snapToGrid w:val="0"/>
              <w:jc w:val="center"/>
              <w:rPr>
                <w:color w:val="0000FF"/>
              </w:rPr>
            </w:pPr>
            <w:r>
              <w:rPr>
                <w:rFonts w:hint="eastAsia"/>
                <w:bCs/>
                <w:szCs w:val="21"/>
              </w:rPr>
              <w:t>大白石坳水井</w:t>
            </w:r>
          </w:p>
        </w:tc>
        <w:tc>
          <w:tcPr>
            <w:tcW w:w="583" w:type="pct"/>
            <w:vMerge w:val="restart"/>
            <w:vAlign w:val="center"/>
          </w:tcPr>
          <w:p w14:paraId="46EF11C0">
            <w:pPr>
              <w:pStyle w:val="1343"/>
              <w:rPr>
                <w:rFonts w:eastAsia="等线"/>
                <w:color w:val="0000FF"/>
              </w:rPr>
            </w:pPr>
            <w:r>
              <w:rPr>
                <w:rFonts w:hint="eastAsia" w:eastAsia="等线"/>
              </w:rPr>
              <w:t>8.11</w:t>
            </w:r>
          </w:p>
        </w:tc>
        <w:tc>
          <w:tcPr>
            <w:tcW w:w="583" w:type="pct"/>
            <w:vAlign w:val="center"/>
          </w:tcPr>
          <w:p w14:paraId="7483327A">
            <w:pPr>
              <w:pStyle w:val="1343"/>
              <w:rPr>
                <w:rFonts w:eastAsia="等线"/>
              </w:rPr>
            </w:pPr>
            <w:r>
              <w:rPr>
                <w:rFonts w:eastAsia="等线"/>
              </w:rPr>
              <w:t>K</w:t>
            </w:r>
            <w:r>
              <w:rPr>
                <w:vertAlign w:val="superscript"/>
              </w:rPr>
              <w:t>＋</w:t>
            </w:r>
          </w:p>
        </w:tc>
        <w:tc>
          <w:tcPr>
            <w:tcW w:w="824" w:type="pct"/>
            <w:vAlign w:val="center"/>
          </w:tcPr>
          <w:p w14:paraId="10C9EA27">
            <w:pPr>
              <w:pStyle w:val="1343"/>
              <w:rPr>
                <w:rFonts w:eastAsia="等线"/>
              </w:rPr>
            </w:pPr>
            <w:r>
              <w:rPr>
                <w:rFonts w:hint="eastAsia" w:eastAsia="等线"/>
              </w:rPr>
              <w:t>0.79</w:t>
            </w:r>
          </w:p>
        </w:tc>
        <w:tc>
          <w:tcPr>
            <w:tcW w:w="764" w:type="pct"/>
            <w:vMerge w:val="restart"/>
            <w:vAlign w:val="center"/>
          </w:tcPr>
          <w:p w14:paraId="6122AF92">
            <w:pPr>
              <w:pStyle w:val="1343"/>
              <w:rPr>
                <w:rFonts w:eastAsia="等线"/>
              </w:rPr>
            </w:pPr>
            <w:r>
              <w:rPr>
                <w:rFonts w:hint="eastAsia" w:eastAsia="等线"/>
              </w:rPr>
              <w:t>1.149</w:t>
            </w:r>
          </w:p>
        </w:tc>
        <w:tc>
          <w:tcPr>
            <w:tcW w:w="687" w:type="pct"/>
            <w:vMerge w:val="restart"/>
            <w:vAlign w:val="center"/>
          </w:tcPr>
          <w:p w14:paraId="4C2347AD">
            <w:pPr>
              <w:pStyle w:val="1343"/>
              <w:rPr>
                <w:rFonts w:eastAsia="等线"/>
              </w:rPr>
            </w:pPr>
            <w:r>
              <w:rPr>
                <w:rFonts w:hint="eastAsia" w:eastAsia="等线"/>
              </w:rPr>
              <w:t>1.152</w:t>
            </w:r>
          </w:p>
        </w:tc>
        <w:tc>
          <w:tcPr>
            <w:tcW w:w="472" w:type="pct"/>
            <w:vMerge w:val="restart"/>
            <w:vAlign w:val="center"/>
          </w:tcPr>
          <w:p w14:paraId="215A38DB">
            <w:pPr>
              <w:pStyle w:val="1343"/>
              <w:rPr>
                <w:rFonts w:eastAsia="等线"/>
              </w:rPr>
            </w:pPr>
            <w:r>
              <w:rPr>
                <w:rFonts w:hint="eastAsia" w:eastAsia="等线"/>
              </w:rPr>
              <w:t>0.13</w:t>
            </w:r>
          </w:p>
        </w:tc>
        <w:tc>
          <w:tcPr>
            <w:tcW w:w="566" w:type="pct"/>
            <w:vMerge w:val="restart"/>
            <w:vAlign w:val="center"/>
          </w:tcPr>
          <w:p w14:paraId="471C5CD8">
            <w:pPr>
              <w:pStyle w:val="1343"/>
              <w:rPr>
                <w:rFonts w:eastAsia="等线"/>
              </w:rPr>
            </w:pPr>
            <w:r>
              <w:rPr>
                <w:rFonts w:hint="eastAsia" w:eastAsia="等线"/>
              </w:rPr>
              <w:t>0.072</w:t>
            </w:r>
          </w:p>
        </w:tc>
      </w:tr>
      <w:tr w14:paraId="5C019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290B796E">
            <w:pPr>
              <w:pStyle w:val="1343"/>
              <w:rPr>
                <w:color w:val="0000FF"/>
              </w:rPr>
            </w:pPr>
          </w:p>
        </w:tc>
        <w:tc>
          <w:tcPr>
            <w:tcW w:w="583" w:type="pct"/>
            <w:vMerge w:val="continue"/>
            <w:vAlign w:val="center"/>
          </w:tcPr>
          <w:p w14:paraId="7020EFF7">
            <w:pPr>
              <w:pStyle w:val="1343"/>
              <w:rPr>
                <w:rFonts w:eastAsia="等线"/>
                <w:color w:val="0000FF"/>
              </w:rPr>
            </w:pPr>
          </w:p>
        </w:tc>
        <w:tc>
          <w:tcPr>
            <w:tcW w:w="583" w:type="pct"/>
            <w:vAlign w:val="center"/>
          </w:tcPr>
          <w:p w14:paraId="3B024EA7">
            <w:pPr>
              <w:pStyle w:val="1343"/>
              <w:rPr>
                <w:rFonts w:eastAsia="等线"/>
              </w:rPr>
            </w:pPr>
            <w:r>
              <w:rPr>
                <w:rFonts w:eastAsia="等线"/>
              </w:rPr>
              <w:t>Na</w:t>
            </w:r>
            <w:r>
              <w:rPr>
                <w:vertAlign w:val="superscript"/>
              </w:rPr>
              <w:t>＋</w:t>
            </w:r>
          </w:p>
        </w:tc>
        <w:tc>
          <w:tcPr>
            <w:tcW w:w="824" w:type="pct"/>
            <w:vAlign w:val="center"/>
          </w:tcPr>
          <w:p w14:paraId="79D769C2">
            <w:pPr>
              <w:pStyle w:val="1343"/>
              <w:rPr>
                <w:rFonts w:eastAsia="等线"/>
              </w:rPr>
            </w:pPr>
            <w:r>
              <w:rPr>
                <w:rFonts w:hint="eastAsia" w:eastAsia="等线"/>
              </w:rPr>
              <w:t>8.06</w:t>
            </w:r>
          </w:p>
        </w:tc>
        <w:tc>
          <w:tcPr>
            <w:tcW w:w="764" w:type="pct"/>
            <w:vMerge w:val="continue"/>
            <w:vAlign w:val="center"/>
          </w:tcPr>
          <w:p w14:paraId="6AC56B25">
            <w:pPr>
              <w:pStyle w:val="1343"/>
              <w:rPr>
                <w:rFonts w:eastAsia="等线"/>
                <w:color w:val="0000FF"/>
              </w:rPr>
            </w:pPr>
          </w:p>
        </w:tc>
        <w:tc>
          <w:tcPr>
            <w:tcW w:w="687" w:type="pct"/>
            <w:vMerge w:val="continue"/>
            <w:vAlign w:val="center"/>
          </w:tcPr>
          <w:p w14:paraId="2CA3F8E6">
            <w:pPr>
              <w:pStyle w:val="1343"/>
              <w:rPr>
                <w:rFonts w:eastAsia="等线"/>
                <w:color w:val="0000FF"/>
              </w:rPr>
            </w:pPr>
          </w:p>
        </w:tc>
        <w:tc>
          <w:tcPr>
            <w:tcW w:w="472" w:type="pct"/>
            <w:vMerge w:val="continue"/>
            <w:vAlign w:val="center"/>
          </w:tcPr>
          <w:p w14:paraId="31578331">
            <w:pPr>
              <w:pStyle w:val="1343"/>
              <w:rPr>
                <w:rFonts w:eastAsia="等线"/>
                <w:color w:val="0000FF"/>
              </w:rPr>
            </w:pPr>
          </w:p>
        </w:tc>
        <w:tc>
          <w:tcPr>
            <w:tcW w:w="566" w:type="pct"/>
            <w:vMerge w:val="continue"/>
            <w:vAlign w:val="center"/>
          </w:tcPr>
          <w:p w14:paraId="673508EE">
            <w:pPr>
              <w:pStyle w:val="1343"/>
              <w:rPr>
                <w:rFonts w:eastAsia="等线"/>
                <w:color w:val="0000FF"/>
              </w:rPr>
            </w:pPr>
          </w:p>
        </w:tc>
      </w:tr>
      <w:tr w14:paraId="5EB54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275DF6B7">
            <w:pPr>
              <w:pStyle w:val="1343"/>
              <w:rPr>
                <w:color w:val="0000FF"/>
              </w:rPr>
            </w:pPr>
          </w:p>
        </w:tc>
        <w:tc>
          <w:tcPr>
            <w:tcW w:w="583" w:type="pct"/>
            <w:vMerge w:val="continue"/>
            <w:vAlign w:val="center"/>
          </w:tcPr>
          <w:p w14:paraId="069D33F3">
            <w:pPr>
              <w:pStyle w:val="1343"/>
              <w:rPr>
                <w:rFonts w:eastAsia="等线"/>
                <w:color w:val="0000FF"/>
              </w:rPr>
            </w:pPr>
          </w:p>
        </w:tc>
        <w:tc>
          <w:tcPr>
            <w:tcW w:w="583" w:type="pct"/>
            <w:vAlign w:val="center"/>
          </w:tcPr>
          <w:p w14:paraId="3277EE6F">
            <w:pPr>
              <w:pStyle w:val="1343"/>
              <w:rPr>
                <w:rFonts w:eastAsia="等线"/>
              </w:rPr>
            </w:pPr>
            <w:r>
              <w:rPr>
                <w:rFonts w:eastAsia="等线"/>
              </w:rPr>
              <w:t>Ca</w:t>
            </w:r>
            <w:r>
              <w:rPr>
                <w:rFonts w:eastAsia="等线"/>
                <w:vertAlign w:val="superscript"/>
              </w:rPr>
              <w:t>2</w:t>
            </w:r>
            <w:r>
              <w:rPr>
                <w:vertAlign w:val="superscript"/>
              </w:rPr>
              <w:t>＋</w:t>
            </w:r>
          </w:p>
        </w:tc>
        <w:tc>
          <w:tcPr>
            <w:tcW w:w="824" w:type="pct"/>
            <w:vAlign w:val="center"/>
          </w:tcPr>
          <w:p w14:paraId="0521F164">
            <w:pPr>
              <w:pStyle w:val="1343"/>
              <w:rPr>
                <w:rFonts w:eastAsia="等线"/>
              </w:rPr>
            </w:pPr>
            <w:r>
              <w:rPr>
                <w:rFonts w:hint="eastAsia" w:eastAsia="等线"/>
              </w:rPr>
              <w:t>10.4</w:t>
            </w:r>
          </w:p>
        </w:tc>
        <w:tc>
          <w:tcPr>
            <w:tcW w:w="764" w:type="pct"/>
            <w:vMerge w:val="continue"/>
            <w:vAlign w:val="center"/>
          </w:tcPr>
          <w:p w14:paraId="1E55A282">
            <w:pPr>
              <w:pStyle w:val="1343"/>
              <w:rPr>
                <w:rFonts w:eastAsia="等线"/>
                <w:color w:val="0000FF"/>
              </w:rPr>
            </w:pPr>
          </w:p>
        </w:tc>
        <w:tc>
          <w:tcPr>
            <w:tcW w:w="687" w:type="pct"/>
            <w:vMerge w:val="continue"/>
            <w:vAlign w:val="center"/>
          </w:tcPr>
          <w:p w14:paraId="3F1F5260">
            <w:pPr>
              <w:pStyle w:val="1343"/>
              <w:rPr>
                <w:rFonts w:eastAsia="等线"/>
                <w:color w:val="0000FF"/>
              </w:rPr>
            </w:pPr>
          </w:p>
        </w:tc>
        <w:tc>
          <w:tcPr>
            <w:tcW w:w="472" w:type="pct"/>
            <w:vMerge w:val="continue"/>
            <w:vAlign w:val="center"/>
          </w:tcPr>
          <w:p w14:paraId="2AF62B1E">
            <w:pPr>
              <w:pStyle w:val="1343"/>
              <w:rPr>
                <w:rFonts w:eastAsia="等线"/>
                <w:color w:val="0000FF"/>
              </w:rPr>
            </w:pPr>
          </w:p>
        </w:tc>
        <w:tc>
          <w:tcPr>
            <w:tcW w:w="566" w:type="pct"/>
            <w:vMerge w:val="continue"/>
            <w:vAlign w:val="center"/>
          </w:tcPr>
          <w:p w14:paraId="3C587A6F">
            <w:pPr>
              <w:pStyle w:val="1343"/>
              <w:rPr>
                <w:rFonts w:eastAsia="等线"/>
                <w:color w:val="0000FF"/>
              </w:rPr>
            </w:pPr>
          </w:p>
        </w:tc>
      </w:tr>
      <w:tr w14:paraId="057B0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3F643535">
            <w:pPr>
              <w:pStyle w:val="1343"/>
              <w:rPr>
                <w:color w:val="0000FF"/>
              </w:rPr>
            </w:pPr>
          </w:p>
        </w:tc>
        <w:tc>
          <w:tcPr>
            <w:tcW w:w="583" w:type="pct"/>
            <w:vMerge w:val="continue"/>
            <w:vAlign w:val="center"/>
          </w:tcPr>
          <w:p w14:paraId="11C0A5A6">
            <w:pPr>
              <w:pStyle w:val="1343"/>
              <w:rPr>
                <w:rFonts w:eastAsia="等线"/>
                <w:color w:val="0000FF"/>
              </w:rPr>
            </w:pPr>
          </w:p>
        </w:tc>
        <w:tc>
          <w:tcPr>
            <w:tcW w:w="583" w:type="pct"/>
            <w:vAlign w:val="center"/>
          </w:tcPr>
          <w:p w14:paraId="5F352C81">
            <w:pPr>
              <w:pStyle w:val="1343"/>
              <w:rPr>
                <w:rFonts w:eastAsia="等线"/>
              </w:rPr>
            </w:pPr>
            <w:r>
              <w:rPr>
                <w:rFonts w:eastAsia="等线"/>
              </w:rPr>
              <w:t>Mg</w:t>
            </w:r>
            <w:r>
              <w:rPr>
                <w:rFonts w:eastAsia="等线"/>
                <w:vertAlign w:val="superscript"/>
              </w:rPr>
              <w:t>2</w:t>
            </w:r>
            <w:r>
              <w:rPr>
                <w:vertAlign w:val="superscript"/>
              </w:rPr>
              <w:t>＋</w:t>
            </w:r>
          </w:p>
        </w:tc>
        <w:tc>
          <w:tcPr>
            <w:tcW w:w="824" w:type="pct"/>
            <w:vAlign w:val="center"/>
          </w:tcPr>
          <w:p w14:paraId="24203A9A">
            <w:pPr>
              <w:pStyle w:val="1343"/>
              <w:rPr>
                <w:rFonts w:eastAsia="等线"/>
              </w:rPr>
            </w:pPr>
            <w:r>
              <w:rPr>
                <w:rFonts w:hint="eastAsia" w:eastAsia="等线"/>
              </w:rPr>
              <w:t>3.1</w:t>
            </w:r>
          </w:p>
        </w:tc>
        <w:tc>
          <w:tcPr>
            <w:tcW w:w="764" w:type="pct"/>
            <w:vMerge w:val="continue"/>
            <w:vAlign w:val="center"/>
          </w:tcPr>
          <w:p w14:paraId="18760B1B">
            <w:pPr>
              <w:pStyle w:val="1343"/>
              <w:rPr>
                <w:rFonts w:eastAsia="等线"/>
                <w:color w:val="0000FF"/>
              </w:rPr>
            </w:pPr>
          </w:p>
        </w:tc>
        <w:tc>
          <w:tcPr>
            <w:tcW w:w="687" w:type="pct"/>
            <w:vMerge w:val="continue"/>
            <w:vAlign w:val="center"/>
          </w:tcPr>
          <w:p w14:paraId="33021955">
            <w:pPr>
              <w:pStyle w:val="1343"/>
              <w:rPr>
                <w:rFonts w:eastAsia="等线"/>
                <w:color w:val="0000FF"/>
              </w:rPr>
            </w:pPr>
          </w:p>
        </w:tc>
        <w:tc>
          <w:tcPr>
            <w:tcW w:w="472" w:type="pct"/>
            <w:vMerge w:val="continue"/>
            <w:vAlign w:val="center"/>
          </w:tcPr>
          <w:p w14:paraId="56A28880">
            <w:pPr>
              <w:pStyle w:val="1343"/>
              <w:rPr>
                <w:rFonts w:eastAsia="等线"/>
                <w:color w:val="0000FF"/>
              </w:rPr>
            </w:pPr>
          </w:p>
        </w:tc>
        <w:tc>
          <w:tcPr>
            <w:tcW w:w="566" w:type="pct"/>
            <w:vMerge w:val="continue"/>
            <w:vAlign w:val="center"/>
          </w:tcPr>
          <w:p w14:paraId="1EBB9F1D">
            <w:pPr>
              <w:pStyle w:val="1343"/>
              <w:rPr>
                <w:rFonts w:eastAsia="等线"/>
                <w:color w:val="0000FF"/>
              </w:rPr>
            </w:pPr>
          </w:p>
        </w:tc>
      </w:tr>
      <w:tr w14:paraId="2611C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0BC2BC29">
            <w:pPr>
              <w:pStyle w:val="1343"/>
              <w:rPr>
                <w:color w:val="0000FF"/>
              </w:rPr>
            </w:pPr>
          </w:p>
        </w:tc>
        <w:tc>
          <w:tcPr>
            <w:tcW w:w="583" w:type="pct"/>
            <w:vMerge w:val="continue"/>
            <w:vAlign w:val="center"/>
          </w:tcPr>
          <w:p w14:paraId="3B1AEF47">
            <w:pPr>
              <w:pStyle w:val="1343"/>
              <w:rPr>
                <w:rFonts w:eastAsia="等线"/>
                <w:color w:val="0000FF"/>
              </w:rPr>
            </w:pPr>
          </w:p>
        </w:tc>
        <w:tc>
          <w:tcPr>
            <w:tcW w:w="583" w:type="pct"/>
            <w:vAlign w:val="center"/>
          </w:tcPr>
          <w:p w14:paraId="040CFCDA">
            <w:pPr>
              <w:pStyle w:val="1343"/>
              <w:rPr>
                <w:rFonts w:eastAsia="等线"/>
              </w:rPr>
            </w:pPr>
            <w:r>
              <w:rPr>
                <w:rFonts w:eastAsia="等线"/>
              </w:rPr>
              <w:t>CO</w:t>
            </w:r>
            <w:r>
              <w:rPr>
                <w:rFonts w:eastAsia="等线"/>
                <w:vertAlign w:val="subscript"/>
              </w:rPr>
              <w:t>3</w:t>
            </w:r>
            <w:r>
              <w:rPr>
                <w:rFonts w:eastAsia="等线"/>
                <w:vertAlign w:val="superscript"/>
              </w:rPr>
              <w:t>2-</w:t>
            </w:r>
          </w:p>
        </w:tc>
        <w:tc>
          <w:tcPr>
            <w:tcW w:w="824" w:type="pct"/>
            <w:vAlign w:val="center"/>
          </w:tcPr>
          <w:p w14:paraId="3E230940">
            <w:pPr>
              <w:pStyle w:val="1343"/>
              <w:rPr>
                <w:rFonts w:eastAsia="等线"/>
              </w:rPr>
            </w:pPr>
            <w:r>
              <w:rPr>
                <w:rFonts w:hint="eastAsia" w:eastAsia="等线"/>
              </w:rPr>
              <w:t>0</w:t>
            </w:r>
          </w:p>
        </w:tc>
        <w:tc>
          <w:tcPr>
            <w:tcW w:w="764" w:type="pct"/>
            <w:vMerge w:val="continue"/>
            <w:vAlign w:val="center"/>
          </w:tcPr>
          <w:p w14:paraId="456CE751">
            <w:pPr>
              <w:pStyle w:val="1343"/>
              <w:rPr>
                <w:rFonts w:eastAsia="等线"/>
                <w:color w:val="0000FF"/>
              </w:rPr>
            </w:pPr>
          </w:p>
        </w:tc>
        <w:tc>
          <w:tcPr>
            <w:tcW w:w="687" w:type="pct"/>
            <w:vMerge w:val="continue"/>
            <w:vAlign w:val="center"/>
          </w:tcPr>
          <w:p w14:paraId="1C53F040">
            <w:pPr>
              <w:pStyle w:val="1343"/>
              <w:rPr>
                <w:rFonts w:eastAsia="等线"/>
                <w:color w:val="0000FF"/>
              </w:rPr>
            </w:pPr>
          </w:p>
        </w:tc>
        <w:tc>
          <w:tcPr>
            <w:tcW w:w="472" w:type="pct"/>
            <w:vMerge w:val="continue"/>
            <w:vAlign w:val="center"/>
          </w:tcPr>
          <w:p w14:paraId="5A495C9E">
            <w:pPr>
              <w:pStyle w:val="1343"/>
              <w:rPr>
                <w:rFonts w:eastAsia="等线"/>
                <w:color w:val="0000FF"/>
              </w:rPr>
            </w:pPr>
          </w:p>
        </w:tc>
        <w:tc>
          <w:tcPr>
            <w:tcW w:w="566" w:type="pct"/>
            <w:vMerge w:val="continue"/>
            <w:vAlign w:val="center"/>
          </w:tcPr>
          <w:p w14:paraId="535030B7">
            <w:pPr>
              <w:pStyle w:val="1343"/>
              <w:rPr>
                <w:rFonts w:eastAsia="等线"/>
                <w:color w:val="0000FF"/>
              </w:rPr>
            </w:pPr>
          </w:p>
        </w:tc>
      </w:tr>
      <w:tr w14:paraId="19411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4AED9B38">
            <w:pPr>
              <w:pStyle w:val="1343"/>
              <w:rPr>
                <w:color w:val="0000FF"/>
              </w:rPr>
            </w:pPr>
          </w:p>
        </w:tc>
        <w:tc>
          <w:tcPr>
            <w:tcW w:w="583" w:type="pct"/>
            <w:vMerge w:val="continue"/>
            <w:vAlign w:val="center"/>
          </w:tcPr>
          <w:p w14:paraId="4DE419F3">
            <w:pPr>
              <w:pStyle w:val="1343"/>
              <w:rPr>
                <w:rFonts w:eastAsia="等线"/>
                <w:color w:val="0000FF"/>
              </w:rPr>
            </w:pPr>
          </w:p>
        </w:tc>
        <w:tc>
          <w:tcPr>
            <w:tcW w:w="583" w:type="pct"/>
            <w:vAlign w:val="center"/>
          </w:tcPr>
          <w:p w14:paraId="55EB312D">
            <w:pPr>
              <w:pStyle w:val="1343"/>
              <w:rPr>
                <w:rFonts w:eastAsia="等线"/>
              </w:rPr>
            </w:pPr>
            <w:r>
              <w:rPr>
                <w:rFonts w:eastAsia="等线"/>
              </w:rPr>
              <w:t>HCO</w:t>
            </w:r>
            <w:r>
              <w:rPr>
                <w:rFonts w:eastAsia="等线"/>
                <w:vertAlign w:val="subscript"/>
              </w:rPr>
              <w:t>3</w:t>
            </w:r>
            <w:r>
              <w:rPr>
                <w:rFonts w:eastAsia="等线"/>
                <w:vertAlign w:val="superscript"/>
              </w:rPr>
              <w:t>-</w:t>
            </w:r>
          </w:p>
        </w:tc>
        <w:tc>
          <w:tcPr>
            <w:tcW w:w="824" w:type="pct"/>
            <w:vAlign w:val="center"/>
          </w:tcPr>
          <w:p w14:paraId="6E4B6AB2">
            <w:pPr>
              <w:pStyle w:val="1343"/>
              <w:rPr>
                <w:rFonts w:eastAsia="等线"/>
              </w:rPr>
            </w:pPr>
            <w:r>
              <w:rPr>
                <w:rFonts w:hint="eastAsia" w:eastAsia="等线"/>
              </w:rPr>
              <w:t>18.2</w:t>
            </w:r>
          </w:p>
        </w:tc>
        <w:tc>
          <w:tcPr>
            <w:tcW w:w="764" w:type="pct"/>
            <w:vMerge w:val="continue"/>
            <w:vAlign w:val="center"/>
          </w:tcPr>
          <w:p w14:paraId="40028D72">
            <w:pPr>
              <w:pStyle w:val="1343"/>
              <w:rPr>
                <w:rFonts w:eastAsia="等线"/>
                <w:color w:val="0000FF"/>
              </w:rPr>
            </w:pPr>
          </w:p>
        </w:tc>
        <w:tc>
          <w:tcPr>
            <w:tcW w:w="687" w:type="pct"/>
            <w:vMerge w:val="continue"/>
            <w:vAlign w:val="center"/>
          </w:tcPr>
          <w:p w14:paraId="5A66D0DF">
            <w:pPr>
              <w:pStyle w:val="1343"/>
              <w:rPr>
                <w:rFonts w:eastAsia="等线"/>
                <w:color w:val="0000FF"/>
              </w:rPr>
            </w:pPr>
          </w:p>
        </w:tc>
        <w:tc>
          <w:tcPr>
            <w:tcW w:w="472" w:type="pct"/>
            <w:vMerge w:val="continue"/>
            <w:vAlign w:val="center"/>
          </w:tcPr>
          <w:p w14:paraId="5AAFB338">
            <w:pPr>
              <w:pStyle w:val="1343"/>
              <w:rPr>
                <w:rFonts w:eastAsia="等线"/>
                <w:color w:val="0000FF"/>
              </w:rPr>
            </w:pPr>
          </w:p>
        </w:tc>
        <w:tc>
          <w:tcPr>
            <w:tcW w:w="566" w:type="pct"/>
            <w:vMerge w:val="continue"/>
            <w:vAlign w:val="center"/>
          </w:tcPr>
          <w:p w14:paraId="14732287">
            <w:pPr>
              <w:pStyle w:val="1343"/>
              <w:rPr>
                <w:rFonts w:eastAsia="等线"/>
                <w:color w:val="0000FF"/>
              </w:rPr>
            </w:pPr>
          </w:p>
        </w:tc>
      </w:tr>
      <w:tr w14:paraId="51BA9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6DCD11EE">
            <w:pPr>
              <w:pStyle w:val="1343"/>
              <w:rPr>
                <w:color w:val="0000FF"/>
              </w:rPr>
            </w:pPr>
          </w:p>
        </w:tc>
        <w:tc>
          <w:tcPr>
            <w:tcW w:w="583" w:type="pct"/>
            <w:vMerge w:val="continue"/>
            <w:vAlign w:val="center"/>
          </w:tcPr>
          <w:p w14:paraId="2F4001C3">
            <w:pPr>
              <w:pStyle w:val="1343"/>
              <w:rPr>
                <w:rFonts w:eastAsia="等线"/>
                <w:color w:val="0000FF"/>
              </w:rPr>
            </w:pPr>
          </w:p>
        </w:tc>
        <w:tc>
          <w:tcPr>
            <w:tcW w:w="583" w:type="pct"/>
            <w:vAlign w:val="center"/>
          </w:tcPr>
          <w:p w14:paraId="4D56CC5F">
            <w:pPr>
              <w:pStyle w:val="1343"/>
              <w:rPr>
                <w:rFonts w:eastAsia="等线"/>
              </w:rPr>
            </w:pPr>
            <w:r>
              <w:rPr>
                <w:rFonts w:eastAsia="等线"/>
              </w:rPr>
              <w:t>Cl</w:t>
            </w:r>
            <w:r>
              <w:rPr>
                <w:vertAlign w:val="superscript"/>
              </w:rPr>
              <w:t>－</w:t>
            </w:r>
          </w:p>
        </w:tc>
        <w:tc>
          <w:tcPr>
            <w:tcW w:w="824" w:type="pct"/>
            <w:vAlign w:val="center"/>
          </w:tcPr>
          <w:p w14:paraId="5F3CA51E">
            <w:pPr>
              <w:pStyle w:val="1343"/>
            </w:pPr>
            <w:r>
              <w:rPr>
                <w:rFonts w:hint="eastAsia"/>
              </w:rPr>
              <w:t>5.3</w:t>
            </w:r>
          </w:p>
        </w:tc>
        <w:tc>
          <w:tcPr>
            <w:tcW w:w="764" w:type="pct"/>
            <w:vMerge w:val="continue"/>
            <w:vAlign w:val="center"/>
          </w:tcPr>
          <w:p w14:paraId="06BD51B3">
            <w:pPr>
              <w:pStyle w:val="1343"/>
              <w:rPr>
                <w:rFonts w:eastAsia="等线"/>
                <w:color w:val="0000FF"/>
              </w:rPr>
            </w:pPr>
          </w:p>
        </w:tc>
        <w:tc>
          <w:tcPr>
            <w:tcW w:w="687" w:type="pct"/>
            <w:vMerge w:val="continue"/>
            <w:vAlign w:val="center"/>
          </w:tcPr>
          <w:p w14:paraId="516EACB7">
            <w:pPr>
              <w:pStyle w:val="1343"/>
              <w:rPr>
                <w:rFonts w:eastAsia="等线"/>
                <w:color w:val="0000FF"/>
              </w:rPr>
            </w:pPr>
          </w:p>
        </w:tc>
        <w:tc>
          <w:tcPr>
            <w:tcW w:w="472" w:type="pct"/>
            <w:vMerge w:val="continue"/>
            <w:vAlign w:val="center"/>
          </w:tcPr>
          <w:p w14:paraId="2C1B34F2">
            <w:pPr>
              <w:pStyle w:val="1343"/>
              <w:rPr>
                <w:rFonts w:eastAsia="等线"/>
                <w:color w:val="0000FF"/>
              </w:rPr>
            </w:pPr>
          </w:p>
        </w:tc>
        <w:tc>
          <w:tcPr>
            <w:tcW w:w="566" w:type="pct"/>
            <w:vMerge w:val="continue"/>
            <w:vAlign w:val="center"/>
          </w:tcPr>
          <w:p w14:paraId="26FE4766">
            <w:pPr>
              <w:pStyle w:val="1343"/>
              <w:rPr>
                <w:rFonts w:eastAsia="等线"/>
                <w:color w:val="0000FF"/>
              </w:rPr>
            </w:pPr>
          </w:p>
        </w:tc>
      </w:tr>
      <w:tr w14:paraId="44D59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39EE60E2">
            <w:pPr>
              <w:pStyle w:val="1343"/>
              <w:rPr>
                <w:color w:val="0000FF"/>
              </w:rPr>
            </w:pPr>
          </w:p>
        </w:tc>
        <w:tc>
          <w:tcPr>
            <w:tcW w:w="583" w:type="pct"/>
            <w:vMerge w:val="continue"/>
            <w:vAlign w:val="center"/>
          </w:tcPr>
          <w:p w14:paraId="1B2A93B7">
            <w:pPr>
              <w:pStyle w:val="1343"/>
              <w:rPr>
                <w:rFonts w:eastAsia="等线"/>
                <w:color w:val="0000FF"/>
              </w:rPr>
            </w:pPr>
          </w:p>
        </w:tc>
        <w:tc>
          <w:tcPr>
            <w:tcW w:w="583" w:type="pct"/>
            <w:vAlign w:val="center"/>
          </w:tcPr>
          <w:p w14:paraId="090D73D3">
            <w:pPr>
              <w:pStyle w:val="1343"/>
              <w:rPr>
                <w:rFonts w:eastAsia="等线"/>
              </w:rPr>
            </w:pPr>
            <w:r>
              <w:rPr>
                <w:rFonts w:eastAsia="等线"/>
              </w:rPr>
              <w:t>SO</w:t>
            </w:r>
            <w:r>
              <w:rPr>
                <w:rFonts w:eastAsia="等线"/>
                <w:vertAlign w:val="subscript"/>
              </w:rPr>
              <w:t>4</w:t>
            </w:r>
            <w:r>
              <w:rPr>
                <w:rFonts w:eastAsia="等线"/>
                <w:vertAlign w:val="superscript"/>
              </w:rPr>
              <w:t>2</w:t>
            </w:r>
            <w:r>
              <w:rPr>
                <w:vertAlign w:val="superscript"/>
              </w:rPr>
              <w:t>－</w:t>
            </w:r>
          </w:p>
        </w:tc>
        <w:tc>
          <w:tcPr>
            <w:tcW w:w="824" w:type="pct"/>
            <w:vAlign w:val="center"/>
          </w:tcPr>
          <w:p w14:paraId="59F0625A">
            <w:pPr>
              <w:pStyle w:val="1343"/>
              <w:rPr>
                <w:rFonts w:eastAsia="等线"/>
              </w:rPr>
            </w:pPr>
            <w:r>
              <w:rPr>
                <w:rFonts w:hint="eastAsia" w:eastAsia="等线"/>
              </w:rPr>
              <w:t>28</w:t>
            </w:r>
          </w:p>
        </w:tc>
        <w:tc>
          <w:tcPr>
            <w:tcW w:w="764" w:type="pct"/>
            <w:vMerge w:val="continue"/>
            <w:vAlign w:val="center"/>
          </w:tcPr>
          <w:p w14:paraId="0635D97B">
            <w:pPr>
              <w:pStyle w:val="1343"/>
              <w:rPr>
                <w:rFonts w:eastAsia="等线"/>
                <w:color w:val="0000FF"/>
              </w:rPr>
            </w:pPr>
          </w:p>
        </w:tc>
        <w:tc>
          <w:tcPr>
            <w:tcW w:w="687" w:type="pct"/>
            <w:vMerge w:val="continue"/>
            <w:vAlign w:val="center"/>
          </w:tcPr>
          <w:p w14:paraId="2D6ACC33">
            <w:pPr>
              <w:pStyle w:val="1343"/>
              <w:rPr>
                <w:rFonts w:eastAsia="等线"/>
                <w:color w:val="0000FF"/>
              </w:rPr>
            </w:pPr>
          </w:p>
        </w:tc>
        <w:tc>
          <w:tcPr>
            <w:tcW w:w="472" w:type="pct"/>
            <w:vMerge w:val="continue"/>
            <w:vAlign w:val="center"/>
          </w:tcPr>
          <w:p w14:paraId="7CB2AC06">
            <w:pPr>
              <w:pStyle w:val="1343"/>
              <w:rPr>
                <w:rFonts w:eastAsia="等线"/>
                <w:color w:val="0000FF"/>
              </w:rPr>
            </w:pPr>
          </w:p>
        </w:tc>
        <w:tc>
          <w:tcPr>
            <w:tcW w:w="566" w:type="pct"/>
            <w:vMerge w:val="continue"/>
            <w:vAlign w:val="center"/>
          </w:tcPr>
          <w:p w14:paraId="3D1287B6">
            <w:pPr>
              <w:pStyle w:val="1343"/>
              <w:rPr>
                <w:rFonts w:eastAsia="等线"/>
                <w:color w:val="0000FF"/>
              </w:rPr>
            </w:pPr>
          </w:p>
        </w:tc>
      </w:tr>
      <w:tr w14:paraId="5D7E0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4B96F8D1">
            <w:pPr>
              <w:pStyle w:val="1343"/>
              <w:rPr>
                <w:color w:val="0000FF"/>
              </w:rPr>
            </w:pPr>
          </w:p>
        </w:tc>
        <w:tc>
          <w:tcPr>
            <w:tcW w:w="583" w:type="pct"/>
            <w:vMerge w:val="continue"/>
            <w:vAlign w:val="center"/>
          </w:tcPr>
          <w:p w14:paraId="03636375">
            <w:pPr>
              <w:pStyle w:val="1343"/>
              <w:rPr>
                <w:rFonts w:eastAsia="等线"/>
                <w:color w:val="0000FF"/>
              </w:rPr>
            </w:pPr>
          </w:p>
        </w:tc>
        <w:tc>
          <w:tcPr>
            <w:tcW w:w="583" w:type="pct"/>
            <w:vAlign w:val="center"/>
          </w:tcPr>
          <w:p w14:paraId="7A98D4D1">
            <w:pPr>
              <w:pStyle w:val="1343"/>
              <w:rPr>
                <w:rFonts w:eastAsia="等线"/>
              </w:rPr>
            </w:pPr>
            <w:r>
              <w:rPr>
                <w:rFonts w:hint="eastAsia" w:eastAsia="等线"/>
              </w:rPr>
              <w:t>NO</w:t>
            </w:r>
            <w:r>
              <w:rPr>
                <w:rFonts w:hint="eastAsia" w:eastAsia="等线"/>
                <w:vertAlign w:val="subscript"/>
              </w:rPr>
              <w:t>3</w:t>
            </w:r>
            <w:r>
              <w:rPr>
                <w:rFonts w:hint="eastAsia" w:eastAsia="等线"/>
                <w:vertAlign w:val="superscript"/>
              </w:rPr>
              <w:t>-</w:t>
            </w:r>
          </w:p>
        </w:tc>
        <w:tc>
          <w:tcPr>
            <w:tcW w:w="824" w:type="pct"/>
            <w:vAlign w:val="center"/>
          </w:tcPr>
          <w:p w14:paraId="233552D3">
            <w:pPr>
              <w:pStyle w:val="1343"/>
              <w:rPr>
                <w:rFonts w:eastAsia="等线"/>
              </w:rPr>
            </w:pPr>
            <w:r>
              <w:rPr>
                <w:rFonts w:hint="eastAsia" w:eastAsia="等线"/>
              </w:rPr>
              <w:t>7.5</w:t>
            </w:r>
          </w:p>
        </w:tc>
        <w:tc>
          <w:tcPr>
            <w:tcW w:w="764" w:type="pct"/>
            <w:vMerge w:val="continue"/>
            <w:vAlign w:val="center"/>
          </w:tcPr>
          <w:p w14:paraId="15C0F741">
            <w:pPr>
              <w:pStyle w:val="1343"/>
              <w:rPr>
                <w:rFonts w:eastAsia="等线"/>
                <w:color w:val="0000FF"/>
              </w:rPr>
            </w:pPr>
          </w:p>
        </w:tc>
        <w:tc>
          <w:tcPr>
            <w:tcW w:w="687" w:type="pct"/>
            <w:vMerge w:val="continue"/>
            <w:vAlign w:val="center"/>
          </w:tcPr>
          <w:p w14:paraId="62F12F1B">
            <w:pPr>
              <w:pStyle w:val="1343"/>
              <w:rPr>
                <w:rFonts w:eastAsia="等线"/>
                <w:color w:val="0000FF"/>
              </w:rPr>
            </w:pPr>
          </w:p>
        </w:tc>
        <w:tc>
          <w:tcPr>
            <w:tcW w:w="472" w:type="pct"/>
            <w:vMerge w:val="continue"/>
            <w:vAlign w:val="center"/>
          </w:tcPr>
          <w:p w14:paraId="3BAB6774">
            <w:pPr>
              <w:pStyle w:val="1343"/>
              <w:rPr>
                <w:rFonts w:eastAsia="等线"/>
                <w:color w:val="0000FF"/>
              </w:rPr>
            </w:pPr>
          </w:p>
        </w:tc>
        <w:tc>
          <w:tcPr>
            <w:tcW w:w="566" w:type="pct"/>
            <w:vMerge w:val="continue"/>
            <w:vAlign w:val="center"/>
          </w:tcPr>
          <w:p w14:paraId="30CF6A9D">
            <w:pPr>
              <w:pStyle w:val="1343"/>
              <w:rPr>
                <w:rFonts w:eastAsia="等线"/>
                <w:color w:val="0000FF"/>
              </w:rPr>
            </w:pPr>
          </w:p>
        </w:tc>
      </w:tr>
      <w:tr w14:paraId="3034F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restart"/>
            <w:vAlign w:val="center"/>
          </w:tcPr>
          <w:p w14:paraId="58B77A8F">
            <w:pPr>
              <w:adjustRightInd w:val="0"/>
              <w:snapToGrid w:val="0"/>
              <w:jc w:val="center"/>
              <w:rPr>
                <w:color w:val="0000FF"/>
              </w:rPr>
            </w:pPr>
            <w:r>
              <w:rPr>
                <w:rFonts w:hint="eastAsia"/>
                <w:bCs/>
                <w:szCs w:val="21"/>
              </w:rPr>
              <w:t>资家湾水井</w:t>
            </w:r>
          </w:p>
        </w:tc>
        <w:tc>
          <w:tcPr>
            <w:tcW w:w="583" w:type="pct"/>
            <w:vMerge w:val="restart"/>
            <w:vAlign w:val="center"/>
          </w:tcPr>
          <w:p w14:paraId="1ED4D299">
            <w:pPr>
              <w:pStyle w:val="1343"/>
              <w:rPr>
                <w:rFonts w:eastAsia="等线"/>
              </w:rPr>
            </w:pPr>
            <w:r>
              <w:rPr>
                <w:rFonts w:hint="eastAsia" w:eastAsia="等线"/>
              </w:rPr>
              <w:t>8.11</w:t>
            </w:r>
          </w:p>
        </w:tc>
        <w:tc>
          <w:tcPr>
            <w:tcW w:w="583" w:type="pct"/>
            <w:vAlign w:val="center"/>
          </w:tcPr>
          <w:p w14:paraId="2B4824E9">
            <w:pPr>
              <w:pStyle w:val="1343"/>
              <w:rPr>
                <w:rFonts w:eastAsia="等线"/>
              </w:rPr>
            </w:pPr>
            <w:r>
              <w:rPr>
                <w:rFonts w:eastAsia="等线"/>
              </w:rPr>
              <w:t>K</w:t>
            </w:r>
            <w:r>
              <w:rPr>
                <w:vertAlign w:val="superscript"/>
              </w:rPr>
              <w:t>＋</w:t>
            </w:r>
          </w:p>
        </w:tc>
        <w:tc>
          <w:tcPr>
            <w:tcW w:w="824" w:type="pct"/>
            <w:vAlign w:val="center"/>
          </w:tcPr>
          <w:p w14:paraId="5CC7077C">
            <w:pPr>
              <w:pStyle w:val="1343"/>
              <w:rPr>
                <w:rFonts w:eastAsia="等线"/>
              </w:rPr>
            </w:pPr>
            <w:r>
              <w:rPr>
                <w:rFonts w:eastAsia="等线"/>
              </w:rPr>
              <w:t>0.82</w:t>
            </w:r>
          </w:p>
        </w:tc>
        <w:tc>
          <w:tcPr>
            <w:tcW w:w="764" w:type="pct"/>
            <w:vMerge w:val="restart"/>
            <w:vAlign w:val="center"/>
          </w:tcPr>
          <w:p w14:paraId="46B50112">
            <w:pPr>
              <w:pStyle w:val="1343"/>
              <w:rPr>
                <w:rFonts w:eastAsia="等线"/>
              </w:rPr>
            </w:pPr>
            <w:r>
              <w:rPr>
                <w:rFonts w:hint="eastAsia" w:eastAsia="等线"/>
              </w:rPr>
              <w:t>1.101</w:t>
            </w:r>
          </w:p>
        </w:tc>
        <w:tc>
          <w:tcPr>
            <w:tcW w:w="687" w:type="pct"/>
            <w:vMerge w:val="restart"/>
            <w:vAlign w:val="center"/>
          </w:tcPr>
          <w:p w14:paraId="15810352">
            <w:pPr>
              <w:pStyle w:val="1343"/>
              <w:rPr>
                <w:rFonts w:eastAsia="等线"/>
              </w:rPr>
            </w:pPr>
            <w:r>
              <w:rPr>
                <w:rFonts w:hint="eastAsia" w:eastAsia="等线"/>
              </w:rPr>
              <w:t>1.090</w:t>
            </w:r>
          </w:p>
        </w:tc>
        <w:tc>
          <w:tcPr>
            <w:tcW w:w="472" w:type="pct"/>
            <w:vMerge w:val="restart"/>
            <w:vAlign w:val="center"/>
          </w:tcPr>
          <w:p w14:paraId="0B1B24BD">
            <w:pPr>
              <w:pStyle w:val="1343"/>
              <w:rPr>
                <w:rFonts w:eastAsia="等线"/>
              </w:rPr>
            </w:pPr>
            <w:r>
              <w:rPr>
                <w:rFonts w:hint="eastAsia" w:eastAsia="等线"/>
              </w:rPr>
              <w:t>0.53</w:t>
            </w:r>
          </w:p>
        </w:tc>
        <w:tc>
          <w:tcPr>
            <w:tcW w:w="566" w:type="pct"/>
            <w:vMerge w:val="restart"/>
            <w:vAlign w:val="center"/>
          </w:tcPr>
          <w:p w14:paraId="1FCAD613">
            <w:pPr>
              <w:pStyle w:val="1343"/>
              <w:rPr>
                <w:rFonts w:eastAsia="等线"/>
              </w:rPr>
            </w:pPr>
            <w:r>
              <w:rPr>
                <w:rFonts w:hint="eastAsia" w:eastAsia="等线"/>
              </w:rPr>
              <w:t>0.065</w:t>
            </w:r>
          </w:p>
        </w:tc>
      </w:tr>
      <w:tr w14:paraId="265E8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65D4B594">
            <w:pPr>
              <w:pStyle w:val="1343"/>
              <w:rPr>
                <w:color w:val="0000FF"/>
              </w:rPr>
            </w:pPr>
          </w:p>
        </w:tc>
        <w:tc>
          <w:tcPr>
            <w:tcW w:w="583" w:type="pct"/>
            <w:vMerge w:val="continue"/>
            <w:vAlign w:val="center"/>
          </w:tcPr>
          <w:p w14:paraId="4086A59F">
            <w:pPr>
              <w:pStyle w:val="1343"/>
              <w:rPr>
                <w:rFonts w:eastAsia="等线"/>
              </w:rPr>
            </w:pPr>
          </w:p>
        </w:tc>
        <w:tc>
          <w:tcPr>
            <w:tcW w:w="583" w:type="pct"/>
            <w:vAlign w:val="center"/>
          </w:tcPr>
          <w:p w14:paraId="3E8F866B">
            <w:pPr>
              <w:pStyle w:val="1343"/>
              <w:rPr>
                <w:rFonts w:eastAsia="等线"/>
              </w:rPr>
            </w:pPr>
            <w:r>
              <w:rPr>
                <w:rFonts w:eastAsia="等线"/>
              </w:rPr>
              <w:t>Na</w:t>
            </w:r>
            <w:r>
              <w:rPr>
                <w:vertAlign w:val="superscript"/>
              </w:rPr>
              <w:t>＋</w:t>
            </w:r>
          </w:p>
        </w:tc>
        <w:tc>
          <w:tcPr>
            <w:tcW w:w="824" w:type="pct"/>
            <w:vAlign w:val="center"/>
          </w:tcPr>
          <w:p w14:paraId="1C52074C">
            <w:pPr>
              <w:pStyle w:val="1343"/>
              <w:rPr>
                <w:rFonts w:eastAsia="等线"/>
              </w:rPr>
            </w:pPr>
            <w:r>
              <w:rPr>
                <w:rFonts w:eastAsia="等线"/>
              </w:rPr>
              <w:t>7.93</w:t>
            </w:r>
          </w:p>
        </w:tc>
        <w:tc>
          <w:tcPr>
            <w:tcW w:w="764" w:type="pct"/>
            <w:vMerge w:val="continue"/>
            <w:vAlign w:val="center"/>
          </w:tcPr>
          <w:p w14:paraId="275E28BE">
            <w:pPr>
              <w:pStyle w:val="1343"/>
              <w:rPr>
                <w:rFonts w:eastAsia="等线"/>
                <w:color w:val="0000FF"/>
              </w:rPr>
            </w:pPr>
          </w:p>
        </w:tc>
        <w:tc>
          <w:tcPr>
            <w:tcW w:w="687" w:type="pct"/>
            <w:vMerge w:val="continue"/>
            <w:vAlign w:val="center"/>
          </w:tcPr>
          <w:p w14:paraId="6C6C37EE">
            <w:pPr>
              <w:pStyle w:val="1343"/>
              <w:rPr>
                <w:rFonts w:eastAsia="等线"/>
                <w:color w:val="0000FF"/>
              </w:rPr>
            </w:pPr>
          </w:p>
        </w:tc>
        <w:tc>
          <w:tcPr>
            <w:tcW w:w="472" w:type="pct"/>
            <w:vMerge w:val="continue"/>
            <w:vAlign w:val="center"/>
          </w:tcPr>
          <w:p w14:paraId="790F0BDC">
            <w:pPr>
              <w:pStyle w:val="1343"/>
              <w:rPr>
                <w:rFonts w:eastAsia="等线"/>
                <w:color w:val="0000FF"/>
              </w:rPr>
            </w:pPr>
          </w:p>
        </w:tc>
        <w:tc>
          <w:tcPr>
            <w:tcW w:w="566" w:type="pct"/>
            <w:vMerge w:val="continue"/>
            <w:vAlign w:val="center"/>
          </w:tcPr>
          <w:p w14:paraId="74DDB0E8">
            <w:pPr>
              <w:pStyle w:val="1343"/>
              <w:rPr>
                <w:rFonts w:eastAsia="等线"/>
                <w:color w:val="0000FF"/>
              </w:rPr>
            </w:pPr>
          </w:p>
        </w:tc>
      </w:tr>
      <w:tr w14:paraId="7F9D4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0DB74EC6">
            <w:pPr>
              <w:pStyle w:val="1343"/>
              <w:rPr>
                <w:color w:val="0000FF"/>
              </w:rPr>
            </w:pPr>
          </w:p>
        </w:tc>
        <w:tc>
          <w:tcPr>
            <w:tcW w:w="583" w:type="pct"/>
            <w:vMerge w:val="continue"/>
            <w:vAlign w:val="center"/>
          </w:tcPr>
          <w:p w14:paraId="5D2A7C10">
            <w:pPr>
              <w:pStyle w:val="1343"/>
              <w:rPr>
                <w:rFonts w:eastAsia="等线"/>
              </w:rPr>
            </w:pPr>
          </w:p>
        </w:tc>
        <w:tc>
          <w:tcPr>
            <w:tcW w:w="583" w:type="pct"/>
            <w:vAlign w:val="center"/>
          </w:tcPr>
          <w:p w14:paraId="5AA61474">
            <w:pPr>
              <w:pStyle w:val="1343"/>
              <w:rPr>
                <w:rFonts w:eastAsia="等线"/>
              </w:rPr>
            </w:pPr>
            <w:r>
              <w:rPr>
                <w:rFonts w:eastAsia="等线"/>
              </w:rPr>
              <w:t>Ca</w:t>
            </w:r>
            <w:r>
              <w:rPr>
                <w:rFonts w:eastAsia="等线"/>
                <w:vertAlign w:val="superscript"/>
              </w:rPr>
              <w:t>2</w:t>
            </w:r>
            <w:r>
              <w:rPr>
                <w:vertAlign w:val="superscript"/>
              </w:rPr>
              <w:t>＋</w:t>
            </w:r>
          </w:p>
        </w:tc>
        <w:tc>
          <w:tcPr>
            <w:tcW w:w="824" w:type="pct"/>
            <w:vAlign w:val="center"/>
          </w:tcPr>
          <w:p w14:paraId="4C287AB1">
            <w:pPr>
              <w:pStyle w:val="1343"/>
              <w:rPr>
                <w:rFonts w:eastAsia="等线"/>
              </w:rPr>
            </w:pPr>
            <w:r>
              <w:rPr>
                <w:rFonts w:eastAsia="等线"/>
              </w:rPr>
              <w:t>9.53</w:t>
            </w:r>
          </w:p>
        </w:tc>
        <w:tc>
          <w:tcPr>
            <w:tcW w:w="764" w:type="pct"/>
            <w:vMerge w:val="continue"/>
            <w:vAlign w:val="center"/>
          </w:tcPr>
          <w:p w14:paraId="4010B698">
            <w:pPr>
              <w:pStyle w:val="1343"/>
              <w:rPr>
                <w:rFonts w:eastAsia="等线"/>
                <w:color w:val="0000FF"/>
              </w:rPr>
            </w:pPr>
          </w:p>
        </w:tc>
        <w:tc>
          <w:tcPr>
            <w:tcW w:w="687" w:type="pct"/>
            <w:vMerge w:val="continue"/>
            <w:vAlign w:val="center"/>
          </w:tcPr>
          <w:p w14:paraId="30C93AA7">
            <w:pPr>
              <w:pStyle w:val="1343"/>
              <w:rPr>
                <w:rFonts w:eastAsia="等线"/>
                <w:color w:val="0000FF"/>
              </w:rPr>
            </w:pPr>
          </w:p>
        </w:tc>
        <w:tc>
          <w:tcPr>
            <w:tcW w:w="472" w:type="pct"/>
            <w:vMerge w:val="continue"/>
            <w:vAlign w:val="center"/>
          </w:tcPr>
          <w:p w14:paraId="7E053EEC">
            <w:pPr>
              <w:pStyle w:val="1343"/>
              <w:rPr>
                <w:rFonts w:eastAsia="等线"/>
                <w:color w:val="0000FF"/>
              </w:rPr>
            </w:pPr>
          </w:p>
        </w:tc>
        <w:tc>
          <w:tcPr>
            <w:tcW w:w="566" w:type="pct"/>
            <w:vMerge w:val="continue"/>
            <w:vAlign w:val="center"/>
          </w:tcPr>
          <w:p w14:paraId="78FA5BE2">
            <w:pPr>
              <w:pStyle w:val="1343"/>
              <w:rPr>
                <w:rFonts w:eastAsia="等线"/>
                <w:color w:val="0000FF"/>
              </w:rPr>
            </w:pPr>
          </w:p>
        </w:tc>
      </w:tr>
      <w:tr w14:paraId="443E3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582E18DA">
            <w:pPr>
              <w:pStyle w:val="1343"/>
              <w:rPr>
                <w:color w:val="0000FF"/>
              </w:rPr>
            </w:pPr>
          </w:p>
        </w:tc>
        <w:tc>
          <w:tcPr>
            <w:tcW w:w="583" w:type="pct"/>
            <w:vMerge w:val="continue"/>
            <w:vAlign w:val="center"/>
          </w:tcPr>
          <w:p w14:paraId="39C10232">
            <w:pPr>
              <w:pStyle w:val="1343"/>
              <w:rPr>
                <w:rFonts w:eastAsia="等线"/>
              </w:rPr>
            </w:pPr>
          </w:p>
        </w:tc>
        <w:tc>
          <w:tcPr>
            <w:tcW w:w="583" w:type="pct"/>
            <w:vAlign w:val="center"/>
          </w:tcPr>
          <w:p w14:paraId="3EDD8F74">
            <w:pPr>
              <w:pStyle w:val="1343"/>
              <w:rPr>
                <w:rFonts w:eastAsia="等线"/>
              </w:rPr>
            </w:pPr>
            <w:r>
              <w:rPr>
                <w:rFonts w:eastAsia="等线"/>
              </w:rPr>
              <w:t>Mg</w:t>
            </w:r>
            <w:r>
              <w:rPr>
                <w:rFonts w:eastAsia="等线"/>
                <w:vertAlign w:val="superscript"/>
              </w:rPr>
              <w:t>2</w:t>
            </w:r>
            <w:r>
              <w:rPr>
                <w:vertAlign w:val="superscript"/>
              </w:rPr>
              <w:t>＋</w:t>
            </w:r>
          </w:p>
        </w:tc>
        <w:tc>
          <w:tcPr>
            <w:tcW w:w="824" w:type="pct"/>
            <w:vAlign w:val="center"/>
          </w:tcPr>
          <w:p w14:paraId="2BCB0E38">
            <w:pPr>
              <w:pStyle w:val="1343"/>
              <w:rPr>
                <w:rFonts w:eastAsia="等线"/>
              </w:rPr>
            </w:pPr>
            <w:r>
              <w:rPr>
                <w:rFonts w:eastAsia="等线"/>
              </w:rPr>
              <w:t>3.11</w:t>
            </w:r>
          </w:p>
        </w:tc>
        <w:tc>
          <w:tcPr>
            <w:tcW w:w="764" w:type="pct"/>
            <w:vMerge w:val="continue"/>
            <w:vAlign w:val="center"/>
          </w:tcPr>
          <w:p w14:paraId="340A07E6">
            <w:pPr>
              <w:pStyle w:val="1343"/>
              <w:rPr>
                <w:rFonts w:eastAsia="等线"/>
                <w:color w:val="0000FF"/>
              </w:rPr>
            </w:pPr>
          </w:p>
        </w:tc>
        <w:tc>
          <w:tcPr>
            <w:tcW w:w="687" w:type="pct"/>
            <w:vMerge w:val="continue"/>
            <w:vAlign w:val="center"/>
          </w:tcPr>
          <w:p w14:paraId="3C2EB64C">
            <w:pPr>
              <w:pStyle w:val="1343"/>
              <w:rPr>
                <w:rFonts w:eastAsia="等线"/>
                <w:color w:val="0000FF"/>
              </w:rPr>
            </w:pPr>
          </w:p>
        </w:tc>
        <w:tc>
          <w:tcPr>
            <w:tcW w:w="472" w:type="pct"/>
            <w:vMerge w:val="continue"/>
            <w:vAlign w:val="center"/>
          </w:tcPr>
          <w:p w14:paraId="2C50B74B">
            <w:pPr>
              <w:pStyle w:val="1343"/>
              <w:rPr>
                <w:rFonts w:eastAsia="等线"/>
                <w:color w:val="0000FF"/>
              </w:rPr>
            </w:pPr>
          </w:p>
        </w:tc>
        <w:tc>
          <w:tcPr>
            <w:tcW w:w="566" w:type="pct"/>
            <w:vMerge w:val="continue"/>
            <w:vAlign w:val="center"/>
          </w:tcPr>
          <w:p w14:paraId="57A36B64">
            <w:pPr>
              <w:pStyle w:val="1343"/>
              <w:rPr>
                <w:rFonts w:eastAsia="等线"/>
                <w:color w:val="0000FF"/>
              </w:rPr>
            </w:pPr>
          </w:p>
        </w:tc>
      </w:tr>
      <w:tr w14:paraId="582D3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256459A9">
            <w:pPr>
              <w:pStyle w:val="1343"/>
              <w:rPr>
                <w:color w:val="0000FF"/>
              </w:rPr>
            </w:pPr>
          </w:p>
        </w:tc>
        <w:tc>
          <w:tcPr>
            <w:tcW w:w="583" w:type="pct"/>
            <w:vMerge w:val="continue"/>
            <w:vAlign w:val="center"/>
          </w:tcPr>
          <w:p w14:paraId="6EA0AFE3">
            <w:pPr>
              <w:pStyle w:val="1343"/>
              <w:rPr>
                <w:rFonts w:eastAsia="等线"/>
              </w:rPr>
            </w:pPr>
          </w:p>
        </w:tc>
        <w:tc>
          <w:tcPr>
            <w:tcW w:w="583" w:type="pct"/>
            <w:vAlign w:val="center"/>
          </w:tcPr>
          <w:p w14:paraId="3F38F573">
            <w:pPr>
              <w:pStyle w:val="1343"/>
              <w:rPr>
                <w:rFonts w:eastAsia="等线"/>
              </w:rPr>
            </w:pPr>
            <w:r>
              <w:rPr>
                <w:rFonts w:eastAsia="等线"/>
              </w:rPr>
              <w:t>CO</w:t>
            </w:r>
            <w:r>
              <w:rPr>
                <w:rFonts w:eastAsia="等线"/>
                <w:vertAlign w:val="subscript"/>
              </w:rPr>
              <w:t>3</w:t>
            </w:r>
            <w:r>
              <w:rPr>
                <w:rFonts w:eastAsia="等线"/>
                <w:vertAlign w:val="superscript"/>
              </w:rPr>
              <w:t>2-</w:t>
            </w:r>
          </w:p>
        </w:tc>
        <w:tc>
          <w:tcPr>
            <w:tcW w:w="824" w:type="pct"/>
            <w:vAlign w:val="center"/>
          </w:tcPr>
          <w:p w14:paraId="12081430">
            <w:pPr>
              <w:pStyle w:val="1343"/>
              <w:rPr>
                <w:rFonts w:eastAsia="等线"/>
              </w:rPr>
            </w:pPr>
            <w:r>
              <w:rPr>
                <w:rFonts w:eastAsia="等线"/>
              </w:rPr>
              <w:t>0</w:t>
            </w:r>
          </w:p>
        </w:tc>
        <w:tc>
          <w:tcPr>
            <w:tcW w:w="764" w:type="pct"/>
            <w:vMerge w:val="continue"/>
            <w:vAlign w:val="center"/>
          </w:tcPr>
          <w:p w14:paraId="52C6D0E6">
            <w:pPr>
              <w:pStyle w:val="1343"/>
              <w:rPr>
                <w:rFonts w:eastAsia="等线"/>
                <w:color w:val="0000FF"/>
              </w:rPr>
            </w:pPr>
          </w:p>
        </w:tc>
        <w:tc>
          <w:tcPr>
            <w:tcW w:w="687" w:type="pct"/>
            <w:vMerge w:val="continue"/>
            <w:vAlign w:val="center"/>
          </w:tcPr>
          <w:p w14:paraId="3974417A">
            <w:pPr>
              <w:pStyle w:val="1343"/>
              <w:rPr>
                <w:rFonts w:eastAsia="等线"/>
                <w:color w:val="0000FF"/>
              </w:rPr>
            </w:pPr>
          </w:p>
        </w:tc>
        <w:tc>
          <w:tcPr>
            <w:tcW w:w="472" w:type="pct"/>
            <w:vMerge w:val="continue"/>
            <w:vAlign w:val="center"/>
          </w:tcPr>
          <w:p w14:paraId="4BB62DFF">
            <w:pPr>
              <w:pStyle w:val="1343"/>
              <w:rPr>
                <w:rFonts w:eastAsia="等线"/>
                <w:color w:val="0000FF"/>
              </w:rPr>
            </w:pPr>
          </w:p>
        </w:tc>
        <w:tc>
          <w:tcPr>
            <w:tcW w:w="566" w:type="pct"/>
            <w:vMerge w:val="continue"/>
            <w:vAlign w:val="center"/>
          </w:tcPr>
          <w:p w14:paraId="1E874237">
            <w:pPr>
              <w:pStyle w:val="1343"/>
              <w:rPr>
                <w:rFonts w:eastAsia="等线"/>
                <w:color w:val="0000FF"/>
              </w:rPr>
            </w:pPr>
          </w:p>
        </w:tc>
      </w:tr>
      <w:tr w14:paraId="1AF60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42215946">
            <w:pPr>
              <w:pStyle w:val="1343"/>
              <w:rPr>
                <w:color w:val="0000FF"/>
              </w:rPr>
            </w:pPr>
          </w:p>
        </w:tc>
        <w:tc>
          <w:tcPr>
            <w:tcW w:w="583" w:type="pct"/>
            <w:vMerge w:val="continue"/>
            <w:vAlign w:val="center"/>
          </w:tcPr>
          <w:p w14:paraId="3BE232FC">
            <w:pPr>
              <w:pStyle w:val="1343"/>
              <w:rPr>
                <w:rFonts w:eastAsia="等线"/>
              </w:rPr>
            </w:pPr>
          </w:p>
        </w:tc>
        <w:tc>
          <w:tcPr>
            <w:tcW w:w="583" w:type="pct"/>
            <w:vAlign w:val="center"/>
          </w:tcPr>
          <w:p w14:paraId="6A58E3A4">
            <w:pPr>
              <w:pStyle w:val="1343"/>
              <w:rPr>
                <w:rFonts w:eastAsia="等线"/>
              </w:rPr>
            </w:pPr>
            <w:r>
              <w:rPr>
                <w:rFonts w:eastAsia="等线"/>
              </w:rPr>
              <w:t>HCO</w:t>
            </w:r>
            <w:r>
              <w:rPr>
                <w:rFonts w:eastAsia="等线"/>
                <w:vertAlign w:val="subscript"/>
              </w:rPr>
              <w:t>3</w:t>
            </w:r>
            <w:r>
              <w:rPr>
                <w:rFonts w:eastAsia="等线"/>
                <w:vertAlign w:val="superscript"/>
              </w:rPr>
              <w:t>-</w:t>
            </w:r>
          </w:p>
        </w:tc>
        <w:tc>
          <w:tcPr>
            <w:tcW w:w="824" w:type="pct"/>
            <w:vAlign w:val="center"/>
          </w:tcPr>
          <w:p w14:paraId="6937C1E9">
            <w:pPr>
              <w:pStyle w:val="1343"/>
              <w:rPr>
                <w:rFonts w:eastAsia="等线"/>
              </w:rPr>
            </w:pPr>
            <w:r>
              <w:rPr>
                <w:rFonts w:eastAsia="等线"/>
              </w:rPr>
              <w:t>19.4</w:t>
            </w:r>
          </w:p>
        </w:tc>
        <w:tc>
          <w:tcPr>
            <w:tcW w:w="764" w:type="pct"/>
            <w:vMerge w:val="continue"/>
            <w:vAlign w:val="center"/>
          </w:tcPr>
          <w:p w14:paraId="45FB99C7">
            <w:pPr>
              <w:pStyle w:val="1343"/>
              <w:rPr>
                <w:rFonts w:eastAsia="等线"/>
                <w:color w:val="0000FF"/>
              </w:rPr>
            </w:pPr>
          </w:p>
        </w:tc>
        <w:tc>
          <w:tcPr>
            <w:tcW w:w="687" w:type="pct"/>
            <w:vMerge w:val="continue"/>
            <w:vAlign w:val="center"/>
          </w:tcPr>
          <w:p w14:paraId="474616AB">
            <w:pPr>
              <w:pStyle w:val="1343"/>
              <w:rPr>
                <w:rFonts w:eastAsia="等线"/>
                <w:color w:val="0000FF"/>
              </w:rPr>
            </w:pPr>
          </w:p>
        </w:tc>
        <w:tc>
          <w:tcPr>
            <w:tcW w:w="472" w:type="pct"/>
            <w:vMerge w:val="continue"/>
            <w:vAlign w:val="center"/>
          </w:tcPr>
          <w:p w14:paraId="10327B59">
            <w:pPr>
              <w:pStyle w:val="1343"/>
              <w:rPr>
                <w:rFonts w:eastAsia="等线"/>
                <w:color w:val="0000FF"/>
              </w:rPr>
            </w:pPr>
          </w:p>
        </w:tc>
        <w:tc>
          <w:tcPr>
            <w:tcW w:w="566" w:type="pct"/>
            <w:vMerge w:val="continue"/>
            <w:vAlign w:val="center"/>
          </w:tcPr>
          <w:p w14:paraId="3E5EC099">
            <w:pPr>
              <w:pStyle w:val="1343"/>
              <w:rPr>
                <w:rFonts w:eastAsia="等线"/>
                <w:color w:val="0000FF"/>
              </w:rPr>
            </w:pPr>
          </w:p>
        </w:tc>
      </w:tr>
      <w:tr w14:paraId="355F9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6A00ECE0">
            <w:pPr>
              <w:pStyle w:val="1343"/>
              <w:rPr>
                <w:color w:val="0000FF"/>
              </w:rPr>
            </w:pPr>
          </w:p>
        </w:tc>
        <w:tc>
          <w:tcPr>
            <w:tcW w:w="583" w:type="pct"/>
            <w:vMerge w:val="continue"/>
            <w:vAlign w:val="center"/>
          </w:tcPr>
          <w:p w14:paraId="528539CB">
            <w:pPr>
              <w:pStyle w:val="1343"/>
              <w:rPr>
                <w:rFonts w:eastAsia="等线"/>
              </w:rPr>
            </w:pPr>
          </w:p>
        </w:tc>
        <w:tc>
          <w:tcPr>
            <w:tcW w:w="583" w:type="pct"/>
            <w:vAlign w:val="center"/>
          </w:tcPr>
          <w:p w14:paraId="0B994E70">
            <w:pPr>
              <w:pStyle w:val="1343"/>
              <w:rPr>
                <w:rFonts w:eastAsia="等线"/>
              </w:rPr>
            </w:pPr>
            <w:r>
              <w:rPr>
                <w:rFonts w:eastAsia="等线"/>
              </w:rPr>
              <w:t>Cl</w:t>
            </w:r>
            <w:r>
              <w:rPr>
                <w:vertAlign w:val="superscript"/>
              </w:rPr>
              <w:t>－</w:t>
            </w:r>
          </w:p>
        </w:tc>
        <w:tc>
          <w:tcPr>
            <w:tcW w:w="824" w:type="pct"/>
            <w:vAlign w:val="center"/>
          </w:tcPr>
          <w:p w14:paraId="5FC1013C">
            <w:pPr>
              <w:pStyle w:val="1343"/>
              <w:rPr>
                <w:rFonts w:eastAsia="等线"/>
              </w:rPr>
            </w:pPr>
            <w:r>
              <w:rPr>
                <w:rFonts w:eastAsia="等线"/>
              </w:rPr>
              <w:t>8.1</w:t>
            </w:r>
          </w:p>
        </w:tc>
        <w:tc>
          <w:tcPr>
            <w:tcW w:w="764" w:type="pct"/>
            <w:vMerge w:val="continue"/>
            <w:vAlign w:val="center"/>
          </w:tcPr>
          <w:p w14:paraId="342939AB">
            <w:pPr>
              <w:pStyle w:val="1343"/>
              <w:rPr>
                <w:rFonts w:eastAsia="等线"/>
                <w:color w:val="0000FF"/>
              </w:rPr>
            </w:pPr>
          </w:p>
        </w:tc>
        <w:tc>
          <w:tcPr>
            <w:tcW w:w="687" w:type="pct"/>
            <w:vMerge w:val="continue"/>
            <w:vAlign w:val="center"/>
          </w:tcPr>
          <w:p w14:paraId="311C13AF">
            <w:pPr>
              <w:pStyle w:val="1343"/>
              <w:rPr>
                <w:rFonts w:eastAsia="等线"/>
                <w:color w:val="0000FF"/>
              </w:rPr>
            </w:pPr>
          </w:p>
        </w:tc>
        <w:tc>
          <w:tcPr>
            <w:tcW w:w="472" w:type="pct"/>
            <w:vMerge w:val="continue"/>
            <w:vAlign w:val="center"/>
          </w:tcPr>
          <w:p w14:paraId="303FAA27">
            <w:pPr>
              <w:pStyle w:val="1343"/>
              <w:rPr>
                <w:rFonts w:eastAsia="等线"/>
                <w:color w:val="0000FF"/>
              </w:rPr>
            </w:pPr>
          </w:p>
        </w:tc>
        <w:tc>
          <w:tcPr>
            <w:tcW w:w="566" w:type="pct"/>
            <w:vMerge w:val="continue"/>
            <w:vAlign w:val="center"/>
          </w:tcPr>
          <w:p w14:paraId="795BD3F6">
            <w:pPr>
              <w:pStyle w:val="1343"/>
              <w:rPr>
                <w:rFonts w:eastAsia="等线"/>
                <w:color w:val="0000FF"/>
              </w:rPr>
            </w:pPr>
          </w:p>
        </w:tc>
      </w:tr>
      <w:tr w14:paraId="378B0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4B456C4F">
            <w:pPr>
              <w:pStyle w:val="1343"/>
              <w:rPr>
                <w:color w:val="0000FF"/>
              </w:rPr>
            </w:pPr>
          </w:p>
        </w:tc>
        <w:tc>
          <w:tcPr>
            <w:tcW w:w="583" w:type="pct"/>
            <w:vMerge w:val="continue"/>
            <w:vAlign w:val="center"/>
          </w:tcPr>
          <w:p w14:paraId="7696334D">
            <w:pPr>
              <w:pStyle w:val="1343"/>
              <w:rPr>
                <w:rFonts w:eastAsia="等线"/>
              </w:rPr>
            </w:pPr>
          </w:p>
        </w:tc>
        <w:tc>
          <w:tcPr>
            <w:tcW w:w="583" w:type="pct"/>
            <w:vAlign w:val="center"/>
          </w:tcPr>
          <w:p w14:paraId="00EA52B9">
            <w:pPr>
              <w:pStyle w:val="1343"/>
              <w:rPr>
                <w:rFonts w:eastAsia="等线"/>
              </w:rPr>
            </w:pPr>
            <w:r>
              <w:rPr>
                <w:rFonts w:eastAsia="等线"/>
              </w:rPr>
              <w:t>SO</w:t>
            </w:r>
            <w:r>
              <w:rPr>
                <w:rFonts w:eastAsia="等线"/>
                <w:vertAlign w:val="subscript"/>
              </w:rPr>
              <w:t>4</w:t>
            </w:r>
            <w:r>
              <w:rPr>
                <w:rFonts w:eastAsia="等线"/>
                <w:vertAlign w:val="superscript"/>
              </w:rPr>
              <w:t>2</w:t>
            </w:r>
            <w:r>
              <w:rPr>
                <w:vertAlign w:val="superscript"/>
              </w:rPr>
              <w:t>－</w:t>
            </w:r>
          </w:p>
        </w:tc>
        <w:tc>
          <w:tcPr>
            <w:tcW w:w="824" w:type="pct"/>
            <w:vAlign w:val="center"/>
          </w:tcPr>
          <w:p w14:paraId="51E23B29">
            <w:pPr>
              <w:pStyle w:val="1343"/>
              <w:rPr>
                <w:rFonts w:eastAsia="等线"/>
              </w:rPr>
            </w:pPr>
            <w:r>
              <w:rPr>
                <w:rFonts w:eastAsia="等线"/>
              </w:rPr>
              <w:t>24</w:t>
            </w:r>
          </w:p>
        </w:tc>
        <w:tc>
          <w:tcPr>
            <w:tcW w:w="764" w:type="pct"/>
            <w:vMerge w:val="continue"/>
            <w:vAlign w:val="center"/>
          </w:tcPr>
          <w:p w14:paraId="4740DCA8">
            <w:pPr>
              <w:pStyle w:val="1343"/>
              <w:rPr>
                <w:rFonts w:eastAsia="等线"/>
                <w:color w:val="0000FF"/>
              </w:rPr>
            </w:pPr>
          </w:p>
        </w:tc>
        <w:tc>
          <w:tcPr>
            <w:tcW w:w="687" w:type="pct"/>
            <w:vMerge w:val="continue"/>
            <w:vAlign w:val="center"/>
          </w:tcPr>
          <w:p w14:paraId="3FE94C20">
            <w:pPr>
              <w:pStyle w:val="1343"/>
              <w:rPr>
                <w:rFonts w:eastAsia="等线"/>
                <w:color w:val="0000FF"/>
              </w:rPr>
            </w:pPr>
          </w:p>
        </w:tc>
        <w:tc>
          <w:tcPr>
            <w:tcW w:w="472" w:type="pct"/>
            <w:vMerge w:val="continue"/>
            <w:vAlign w:val="center"/>
          </w:tcPr>
          <w:p w14:paraId="504A0250">
            <w:pPr>
              <w:pStyle w:val="1343"/>
              <w:rPr>
                <w:rFonts w:eastAsia="等线"/>
                <w:color w:val="0000FF"/>
              </w:rPr>
            </w:pPr>
          </w:p>
        </w:tc>
        <w:tc>
          <w:tcPr>
            <w:tcW w:w="566" w:type="pct"/>
            <w:vMerge w:val="continue"/>
            <w:vAlign w:val="center"/>
          </w:tcPr>
          <w:p w14:paraId="14DBE1DD">
            <w:pPr>
              <w:pStyle w:val="1343"/>
              <w:rPr>
                <w:rFonts w:eastAsia="等线"/>
                <w:color w:val="0000FF"/>
              </w:rPr>
            </w:pPr>
          </w:p>
        </w:tc>
      </w:tr>
      <w:tr w14:paraId="200C3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516" w:type="pct"/>
            <w:vMerge w:val="continue"/>
            <w:vAlign w:val="center"/>
          </w:tcPr>
          <w:p w14:paraId="47A1685B">
            <w:pPr>
              <w:pStyle w:val="1343"/>
              <w:rPr>
                <w:color w:val="0000FF"/>
              </w:rPr>
            </w:pPr>
          </w:p>
        </w:tc>
        <w:tc>
          <w:tcPr>
            <w:tcW w:w="583" w:type="pct"/>
            <w:vMerge w:val="continue"/>
            <w:vAlign w:val="center"/>
          </w:tcPr>
          <w:p w14:paraId="320017F7">
            <w:pPr>
              <w:pStyle w:val="1343"/>
              <w:rPr>
                <w:rFonts w:eastAsia="等线"/>
              </w:rPr>
            </w:pPr>
          </w:p>
        </w:tc>
        <w:tc>
          <w:tcPr>
            <w:tcW w:w="583" w:type="pct"/>
            <w:vAlign w:val="center"/>
          </w:tcPr>
          <w:p w14:paraId="5A19525E">
            <w:pPr>
              <w:pStyle w:val="1343"/>
              <w:rPr>
                <w:rFonts w:eastAsia="等线"/>
              </w:rPr>
            </w:pPr>
            <w:r>
              <w:rPr>
                <w:rFonts w:hint="eastAsia" w:eastAsia="等线"/>
              </w:rPr>
              <w:t>NO</w:t>
            </w:r>
            <w:r>
              <w:rPr>
                <w:rFonts w:hint="eastAsia" w:eastAsia="等线"/>
                <w:vertAlign w:val="subscript"/>
              </w:rPr>
              <w:t>3</w:t>
            </w:r>
            <w:r>
              <w:rPr>
                <w:rFonts w:hint="eastAsia" w:eastAsia="等线"/>
                <w:vertAlign w:val="superscript"/>
              </w:rPr>
              <w:t>-</w:t>
            </w:r>
          </w:p>
        </w:tc>
        <w:tc>
          <w:tcPr>
            <w:tcW w:w="824" w:type="pct"/>
            <w:vAlign w:val="center"/>
          </w:tcPr>
          <w:p w14:paraId="4AFAD3B5">
            <w:pPr>
              <w:pStyle w:val="1343"/>
              <w:rPr>
                <w:rFonts w:eastAsia="等线"/>
              </w:rPr>
            </w:pPr>
            <w:r>
              <w:rPr>
                <w:rFonts w:hint="eastAsia" w:eastAsia="等线"/>
              </w:rPr>
              <w:t>2.7</w:t>
            </w:r>
          </w:p>
        </w:tc>
        <w:tc>
          <w:tcPr>
            <w:tcW w:w="764" w:type="pct"/>
            <w:vMerge w:val="continue"/>
            <w:vAlign w:val="center"/>
          </w:tcPr>
          <w:p w14:paraId="717D70D1">
            <w:pPr>
              <w:pStyle w:val="1343"/>
              <w:rPr>
                <w:rFonts w:eastAsia="等线"/>
                <w:color w:val="0000FF"/>
              </w:rPr>
            </w:pPr>
          </w:p>
        </w:tc>
        <w:tc>
          <w:tcPr>
            <w:tcW w:w="687" w:type="pct"/>
            <w:vMerge w:val="continue"/>
            <w:vAlign w:val="center"/>
          </w:tcPr>
          <w:p w14:paraId="223E21D6">
            <w:pPr>
              <w:pStyle w:val="1343"/>
              <w:rPr>
                <w:rFonts w:eastAsia="等线"/>
                <w:color w:val="0000FF"/>
              </w:rPr>
            </w:pPr>
          </w:p>
        </w:tc>
        <w:tc>
          <w:tcPr>
            <w:tcW w:w="472" w:type="pct"/>
            <w:vMerge w:val="continue"/>
            <w:vAlign w:val="center"/>
          </w:tcPr>
          <w:p w14:paraId="2C60FB15">
            <w:pPr>
              <w:pStyle w:val="1343"/>
              <w:rPr>
                <w:rFonts w:eastAsia="等线"/>
                <w:color w:val="0000FF"/>
              </w:rPr>
            </w:pPr>
          </w:p>
        </w:tc>
        <w:tc>
          <w:tcPr>
            <w:tcW w:w="566" w:type="pct"/>
            <w:vMerge w:val="continue"/>
            <w:vAlign w:val="center"/>
          </w:tcPr>
          <w:p w14:paraId="5A60AAEB">
            <w:pPr>
              <w:pStyle w:val="1343"/>
              <w:rPr>
                <w:rFonts w:eastAsia="等线"/>
                <w:color w:val="0000FF"/>
              </w:rPr>
            </w:pPr>
          </w:p>
        </w:tc>
      </w:tr>
      <w:tr w14:paraId="0936D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restart"/>
            <w:vAlign w:val="center"/>
          </w:tcPr>
          <w:p w14:paraId="1DDEC4D4">
            <w:pPr>
              <w:adjustRightInd w:val="0"/>
              <w:snapToGrid w:val="0"/>
              <w:jc w:val="center"/>
              <w:rPr>
                <w:color w:val="0000FF"/>
              </w:rPr>
            </w:pPr>
            <w:r>
              <w:rPr>
                <w:rFonts w:hint="eastAsia"/>
                <w:bCs/>
                <w:szCs w:val="21"/>
              </w:rPr>
              <w:t>铜角湾水井</w:t>
            </w:r>
          </w:p>
        </w:tc>
        <w:tc>
          <w:tcPr>
            <w:tcW w:w="583" w:type="pct"/>
            <w:vMerge w:val="restart"/>
            <w:vAlign w:val="center"/>
          </w:tcPr>
          <w:p w14:paraId="444F4087">
            <w:pPr>
              <w:pStyle w:val="1343"/>
              <w:rPr>
                <w:rFonts w:eastAsia="等线"/>
              </w:rPr>
            </w:pPr>
            <w:r>
              <w:rPr>
                <w:rFonts w:hint="eastAsia" w:eastAsia="等线"/>
              </w:rPr>
              <w:t>8.11</w:t>
            </w:r>
          </w:p>
        </w:tc>
        <w:tc>
          <w:tcPr>
            <w:tcW w:w="583" w:type="pct"/>
            <w:vAlign w:val="center"/>
          </w:tcPr>
          <w:p w14:paraId="0010B7E2">
            <w:pPr>
              <w:pStyle w:val="1343"/>
              <w:rPr>
                <w:rFonts w:eastAsia="等线"/>
              </w:rPr>
            </w:pPr>
            <w:r>
              <w:rPr>
                <w:rFonts w:eastAsia="等线"/>
              </w:rPr>
              <w:t>K</w:t>
            </w:r>
            <w:r>
              <w:rPr>
                <w:vertAlign w:val="superscript"/>
              </w:rPr>
              <w:t>＋</w:t>
            </w:r>
          </w:p>
        </w:tc>
        <w:tc>
          <w:tcPr>
            <w:tcW w:w="1581" w:type="dxa"/>
            <w:vAlign w:val="center"/>
          </w:tcPr>
          <w:p w14:paraId="7F0A84A7">
            <w:pPr>
              <w:pStyle w:val="1343"/>
              <w:rPr>
                <w:rFonts w:eastAsia="等线"/>
              </w:rPr>
            </w:pPr>
            <w:r>
              <w:rPr>
                <w:rFonts w:eastAsia="等线"/>
              </w:rPr>
              <w:t>0.81</w:t>
            </w:r>
          </w:p>
        </w:tc>
        <w:tc>
          <w:tcPr>
            <w:tcW w:w="764" w:type="pct"/>
            <w:vMerge w:val="restart"/>
            <w:vAlign w:val="center"/>
          </w:tcPr>
          <w:p w14:paraId="477064ED">
            <w:pPr>
              <w:pStyle w:val="1343"/>
              <w:rPr>
                <w:rFonts w:eastAsia="等线"/>
              </w:rPr>
            </w:pPr>
            <w:r>
              <w:rPr>
                <w:rFonts w:hint="eastAsia" w:eastAsia="等线"/>
              </w:rPr>
              <w:t>1.054</w:t>
            </w:r>
          </w:p>
        </w:tc>
        <w:tc>
          <w:tcPr>
            <w:tcW w:w="687" w:type="pct"/>
            <w:vMerge w:val="restart"/>
            <w:vAlign w:val="center"/>
          </w:tcPr>
          <w:p w14:paraId="33701E39">
            <w:pPr>
              <w:pStyle w:val="1343"/>
              <w:rPr>
                <w:rFonts w:eastAsia="等线"/>
              </w:rPr>
            </w:pPr>
            <w:r>
              <w:rPr>
                <w:rFonts w:hint="eastAsia" w:eastAsia="等线"/>
              </w:rPr>
              <w:t>0.929</w:t>
            </w:r>
          </w:p>
        </w:tc>
        <w:tc>
          <w:tcPr>
            <w:tcW w:w="472" w:type="pct"/>
            <w:vMerge w:val="restart"/>
            <w:vAlign w:val="center"/>
          </w:tcPr>
          <w:p w14:paraId="6E1B82E8">
            <w:pPr>
              <w:pStyle w:val="1343"/>
              <w:rPr>
                <w:rFonts w:eastAsia="等线"/>
              </w:rPr>
            </w:pPr>
            <w:r>
              <w:rPr>
                <w:rFonts w:hint="eastAsia" w:eastAsia="等线"/>
              </w:rPr>
              <w:t>6.30</w:t>
            </w:r>
          </w:p>
        </w:tc>
        <w:tc>
          <w:tcPr>
            <w:tcW w:w="566" w:type="pct"/>
            <w:vMerge w:val="restart"/>
            <w:vAlign w:val="center"/>
          </w:tcPr>
          <w:p w14:paraId="3E19F7D1">
            <w:pPr>
              <w:pStyle w:val="1343"/>
              <w:rPr>
                <w:rFonts w:eastAsia="等线"/>
              </w:rPr>
            </w:pPr>
            <w:r>
              <w:rPr>
                <w:rFonts w:hint="eastAsia" w:eastAsia="等线"/>
              </w:rPr>
              <w:t>0.059</w:t>
            </w:r>
          </w:p>
        </w:tc>
      </w:tr>
      <w:tr w14:paraId="0F447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4D3EA40B">
            <w:pPr>
              <w:pStyle w:val="1343"/>
              <w:rPr>
                <w:color w:val="0000FF"/>
              </w:rPr>
            </w:pPr>
          </w:p>
        </w:tc>
        <w:tc>
          <w:tcPr>
            <w:tcW w:w="583" w:type="pct"/>
            <w:vMerge w:val="continue"/>
            <w:vAlign w:val="center"/>
          </w:tcPr>
          <w:p w14:paraId="7B3FE85D">
            <w:pPr>
              <w:pStyle w:val="1343"/>
              <w:rPr>
                <w:rFonts w:eastAsia="等线"/>
                <w:color w:val="0000FF"/>
              </w:rPr>
            </w:pPr>
          </w:p>
        </w:tc>
        <w:tc>
          <w:tcPr>
            <w:tcW w:w="583" w:type="pct"/>
            <w:vAlign w:val="center"/>
          </w:tcPr>
          <w:p w14:paraId="51974F5C">
            <w:pPr>
              <w:pStyle w:val="1343"/>
              <w:rPr>
                <w:rFonts w:eastAsia="等线"/>
              </w:rPr>
            </w:pPr>
            <w:r>
              <w:rPr>
                <w:rFonts w:eastAsia="等线"/>
              </w:rPr>
              <w:t>Na</w:t>
            </w:r>
            <w:r>
              <w:rPr>
                <w:vertAlign w:val="superscript"/>
              </w:rPr>
              <w:t>＋</w:t>
            </w:r>
          </w:p>
        </w:tc>
        <w:tc>
          <w:tcPr>
            <w:tcW w:w="1581" w:type="dxa"/>
            <w:vAlign w:val="center"/>
          </w:tcPr>
          <w:p w14:paraId="6C9D31E7">
            <w:pPr>
              <w:pStyle w:val="1343"/>
              <w:rPr>
                <w:rFonts w:eastAsia="等线"/>
              </w:rPr>
            </w:pPr>
            <w:r>
              <w:rPr>
                <w:rFonts w:eastAsia="等线"/>
              </w:rPr>
              <w:t>8.82</w:t>
            </w:r>
          </w:p>
        </w:tc>
        <w:tc>
          <w:tcPr>
            <w:tcW w:w="764" w:type="pct"/>
            <w:vMerge w:val="continue"/>
            <w:vAlign w:val="center"/>
          </w:tcPr>
          <w:p w14:paraId="4BA7A48B">
            <w:pPr>
              <w:pStyle w:val="1343"/>
              <w:rPr>
                <w:rFonts w:eastAsia="等线"/>
                <w:color w:val="0000FF"/>
              </w:rPr>
            </w:pPr>
          </w:p>
        </w:tc>
        <w:tc>
          <w:tcPr>
            <w:tcW w:w="687" w:type="pct"/>
            <w:vMerge w:val="continue"/>
            <w:vAlign w:val="center"/>
          </w:tcPr>
          <w:p w14:paraId="75A68EF9">
            <w:pPr>
              <w:pStyle w:val="1343"/>
              <w:rPr>
                <w:rFonts w:eastAsia="等线"/>
                <w:color w:val="0000FF"/>
              </w:rPr>
            </w:pPr>
          </w:p>
        </w:tc>
        <w:tc>
          <w:tcPr>
            <w:tcW w:w="472" w:type="pct"/>
            <w:vMerge w:val="continue"/>
            <w:vAlign w:val="center"/>
          </w:tcPr>
          <w:p w14:paraId="2C017618">
            <w:pPr>
              <w:pStyle w:val="1343"/>
              <w:rPr>
                <w:rFonts w:eastAsia="等线"/>
                <w:color w:val="0000FF"/>
              </w:rPr>
            </w:pPr>
          </w:p>
        </w:tc>
        <w:tc>
          <w:tcPr>
            <w:tcW w:w="566" w:type="pct"/>
            <w:vMerge w:val="continue"/>
            <w:vAlign w:val="center"/>
          </w:tcPr>
          <w:p w14:paraId="2DD7E447">
            <w:pPr>
              <w:pStyle w:val="1343"/>
              <w:rPr>
                <w:rFonts w:eastAsia="等线"/>
                <w:color w:val="0000FF"/>
              </w:rPr>
            </w:pPr>
          </w:p>
        </w:tc>
      </w:tr>
      <w:tr w14:paraId="333CC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2F9EDC03">
            <w:pPr>
              <w:pStyle w:val="1343"/>
              <w:rPr>
                <w:color w:val="0000FF"/>
              </w:rPr>
            </w:pPr>
          </w:p>
        </w:tc>
        <w:tc>
          <w:tcPr>
            <w:tcW w:w="583" w:type="pct"/>
            <w:vMerge w:val="continue"/>
            <w:vAlign w:val="center"/>
          </w:tcPr>
          <w:p w14:paraId="5BD171C4">
            <w:pPr>
              <w:pStyle w:val="1343"/>
              <w:rPr>
                <w:rFonts w:eastAsia="等线"/>
                <w:color w:val="0000FF"/>
              </w:rPr>
            </w:pPr>
          </w:p>
        </w:tc>
        <w:tc>
          <w:tcPr>
            <w:tcW w:w="583" w:type="pct"/>
            <w:vAlign w:val="center"/>
          </w:tcPr>
          <w:p w14:paraId="6BB0376B">
            <w:pPr>
              <w:pStyle w:val="1343"/>
              <w:rPr>
                <w:rFonts w:eastAsia="等线"/>
              </w:rPr>
            </w:pPr>
            <w:r>
              <w:rPr>
                <w:rFonts w:eastAsia="等线"/>
              </w:rPr>
              <w:t>Ca</w:t>
            </w:r>
            <w:r>
              <w:rPr>
                <w:rFonts w:eastAsia="等线"/>
                <w:vertAlign w:val="superscript"/>
              </w:rPr>
              <w:t>2</w:t>
            </w:r>
            <w:r>
              <w:rPr>
                <w:vertAlign w:val="superscript"/>
              </w:rPr>
              <w:t>＋</w:t>
            </w:r>
          </w:p>
        </w:tc>
        <w:tc>
          <w:tcPr>
            <w:tcW w:w="1581" w:type="dxa"/>
            <w:vAlign w:val="center"/>
          </w:tcPr>
          <w:p w14:paraId="7F5194C4">
            <w:pPr>
              <w:pStyle w:val="1343"/>
              <w:rPr>
                <w:rFonts w:eastAsia="等线"/>
              </w:rPr>
            </w:pPr>
            <w:r>
              <w:rPr>
                <w:rFonts w:eastAsia="等线"/>
              </w:rPr>
              <w:t>7.77</w:t>
            </w:r>
          </w:p>
        </w:tc>
        <w:tc>
          <w:tcPr>
            <w:tcW w:w="764" w:type="pct"/>
            <w:vMerge w:val="continue"/>
            <w:vAlign w:val="center"/>
          </w:tcPr>
          <w:p w14:paraId="6EAA04DE">
            <w:pPr>
              <w:pStyle w:val="1343"/>
              <w:rPr>
                <w:rFonts w:eastAsia="等线"/>
                <w:color w:val="0000FF"/>
              </w:rPr>
            </w:pPr>
          </w:p>
        </w:tc>
        <w:tc>
          <w:tcPr>
            <w:tcW w:w="687" w:type="pct"/>
            <w:vMerge w:val="continue"/>
            <w:vAlign w:val="center"/>
          </w:tcPr>
          <w:p w14:paraId="613C6ED2">
            <w:pPr>
              <w:pStyle w:val="1343"/>
              <w:rPr>
                <w:rFonts w:eastAsia="等线"/>
                <w:color w:val="0000FF"/>
              </w:rPr>
            </w:pPr>
          </w:p>
        </w:tc>
        <w:tc>
          <w:tcPr>
            <w:tcW w:w="472" w:type="pct"/>
            <w:vMerge w:val="continue"/>
            <w:vAlign w:val="center"/>
          </w:tcPr>
          <w:p w14:paraId="1EB7D319">
            <w:pPr>
              <w:pStyle w:val="1343"/>
              <w:rPr>
                <w:rFonts w:eastAsia="等线"/>
                <w:color w:val="0000FF"/>
              </w:rPr>
            </w:pPr>
          </w:p>
        </w:tc>
        <w:tc>
          <w:tcPr>
            <w:tcW w:w="566" w:type="pct"/>
            <w:vMerge w:val="continue"/>
            <w:vAlign w:val="center"/>
          </w:tcPr>
          <w:p w14:paraId="2BF0DE47">
            <w:pPr>
              <w:pStyle w:val="1343"/>
              <w:rPr>
                <w:rFonts w:eastAsia="等线"/>
                <w:color w:val="0000FF"/>
              </w:rPr>
            </w:pPr>
          </w:p>
        </w:tc>
      </w:tr>
      <w:tr w14:paraId="50262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1C9E0308">
            <w:pPr>
              <w:pStyle w:val="1343"/>
              <w:rPr>
                <w:color w:val="0000FF"/>
              </w:rPr>
            </w:pPr>
          </w:p>
        </w:tc>
        <w:tc>
          <w:tcPr>
            <w:tcW w:w="583" w:type="pct"/>
            <w:vMerge w:val="continue"/>
            <w:vAlign w:val="center"/>
          </w:tcPr>
          <w:p w14:paraId="71A5E2D9">
            <w:pPr>
              <w:pStyle w:val="1343"/>
              <w:rPr>
                <w:rFonts w:eastAsia="等线"/>
                <w:color w:val="0000FF"/>
              </w:rPr>
            </w:pPr>
          </w:p>
        </w:tc>
        <w:tc>
          <w:tcPr>
            <w:tcW w:w="583" w:type="pct"/>
            <w:vAlign w:val="center"/>
          </w:tcPr>
          <w:p w14:paraId="16616D02">
            <w:pPr>
              <w:pStyle w:val="1343"/>
              <w:rPr>
                <w:rFonts w:eastAsia="等线"/>
              </w:rPr>
            </w:pPr>
            <w:r>
              <w:rPr>
                <w:rFonts w:eastAsia="等线"/>
              </w:rPr>
              <w:t>Mg</w:t>
            </w:r>
            <w:r>
              <w:rPr>
                <w:rFonts w:eastAsia="等线"/>
                <w:vertAlign w:val="superscript"/>
              </w:rPr>
              <w:t>2</w:t>
            </w:r>
            <w:r>
              <w:rPr>
                <w:vertAlign w:val="superscript"/>
              </w:rPr>
              <w:t>＋</w:t>
            </w:r>
          </w:p>
        </w:tc>
        <w:tc>
          <w:tcPr>
            <w:tcW w:w="1581" w:type="dxa"/>
            <w:vAlign w:val="center"/>
          </w:tcPr>
          <w:p w14:paraId="01C56377">
            <w:pPr>
              <w:pStyle w:val="1343"/>
              <w:rPr>
                <w:rFonts w:eastAsia="等线"/>
              </w:rPr>
            </w:pPr>
            <w:r>
              <w:rPr>
                <w:rFonts w:eastAsia="等线"/>
              </w:rPr>
              <w:t>3.14</w:t>
            </w:r>
          </w:p>
        </w:tc>
        <w:tc>
          <w:tcPr>
            <w:tcW w:w="764" w:type="pct"/>
            <w:vMerge w:val="continue"/>
            <w:vAlign w:val="center"/>
          </w:tcPr>
          <w:p w14:paraId="34088FF2">
            <w:pPr>
              <w:pStyle w:val="1343"/>
              <w:rPr>
                <w:rFonts w:eastAsia="等线"/>
                <w:color w:val="0000FF"/>
              </w:rPr>
            </w:pPr>
          </w:p>
        </w:tc>
        <w:tc>
          <w:tcPr>
            <w:tcW w:w="687" w:type="pct"/>
            <w:vMerge w:val="continue"/>
            <w:vAlign w:val="center"/>
          </w:tcPr>
          <w:p w14:paraId="0D6069BF">
            <w:pPr>
              <w:pStyle w:val="1343"/>
              <w:rPr>
                <w:rFonts w:eastAsia="等线"/>
                <w:color w:val="0000FF"/>
              </w:rPr>
            </w:pPr>
          </w:p>
        </w:tc>
        <w:tc>
          <w:tcPr>
            <w:tcW w:w="472" w:type="pct"/>
            <w:vMerge w:val="continue"/>
            <w:vAlign w:val="center"/>
          </w:tcPr>
          <w:p w14:paraId="76D7D501">
            <w:pPr>
              <w:pStyle w:val="1343"/>
              <w:rPr>
                <w:rFonts w:eastAsia="等线"/>
                <w:color w:val="0000FF"/>
              </w:rPr>
            </w:pPr>
          </w:p>
        </w:tc>
        <w:tc>
          <w:tcPr>
            <w:tcW w:w="566" w:type="pct"/>
            <w:vMerge w:val="continue"/>
            <w:vAlign w:val="center"/>
          </w:tcPr>
          <w:p w14:paraId="367EF5E7">
            <w:pPr>
              <w:pStyle w:val="1343"/>
              <w:rPr>
                <w:rFonts w:eastAsia="等线"/>
                <w:color w:val="0000FF"/>
              </w:rPr>
            </w:pPr>
          </w:p>
        </w:tc>
      </w:tr>
      <w:tr w14:paraId="3BA2E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0E025D6B">
            <w:pPr>
              <w:pStyle w:val="1343"/>
              <w:rPr>
                <w:color w:val="0000FF"/>
              </w:rPr>
            </w:pPr>
          </w:p>
        </w:tc>
        <w:tc>
          <w:tcPr>
            <w:tcW w:w="583" w:type="pct"/>
            <w:vMerge w:val="continue"/>
            <w:vAlign w:val="center"/>
          </w:tcPr>
          <w:p w14:paraId="7CA43103">
            <w:pPr>
              <w:pStyle w:val="1343"/>
              <w:rPr>
                <w:rFonts w:eastAsia="等线"/>
                <w:color w:val="0000FF"/>
              </w:rPr>
            </w:pPr>
          </w:p>
        </w:tc>
        <w:tc>
          <w:tcPr>
            <w:tcW w:w="583" w:type="pct"/>
            <w:vAlign w:val="center"/>
          </w:tcPr>
          <w:p w14:paraId="16B88C5E">
            <w:pPr>
              <w:pStyle w:val="1343"/>
              <w:rPr>
                <w:rFonts w:eastAsia="等线"/>
              </w:rPr>
            </w:pPr>
            <w:r>
              <w:rPr>
                <w:rFonts w:eastAsia="等线"/>
              </w:rPr>
              <w:t>CO</w:t>
            </w:r>
            <w:r>
              <w:rPr>
                <w:rFonts w:eastAsia="等线"/>
                <w:vertAlign w:val="subscript"/>
              </w:rPr>
              <w:t>3</w:t>
            </w:r>
            <w:r>
              <w:rPr>
                <w:rFonts w:eastAsia="等线"/>
                <w:vertAlign w:val="superscript"/>
              </w:rPr>
              <w:t>2-</w:t>
            </w:r>
          </w:p>
        </w:tc>
        <w:tc>
          <w:tcPr>
            <w:tcW w:w="1581" w:type="dxa"/>
            <w:vAlign w:val="center"/>
          </w:tcPr>
          <w:p w14:paraId="365B3BB6">
            <w:pPr>
              <w:pStyle w:val="1343"/>
              <w:rPr>
                <w:rFonts w:eastAsia="等线"/>
              </w:rPr>
            </w:pPr>
            <w:r>
              <w:rPr>
                <w:rFonts w:eastAsia="等线"/>
              </w:rPr>
              <w:t>0</w:t>
            </w:r>
          </w:p>
        </w:tc>
        <w:tc>
          <w:tcPr>
            <w:tcW w:w="764" w:type="pct"/>
            <w:vMerge w:val="continue"/>
            <w:vAlign w:val="center"/>
          </w:tcPr>
          <w:p w14:paraId="3C30FBE1">
            <w:pPr>
              <w:pStyle w:val="1343"/>
              <w:rPr>
                <w:rFonts w:eastAsia="等线"/>
                <w:color w:val="0000FF"/>
              </w:rPr>
            </w:pPr>
          </w:p>
        </w:tc>
        <w:tc>
          <w:tcPr>
            <w:tcW w:w="687" w:type="pct"/>
            <w:vMerge w:val="continue"/>
            <w:vAlign w:val="center"/>
          </w:tcPr>
          <w:p w14:paraId="40A5F98C">
            <w:pPr>
              <w:pStyle w:val="1343"/>
              <w:rPr>
                <w:rFonts w:eastAsia="等线"/>
                <w:color w:val="0000FF"/>
              </w:rPr>
            </w:pPr>
          </w:p>
        </w:tc>
        <w:tc>
          <w:tcPr>
            <w:tcW w:w="472" w:type="pct"/>
            <w:vMerge w:val="continue"/>
            <w:vAlign w:val="center"/>
          </w:tcPr>
          <w:p w14:paraId="23E0AFA4">
            <w:pPr>
              <w:pStyle w:val="1343"/>
              <w:rPr>
                <w:rFonts w:eastAsia="等线"/>
                <w:color w:val="0000FF"/>
              </w:rPr>
            </w:pPr>
          </w:p>
        </w:tc>
        <w:tc>
          <w:tcPr>
            <w:tcW w:w="566" w:type="pct"/>
            <w:vMerge w:val="continue"/>
            <w:vAlign w:val="center"/>
          </w:tcPr>
          <w:p w14:paraId="38C5D286">
            <w:pPr>
              <w:pStyle w:val="1343"/>
              <w:rPr>
                <w:rFonts w:eastAsia="等线"/>
                <w:color w:val="0000FF"/>
              </w:rPr>
            </w:pPr>
          </w:p>
        </w:tc>
      </w:tr>
      <w:tr w14:paraId="7F176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201B973A">
            <w:pPr>
              <w:pStyle w:val="1343"/>
              <w:rPr>
                <w:color w:val="0000FF"/>
              </w:rPr>
            </w:pPr>
          </w:p>
        </w:tc>
        <w:tc>
          <w:tcPr>
            <w:tcW w:w="583" w:type="pct"/>
            <w:vMerge w:val="continue"/>
            <w:vAlign w:val="center"/>
          </w:tcPr>
          <w:p w14:paraId="386FC0BB">
            <w:pPr>
              <w:pStyle w:val="1343"/>
              <w:rPr>
                <w:rFonts w:eastAsia="等线"/>
                <w:color w:val="0000FF"/>
              </w:rPr>
            </w:pPr>
          </w:p>
        </w:tc>
        <w:tc>
          <w:tcPr>
            <w:tcW w:w="583" w:type="pct"/>
            <w:vAlign w:val="center"/>
          </w:tcPr>
          <w:p w14:paraId="4E775D2B">
            <w:pPr>
              <w:pStyle w:val="1343"/>
              <w:rPr>
                <w:rFonts w:eastAsia="等线"/>
              </w:rPr>
            </w:pPr>
            <w:r>
              <w:rPr>
                <w:rFonts w:eastAsia="等线"/>
              </w:rPr>
              <w:t>HCO</w:t>
            </w:r>
            <w:r>
              <w:rPr>
                <w:rFonts w:eastAsia="等线"/>
                <w:vertAlign w:val="subscript"/>
              </w:rPr>
              <w:t>3</w:t>
            </w:r>
            <w:r>
              <w:rPr>
                <w:rFonts w:eastAsia="等线"/>
                <w:vertAlign w:val="superscript"/>
              </w:rPr>
              <w:t>-</w:t>
            </w:r>
          </w:p>
        </w:tc>
        <w:tc>
          <w:tcPr>
            <w:tcW w:w="1581" w:type="dxa"/>
            <w:vAlign w:val="center"/>
          </w:tcPr>
          <w:p w14:paraId="2A0A92E2">
            <w:pPr>
              <w:pStyle w:val="1343"/>
              <w:rPr>
                <w:rFonts w:eastAsia="等线"/>
              </w:rPr>
            </w:pPr>
            <w:r>
              <w:rPr>
                <w:rFonts w:eastAsia="等线"/>
              </w:rPr>
              <w:t>17</w:t>
            </w:r>
          </w:p>
        </w:tc>
        <w:tc>
          <w:tcPr>
            <w:tcW w:w="764" w:type="pct"/>
            <w:vMerge w:val="continue"/>
            <w:vAlign w:val="center"/>
          </w:tcPr>
          <w:p w14:paraId="133EF117">
            <w:pPr>
              <w:pStyle w:val="1343"/>
              <w:rPr>
                <w:rFonts w:eastAsia="等线"/>
                <w:color w:val="0000FF"/>
              </w:rPr>
            </w:pPr>
          </w:p>
        </w:tc>
        <w:tc>
          <w:tcPr>
            <w:tcW w:w="687" w:type="pct"/>
            <w:vMerge w:val="continue"/>
            <w:vAlign w:val="center"/>
          </w:tcPr>
          <w:p w14:paraId="1B9D88CF">
            <w:pPr>
              <w:pStyle w:val="1343"/>
              <w:rPr>
                <w:rFonts w:eastAsia="等线"/>
                <w:color w:val="0000FF"/>
              </w:rPr>
            </w:pPr>
          </w:p>
        </w:tc>
        <w:tc>
          <w:tcPr>
            <w:tcW w:w="472" w:type="pct"/>
            <w:vMerge w:val="continue"/>
            <w:vAlign w:val="center"/>
          </w:tcPr>
          <w:p w14:paraId="4CBC51E2">
            <w:pPr>
              <w:pStyle w:val="1343"/>
              <w:rPr>
                <w:rFonts w:eastAsia="等线"/>
                <w:color w:val="0000FF"/>
              </w:rPr>
            </w:pPr>
          </w:p>
        </w:tc>
        <w:tc>
          <w:tcPr>
            <w:tcW w:w="566" w:type="pct"/>
            <w:vMerge w:val="continue"/>
            <w:vAlign w:val="center"/>
          </w:tcPr>
          <w:p w14:paraId="1C3718E6">
            <w:pPr>
              <w:pStyle w:val="1343"/>
              <w:rPr>
                <w:rFonts w:eastAsia="等线"/>
                <w:color w:val="0000FF"/>
              </w:rPr>
            </w:pPr>
          </w:p>
        </w:tc>
      </w:tr>
      <w:tr w14:paraId="1C42B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5898FBE4">
            <w:pPr>
              <w:pStyle w:val="1343"/>
              <w:rPr>
                <w:color w:val="0000FF"/>
              </w:rPr>
            </w:pPr>
          </w:p>
        </w:tc>
        <w:tc>
          <w:tcPr>
            <w:tcW w:w="583" w:type="pct"/>
            <w:vMerge w:val="continue"/>
            <w:vAlign w:val="center"/>
          </w:tcPr>
          <w:p w14:paraId="6CC392E4">
            <w:pPr>
              <w:pStyle w:val="1343"/>
              <w:rPr>
                <w:rFonts w:eastAsia="等线"/>
                <w:color w:val="0000FF"/>
              </w:rPr>
            </w:pPr>
          </w:p>
        </w:tc>
        <w:tc>
          <w:tcPr>
            <w:tcW w:w="583" w:type="pct"/>
            <w:vAlign w:val="center"/>
          </w:tcPr>
          <w:p w14:paraId="1DECFB9A">
            <w:pPr>
              <w:pStyle w:val="1343"/>
              <w:rPr>
                <w:rFonts w:eastAsia="等线"/>
              </w:rPr>
            </w:pPr>
            <w:r>
              <w:rPr>
                <w:rFonts w:eastAsia="等线"/>
              </w:rPr>
              <w:t>Cl</w:t>
            </w:r>
            <w:r>
              <w:rPr>
                <w:vertAlign w:val="superscript"/>
              </w:rPr>
              <w:t>－</w:t>
            </w:r>
          </w:p>
        </w:tc>
        <w:tc>
          <w:tcPr>
            <w:tcW w:w="1581" w:type="dxa"/>
            <w:vAlign w:val="center"/>
          </w:tcPr>
          <w:p w14:paraId="174154ED">
            <w:pPr>
              <w:pStyle w:val="1343"/>
              <w:rPr>
                <w:rFonts w:eastAsia="等线"/>
              </w:rPr>
            </w:pPr>
            <w:r>
              <w:rPr>
                <w:rFonts w:eastAsia="等线"/>
              </w:rPr>
              <w:t>5</w:t>
            </w:r>
          </w:p>
        </w:tc>
        <w:tc>
          <w:tcPr>
            <w:tcW w:w="764" w:type="pct"/>
            <w:vMerge w:val="continue"/>
            <w:vAlign w:val="center"/>
          </w:tcPr>
          <w:p w14:paraId="5BB3303E">
            <w:pPr>
              <w:pStyle w:val="1343"/>
              <w:rPr>
                <w:rFonts w:eastAsia="等线"/>
                <w:color w:val="0000FF"/>
              </w:rPr>
            </w:pPr>
          </w:p>
        </w:tc>
        <w:tc>
          <w:tcPr>
            <w:tcW w:w="687" w:type="pct"/>
            <w:vMerge w:val="continue"/>
            <w:vAlign w:val="center"/>
          </w:tcPr>
          <w:p w14:paraId="175176B6">
            <w:pPr>
              <w:pStyle w:val="1343"/>
              <w:rPr>
                <w:rFonts w:eastAsia="等线"/>
                <w:color w:val="0000FF"/>
              </w:rPr>
            </w:pPr>
          </w:p>
        </w:tc>
        <w:tc>
          <w:tcPr>
            <w:tcW w:w="472" w:type="pct"/>
            <w:vMerge w:val="continue"/>
            <w:vAlign w:val="center"/>
          </w:tcPr>
          <w:p w14:paraId="1B88C983">
            <w:pPr>
              <w:pStyle w:val="1343"/>
              <w:rPr>
                <w:rFonts w:eastAsia="等线"/>
                <w:color w:val="0000FF"/>
              </w:rPr>
            </w:pPr>
          </w:p>
        </w:tc>
        <w:tc>
          <w:tcPr>
            <w:tcW w:w="566" w:type="pct"/>
            <w:vMerge w:val="continue"/>
            <w:vAlign w:val="center"/>
          </w:tcPr>
          <w:p w14:paraId="1B9CE4EC">
            <w:pPr>
              <w:pStyle w:val="1343"/>
              <w:rPr>
                <w:rFonts w:eastAsia="等线"/>
                <w:color w:val="0000FF"/>
              </w:rPr>
            </w:pPr>
          </w:p>
        </w:tc>
      </w:tr>
      <w:tr w14:paraId="54000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10FC4F66">
            <w:pPr>
              <w:pStyle w:val="1343"/>
              <w:rPr>
                <w:color w:val="0000FF"/>
              </w:rPr>
            </w:pPr>
          </w:p>
        </w:tc>
        <w:tc>
          <w:tcPr>
            <w:tcW w:w="583" w:type="pct"/>
            <w:vMerge w:val="continue"/>
            <w:vAlign w:val="center"/>
          </w:tcPr>
          <w:p w14:paraId="1D193482">
            <w:pPr>
              <w:pStyle w:val="1343"/>
              <w:rPr>
                <w:rFonts w:eastAsia="等线"/>
                <w:color w:val="0000FF"/>
              </w:rPr>
            </w:pPr>
          </w:p>
        </w:tc>
        <w:tc>
          <w:tcPr>
            <w:tcW w:w="583" w:type="pct"/>
            <w:vAlign w:val="center"/>
          </w:tcPr>
          <w:p w14:paraId="658C09A4">
            <w:pPr>
              <w:pStyle w:val="1343"/>
              <w:rPr>
                <w:rFonts w:eastAsia="等线"/>
              </w:rPr>
            </w:pPr>
            <w:r>
              <w:rPr>
                <w:rFonts w:eastAsia="等线"/>
              </w:rPr>
              <w:t>SO</w:t>
            </w:r>
            <w:r>
              <w:rPr>
                <w:rFonts w:eastAsia="等线"/>
                <w:vertAlign w:val="subscript"/>
              </w:rPr>
              <w:t>4</w:t>
            </w:r>
            <w:r>
              <w:rPr>
                <w:rFonts w:eastAsia="等线"/>
                <w:vertAlign w:val="superscript"/>
              </w:rPr>
              <w:t>2</w:t>
            </w:r>
            <w:r>
              <w:rPr>
                <w:vertAlign w:val="superscript"/>
              </w:rPr>
              <w:t>－</w:t>
            </w:r>
          </w:p>
        </w:tc>
        <w:tc>
          <w:tcPr>
            <w:tcW w:w="1581" w:type="dxa"/>
            <w:vAlign w:val="center"/>
          </w:tcPr>
          <w:p w14:paraId="278E2C73">
            <w:pPr>
              <w:pStyle w:val="1343"/>
              <w:rPr>
                <w:rFonts w:eastAsia="等线"/>
              </w:rPr>
            </w:pPr>
            <w:r>
              <w:rPr>
                <w:rFonts w:eastAsia="等线"/>
              </w:rPr>
              <w:t>23</w:t>
            </w:r>
          </w:p>
        </w:tc>
        <w:tc>
          <w:tcPr>
            <w:tcW w:w="764" w:type="pct"/>
            <w:vMerge w:val="continue"/>
            <w:vAlign w:val="center"/>
          </w:tcPr>
          <w:p w14:paraId="2310DA77">
            <w:pPr>
              <w:pStyle w:val="1343"/>
              <w:rPr>
                <w:rFonts w:eastAsia="等线"/>
                <w:color w:val="0000FF"/>
              </w:rPr>
            </w:pPr>
          </w:p>
        </w:tc>
        <w:tc>
          <w:tcPr>
            <w:tcW w:w="687" w:type="pct"/>
            <w:vMerge w:val="continue"/>
            <w:vAlign w:val="center"/>
          </w:tcPr>
          <w:p w14:paraId="05345298">
            <w:pPr>
              <w:pStyle w:val="1343"/>
              <w:rPr>
                <w:rFonts w:eastAsia="等线"/>
                <w:color w:val="0000FF"/>
              </w:rPr>
            </w:pPr>
          </w:p>
        </w:tc>
        <w:tc>
          <w:tcPr>
            <w:tcW w:w="472" w:type="pct"/>
            <w:vMerge w:val="continue"/>
            <w:vAlign w:val="center"/>
          </w:tcPr>
          <w:p w14:paraId="3948DC02">
            <w:pPr>
              <w:pStyle w:val="1343"/>
              <w:rPr>
                <w:rFonts w:eastAsia="等线"/>
                <w:color w:val="0000FF"/>
              </w:rPr>
            </w:pPr>
          </w:p>
        </w:tc>
        <w:tc>
          <w:tcPr>
            <w:tcW w:w="566" w:type="pct"/>
            <w:vMerge w:val="continue"/>
            <w:vAlign w:val="center"/>
          </w:tcPr>
          <w:p w14:paraId="0210041D">
            <w:pPr>
              <w:pStyle w:val="1343"/>
              <w:rPr>
                <w:rFonts w:eastAsia="等线"/>
                <w:color w:val="0000FF"/>
              </w:rPr>
            </w:pPr>
          </w:p>
        </w:tc>
      </w:tr>
      <w:tr w14:paraId="623F7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21B07CAB">
            <w:pPr>
              <w:pStyle w:val="1343"/>
              <w:rPr>
                <w:color w:val="0000FF"/>
              </w:rPr>
            </w:pPr>
          </w:p>
        </w:tc>
        <w:tc>
          <w:tcPr>
            <w:tcW w:w="583" w:type="pct"/>
            <w:vMerge w:val="continue"/>
            <w:vAlign w:val="center"/>
          </w:tcPr>
          <w:p w14:paraId="52285CC7">
            <w:pPr>
              <w:pStyle w:val="1343"/>
              <w:rPr>
                <w:rFonts w:eastAsia="等线"/>
                <w:color w:val="0000FF"/>
              </w:rPr>
            </w:pPr>
          </w:p>
        </w:tc>
        <w:tc>
          <w:tcPr>
            <w:tcW w:w="583" w:type="pct"/>
            <w:vAlign w:val="center"/>
          </w:tcPr>
          <w:p w14:paraId="5BFC301A">
            <w:pPr>
              <w:pStyle w:val="1343"/>
              <w:rPr>
                <w:rFonts w:eastAsia="等线"/>
              </w:rPr>
            </w:pPr>
            <w:r>
              <w:rPr>
                <w:rFonts w:hint="eastAsia" w:eastAsia="等线"/>
              </w:rPr>
              <w:t>NO</w:t>
            </w:r>
            <w:r>
              <w:rPr>
                <w:rFonts w:hint="eastAsia" w:eastAsia="等线"/>
                <w:vertAlign w:val="subscript"/>
              </w:rPr>
              <w:t>3</w:t>
            </w:r>
            <w:r>
              <w:rPr>
                <w:rFonts w:hint="eastAsia" w:eastAsia="等线"/>
                <w:vertAlign w:val="superscript"/>
              </w:rPr>
              <w:t>-</w:t>
            </w:r>
          </w:p>
        </w:tc>
        <w:tc>
          <w:tcPr>
            <w:tcW w:w="1581" w:type="dxa"/>
            <w:vAlign w:val="center"/>
          </w:tcPr>
          <w:p w14:paraId="1D334A9B">
            <w:pPr>
              <w:pStyle w:val="1343"/>
              <w:rPr>
                <w:rFonts w:eastAsia="等线"/>
              </w:rPr>
            </w:pPr>
            <w:r>
              <w:rPr>
                <w:rFonts w:hint="eastAsia" w:eastAsia="等线"/>
              </w:rPr>
              <w:t>1.9</w:t>
            </w:r>
          </w:p>
        </w:tc>
        <w:tc>
          <w:tcPr>
            <w:tcW w:w="764" w:type="pct"/>
            <w:vMerge w:val="continue"/>
            <w:vAlign w:val="center"/>
          </w:tcPr>
          <w:p w14:paraId="575E8A16">
            <w:pPr>
              <w:pStyle w:val="1343"/>
              <w:rPr>
                <w:rFonts w:eastAsia="等线"/>
                <w:color w:val="0000FF"/>
              </w:rPr>
            </w:pPr>
          </w:p>
        </w:tc>
        <w:tc>
          <w:tcPr>
            <w:tcW w:w="687" w:type="pct"/>
            <w:vMerge w:val="continue"/>
            <w:vAlign w:val="center"/>
          </w:tcPr>
          <w:p w14:paraId="703AEAF9">
            <w:pPr>
              <w:pStyle w:val="1343"/>
              <w:rPr>
                <w:rFonts w:eastAsia="等线"/>
                <w:color w:val="0000FF"/>
              </w:rPr>
            </w:pPr>
          </w:p>
        </w:tc>
        <w:tc>
          <w:tcPr>
            <w:tcW w:w="472" w:type="pct"/>
            <w:vMerge w:val="continue"/>
            <w:vAlign w:val="center"/>
          </w:tcPr>
          <w:p w14:paraId="6ACDA005">
            <w:pPr>
              <w:pStyle w:val="1343"/>
              <w:rPr>
                <w:rFonts w:eastAsia="等线"/>
                <w:color w:val="0000FF"/>
              </w:rPr>
            </w:pPr>
          </w:p>
        </w:tc>
        <w:tc>
          <w:tcPr>
            <w:tcW w:w="566" w:type="pct"/>
            <w:vMerge w:val="continue"/>
            <w:vAlign w:val="center"/>
          </w:tcPr>
          <w:p w14:paraId="7BEE95EF">
            <w:pPr>
              <w:pStyle w:val="1343"/>
              <w:rPr>
                <w:rFonts w:eastAsia="等线"/>
                <w:color w:val="0000FF"/>
              </w:rPr>
            </w:pPr>
          </w:p>
        </w:tc>
      </w:tr>
      <w:tr w14:paraId="1935A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restart"/>
            <w:vAlign w:val="center"/>
          </w:tcPr>
          <w:p w14:paraId="1225BEDC">
            <w:pPr>
              <w:adjustRightInd w:val="0"/>
              <w:snapToGrid w:val="0"/>
              <w:jc w:val="center"/>
              <w:rPr>
                <w:color w:val="0000FF"/>
              </w:rPr>
            </w:pPr>
            <w:r>
              <w:rPr>
                <w:rFonts w:hint="eastAsia"/>
                <w:bCs/>
                <w:szCs w:val="21"/>
              </w:rPr>
              <w:t>蒋家冲水井</w:t>
            </w:r>
          </w:p>
        </w:tc>
        <w:tc>
          <w:tcPr>
            <w:tcW w:w="583" w:type="pct"/>
            <w:vMerge w:val="restart"/>
            <w:vAlign w:val="center"/>
          </w:tcPr>
          <w:p w14:paraId="4282342F">
            <w:pPr>
              <w:pStyle w:val="1343"/>
              <w:rPr>
                <w:rFonts w:eastAsia="等线"/>
              </w:rPr>
            </w:pPr>
            <w:r>
              <w:rPr>
                <w:rFonts w:hint="eastAsia" w:eastAsia="等线"/>
              </w:rPr>
              <w:t>8.11</w:t>
            </w:r>
          </w:p>
        </w:tc>
        <w:tc>
          <w:tcPr>
            <w:tcW w:w="1119" w:type="dxa"/>
            <w:vAlign w:val="center"/>
          </w:tcPr>
          <w:p w14:paraId="3F6ECE95">
            <w:pPr>
              <w:pStyle w:val="1343"/>
              <w:rPr>
                <w:rFonts w:eastAsia="等线"/>
              </w:rPr>
            </w:pPr>
            <w:r>
              <w:rPr>
                <w:rFonts w:eastAsia="等线"/>
              </w:rPr>
              <w:t>K</w:t>
            </w:r>
            <w:r>
              <w:rPr>
                <w:vertAlign w:val="superscript"/>
              </w:rPr>
              <w:t>＋</w:t>
            </w:r>
          </w:p>
        </w:tc>
        <w:tc>
          <w:tcPr>
            <w:tcW w:w="1581" w:type="dxa"/>
            <w:vAlign w:val="center"/>
          </w:tcPr>
          <w:p w14:paraId="5CB5B03D">
            <w:pPr>
              <w:widowControl/>
              <w:jc w:val="center"/>
              <w:textAlignment w:val="center"/>
              <w:rPr>
                <w:rFonts w:eastAsia="等线"/>
              </w:rPr>
            </w:pPr>
            <w:r>
              <w:rPr>
                <w:color w:val="000000"/>
                <w:kern w:val="0"/>
                <w:szCs w:val="21"/>
                <w:lang w:bidi="ar"/>
              </w:rPr>
              <w:t>0.8</w:t>
            </w:r>
          </w:p>
        </w:tc>
        <w:tc>
          <w:tcPr>
            <w:tcW w:w="764" w:type="pct"/>
            <w:vMerge w:val="restart"/>
            <w:vAlign w:val="center"/>
          </w:tcPr>
          <w:p w14:paraId="108FE4F9">
            <w:pPr>
              <w:pStyle w:val="1343"/>
              <w:rPr>
                <w:rFonts w:eastAsia="等线"/>
              </w:rPr>
            </w:pPr>
            <w:r>
              <w:rPr>
                <w:rFonts w:hint="eastAsia" w:eastAsia="等线"/>
              </w:rPr>
              <w:t>1.081</w:t>
            </w:r>
          </w:p>
        </w:tc>
        <w:tc>
          <w:tcPr>
            <w:tcW w:w="687" w:type="pct"/>
            <w:vMerge w:val="restart"/>
            <w:vAlign w:val="center"/>
          </w:tcPr>
          <w:p w14:paraId="5B7F4AC8">
            <w:pPr>
              <w:pStyle w:val="1343"/>
              <w:rPr>
                <w:rFonts w:eastAsia="等线"/>
              </w:rPr>
            </w:pPr>
            <w:r>
              <w:rPr>
                <w:rFonts w:hint="eastAsia" w:eastAsia="等线"/>
              </w:rPr>
              <w:t>1.144</w:t>
            </w:r>
          </w:p>
        </w:tc>
        <w:tc>
          <w:tcPr>
            <w:tcW w:w="472" w:type="pct"/>
            <w:vMerge w:val="restart"/>
            <w:vAlign w:val="center"/>
          </w:tcPr>
          <w:p w14:paraId="5AA5E2B5">
            <w:pPr>
              <w:pStyle w:val="1343"/>
              <w:rPr>
                <w:rFonts w:eastAsia="等线"/>
              </w:rPr>
            </w:pPr>
            <w:r>
              <w:rPr>
                <w:rFonts w:hint="eastAsia" w:eastAsia="等线"/>
              </w:rPr>
              <w:t>2.84</w:t>
            </w:r>
          </w:p>
        </w:tc>
        <w:tc>
          <w:tcPr>
            <w:tcW w:w="566" w:type="pct"/>
            <w:vMerge w:val="restart"/>
            <w:vAlign w:val="center"/>
          </w:tcPr>
          <w:p w14:paraId="081D6FBB">
            <w:pPr>
              <w:pStyle w:val="1343"/>
              <w:rPr>
                <w:rFonts w:eastAsia="等线"/>
              </w:rPr>
            </w:pPr>
            <w:r>
              <w:rPr>
                <w:rFonts w:hint="eastAsia" w:eastAsia="等线"/>
              </w:rPr>
              <w:t>0.067</w:t>
            </w:r>
          </w:p>
        </w:tc>
      </w:tr>
      <w:tr w14:paraId="02EC9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2DC4FA3F">
            <w:pPr>
              <w:pStyle w:val="1343"/>
              <w:rPr>
                <w:color w:val="0000FF"/>
              </w:rPr>
            </w:pPr>
          </w:p>
        </w:tc>
        <w:tc>
          <w:tcPr>
            <w:tcW w:w="583" w:type="pct"/>
            <w:vMerge w:val="continue"/>
            <w:vAlign w:val="center"/>
          </w:tcPr>
          <w:p w14:paraId="389F2842">
            <w:pPr>
              <w:pStyle w:val="1343"/>
              <w:rPr>
                <w:rFonts w:eastAsia="等线"/>
              </w:rPr>
            </w:pPr>
          </w:p>
        </w:tc>
        <w:tc>
          <w:tcPr>
            <w:tcW w:w="1119" w:type="dxa"/>
            <w:vAlign w:val="center"/>
          </w:tcPr>
          <w:p w14:paraId="07E01727">
            <w:pPr>
              <w:pStyle w:val="1343"/>
              <w:rPr>
                <w:rFonts w:eastAsia="等线"/>
              </w:rPr>
            </w:pPr>
            <w:r>
              <w:rPr>
                <w:rFonts w:eastAsia="等线"/>
              </w:rPr>
              <w:t>Na</w:t>
            </w:r>
            <w:r>
              <w:rPr>
                <w:vertAlign w:val="superscript"/>
              </w:rPr>
              <w:t>＋</w:t>
            </w:r>
          </w:p>
        </w:tc>
        <w:tc>
          <w:tcPr>
            <w:tcW w:w="1581" w:type="dxa"/>
            <w:vAlign w:val="center"/>
          </w:tcPr>
          <w:p w14:paraId="3F760850">
            <w:pPr>
              <w:widowControl/>
              <w:jc w:val="center"/>
              <w:textAlignment w:val="center"/>
              <w:rPr>
                <w:rFonts w:eastAsia="等线"/>
              </w:rPr>
            </w:pPr>
            <w:r>
              <w:rPr>
                <w:color w:val="000000"/>
                <w:kern w:val="0"/>
                <w:szCs w:val="21"/>
                <w:lang w:bidi="ar"/>
              </w:rPr>
              <w:t>7.65</w:t>
            </w:r>
          </w:p>
        </w:tc>
        <w:tc>
          <w:tcPr>
            <w:tcW w:w="764" w:type="pct"/>
            <w:vMerge w:val="continue"/>
            <w:vAlign w:val="center"/>
          </w:tcPr>
          <w:p w14:paraId="5E46575E">
            <w:pPr>
              <w:pStyle w:val="1343"/>
              <w:rPr>
                <w:rFonts w:eastAsia="等线"/>
                <w:color w:val="0000FF"/>
              </w:rPr>
            </w:pPr>
          </w:p>
        </w:tc>
        <w:tc>
          <w:tcPr>
            <w:tcW w:w="687" w:type="pct"/>
            <w:vMerge w:val="continue"/>
            <w:vAlign w:val="center"/>
          </w:tcPr>
          <w:p w14:paraId="5FE73318">
            <w:pPr>
              <w:pStyle w:val="1343"/>
              <w:rPr>
                <w:rFonts w:eastAsia="等线"/>
                <w:color w:val="0000FF"/>
              </w:rPr>
            </w:pPr>
          </w:p>
        </w:tc>
        <w:tc>
          <w:tcPr>
            <w:tcW w:w="472" w:type="pct"/>
            <w:vMerge w:val="continue"/>
            <w:vAlign w:val="center"/>
          </w:tcPr>
          <w:p w14:paraId="6D91E083">
            <w:pPr>
              <w:pStyle w:val="1343"/>
              <w:rPr>
                <w:rFonts w:eastAsia="等线"/>
                <w:color w:val="0000FF"/>
              </w:rPr>
            </w:pPr>
          </w:p>
        </w:tc>
        <w:tc>
          <w:tcPr>
            <w:tcW w:w="566" w:type="pct"/>
            <w:vMerge w:val="continue"/>
            <w:vAlign w:val="center"/>
          </w:tcPr>
          <w:p w14:paraId="1DA7FB78">
            <w:pPr>
              <w:pStyle w:val="1343"/>
              <w:rPr>
                <w:rFonts w:eastAsia="等线"/>
                <w:color w:val="0000FF"/>
              </w:rPr>
            </w:pPr>
          </w:p>
        </w:tc>
      </w:tr>
      <w:tr w14:paraId="5A237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2F054034">
            <w:pPr>
              <w:pStyle w:val="1343"/>
              <w:rPr>
                <w:color w:val="0000FF"/>
              </w:rPr>
            </w:pPr>
          </w:p>
        </w:tc>
        <w:tc>
          <w:tcPr>
            <w:tcW w:w="583" w:type="pct"/>
            <w:vMerge w:val="continue"/>
            <w:vAlign w:val="center"/>
          </w:tcPr>
          <w:p w14:paraId="6D0DFD19">
            <w:pPr>
              <w:pStyle w:val="1343"/>
              <w:rPr>
                <w:rFonts w:eastAsia="等线"/>
              </w:rPr>
            </w:pPr>
          </w:p>
        </w:tc>
        <w:tc>
          <w:tcPr>
            <w:tcW w:w="1119" w:type="dxa"/>
            <w:vAlign w:val="center"/>
          </w:tcPr>
          <w:p w14:paraId="106F9370">
            <w:pPr>
              <w:pStyle w:val="1343"/>
              <w:rPr>
                <w:rFonts w:eastAsia="等线"/>
              </w:rPr>
            </w:pPr>
            <w:r>
              <w:rPr>
                <w:rFonts w:eastAsia="等线"/>
              </w:rPr>
              <w:t>Ca</w:t>
            </w:r>
            <w:r>
              <w:rPr>
                <w:rFonts w:eastAsia="等线"/>
                <w:vertAlign w:val="superscript"/>
              </w:rPr>
              <w:t>2</w:t>
            </w:r>
            <w:r>
              <w:rPr>
                <w:vertAlign w:val="superscript"/>
              </w:rPr>
              <w:t>＋</w:t>
            </w:r>
          </w:p>
        </w:tc>
        <w:tc>
          <w:tcPr>
            <w:tcW w:w="1581" w:type="dxa"/>
            <w:vAlign w:val="center"/>
          </w:tcPr>
          <w:p w14:paraId="7F5918E3">
            <w:pPr>
              <w:widowControl/>
              <w:jc w:val="center"/>
              <w:textAlignment w:val="center"/>
              <w:rPr>
                <w:rFonts w:eastAsia="等线"/>
              </w:rPr>
            </w:pPr>
            <w:r>
              <w:rPr>
                <w:color w:val="000000"/>
                <w:kern w:val="0"/>
                <w:szCs w:val="21"/>
                <w:lang w:bidi="ar"/>
              </w:rPr>
              <w:t>9.41</w:t>
            </w:r>
          </w:p>
        </w:tc>
        <w:tc>
          <w:tcPr>
            <w:tcW w:w="764" w:type="pct"/>
            <w:vMerge w:val="continue"/>
            <w:vAlign w:val="center"/>
          </w:tcPr>
          <w:p w14:paraId="4FEAC1B6">
            <w:pPr>
              <w:pStyle w:val="1343"/>
              <w:rPr>
                <w:rFonts w:eastAsia="等线"/>
                <w:color w:val="0000FF"/>
              </w:rPr>
            </w:pPr>
          </w:p>
        </w:tc>
        <w:tc>
          <w:tcPr>
            <w:tcW w:w="687" w:type="pct"/>
            <w:vMerge w:val="continue"/>
            <w:vAlign w:val="center"/>
          </w:tcPr>
          <w:p w14:paraId="4B76634C">
            <w:pPr>
              <w:pStyle w:val="1343"/>
              <w:rPr>
                <w:rFonts w:eastAsia="等线"/>
                <w:color w:val="0000FF"/>
              </w:rPr>
            </w:pPr>
          </w:p>
        </w:tc>
        <w:tc>
          <w:tcPr>
            <w:tcW w:w="472" w:type="pct"/>
            <w:vMerge w:val="continue"/>
            <w:vAlign w:val="center"/>
          </w:tcPr>
          <w:p w14:paraId="2BA5E6D5">
            <w:pPr>
              <w:pStyle w:val="1343"/>
              <w:rPr>
                <w:rFonts w:eastAsia="等线"/>
                <w:color w:val="0000FF"/>
              </w:rPr>
            </w:pPr>
          </w:p>
        </w:tc>
        <w:tc>
          <w:tcPr>
            <w:tcW w:w="566" w:type="pct"/>
            <w:vMerge w:val="continue"/>
            <w:vAlign w:val="center"/>
          </w:tcPr>
          <w:p w14:paraId="500FB749">
            <w:pPr>
              <w:pStyle w:val="1343"/>
              <w:rPr>
                <w:rFonts w:eastAsia="等线"/>
                <w:color w:val="0000FF"/>
              </w:rPr>
            </w:pPr>
          </w:p>
        </w:tc>
      </w:tr>
      <w:tr w14:paraId="4ED51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7B573A7B">
            <w:pPr>
              <w:pStyle w:val="1343"/>
              <w:rPr>
                <w:color w:val="0000FF"/>
              </w:rPr>
            </w:pPr>
          </w:p>
        </w:tc>
        <w:tc>
          <w:tcPr>
            <w:tcW w:w="583" w:type="pct"/>
            <w:vMerge w:val="continue"/>
            <w:vAlign w:val="center"/>
          </w:tcPr>
          <w:p w14:paraId="538FE145">
            <w:pPr>
              <w:pStyle w:val="1343"/>
              <w:rPr>
                <w:rFonts w:eastAsia="等线"/>
              </w:rPr>
            </w:pPr>
          </w:p>
        </w:tc>
        <w:tc>
          <w:tcPr>
            <w:tcW w:w="1119" w:type="dxa"/>
            <w:vAlign w:val="center"/>
          </w:tcPr>
          <w:p w14:paraId="55789742">
            <w:pPr>
              <w:pStyle w:val="1343"/>
              <w:rPr>
                <w:rFonts w:eastAsia="等线"/>
              </w:rPr>
            </w:pPr>
            <w:r>
              <w:rPr>
                <w:rFonts w:eastAsia="等线"/>
              </w:rPr>
              <w:t>Mg</w:t>
            </w:r>
            <w:r>
              <w:rPr>
                <w:rFonts w:eastAsia="等线"/>
                <w:vertAlign w:val="superscript"/>
              </w:rPr>
              <w:t>2</w:t>
            </w:r>
            <w:r>
              <w:rPr>
                <w:vertAlign w:val="superscript"/>
              </w:rPr>
              <w:t>＋</w:t>
            </w:r>
          </w:p>
        </w:tc>
        <w:tc>
          <w:tcPr>
            <w:tcW w:w="1581" w:type="dxa"/>
            <w:vAlign w:val="center"/>
          </w:tcPr>
          <w:p w14:paraId="65FAD10B">
            <w:pPr>
              <w:widowControl/>
              <w:jc w:val="center"/>
              <w:textAlignment w:val="center"/>
              <w:rPr>
                <w:rFonts w:eastAsia="等线"/>
              </w:rPr>
            </w:pPr>
            <w:r>
              <w:rPr>
                <w:color w:val="000000"/>
                <w:kern w:val="0"/>
                <w:szCs w:val="21"/>
                <w:lang w:bidi="ar"/>
              </w:rPr>
              <w:t>3.09</w:t>
            </w:r>
          </w:p>
        </w:tc>
        <w:tc>
          <w:tcPr>
            <w:tcW w:w="764" w:type="pct"/>
            <w:vMerge w:val="continue"/>
            <w:vAlign w:val="center"/>
          </w:tcPr>
          <w:p w14:paraId="2C55BBE1">
            <w:pPr>
              <w:pStyle w:val="1343"/>
              <w:rPr>
                <w:rFonts w:eastAsia="等线"/>
                <w:color w:val="0000FF"/>
              </w:rPr>
            </w:pPr>
          </w:p>
        </w:tc>
        <w:tc>
          <w:tcPr>
            <w:tcW w:w="687" w:type="pct"/>
            <w:vMerge w:val="continue"/>
            <w:vAlign w:val="center"/>
          </w:tcPr>
          <w:p w14:paraId="60E6E0F7">
            <w:pPr>
              <w:pStyle w:val="1343"/>
              <w:rPr>
                <w:rFonts w:eastAsia="等线"/>
                <w:color w:val="0000FF"/>
              </w:rPr>
            </w:pPr>
          </w:p>
        </w:tc>
        <w:tc>
          <w:tcPr>
            <w:tcW w:w="472" w:type="pct"/>
            <w:vMerge w:val="continue"/>
            <w:vAlign w:val="center"/>
          </w:tcPr>
          <w:p w14:paraId="1238385C">
            <w:pPr>
              <w:pStyle w:val="1343"/>
              <w:rPr>
                <w:rFonts w:eastAsia="等线"/>
                <w:color w:val="0000FF"/>
              </w:rPr>
            </w:pPr>
          </w:p>
        </w:tc>
        <w:tc>
          <w:tcPr>
            <w:tcW w:w="566" w:type="pct"/>
            <w:vMerge w:val="continue"/>
            <w:vAlign w:val="center"/>
          </w:tcPr>
          <w:p w14:paraId="183E3E11">
            <w:pPr>
              <w:pStyle w:val="1343"/>
              <w:rPr>
                <w:rFonts w:eastAsia="等线"/>
                <w:color w:val="0000FF"/>
              </w:rPr>
            </w:pPr>
          </w:p>
        </w:tc>
      </w:tr>
      <w:tr w14:paraId="42882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0BCE0C53">
            <w:pPr>
              <w:pStyle w:val="1343"/>
              <w:rPr>
                <w:color w:val="0000FF"/>
              </w:rPr>
            </w:pPr>
          </w:p>
        </w:tc>
        <w:tc>
          <w:tcPr>
            <w:tcW w:w="583" w:type="pct"/>
            <w:vMerge w:val="continue"/>
            <w:vAlign w:val="center"/>
          </w:tcPr>
          <w:p w14:paraId="69B882C3">
            <w:pPr>
              <w:pStyle w:val="1343"/>
              <w:rPr>
                <w:rFonts w:eastAsia="等线"/>
              </w:rPr>
            </w:pPr>
          </w:p>
        </w:tc>
        <w:tc>
          <w:tcPr>
            <w:tcW w:w="1119" w:type="dxa"/>
            <w:vAlign w:val="center"/>
          </w:tcPr>
          <w:p w14:paraId="4B73B47D">
            <w:pPr>
              <w:pStyle w:val="1343"/>
              <w:rPr>
                <w:rFonts w:eastAsia="等线"/>
              </w:rPr>
            </w:pPr>
            <w:r>
              <w:rPr>
                <w:rFonts w:eastAsia="等线"/>
              </w:rPr>
              <w:t>CO</w:t>
            </w:r>
            <w:r>
              <w:rPr>
                <w:rFonts w:eastAsia="等线"/>
                <w:vertAlign w:val="subscript"/>
              </w:rPr>
              <w:t>3</w:t>
            </w:r>
            <w:r>
              <w:rPr>
                <w:rFonts w:eastAsia="等线"/>
                <w:vertAlign w:val="superscript"/>
              </w:rPr>
              <w:t>2-</w:t>
            </w:r>
          </w:p>
        </w:tc>
        <w:tc>
          <w:tcPr>
            <w:tcW w:w="1581" w:type="dxa"/>
            <w:vAlign w:val="center"/>
          </w:tcPr>
          <w:p w14:paraId="6BFBF514">
            <w:pPr>
              <w:widowControl/>
              <w:jc w:val="center"/>
              <w:textAlignment w:val="center"/>
            </w:pPr>
            <w:r>
              <w:rPr>
                <w:color w:val="000000"/>
                <w:kern w:val="0"/>
                <w:szCs w:val="21"/>
                <w:lang w:bidi="ar"/>
              </w:rPr>
              <w:t>0</w:t>
            </w:r>
          </w:p>
        </w:tc>
        <w:tc>
          <w:tcPr>
            <w:tcW w:w="764" w:type="pct"/>
            <w:vMerge w:val="continue"/>
            <w:vAlign w:val="center"/>
          </w:tcPr>
          <w:p w14:paraId="71B082AA">
            <w:pPr>
              <w:pStyle w:val="1343"/>
              <w:rPr>
                <w:rFonts w:eastAsia="等线"/>
                <w:color w:val="0000FF"/>
              </w:rPr>
            </w:pPr>
          </w:p>
        </w:tc>
        <w:tc>
          <w:tcPr>
            <w:tcW w:w="687" w:type="pct"/>
            <w:vMerge w:val="continue"/>
            <w:vAlign w:val="center"/>
          </w:tcPr>
          <w:p w14:paraId="6AC39D28">
            <w:pPr>
              <w:pStyle w:val="1343"/>
              <w:rPr>
                <w:rFonts w:eastAsia="等线"/>
                <w:color w:val="0000FF"/>
              </w:rPr>
            </w:pPr>
          </w:p>
        </w:tc>
        <w:tc>
          <w:tcPr>
            <w:tcW w:w="472" w:type="pct"/>
            <w:vMerge w:val="continue"/>
            <w:vAlign w:val="center"/>
          </w:tcPr>
          <w:p w14:paraId="182689D4">
            <w:pPr>
              <w:pStyle w:val="1343"/>
              <w:rPr>
                <w:rFonts w:eastAsia="等线"/>
                <w:color w:val="0000FF"/>
              </w:rPr>
            </w:pPr>
          </w:p>
        </w:tc>
        <w:tc>
          <w:tcPr>
            <w:tcW w:w="566" w:type="pct"/>
            <w:vMerge w:val="continue"/>
            <w:vAlign w:val="center"/>
          </w:tcPr>
          <w:p w14:paraId="0C1489EB">
            <w:pPr>
              <w:pStyle w:val="1343"/>
              <w:rPr>
                <w:rFonts w:eastAsia="等线"/>
                <w:color w:val="0000FF"/>
              </w:rPr>
            </w:pPr>
          </w:p>
        </w:tc>
      </w:tr>
      <w:tr w14:paraId="593E4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3A2BD21B">
            <w:pPr>
              <w:pStyle w:val="1343"/>
              <w:rPr>
                <w:color w:val="0000FF"/>
              </w:rPr>
            </w:pPr>
          </w:p>
        </w:tc>
        <w:tc>
          <w:tcPr>
            <w:tcW w:w="583" w:type="pct"/>
            <w:vMerge w:val="continue"/>
            <w:vAlign w:val="center"/>
          </w:tcPr>
          <w:p w14:paraId="6BEFC096">
            <w:pPr>
              <w:pStyle w:val="1343"/>
              <w:rPr>
                <w:rFonts w:eastAsia="等线"/>
              </w:rPr>
            </w:pPr>
          </w:p>
        </w:tc>
        <w:tc>
          <w:tcPr>
            <w:tcW w:w="1119" w:type="dxa"/>
            <w:vAlign w:val="center"/>
          </w:tcPr>
          <w:p w14:paraId="2614F7B7">
            <w:pPr>
              <w:pStyle w:val="1343"/>
              <w:rPr>
                <w:rFonts w:eastAsia="等线"/>
              </w:rPr>
            </w:pPr>
            <w:r>
              <w:rPr>
                <w:rFonts w:eastAsia="等线"/>
              </w:rPr>
              <w:t>HCO</w:t>
            </w:r>
            <w:r>
              <w:rPr>
                <w:rFonts w:eastAsia="等线"/>
                <w:vertAlign w:val="subscript"/>
              </w:rPr>
              <w:t>3</w:t>
            </w:r>
            <w:r>
              <w:rPr>
                <w:rFonts w:eastAsia="等线"/>
                <w:vertAlign w:val="superscript"/>
              </w:rPr>
              <w:t>-</w:t>
            </w:r>
          </w:p>
        </w:tc>
        <w:tc>
          <w:tcPr>
            <w:tcW w:w="1581" w:type="dxa"/>
            <w:vAlign w:val="center"/>
          </w:tcPr>
          <w:p w14:paraId="7302EA06">
            <w:pPr>
              <w:widowControl/>
              <w:jc w:val="center"/>
              <w:textAlignment w:val="center"/>
              <w:rPr>
                <w:rFonts w:eastAsia="等线"/>
              </w:rPr>
            </w:pPr>
            <w:r>
              <w:rPr>
                <w:color w:val="000000"/>
                <w:kern w:val="0"/>
                <w:szCs w:val="21"/>
                <w:lang w:bidi="ar"/>
              </w:rPr>
              <w:t>19.4</w:t>
            </w:r>
          </w:p>
        </w:tc>
        <w:tc>
          <w:tcPr>
            <w:tcW w:w="764" w:type="pct"/>
            <w:vMerge w:val="continue"/>
            <w:vAlign w:val="center"/>
          </w:tcPr>
          <w:p w14:paraId="49CAB400">
            <w:pPr>
              <w:pStyle w:val="1343"/>
              <w:rPr>
                <w:rFonts w:eastAsia="等线"/>
                <w:color w:val="0000FF"/>
              </w:rPr>
            </w:pPr>
          </w:p>
        </w:tc>
        <w:tc>
          <w:tcPr>
            <w:tcW w:w="687" w:type="pct"/>
            <w:vMerge w:val="continue"/>
            <w:vAlign w:val="center"/>
          </w:tcPr>
          <w:p w14:paraId="6219B61C">
            <w:pPr>
              <w:pStyle w:val="1343"/>
              <w:rPr>
                <w:rFonts w:eastAsia="等线"/>
                <w:color w:val="0000FF"/>
              </w:rPr>
            </w:pPr>
          </w:p>
        </w:tc>
        <w:tc>
          <w:tcPr>
            <w:tcW w:w="472" w:type="pct"/>
            <w:vMerge w:val="continue"/>
            <w:vAlign w:val="center"/>
          </w:tcPr>
          <w:p w14:paraId="5B9A8DFB">
            <w:pPr>
              <w:pStyle w:val="1343"/>
              <w:rPr>
                <w:rFonts w:eastAsia="等线"/>
                <w:color w:val="0000FF"/>
              </w:rPr>
            </w:pPr>
          </w:p>
        </w:tc>
        <w:tc>
          <w:tcPr>
            <w:tcW w:w="566" w:type="pct"/>
            <w:vMerge w:val="continue"/>
            <w:vAlign w:val="center"/>
          </w:tcPr>
          <w:p w14:paraId="20BD572F">
            <w:pPr>
              <w:pStyle w:val="1343"/>
              <w:rPr>
                <w:rFonts w:eastAsia="等线"/>
                <w:color w:val="0000FF"/>
              </w:rPr>
            </w:pPr>
          </w:p>
        </w:tc>
      </w:tr>
      <w:tr w14:paraId="285C2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020437F2">
            <w:pPr>
              <w:pStyle w:val="1343"/>
              <w:rPr>
                <w:color w:val="0000FF"/>
              </w:rPr>
            </w:pPr>
          </w:p>
        </w:tc>
        <w:tc>
          <w:tcPr>
            <w:tcW w:w="583" w:type="pct"/>
            <w:vMerge w:val="continue"/>
            <w:vAlign w:val="center"/>
          </w:tcPr>
          <w:p w14:paraId="63AED5D7">
            <w:pPr>
              <w:pStyle w:val="1343"/>
              <w:rPr>
                <w:rFonts w:eastAsia="等线"/>
              </w:rPr>
            </w:pPr>
          </w:p>
        </w:tc>
        <w:tc>
          <w:tcPr>
            <w:tcW w:w="1119" w:type="dxa"/>
            <w:vAlign w:val="center"/>
          </w:tcPr>
          <w:p w14:paraId="553C5B2C">
            <w:pPr>
              <w:pStyle w:val="1343"/>
              <w:rPr>
                <w:rFonts w:eastAsia="等线"/>
              </w:rPr>
            </w:pPr>
            <w:r>
              <w:rPr>
                <w:rFonts w:eastAsia="等线"/>
              </w:rPr>
              <w:t>Cl</w:t>
            </w:r>
            <w:r>
              <w:rPr>
                <w:vertAlign w:val="superscript"/>
              </w:rPr>
              <w:t>－</w:t>
            </w:r>
          </w:p>
        </w:tc>
        <w:tc>
          <w:tcPr>
            <w:tcW w:w="1581" w:type="dxa"/>
            <w:vAlign w:val="center"/>
          </w:tcPr>
          <w:p w14:paraId="5F7E6879">
            <w:pPr>
              <w:widowControl/>
              <w:jc w:val="center"/>
              <w:textAlignment w:val="center"/>
              <w:rPr>
                <w:rFonts w:eastAsia="等线"/>
              </w:rPr>
            </w:pPr>
            <w:r>
              <w:rPr>
                <w:color w:val="000000"/>
                <w:kern w:val="0"/>
                <w:szCs w:val="21"/>
                <w:lang w:bidi="ar"/>
              </w:rPr>
              <w:t>10.1</w:t>
            </w:r>
          </w:p>
        </w:tc>
        <w:tc>
          <w:tcPr>
            <w:tcW w:w="764" w:type="pct"/>
            <w:vMerge w:val="continue"/>
            <w:vAlign w:val="center"/>
          </w:tcPr>
          <w:p w14:paraId="65D658E6">
            <w:pPr>
              <w:pStyle w:val="1343"/>
              <w:rPr>
                <w:rFonts w:eastAsia="等线"/>
                <w:color w:val="0000FF"/>
              </w:rPr>
            </w:pPr>
          </w:p>
        </w:tc>
        <w:tc>
          <w:tcPr>
            <w:tcW w:w="687" w:type="pct"/>
            <w:vMerge w:val="continue"/>
            <w:vAlign w:val="center"/>
          </w:tcPr>
          <w:p w14:paraId="6F36BE87">
            <w:pPr>
              <w:pStyle w:val="1343"/>
              <w:rPr>
                <w:rFonts w:eastAsia="等线"/>
                <w:color w:val="0000FF"/>
              </w:rPr>
            </w:pPr>
          </w:p>
        </w:tc>
        <w:tc>
          <w:tcPr>
            <w:tcW w:w="472" w:type="pct"/>
            <w:vMerge w:val="continue"/>
            <w:vAlign w:val="center"/>
          </w:tcPr>
          <w:p w14:paraId="0A886D16">
            <w:pPr>
              <w:pStyle w:val="1343"/>
              <w:rPr>
                <w:rFonts w:eastAsia="等线"/>
                <w:color w:val="0000FF"/>
              </w:rPr>
            </w:pPr>
          </w:p>
        </w:tc>
        <w:tc>
          <w:tcPr>
            <w:tcW w:w="566" w:type="pct"/>
            <w:vMerge w:val="continue"/>
            <w:vAlign w:val="center"/>
          </w:tcPr>
          <w:p w14:paraId="1199BFE8">
            <w:pPr>
              <w:pStyle w:val="1343"/>
              <w:rPr>
                <w:rFonts w:eastAsia="等线"/>
                <w:color w:val="0000FF"/>
              </w:rPr>
            </w:pPr>
          </w:p>
        </w:tc>
      </w:tr>
      <w:tr w14:paraId="056A0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09CB326B">
            <w:pPr>
              <w:pStyle w:val="1343"/>
              <w:rPr>
                <w:color w:val="0000FF"/>
              </w:rPr>
            </w:pPr>
          </w:p>
        </w:tc>
        <w:tc>
          <w:tcPr>
            <w:tcW w:w="583" w:type="pct"/>
            <w:vMerge w:val="continue"/>
            <w:vAlign w:val="center"/>
          </w:tcPr>
          <w:p w14:paraId="1D53F9C3">
            <w:pPr>
              <w:pStyle w:val="1343"/>
              <w:rPr>
                <w:rFonts w:eastAsia="等线"/>
              </w:rPr>
            </w:pPr>
          </w:p>
        </w:tc>
        <w:tc>
          <w:tcPr>
            <w:tcW w:w="1119" w:type="dxa"/>
            <w:vAlign w:val="center"/>
          </w:tcPr>
          <w:p w14:paraId="32EF72E9">
            <w:pPr>
              <w:pStyle w:val="1343"/>
              <w:rPr>
                <w:rFonts w:eastAsia="等线"/>
              </w:rPr>
            </w:pPr>
            <w:r>
              <w:rPr>
                <w:rFonts w:eastAsia="等线"/>
              </w:rPr>
              <w:t>SO</w:t>
            </w:r>
            <w:r>
              <w:rPr>
                <w:rFonts w:eastAsia="等线"/>
                <w:vertAlign w:val="subscript"/>
              </w:rPr>
              <w:t>4</w:t>
            </w:r>
            <w:r>
              <w:rPr>
                <w:rFonts w:eastAsia="等线"/>
                <w:vertAlign w:val="superscript"/>
              </w:rPr>
              <w:t>2</w:t>
            </w:r>
            <w:r>
              <w:rPr>
                <w:vertAlign w:val="superscript"/>
              </w:rPr>
              <w:t>－</w:t>
            </w:r>
          </w:p>
        </w:tc>
        <w:tc>
          <w:tcPr>
            <w:tcW w:w="1581" w:type="dxa"/>
            <w:vAlign w:val="center"/>
          </w:tcPr>
          <w:p w14:paraId="1CB75545">
            <w:pPr>
              <w:widowControl/>
              <w:jc w:val="center"/>
              <w:textAlignment w:val="center"/>
              <w:rPr>
                <w:rFonts w:eastAsia="等线"/>
              </w:rPr>
            </w:pPr>
            <w:r>
              <w:rPr>
                <w:color w:val="000000"/>
                <w:kern w:val="0"/>
                <w:szCs w:val="21"/>
                <w:lang w:bidi="ar"/>
              </w:rPr>
              <w:t>25</w:t>
            </w:r>
          </w:p>
        </w:tc>
        <w:tc>
          <w:tcPr>
            <w:tcW w:w="764" w:type="pct"/>
            <w:vMerge w:val="continue"/>
            <w:vAlign w:val="center"/>
          </w:tcPr>
          <w:p w14:paraId="03B9FFC1">
            <w:pPr>
              <w:pStyle w:val="1343"/>
              <w:rPr>
                <w:rFonts w:eastAsia="等线"/>
                <w:color w:val="0000FF"/>
              </w:rPr>
            </w:pPr>
          </w:p>
        </w:tc>
        <w:tc>
          <w:tcPr>
            <w:tcW w:w="687" w:type="pct"/>
            <w:vMerge w:val="continue"/>
            <w:vAlign w:val="center"/>
          </w:tcPr>
          <w:p w14:paraId="2B32ADFF">
            <w:pPr>
              <w:pStyle w:val="1343"/>
              <w:rPr>
                <w:rFonts w:eastAsia="等线"/>
                <w:color w:val="0000FF"/>
              </w:rPr>
            </w:pPr>
          </w:p>
        </w:tc>
        <w:tc>
          <w:tcPr>
            <w:tcW w:w="472" w:type="pct"/>
            <w:vMerge w:val="continue"/>
            <w:vAlign w:val="center"/>
          </w:tcPr>
          <w:p w14:paraId="12FF0661">
            <w:pPr>
              <w:pStyle w:val="1343"/>
              <w:rPr>
                <w:rFonts w:eastAsia="等线"/>
                <w:color w:val="0000FF"/>
              </w:rPr>
            </w:pPr>
          </w:p>
        </w:tc>
        <w:tc>
          <w:tcPr>
            <w:tcW w:w="566" w:type="pct"/>
            <w:vMerge w:val="continue"/>
            <w:vAlign w:val="center"/>
          </w:tcPr>
          <w:p w14:paraId="1D47600D">
            <w:pPr>
              <w:pStyle w:val="1343"/>
              <w:rPr>
                <w:rFonts w:eastAsia="等线"/>
                <w:color w:val="0000FF"/>
              </w:rPr>
            </w:pPr>
          </w:p>
        </w:tc>
      </w:tr>
      <w:tr w14:paraId="0FB4A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55CEC9B7">
            <w:pPr>
              <w:pStyle w:val="1343"/>
              <w:rPr>
                <w:color w:val="0000FF"/>
              </w:rPr>
            </w:pPr>
          </w:p>
        </w:tc>
        <w:tc>
          <w:tcPr>
            <w:tcW w:w="583" w:type="pct"/>
            <w:vMerge w:val="continue"/>
            <w:vAlign w:val="center"/>
          </w:tcPr>
          <w:p w14:paraId="56304BC1">
            <w:pPr>
              <w:pStyle w:val="1343"/>
              <w:rPr>
                <w:rFonts w:eastAsia="等线"/>
              </w:rPr>
            </w:pPr>
          </w:p>
        </w:tc>
        <w:tc>
          <w:tcPr>
            <w:tcW w:w="1119" w:type="dxa"/>
            <w:vAlign w:val="center"/>
          </w:tcPr>
          <w:p w14:paraId="316BFE86">
            <w:pPr>
              <w:pStyle w:val="1343"/>
              <w:rPr>
                <w:rFonts w:eastAsia="等线"/>
              </w:rPr>
            </w:pPr>
            <w:r>
              <w:rPr>
                <w:rFonts w:hint="eastAsia" w:eastAsia="等线"/>
              </w:rPr>
              <w:t>NO</w:t>
            </w:r>
            <w:r>
              <w:rPr>
                <w:rFonts w:hint="eastAsia" w:eastAsia="等线"/>
                <w:vertAlign w:val="subscript"/>
              </w:rPr>
              <w:t>3</w:t>
            </w:r>
            <w:r>
              <w:rPr>
                <w:rFonts w:hint="eastAsia" w:eastAsia="等线"/>
                <w:vertAlign w:val="superscript"/>
              </w:rPr>
              <w:t>-</w:t>
            </w:r>
          </w:p>
        </w:tc>
        <w:tc>
          <w:tcPr>
            <w:tcW w:w="1581" w:type="dxa"/>
            <w:vAlign w:val="center"/>
          </w:tcPr>
          <w:p w14:paraId="4626EE73">
            <w:pPr>
              <w:widowControl/>
              <w:jc w:val="center"/>
              <w:textAlignment w:val="center"/>
              <w:rPr>
                <w:rFonts w:eastAsia="等线"/>
              </w:rPr>
            </w:pPr>
            <w:r>
              <w:rPr>
                <w:rFonts w:hint="eastAsia"/>
                <w:color w:val="000000"/>
                <w:kern w:val="0"/>
                <w:szCs w:val="21"/>
                <w:lang w:bidi="ar"/>
              </w:rPr>
              <w:t>1.3</w:t>
            </w:r>
          </w:p>
        </w:tc>
        <w:tc>
          <w:tcPr>
            <w:tcW w:w="764" w:type="pct"/>
            <w:vMerge w:val="continue"/>
            <w:vAlign w:val="center"/>
          </w:tcPr>
          <w:p w14:paraId="59936012">
            <w:pPr>
              <w:pStyle w:val="1343"/>
              <w:rPr>
                <w:rFonts w:eastAsia="等线"/>
                <w:color w:val="0000FF"/>
              </w:rPr>
            </w:pPr>
          </w:p>
        </w:tc>
        <w:tc>
          <w:tcPr>
            <w:tcW w:w="687" w:type="pct"/>
            <w:vMerge w:val="continue"/>
            <w:vAlign w:val="center"/>
          </w:tcPr>
          <w:p w14:paraId="0D10ED5A">
            <w:pPr>
              <w:pStyle w:val="1343"/>
              <w:rPr>
                <w:rFonts w:eastAsia="等线"/>
                <w:color w:val="0000FF"/>
              </w:rPr>
            </w:pPr>
          </w:p>
        </w:tc>
        <w:tc>
          <w:tcPr>
            <w:tcW w:w="472" w:type="pct"/>
            <w:vMerge w:val="continue"/>
            <w:vAlign w:val="center"/>
          </w:tcPr>
          <w:p w14:paraId="275C0D2F">
            <w:pPr>
              <w:pStyle w:val="1343"/>
              <w:rPr>
                <w:rFonts w:eastAsia="等线"/>
                <w:color w:val="0000FF"/>
              </w:rPr>
            </w:pPr>
          </w:p>
        </w:tc>
        <w:tc>
          <w:tcPr>
            <w:tcW w:w="566" w:type="pct"/>
            <w:vMerge w:val="continue"/>
            <w:vAlign w:val="center"/>
          </w:tcPr>
          <w:p w14:paraId="4A1D4146">
            <w:pPr>
              <w:pStyle w:val="1343"/>
              <w:rPr>
                <w:rFonts w:eastAsia="等线"/>
                <w:color w:val="0000FF"/>
              </w:rPr>
            </w:pPr>
          </w:p>
        </w:tc>
      </w:tr>
      <w:tr w14:paraId="41143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restart"/>
            <w:vAlign w:val="center"/>
          </w:tcPr>
          <w:p w14:paraId="19D1826B">
            <w:pPr>
              <w:adjustRightInd w:val="0"/>
              <w:snapToGrid w:val="0"/>
              <w:jc w:val="center"/>
              <w:rPr>
                <w:color w:val="0000FF"/>
              </w:rPr>
            </w:pPr>
            <w:r>
              <w:rPr>
                <w:rFonts w:hint="eastAsia"/>
                <w:bCs/>
                <w:szCs w:val="21"/>
              </w:rPr>
              <w:t>里王村水井</w:t>
            </w:r>
          </w:p>
        </w:tc>
        <w:tc>
          <w:tcPr>
            <w:tcW w:w="583" w:type="pct"/>
            <w:vMerge w:val="restart"/>
            <w:vAlign w:val="center"/>
          </w:tcPr>
          <w:p w14:paraId="61E42101">
            <w:pPr>
              <w:pStyle w:val="1343"/>
              <w:rPr>
                <w:rFonts w:eastAsia="等线"/>
              </w:rPr>
            </w:pPr>
            <w:r>
              <w:rPr>
                <w:rFonts w:hint="eastAsia" w:eastAsia="等线"/>
              </w:rPr>
              <w:t>8.11</w:t>
            </w:r>
          </w:p>
        </w:tc>
        <w:tc>
          <w:tcPr>
            <w:tcW w:w="1119" w:type="dxa"/>
            <w:vAlign w:val="center"/>
          </w:tcPr>
          <w:p w14:paraId="049CBDB4">
            <w:pPr>
              <w:pStyle w:val="1343"/>
              <w:rPr>
                <w:rFonts w:eastAsia="等线"/>
              </w:rPr>
            </w:pPr>
            <w:r>
              <w:rPr>
                <w:rFonts w:eastAsia="等线"/>
              </w:rPr>
              <w:t>K</w:t>
            </w:r>
            <w:r>
              <w:rPr>
                <w:vertAlign w:val="superscript"/>
              </w:rPr>
              <w:t>＋</w:t>
            </w:r>
          </w:p>
        </w:tc>
        <w:tc>
          <w:tcPr>
            <w:tcW w:w="1581" w:type="dxa"/>
            <w:vAlign w:val="center"/>
          </w:tcPr>
          <w:p w14:paraId="17A95512">
            <w:pPr>
              <w:widowControl/>
              <w:jc w:val="center"/>
              <w:textAlignment w:val="center"/>
              <w:rPr>
                <w:rFonts w:eastAsia="等线"/>
              </w:rPr>
            </w:pPr>
            <w:r>
              <w:rPr>
                <w:color w:val="000000"/>
                <w:kern w:val="0"/>
                <w:szCs w:val="21"/>
                <w:lang w:bidi="ar"/>
              </w:rPr>
              <w:t>0.82</w:t>
            </w:r>
          </w:p>
        </w:tc>
        <w:tc>
          <w:tcPr>
            <w:tcW w:w="764" w:type="pct"/>
            <w:vMerge w:val="restart"/>
            <w:shd w:val="clear" w:color="auto" w:fill="auto"/>
            <w:vAlign w:val="center"/>
          </w:tcPr>
          <w:p w14:paraId="597C75E7">
            <w:pPr>
              <w:pStyle w:val="1343"/>
              <w:rPr>
                <w:rFonts w:eastAsia="等线"/>
                <w:sz w:val="22"/>
                <w:szCs w:val="22"/>
              </w:rPr>
            </w:pPr>
            <w:r>
              <w:rPr>
                <w:rFonts w:hint="eastAsia" w:eastAsia="等线"/>
                <w:sz w:val="22"/>
                <w:szCs w:val="22"/>
              </w:rPr>
              <w:t>1.105</w:t>
            </w:r>
          </w:p>
        </w:tc>
        <w:tc>
          <w:tcPr>
            <w:tcW w:w="687" w:type="pct"/>
            <w:vMerge w:val="restart"/>
            <w:shd w:val="clear" w:color="auto" w:fill="auto"/>
            <w:vAlign w:val="center"/>
          </w:tcPr>
          <w:p w14:paraId="30CDE52F">
            <w:pPr>
              <w:pStyle w:val="1343"/>
              <w:rPr>
                <w:rFonts w:eastAsia="等线"/>
                <w:sz w:val="22"/>
                <w:szCs w:val="22"/>
              </w:rPr>
            </w:pPr>
            <w:r>
              <w:rPr>
                <w:rFonts w:hint="eastAsia" w:eastAsia="等线"/>
                <w:sz w:val="22"/>
                <w:szCs w:val="22"/>
              </w:rPr>
              <w:t>0.947</w:t>
            </w:r>
          </w:p>
        </w:tc>
        <w:tc>
          <w:tcPr>
            <w:tcW w:w="472" w:type="pct"/>
            <w:vMerge w:val="restart"/>
            <w:shd w:val="clear" w:color="auto" w:fill="auto"/>
            <w:vAlign w:val="center"/>
          </w:tcPr>
          <w:p w14:paraId="7BA7F835">
            <w:pPr>
              <w:pStyle w:val="1343"/>
              <w:rPr>
                <w:rFonts w:eastAsia="等线"/>
                <w:sz w:val="22"/>
                <w:szCs w:val="22"/>
              </w:rPr>
            </w:pPr>
            <w:r>
              <w:rPr>
                <w:rFonts w:hint="eastAsia" w:eastAsia="等线"/>
                <w:sz w:val="22"/>
                <w:szCs w:val="22"/>
              </w:rPr>
              <w:t>7.71</w:t>
            </w:r>
          </w:p>
        </w:tc>
        <w:tc>
          <w:tcPr>
            <w:tcW w:w="566" w:type="pct"/>
            <w:vMerge w:val="restart"/>
            <w:shd w:val="clear" w:color="auto" w:fill="auto"/>
            <w:vAlign w:val="center"/>
          </w:tcPr>
          <w:p w14:paraId="1DD59FFF">
            <w:pPr>
              <w:pStyle w:val="1343"/>
              <w:rPr>
                <w:rFonts w:eastAsia="等线"/>
                <w:sz w:val="22"/>
                <w:szCs w:val="22"/>
              </w:rPr>
            </w:pPr>
            <w:r>
              <w:rPr>
                <w:rFonts w:hint="eastAsia" w:eastAsia="等线"/>
                <w:sz w:val="22"/>
                <w:szCs w:val="22"/>
              </w:rPr>
              <w:t>0.061</w:t>
            </w:r>
          </w:p>
        </w:tc>
      </w:tr>
      <w:tr w14:paraId="51C20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6BB5F974">
            <w:pPr>
              <w:pStyle w:val="1343"/>
              <w:rPr>
                <w:color w:val="0000FF"/>
              </w:rPr>
            </w:pPr>
          </w:p>
        </w:tc>
        <w:tc>
          <w:tcPr>
            <w:tcW w:w="583" w:type="pct"/>
            <w:vMerge w:val="continue"/>
            <w:vAlign w:val="center"/>
          </w:tcPr>
          <w:p w14:paraId="28C83D20">
            <w:pPr>
              <w:pStyle w:val="1343"/>
              <w:rPr>
                <w:rFonts w:eastAsia="等线"/>
                <w:color w:val="0000FF"/>
              </w:rPr>
            </w:pPr>
          </w:p>
        </w:tc>
        <w:tc>
          <w:tcPr>
            <w:tcW w:w="1119" w:type="dxa"/>
            <w:vAlign w:val="center"/>
          </w:tcPr>
          <w:p w14:paraId="361A5545">
            <w:pPr>
              <w:pStyle w:val="1343"/>
              <w:rPr>
                <w:rFonts w:eastAsia="等线"/>
              </w:rPr>
            </w:pPr>
            <w:r>
              <w:rPr>
                <w:rFonts w:eastAsia="等线"/>
              </w:rPr>
              <w:t>Na</w:t>
            </w:r>
            <w:r>
              <w:rPr>
                <w:vertAlign w:val="superscript"/>
              </w:rPr>
              <w:t>＋</w:t>
            </w:r>
          </w:p>
        </w:tc>
        <w:tc>
          <w:tcPr>
            <w:tcW w:w="1581" w:type="dxa"/>
            <w:vAlign w:val="center"/>
          </w:tcPr>
          <w:p w14:paraId="137CA03B">
            <w:pPr>
              <w:widowControl/>
              <w:jc w:val="center"/>
              <w:textAlignment w:val="center"/>
              <w:rPr>
                <w:rFonts w:eastAsia="等线"/>
              </w:rPr>
            </w:pPr>
            <w:r>
              <w:rPr>
                <w:color w:val="000000"/>
                <w:kern w:val="0"/>
                <w:szCs w:val="21"/>
                <w:lang w:bidi="ar"/>
              </w:rPr>
              <w:t>7.85</w:t>
            </w:r>
          </w:p>
        </w:tc>
        <w:tc>
          <w:tcPr>
            <w:tcW w:w="764" w:type="pct"/>
            <w:vMerge w:val="continue"/>
            <w:shd w:val="clear" w:color="auto" w:fill="auto"/>
            <w:vAlign w:val="center"/>
          </w:tcPr>
          <w:p w14:paraId="22920646">
            <w:pPr>
              <w:pStyle w:val="1343"/>
              <w:rPr>
                <w:rFonts w:eastAsia="等线"/>
                <w:color w:val="0000FF"/>
              </w:rPr>
            </w:pPr>
          </w:p>
        </w:tc>
        <w:tc>
          <w:tcPr>
            <w:tcW w:w="687" w:type="pct"/>
            <w:vMerge w:val="continue"/>
            <w:shd w:val="clear" w:color="auto" w:fill="auto"/>
            <w:vAlign w:val="center"/>
          </w:tcPr>
          <w:p w14:paraId="29BE086A">
            <w:pPr>
              <w:pStyle w:val="1343"/>
              <w:rPr>
                <w:rFonts w:eastAsia="等线"/>
                <w:color w:val="0000FF"/>
              </w:rPr>
            </w:pPr>
          </w:p>
        </w:tc>
        <w:tc>
          <w:tcPr>
            <w:tcW w:w="472" w:type="pct"/>
            <w:vMerge w:val="continue"/>
            <w:shd w:val="clear" w:color="auto" w:fill="auto"/>
            <w:vAlign w:val="center"/>
          </w:tcPr>
          <w:p w14:paraId="6D15E544">
            <w:pPr>
              <w:pStyle w:val="1343"/>
              <w:rPr>
                <w:rFonts w:eastAsia="等线"/>
                <w:color w:val="0000FF"/>
              </w:rPr>
            </w:pPr>
          </w:p>
        </w:tc>
        <w:tc>
          <w:tcPr>
            <w:tcW w:w="566" w:type="pct"/>
            <w:vMerge w:val="continue"/>
            <w:shd w:val="clear" w:color="auto" w:fill="auto"/>
            <w:vAlign w:val="center"/>
          </w:tcPr>
          <w:p w14:paraId="17E0BE98">
            <w:pPr>
              <w:pStyle w:val="1343"/>
              <w:rPr>
                <w:rFonts w:eastAsia="等线"/>
                <w:color w:val="0000FF"/>
              </w:rPr>
            </w:pPr>
          </w:p>
        </w:tc>
      </w:tr>
      <w:tr w14:paraId="3D672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042319F2">
            <w:pPr>
              <w:pStyle w:val="1343"/>
              <w:rPr>
                <w:color w:val="0000FF"/>
              </w:rPr>
            </w:pPr>
          </w:p>
        </w:tc>
        <w:tc>
          <w:tcPr>
            <w:tcW w:w="583" w:type="pct"/>
            <w:vMerge w:val="continue"/>
            <w:vAlign w:val="center"/>
          </w:tcPr>
          <w:p w14:paraId="5703E98E">
            <w:pPr>
              <w:pStyle w:val="1343"/>
              <w:rPr>
                <w:rFonts w:eastAsia="等线"/>
                <w:color w:val="0000FF"/>
              </w:rPr>
            </w:pPr>
          </w:p>
        </w:tc>
        <w:tc>
          <w:tcPr>
            <w:tcW w:w="1119" w:type="dxa"/>
            <w:vAlign w:val="center"/>
          </w:tcPr>
          <w:p w14:paraId="1B14DDF7">
            <w:pPr>
              <w:pStyle w:val="1343"/>
              <w:rPr>
                <w:rFonts w:eastAsia="等线"/>
              </w:rPr>
            </w:pPr>
            <w:r>
              <w:rPr>
                <w:rFonts w:eastAsia="等线"/>
              </w:rPr>
              <w:t>Ca</w:t>
            </w:r>
            <w:r>
              <w:rPr>
                <w:rFonts w:eastAsia="等线"/>
                <w:vertAlign w:val="superscript"/>
              </w:rPr>
              <w:t>2</w:t>
            </w:r>
            <w:r>
              <w:rPr>
                <w:vertAlign w:val="superscript"/>
              </w:rPr>
              <w:t>＋</w:t>
            </w:r>
          </w:p>
        </w:tc>
        <w:tc>
          <w:tcPr>
            <w:tcW w:w="1581" w:type="dxa"/>
            <w:vAlign w:val="center"/>
          </w:tcPr>
          <w:p w14:paraId="4AD5F2D4">
            <w:pPr>
              <w:widowControl/>
              <w:jc w:val="center"/>
              <w:textAlignment w:val="center"/>
              <w:rPr>
                <w:rFonts w:eastAsia="等线"/>
              </w:rPr>
            </w:pPr>
            <w:r>
              <w:rPr>
                <w:color w:val="000000"/>
                <w:kern w:val="0"/>
                <w:szCs w:val="21"/>
                <w:lang w:bidi="ar"/>
              </w:rPr>
              <w:t>9.59</w:t>
            </w:r>
          </w:p>
        </w:tc>
        <w:tc>
          <w:tcPr>
            <w:tcW w:w="764" w:type="pct"/>
            <w:vMerge w:val="continue"/>
            <w:shd w:val="clear" w:color="auto" w:fill="auto"/>
            <w:vAlign w:val="center"/>
          </w:tcPr>
          <w:p w14:paraId="2AFA4961">
            <w:pPr>
              <w:pStyle w:val="1343"/>
              <w:rPr>
                <w:rFonts w:eastAsia="等线"/>
                <w:color w:val="0000FF"/>
              </w:rPr>
            </w:pPr>
          </w:p>
        </w:tc>
        <w:tc>
          <w:tcPr>
            <w:tcW w:w="687" w:type="pct"/>
            <w:vMerge w:val="continue"/>
            <w:shd w:val="clear" w:color="auto" w:fill="auto"/>
            <w:vAlign w:val="center"/>
          </w:tcPr>
          <w:p w14:paraId="3C4D9B12">
            <w:pPr>
              <w:pStyle w:val="1343"/>
              <w:rPr>
                <w:rFonts w:eastAsia="等线"/>
                <w:color w:val="0000FF"/>
              </w:rPr>
            </w:pPr>
          </w:p>
        </w:tc>
        <w:tc>
          <w:tcPr>
            <w:tcW w:w="472" w:type="pct"/>
            <w:vMerge w:val="continue"/>
            <w:shd w:val="clear" w:color="auto" w:fill="auto"/>
            <w:vAlign w:val="center"/>
          </w:tcPr>
          <w:p w14:paraId="0EDB5E24">
            <w:pPr>
              <w:pStyle w:val="1343"/>
              <w:rPr>
                <w:rFonts w:eastAsia="等线"/>
                <w:color w:val="0000FF"/>
              </w:rPr>
            </w:pPr>
          </w:p>
        </w:tc>
        <w:tc>
          <w:tcPr>
            <w:tcW w:w="566" w:type="pct"/>
            <w:vMerge w:val="continue"/>
            <w:shd w:val="clear" w:color="auto" w:fill="auto"/>
            <w:vAlign w:val="center"/>
          </w:tcPr>
          <w:p w14:paraId="146604C5">
            <w:pPr>
              <w:pStyle w:val="1343"/>
              <w:rPr>
                <w:rFonts w:eastAsia="等线"/>
                <w:color w:val="0000FF"/>
              </w:rPr>
            </w:pPr>
          </w:p>
        </w:tc>
      </w:tr>
      <w:tr w14:paraId="5A57B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34AA6A74">
            <w:pPr>
              <w:pStyle w:val="1343"/>
              <w:rPr>
                <w:color w:val="0000FF"/>
              </w:rPr>
            </w:pPr>
          </w:p>
        </w:tc>
        <w:tc>
          <w:tcPr>
            <w:tcW w:w="583" w:type="pct"/>
            <w:vMerge w:val="continue"/>
            <w:vAlign w:val="center"/>
          </w:tcPr>
          <w:p w14:paraId="2BE101A3">
            <w:pPr>
              <w:pStyle w:val="1343"/>
              <w:rPr>
                <w:rFonts w:eastAsia="等线"/>
                <w:color w:val="0000FF"/>
              </w:rPr>
            </w:pPr>
          </w:p>
        </w:tc>
        <w:tc>
          <w:tcPr>
            <w:tcW w:w="1119" w:type="dxa"/>
            <w:vAlign w:val="center"/>
          </w:tcPr>
          <w:p w14:paraId="7AB07FEA">
            <w:pPr>
              <w:pStyle w:val="1343"/>
              <w:rPr>
                <w:rFonts w:eastAsia="等线"/>
              </w:rPr>
            </w:pPr>
            <w:r>
              <w:rPr>
                <w:rFonts w:eastAsia="等线"/>
              </w:rPr>
              <w:t>Mg</w:t>
            </w:r>
            <w:r>
              <w:rPr>
                <w:rFonts w:eastAsia="等线"/>
                <w:vertAlign w:val="superscript"/>
              </w:rPr>
              <w:t>2</w:t>
            </w:r>
            <w:r>
              <w:rPr>
                <w:vertAlign w:val="superscript"/>
              </w:rPr>
              <w:t>＋</w:t>
            </w:r>
          </w:p>
        </w:tc>
        <w:tc>
          <w:tcPr>
            <w:tcW w:w="1581" w:type="dxa"/>
            <w:vAlign w:val="center"/>
          </w:tcPr>
          <w:p w14:paraId="5A41FAEE">
            <w:pPr>
              <w:widowControl/>
              <w:jc w:val="center"/>
              <w:textAlignment w:val="center"/>
              <w:rPr>
                <w:rFonts w:eastAsia="等线"/>
              </w:rPr>
            </w:pPr>
            <w:r>
              <w:rPr>
                <w:color w:val="000000"/>
                <w:kern w:val="0"/>
                <w:szCs w:val="21"/>
                <w:lang w:bidi="ar"/>
              </w:rPr>
              <w:t>3.16</w:t>
            </w:r>
          </w:p>
        </w:tc>
        <w:tc>
          <w:tcPr>
            <w:tcW w:w="764" w:type="pct"/>
            <w:vMerge w:val="continue"/>
            <w:shd w:val="clear" w:color="auto" w:fill="auto"/>
            <w:vAlign w:val="center"/>
          </w:tcPr>
          <w:p w14:paraId="519E6559">
            <w:pPr>
              <w:pStyle w:val="1343"/>
              <w:rPr>
                <w:rFonts w:eastAsia="等线"/>
                <w:color w:val="0000FF"/>
              </w:rPr>
            </w:pPr>
          </w:p>
        </w:tc>
        <w:tc>
          <w:tcPr>
            <w:tcW w:w="687" w:type="pct"/>
            <w:vMerge w:val="continue"/>
            <w:shd w:val="clear" w:color="auto" w:fill="auto"/>
            <w:vAlign w:val="center"/>
          </w:tcPr>
          <w:p w14:paraId="04F67DD2">
            <w:pPr>
              <w:pStyle w:val="1343"/>
              <w:rPr>
                <w:rFonts w:eastAsia="等线"/>
                <w:color w:val="0000FF"/>
              </w:rPr>
            </w:pPr>
          </w:p>
        </w:tc>
        <w:tc>
          <w:tcPr>
            <w:tcW w:w="472" w:type="pct"/>
            <w:vMerge w:val="continue"/>
            <w:shd w:val="clear" w:color="auto" w:fill="auto"/>
            <w:vAlign w:val="center"/>
          </w:tcPr>
          <w:p w14:paraId="2FDF2C8A">
            <w:pPr>
              <w:pStyle w:val="1343"/>
              <w:rPr>
                <w:rFonts w:eastAsia="等线"/>
                <w:color w:val="0000FF"/>
              </w:rPr>
            </w:pPr>
          </w:p>
        </w:tc>
        <w:tc>
          <w:tcPr>
            <w:tcW w:w="566" w:type="pct"/>
            <w:vMerge w:val="continue"/>
            <w:shd w:val="clear" w:color="auto" w:fill="auto"/>
            <w:vAlign w:val="center"/>
          </w:tcPr>
          <w:p w14:paraId="5C211C26">
            <w:pPr>
              <w:pStyle w:val="1343"/>
              <w:rPr>
                <w:rFonts w:eastAsia="等线"/>
                <w:color w:val="0000FF"/>
              </w:rPr>
            </w:pPr>
          </w:p>
        </w:tc>
      </w:tr>
      <w:tr w14:paraId="6A90F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0472C36B">
            <w:pPr>
              <w:pStyle w:val="1343"/>
              <w:rPr>
                <w:color w:val="0000FF"/>
              </w:rPr>
            </w:pPr>
          </w:p>
        </w:tc>
        <w:tc>
          <w:tcPr>
            <w:tcW w:w="583" w:type="pct"/>
            <w:vMerge w:val="continue"/>
            <w:vAlign w:val="center"/>
          </w:tcPr>
          <w:p w14:paraId="5764025F">
            <w:pPr>
              <w:pStyle w:val="1343"/>
              <w:rPr>
                <w:rFonts w:eastAsia="等线"/>
                <w:color w:val="0000FF"/>
              </w:rPr>
            </w:pPr>
          </w:p>
        </w:tc>
        <w:tc>
          <w:tcPr>
            <w:tcW w:w="1119" w:type="dxa"/>
            <w:vAlign w:val="center"/>
          </w:tcPr>
          <w:p w14:paraId="43CA39D3">
            <w:pPr>
              <w:pStyle w:val="1343"/>
              <w:rPr>
                <w:rFonts w:eastAsia="等线"/>
              </w:rPr>
            </w:pPr>
            <w:r>
              <w:rPr>
                <w:rFonts w:eastAsia="等线"/>
              </w:rPr>
              <w:t>CO</w:t>
            </w:r>
            <w:r>
              <w:rPr>
                <w:rFonts w:eastAsia="等线"/>
                <w:vertAlign w:val="subscript"/>
              </w:rPr>
              <w:t>3</w:t>
            </w:r>
            <w:r>
              <w:rPr>
                <w:rFonts w:eastAsia="等线"/>
                <w:vertAlign w:val="superscript"/>
              </w:rPr>
              <w:t>2-</w:t>
            </w:r>
          </w:p>
        </w:tc>
        <w:tc>
          <w:tcPr>
            <w:tcW w:w="1581" w:type="dxa"/>
            <w:vAlign w:val="center"/>
          </w:tcPr>
          <w:p w14:paraId="50D13E56">
            <w:pPr>
              <w:widowControl/>
              <w:jc w:val="center"/>
              <w:textAlignment w:val="center"/>
            </w:pPr>
            <w:r>
              <w:rPr>
                <w:color w:val="000000"/>
                <w:kern w:val="0"/>
                <w:szCs w:val="21"/>
                <w:lang w:bidi="ar"/>
              </w:rPr>
              <w:t>0</w:t>
            </w:r>
          </w:p>
        </w:tc>
        <w:tc>
          <w:tcPr>
            <w:tcW w:w="764" w:type="pct"/>
            <w:vMerge w:val="continue"/>
            <w:shd w:val="clear" w:color="auto" w:fill="auto"/>
            <w:vAlign w:val="center"/>
          </w:tcPr>
          <w:p w14:paraId="2E9447EC">
            <w:pPr>
              <w:pStyle w:val="1343"/>
              <w:rPr>
                <w:rFonts w:eastAsia="等线"/>
                <w:color w:val="0000FF"/>
              </w:rPr>
            </w:pPr>
          </w:p>
        </w:tc>
        <w:tc>
          <w:tcPr>
            <w:tcW w:w="687" w:type="pct"/>
            <w:vMerge w:val="continue"/>
            <w:shd w:val="clear" w:color="auto" w:fill="auto"/>
            <w:vAlign w:val="center"/>
          </w:tcPr>
          <w:p w14:paraId="3B654F13">
            <w:pPr>
              <w:pStyle w:val="1343"/>
              <w:rPr>
                <w:rFonts w:eastAsia="等线"/>
                <w:color w:val="0000FF"/>
              </w:rPr>
            </w:pPr>
          </w:p>
        </w:tc>
        <w:tc>
          <w:tcPr>
            <w:tcW w:w="472" w:type="pct"/>
            <w:vMerge w:val="continue"/>
            <w:shd w:val="clear" w:color="auto" w:fill="auto"/>
            <w:vAlign w:val="center"/>
          </w:tcPr>
          <w:p w14:paraId="6576E9A4">
            <w:pPr>
              <w:pStyle w:val="1343"/>
              <w:rPr>
                <w:rFonts w:eastAsia="等线"/>
                <w:color w:val="0000FF"/>
              </w:rPr>
            </w:pPr>
          </w:p>
        </w:tc>
        <w:tc>
          <w:tcPr>
            <w:tcW w:w="566" w:type="pct"/>
            <w:vMerge w:val="continue"/>
            <w:shd w:val="clear" w:color="auto" w:fill="auto"/>
            <w:vAlign w:val="center"/>
          </w:tcPr>
          <w:p w14:paraId="42DA654C">
            <w:pPr>
              <w:pStyle w:val="1343"/>
              <w:rPr>
                <w:rFonts w:eastAsia="等线"/>
                <w:color w:val="0000FF"/>
              </w:rPr>
            </w:pPr>
          </w:p>
        </w:tc>
      </w:tr>
      <w:tr w14:paraId="58CF7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757E9E41">
            <w:pPr>
              <w:pStyle w:val="1343"/>
              <w:rPr>
                <w:color w:val="0000FF"/>
              </w:rPr>
            </w:pPr>
          </w:p>
        </w:tc>
        <w:tc>
          <w:tcPr>
            <w:tcW w:w="583" w:type="pct"/>
            <w:vMerge w:val="continue"/>
            <w:vAlign w:val="center"/>
          </w:tcPr>
          <w:p w14:paraId="33839D60">
            <w:pPr>
              <w:pStyle w:val="1343"/>
              <w:rPr>
                <w:rFonts w:eastAsia="等线"/>
                <w:color w:val="0000FF"/>
              </w:rPr>
            </w:pPr>
          </w:p>
        </w:tc>
        <w:tc>
          <w:tcPr>
            <w:tcW w:w="1119" w:type="dxa"/>
            <w:vAlign w:val="center"/>
          </w:tcPr>
          <w:p w14:paraId="6B51D702">
            <w:pPr>
              <w:pStyle w:val="1343"/>
              <w:rPr>
                <w:rFonts w:eastAsia="等线"/>
              </w:rPr>
            </w:pPr>
            <w:r>
              <w:rPr>
                <w:rFonts w:eastAsia="等线"/>
              </w:rPr>
              <w:t>HCO</w:t>
            </w:r>
            <w:r>
              <w:rPr>
                <w:rFonts w:eastAsia="等线"/>
                <w:vertAlign w:val="subscript"/>
              </w:rPr>
              <w:t>3</w:t>
            </w:r>
            <w:r>
              <w:rPr>
                <w:rFonts w:eastAsia="等线"/>
                <w:vertAlign w:val="superscript"/>
              </w:rPr>
              <w:t>-</w:t>
            </w:r>
          </w:p>
        </w:tc>
        <w:tc>
          <w:tcPr>
            <w:tcW w:w="1581" w:type="dxa"/>
            <w:vAlign w:val="center"/>
          </w:tcPr>
          <w:p w14:paraId="3332C42B">
            <w:pPr>
              <w:widowControl/>
              <w:jc w:val="center"/>
              <w:textAlignment w:val="center"/>
              <w:rPr>
                <w:rFonts w:eastAsia="等线"/>
              </w:rPr>
            </w:pPr>
            <w:r>
              <w:rPr>
                <w:color w:val="000000"/>
                <w:kern w:val="0"/>
                <w:szCs w:val="21"/>
                <w:lang w:bidi="ar"/>
              </w:rPr>
              <w:t>18.2</w:t>
            </w:r>
          </w:p>
        </w:tc>
        <w:tc>
          <w:tcPr>
            <w:tcW w:w="764" w:type="pct"/>
            <w:vMerge w:val="continue"/>
            <w:shd w:val="clear" w:color="auto" w:fill="auto"/>
            <w:vAlign w:val="center"/>
          </w:tcPr>
          <w:p w14:paraId="2858403D">
            <w:pPr>
              <w:pStyle w:val="1343"/>
              <w:rPr>
                <w:rFonts w:eastAsia="等线"/>
                <w:color w:val="0000FF"/>
              </w:rPr>
            </w:pPr>
          </w:p>
        </w:tc>
        <w:tc>
          <w:tcPr>
            <w:tcW w:w="687" w:type="pct"/>
            <w:vMerge w:val="continue"/>
            <w:shd w:val="clear" w:color="auto" w:fill="auto"/>
            <w:vAlign w:val="center"/>
          </w:tcPr>
          <w:p w14:paraId="04C92E13">
            <w:pPr>
              <w:pStyle w:val="1343"/>
              <w:rPr>
                <w:rFonts w:eastAsia="等线"/>
                <w:color w:val="0000FF"/>
              </w:rPr>
            </w:pPr>
          </w:p>
        </w:tc>
        <w:tc>
          <w:tcPr>
            <w:tcW w:w="472" w:type="pct"/>
            <w:vMerge w:val="continue"/>
            <w:shd w:val="clear" w:color="auto" w:fill="auto"/>
            <w:vAlign w:val="center"/>
          </w:tcPr>
          <w:p w14:paraId="21F65229">
            <w:pPr>
              <w:pStyle w:val="1343"/>
              <w:rPr>
                <w:rFonts w:eastAsia="等线"/>
                <w:color w:val="0000FF"/>
              </w:rPr>
            </w:pPr>
          </w:p>
        </w:tc>
        <w:tc>
          <w:tcPr>
            <w:tcW w:w="566" w:type="pct"/>
            <w:vMerge w:val="continue"/>
            <w:shd w:val="clear" w:color="auto" w:fill="auto"/>
            <w:vAlign w:val="center"/>
          </w:tcPr>
          <w:p w14:paraId="152FA7D4">
            <w:pPr>
              <w:pStyle w:val="1343"/>
              <w:rPr>
                <w:rFonts w:eastAsia="等线"/>
                <w:color w:val="0000FF"/>
              </w:rPr>
            </w:pPr>
          </w:p>
        </w:tc>
      </w:tr>
      <w:tr w14:paraId="02028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463DCF5E">
            <w:pPr>
              <w:pStyle w:val="1343"/>
              <w:rPr>
                <w:color w:val="0000FF"/>
              </w:rPr>
            </w:pPr>
          </w:p>
        </w:tc>
        <w:tc>
          <w:tcPr>
            <w:tcW w:w="583" w:type="pct"/>
            <w:vMerge w:val="continue"/>
            <w:vAlign w:val="center"/>
          </w:tcPr>
          <w:p w14:paraId="54258CB2">
            <w:pPr>
              <w:pStyle w:val="1343"/>
              <w:rPr>
                <w:rFonts w:eastAsia="等线"/>
                <w:color w:val="0000FF"/>
              </w:rPr>
            </w:pPr>
          </w:p>
        </w:tc>
        <w:tc>
          <w:tcPr>
            <w:tcW w:w="1119" w:type="dxa"/>
            <w:vAlign w:val="center"/>
          </w:tcPr>
          <w:p w14:paraId="0E4D9F2F">
            <w:pPr>
              <w:pStyle w:val="1343"/>
              <w:rPr>
                <w:rFonts w:eastAsia="等线"/>
              </w:rPr>
            </w:pPr>
            <w:r>
              <w:rPr>
                <w:rFonts w:eastAsia="等线"/>
              </w:rPr>
              <w:t>Cl</w:t>
            </w:r>
            <w:r>
              <w:rPr>
                <w:vertAlign w:val="superscript"/>
              </w:rPr>
              <w:t>－</w:t>
            </w:r>
          </w:p>
        </w:tc>
        <w:tc>
          <w:tcPr>
            <w:tcW w:w="1581" w:type="dxa"/>
            <w:vAlign w:val="center"/>
          </w:tcPr>
          <w:p w14:paraId="089F8284">
            <w:pPr>
              <w:widowControl/>
              <w:jc w:val="center"/>
              <w:textAlignment w:val="center"/>
              <w:rPr>
                <w:rFonts w:eastAsia="等线"/>
              </w:rPr>
            </w:pPr>
            <w:r>
              <w:rPr>
                <w:color w:val="000000"/>
                <w:kern w:val="0"/>
                <w:szCs w:val="21"/>
                <w:lang w:bidi="ar"/>
              </w:rPr>
              <w:t>2.2</w:t>
            </w:r>
          </w:p>
        </w:tc>
        <w:tc>
          <w:tcPr>
            <w:tcW w:w="764" w:type="pct"/>
            <w:vMerge w:val="continue"/>
            <w:shd w:val="clear" w:color="auto" w:fill="auto"/>
            <w:vAlign w:val="center"/>
          </w:tcPr>
          <w:p w14:paraId="668D9434">
            <w:pPr>
              <w:pStyle w:val="1343"/>
              <w:rPr>
                <w:rFonts w:eastAsia="等线"/>
                <w:color w:val="0000FF"/>
              </w:rPr>
            </w:pPr>
          </w:p>
        </w:tc>
        <w:tc>
          <w:tcPr>
            <w:tcW w:w="687" w:type="pct"/>
            <w:vMerge w:val="continue"/>
            <w:shd w:val="clear" w:color="auto" w:fill="auto"/>
            <w:vAlign w:val="center"/>
          </w:tcPr>
          <w:p w14:paraId="4DF18A56">
            <w:pPr>
              <w:pStyle w:val="1343"/>
              <w:rPr>
                <w:rFonts w:eastAsia="等线"/>
                <w:color w:val="0000FF"/>
              </w:rPr>
            </w:pPr>
          </w:p>
        </w:tc>
        <w:tc>
          <w:tcPr>
            <w:tcW w:w="472" w:type="pct"/>
            <w:vMerge w:val="continue"/>
            <w:shd w:val="clear" w:color="auto" w:fill="auto"/>
            <w:vAlign w:val="center"/>
          </w:tcPr>
          <w:p w14:paraId="77B97B53">
            <w:pPr>
              <w:pStyle w:val="1343"/>
              <w:rPr>
                <w:rFonts w:eastAsia="等线"/>
                <w:color w:val="0000FF"/>
              </w:rPr>
            </w:pPr>
          </w:p>
        </w:tc>
        <w:tc>
          <w:tcPr>
            <w:tcW w:w="566" w:type="pct"/>
            <w:vMerge w:val="continue"/>
            <w:shd w:val="clear" w:color="auto" w:fill="auto"/>
            <w:vAlign w:val="center"/>
          </w:tcPr>
          <w:p w14:paraId="4CEFF9C4">
            <w:pPr>
              <w:pStyle w:val="1343"/>
              <w:rPr>
                <w:rFonts w:eastAsia="等线"/>
                <w:color w:val="0000FF"/>
              </w:rPr>
            </w:pPr>
          </w:p>
        </w:tc>
      </w:tr>
      <w:tr w14:paraId="78024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5FEAB267">
            <w:pPr>
              <w:pStyle w:val="1343"/>
              <w:rPr>
                <w:color w:val="0000FF"/>
              </w:rPr>
            </w:pPr>
          </w:p>
        </w:tc>
        <w:tc>
          <w:tcPr>
            <w:tcW w:w="583" w:type="pct"/>
            <w:vMerge w:val="continue"/>
            <w:vAlign w:val="center"/>
          </w:tcPr>
          <w:p w14:paraId="7D839752">
            <w:pPr>
              <w:pStyle w:val="1343"/>
              <w:rPr>
                <w:rFonts w:eastAsia="等线"/>
                <w:color w:val="0000FF"/>
              </w:rPr>
            </w:pPr>
          </w:p>
        </w:tc>
        <w:tc>
          <w:tcPr>
            <w:tcW w:w="1119" w:type="dxa"/>
            <w:vAlign w:val="center"/>
          </w:tcPr>
          <w:p w14:paraId="1E58378A">
            <w:pPr>
              <w:pStyle w:val="1343"/>
              <w:rPr>
                <w:rFonts w:eastAsia="等线"/>
              </w:rPr>
            </w:pPr>
            <w:r>
              <w:rPr>
                <w:rFonts w:eastAsia="等线"/>
              </w:rPr>
              <w:t>SO</w:t>
            </w:r>
            <w:r>
              <w:rPr>
                <w:rFonts w:eastAsia="等线"/>
                <w:vertAlign w:val="subscript"/>
              </w:rPr>
              <w:t>4</w:t>
            </w:r>
            <w:r>
              <w:rPr>
                <w:rFonts w:eastAsia="等线"/>
                <w:vertAlign w:val="superscript"/>
              </w:rPr>
              <w:t>2</w:t>
            </w:r>
            <w:r>
              <w:rPr>
                <w:vertAlign w:val="superscript"/>
              </w:rPr>
              <w:t>－</w:t>
            </w:r>
          </w:p>
        </w:tc>
        <w:tc>
          <w:tcPr>
            <w:tcW w:w="1581" w:type="dxa"/>
            <w:vAlign w:val="center"/>
          </w:tcPr>
          <w:p w14:paraId="24C54A2E">
            <w:pPr>
              <w:widowControl/>
              <w:jc w:val="center"/>
              <w:textAlignment w:val="center"/>
              <w:rPr>
                <w:rFonts w:eastAsia="等线"/>
              </w:rPr>
            </w:pPr>
            <w:r>
              <w:rPr>
                <w:color w:val="000000"/>
                <w:kern w:val="0"/>
                <w:szCs w:val="21"/>
                <w:lang w:bidi="ar"/>
              </w:rPr>
              <w:t>27</w:t>
            </w:r>
          </w:p>
        </w:tc>
        <w:tc>
          <w:tcPr>
            <w:tcW w:w="764" w:type="pct"/>
            <w:vMerge w:val="continue"/>
            <w:shd w:val="clear" w:color="auto" w:fill="auto"/>
            <w:vAlign w:val="center"/>
          </w:tcPr>
          <w:p w14:paraId="11A7BEBF">
            <w:pPr>
              <w:pStyle w:val="1343"/>
              <w:rPr>
                <w:rFonts w:eastAsia="等线"/>
                <w:color w:val="0000FF"/>
              </w:rPr>
            </w:pPr>
          </w:p>
        </w:tc>
        <w:tc>
          <w:tcPr>
            <w:tcW w:w="687" w:type="pct"/>
            <w:vMerge w:val="continue"/>
            <w:shd w:val="clear" w:color="auto" w:fill="auto"/>
            <w:vAlign w:val="center"/>
          </w:tcPr>
          <w:p w14:paraId="730F6C91">
            <w:pPr>
              <w:pStyle w:val="1343"/>
              <w:rPr>
                <w:rFonts w:eastAsia="等线"/>
                <w:color w:val="0000FF"/>
              </w:rPr>
            </w:pPr>
          </w:p>
        </w:tc>
        <w:tc>
          <w:tcPr>
            <w:tcW w:w="472" w:type="pct"/>
            <w:vMerge w:val="continue"/>
            <w:shd w:val="clear" w:color="auto" w:fill="auto"/>
            <w:vAlign w:val="center"/>
          </w:tcPr>
          <w:p w14:paraId="09C13FAE">
            <w:pPr>
              <w:pStyle w:val="1343"/>
              <w:rPr>
                <w:rFonts w:eastAsia="等线"/>
                <w:color w:val="0000FF"/>
              </w:rPr>
            </w:pPr>
          </w:p>
        </w:tc>
        <w:tc>
          <w:tcPr>
            <w:tcW w:w="566" w:type="pct"/>
            <w:vMerge w:val="continue"/>
            <w:shd w:val="clear" w:color="auto" w:fill="auto"/>
            <w:vAlign w:val="center"/>
          </w:tcPr>
          <w:p w14:paraId="3F305D27">
            <w:pPr>
              <w:pStyle w:val="1343"/>
              <w:rPr>
                <w:rFonts w:eastAsia="等线"/>
                <w:color w:val="0000FF"/>
              </w:rPr>
            </w:pPr>
          </w:p>
        </w:tc>
      </w:tr>
      <w:tr w14:paraId="0F4A4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6" w:type="pct"/>
            <w:vMerge w:val="continue"/>
            <w:vAlign w:val="center"/>
          </w:tcPr>
          <w:p w14:paraId="057AD176">
            <w:pPr>
              <w:pStyle w:val="1343"/>
              <w:rPr>
                <w:color w:val="0000FF"/>
              </w:rPr>
            </w:pPr>
          </w:p>
        </w:tc>
        <w:tc>
          <w:tcPr>
            <w:tcW w:w="583" w:type="pct"/>
            <w:vMerge w:val="continue"/>
            <w:vAlign w:val="center"/>
          </w:tcPr>
          <w:p w14:paraId="4078B2CE">
            <w:pPr>
              <w:pStyle w:val="1343"/>
              <w:rPr>
                <w:rFonts w:eastAsia="等线"/>
                <w:color w:val="0000FF"/>
              </w:rPr>
            </w:pPr>
          </w:p>
        </w:tc>
        <w:tc>
          <w:tcPr>
            <w:tcW w:w="1119" w:type="dxa"/>
            <w:vAlign w:val="center"/>
          </w:tcPr>
          <w:p w14:paraId="5C07B5A4">
            <w:pPr>
              <w:pStyle w:val="1343"/>
              <w:rPr>
                <w:rFonts w:eastAsia="等线"/>
              </w:rPr>
            </w:pPr>
            <w:r>
              <w:rPr>
                <w:rFonts w:hint="eastAsia" w:eastAsia="等线"/>
              </w:rPr>
              <w:t>NO</w:t>
            </w:r>
            <w:r>
              <w:rPr>
                <w:rFonts w:hint="eastAsia" w:eastAsia="等线"/>
                <w:vertAlign w:val="subscript"/>
              </w:rPr>
              <w:t>3</w:t>
            </w:r>
            <w:r>
              <w:rPr>
                <w:rFonts w:hint="eastAsia" w:eastAsia="等线"/>
                <w:vertAlign w:val="superscript"/>
              </w:rPr>
              <w:t>-</w:t>
            </w:r>
          </w:p>
        </w:tc>
        <w:tc>
          <w:tcPr>
            <w:tcW w:w="1581" w:type="dxa"/>
            <w:vAlign w:val="center"/>
          </w:tcPr>
          <w:p w14:paraId="688B9CF5">
            <w:pPr>
              <w:widowControl/>
              <w:jc w:val="center"/>
              <w:textAlignment w:val="center"/>
              <w:rPr>
                <w:rFonts w:eastAsia="等线"/>
              </w:rPr>
            </w:pPr>
            <w:r>
              <w:rPr>
                <w:rFonts w:hint="eastAsia"/>
                <w:color w:val="000000"/>
                <w:kern w:val="0"/>
                <w:szCs w:val="21"/>
                <w:lang w:bidi="ar"/>
              </w:rPr>
              <w:t>1.5</w:t>
            </w:r>
          </w:p>
        </w:tc>
        <w:tc>
          <w:tcPr>
            <w:tcW w:w="764" w:type="pct"/>
            <w:vMerge w:val="continue"/>
            <w:shd w:val="clear" w:color="auto" w:fill="auto"/>
            <w:vAlign w:val="center"/>
          </w:tcPr>
          <w:p w14:paraId="28776D7C">
            <w:pPr>
              <w:pStyle w:val="1343"/>
              <w:rPr>
                <w:rFonts w:eastAsia="等线"/>
                <w:color w:val="0000FF"/>
              </w:rPr>
            </w:pPr>
          </w:p>
        </w:tc>
        <w:tc>
          <w:tcPr>
            <w:tcW w:w="687" w:type="pct"/>
            <w:vMerge w:val="continue"/>
            <w:shd w:val="clear" w:color="auto" w:fill="auto"/>
            <w:vAlign w:val="center"/>
          </w:tcPr>
          <w:p w14:paraId="533C5427">
            <w:pPr>
              <w:pStyle w:val="1343"/>
              <w:rPr>
                <w:rFonts w:eastAsia="等线"/>
                <w:color w:val="0000FF"/>
              </w:rPr>
            </w:pPr>
          </w:p>
        </w:tc>
        <w:tc>
          <w:tcPr>
            <w:tcW w:w="472" w:type="pct"/>
            <w:vMerge w:val="continue"/>
            <w:shd w:val="clear" w:color="auto" w:fill="auto"/>
            <w:vAlign w:val="center"/>
          </w:tcPr>
          <w:p w14:paraId="46E03F76">
            <w:pPr>
              <w:pStyle w:val="1343"/>
              <w:rPr>
                <w:rFonts w:eastAsia="等线"/>
                <w:color w:val="0000FF"/>
              </w:rPr>
            </w:pPr>
          </w:p>
        </w:tc>
        <w:tc>
          <w:tcPr>
            <w:tcW w:w="566" w:type="pct"/>
            <w:vMerge w:val="continue"/>
            <w:shd w:val="clear" w:color="auto" w:fill="auto"/>
            <w:vAlign w:val="center"/>
          </w:tcPr>
          <w:p w14:paraId="16764C87">
            <w:pPr>
              <w:pStyle w:val="1343"/>
              <w:rPr>
                <w:rFonts w:eastAsia="等线"/>
                <w:color w:val="0000FF"/>
              </w:rPr>
            </w:pPr>
          </w:p>
        </w:tc>
      </w:tr>
    </w:tbl>
    <w:p w14:paraId="3E400A5E">
      <w:pPr>
        <w:pStyle w:val="234"/>
        <w:spacing w:before="120" w:beforeLines="50"/>
      </w:pPr>
      <w:r>
        <w:rPr>
          <w:rFonts w:hint="eastAsia"/>
        </w:rPr>
        <w:t>本工程监测点位阴阳离子相对误差均＜10%，阴阳离子平衡，说明数据真实有效，满足要求。</w:t>
      </w:r>
    </w:p>
    <w:p w14:paraId="31C640B2">
      <w:pPr>
        <w:pStyle w:val="904"/>
      </w:pPr>
      <w:r>
        <w:t>表 4.2</w:t>
      </w:r>
      <w:r>
        <w:noBreakHyphen/>
      </w:r>
      <w:r>
        <w:t>1</w:t>
      </w:r>
      <w:r>
        <w:rPr>
          <w:rFonts w:hint="eastAsia"/>
        </w:rPr>
        <w:t>5</w:t>
      </w:r>
      <w:r>
        <w:t>地下水监测结果统计一览表</w:t>
      </w:r>
    </w:p>
    <w:tbl>
      <w:tblPr>
        <w:tblStyle w:val="139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1"/>
        <w:gridCol w:w="1347"/>
        <w:gridCol w:w="1535"/>
        <w:gridCol w:w="1320"/>
        <w:gridCol w:w="1320"/>
        <w:gridCol w:w="1277"/>
        <w:gridCol w:w="1266"/>
      </w:tblGrid>
      <w:tr w14:paraId="35AB6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3702F38A">
            <w:pPr>
              <w:pStyle w:val="1343"/>
            </w:pPr>
            <w:r>
              <w:t>采样点位</w:t>
            </w:r>
          </w:p>
        </w:tc>
        <w:tc>
          <w:tcPr>
            <w:tcW w:w="702" w:type="pct"/>
            <w:vAlign w:val="center"/>
          </w:tcPr>
          <w:p w14:paraId="37B69886">
            <w:pPr>
              <w:pStyle w:val="1343"/>
            </w:pPr>
            <w:r>
              <w:t>单位</w:t>
            </w:r>
          </w:p>
        </w:tc>
        <w:tc>
          <w:tcPr>
            <w:tcW w:w="800" w:type="pct"/>
            <w:vAlign w:val="center"/>
          </w:tcPr>
          <w:p w14:paraId="16D9C870">
            <w:pPr>
              <w:pStyle w:val="1343"/>
            </w:pPr>
            <w:r>
              <w:rPr>
                <w:rFonts w:hint="eastAsia"/>
              </w:rPr>
              <w:t>大白石坳</w:t>
            </w:r>
            <w:r>
              <w:t>水井</w:t>
            </w:r>
          </w:p>
        </w:tc>
        <w:tc>
          <w:tcPr>
            <w:tcW w:w="688" w:type="pct"/>
            <w:vAlign w:val="center"/>
          </w:tcPr>
          <w:p w14:paraId="6F80861D">
            <w:pPr>
              <w:pStyle w:val="1343"/>
            </w:pPr>
            <w:r>
              <w:rPr>
                <w:rFonts w:hint="eastAsia"/>
              </w:rPr>
              <w:t>资家湾</w:t>
            </w:r>
            <w:r>
              <w:t>水井</w:t>
            </w:r>
          </w:p>
        </w:tc>
        <w:tc>
          <w:tcPr>
            <w:tcW w:w="688" w:type="pct"/>
            <w:vAlign w:val="center"/>
          </w:tcPr>
          <w:p w14:paraId="757B0A9F">
            <w:pPr>
              <w:pStyle w:val="1343"/>
            </w:pPr>
            <w:r>
              <w:rPr>
                <w:rFonts w:hint="eastAsia"/>
              </w:rPr>
              <w:t>铜角湾</w:t>
            </w:r>
            <w:r>
              <w:t>水井</w:t>
            </w:r>
          </w:p>
        </w:tc>
        <w:tc>
          <w:tcPr>
            <w:tcW w:w="666" w:type="pct"/>
            <w:vAlign w:val="center"/>
          </w:tcPr>
          <w:p w14:paraId="641E5A09">
            <w:pPr>
              <w:pStyle w:val="1343"/>
            </w:pPr>
            <w:r>
              <w:rPr>
                <w:rFonts w:hint="eastAsia"/>
              </w:rPr>
              <w:t>蒋家冲</w:t>
            </w:r>
            <w:r>
              <w:t>水井</w:t>
            </w:r>
          </w:p>
        </w:tc>
        <w:tc>
          <w:tcPr>
            <w:tcW w:w="660" w:type="pct"/>
            <w:vAlign w:val="center"/>
          </w:tcPr>
          <w:p w14:paraId="51184750">
            <w:pPr>
              <w:pStyle w:val="1343"/>
            </w:pPr>
            <w:r>
              <w:rPr>
                <w:rFonts w:hint="eastAsia"/>
              </w:rPr>
              <w:t>里王村</w:t>
            </w:r>
            <w:r>
              <w:t>水井</w:t>
            </w:r>
          </w:p>
        </w:tc>
      </w:tr>
      <w:tr w14:paraId="260A1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29435A28">
            <w:pPr>
              <w:widowControl/>
              <w:adjustRightInd w:val="0"/>
              <w:snapToGrid w:val="0"/>
              <w:jc w:val="center"/>
              <w:rPr>
                <w:rFonts w:eastAsia="等线"/>
                <w:kern w:val="0"/>
                <w:szCs w:val="21"/>
              </w:rPr>
            </w:pPr>
            <w:r>
              <w:t>K</w:t>
            </w:r>
            <w:r>
              <w:rPr>
                <w:vertAlign w:val="superscript"/>
              </w:rPr>
              <w:t>+</w:t>
            </w:r>
          </w:p>
        </w:tc>
        <w:tc>
          <w:tcPr>
            <w:tcW w:w="702" w:type="pct"/>
            <w:vAlign w:val="center"/>
          </w:tcPr>
          <w:p w14:paraId="5BD17CDC">
            <w:pPr>
              <w:widowControl/>
              <w:adjustRightInd w:val="0"/>
              <w:snapToGrid w:val="0"/>
              <w:jc w:val="center"/>
              <w:rPr>
                <w:rFonts w:eastAsia="等线"/>
                <w:kern w:val="0"/>
                <w:szCs w:val="21"/>
              </w:rPr>
            </w:pPr>
            <w:r>
              <w:t>mg/L</w:t>
            </w:r>
          </w:p>
        </w:tc>
        <w:tc>
          <w:tcPr>
            <w:tcW w:w="800" w:type="pct"/>
            <w:vAlign w:val="center"/>
          </w:tcPr>
          <w:p w14:paraId="0C303DBD">
            <w:pPr>
              <w:widowControl/>
              <w:adjustRightInd w:val="0"/>
              <w:snapToGrid w:val="0"/>
              <w:jc w:val="center"/>
              <w:rPr>
                <w:rFonts w:eastAsia="等线"/>
                <w:kern w:val="0"/>
                <w:szCs w:val="21"/>
              </w:rPr>
            </w:pPr>
            <w:r>
              <w:rPr>
                <w:rFonts w:hint="eastAsia" w:eastAsia="等线"/>
                <w:kern w:val="0"/>
                <w:szCs w:val="21"/>
              </w:rPr>
              <w:t>0.79</w:t>
            </w:r>
          </w:p>
        </w:tc>
        <w:tc>
          <w:tcPr>
            <w:tcW w:w="688" w:type="pct"/>
            <w:vAlign w:val="center"/>
          </w:tcPr>
          <w:p w14:paraId="046D888B">
            <w:pPr>
              <w:widowControl/>
              <w:adjustRightInd w:val="0"/>
              <w:snapToGrid w:val="0"/>
              <w:jc w:val="center"/>
              <w:rPr>
                <w:rFonts w:eastAsia="等线"/>
                <w:kern w:val="0"/>
                <w:szCs w:val="21"/>
              </w:rPr>
            </w:pPr>
            <w:r>
              <w:rPr>
                <w:rFonts w:hint="eastAsia" w:eastAsia="等线"/>
                <w:kern w:val="0"/>
                <w:szCs w:val="21"/>
              </w:rPr>
              <w:t>0.82</w:t>
            </w:r>
          </w:p>
        </w:tc>
        <w:tc>
          <w:tcPr>
            <w:tcW w:w="688" w:type="pct"/>
            <w:vAlign w:val="center"/>
          </w:tcPr>
          <w:p w14:paraId="3558AC48">
            <w:pPr>
              <w:widowControl/>
              <w:adjustRightInd w:val="0"/>
              <w:snapToGrid w:val="0"/>
              <w:jc w:val="center"/>
              <w:rPr>
                <w:rFonts w:eastAsia="等线"/>
                <w:kern w:val="0"/>
                <w:szCs w:val="21"/>
              </w:rPr>
            </w:pPr>
            <w:r>
              <w:rPr>
                <w:rFonts w:hint="eastAsia" w:eastAsia="等线"/>
                <w:kern w:val="0"/>
                <w:szCs w:val="21"/>
              </w:rPr>
              <w:t>0.81</w:t>
            </w:r>
          </w:p>
        </w:tc>
        <w:tc>
          <w:tcPr>
            <w:tcW w:w="666" w:type="pct"/>
            <w:vAlign w:val="center"/>
          </w:tcPr>
          <w:p w14:paraId="5ED09CB1">
            <w:pPr>
              <w:widowControl/>
              <w:adjustRightInd w:val="0"/>
              <w:snapToGrid w:val="0"/>
              <w:jc w:val="center"/>
              <w:rPr>
                <w:rFonts w:eastAsia="等线"/>
                <w:kern w:val="0"/>
                <w:szCs w:val="21"/>
              </w:rPr>
            </w:pPr>
            <w:r>
              <w:rPr>
                <w:rFonts w:hint="eastAsia" w:eastAsia="等线"/>
                <w:kern w:val="0"/>
                <w:szCs w:val="21"/>
              </w:rPr>
              <w:t>0.80</w:t>
            </w:r>
          </w:p>
        </w:tc>
        <w:tc>
          <w:tcPr>
            <w:tcW w:w="660" w:type="pct"/>
            <w:vAlign w:val="center"/>
          </w:tcPr>
          <w:p w14:paraId="1462C9BA">
            <w:pPr>
              <w:widowControl/>
              <w:adjustRightInd w:val="0"/>
              <w:snapToGrid w:val="0"/>
              <w:jc w:val="center"/>
              <w:rPr>
                <w:rFonts w:eastAsia="等线"/>
                <w:kern w:val="0"/>
                <w:szCs w:val="21"/>
              </w:rPr>
            </w:pPr>
            <w:r>
              <w:rPr>
                <w:rFonts w:hint="eastAsia" w:eastAsia="等线"/>
                <w:kern w:val="0"/>
                <w:szCs w:val="21"/>
              </w:rPr>
              <w:t>0.82</w:t>
            </w:r>
          </w:p>
        </w:tc>
      </w:tr>
      <w:tr w14:paraId="71230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7B2026DC">
            <w:pPr>
              <w:widowControl/>
              <w:adjustRightInd w:val="0"/>
              <w:snapToGrid w:val="0"/>
              <w:jc w:val="center"/>
              <w:rPr>
                <w:kern w:val="0"/>
                <w:szCs w:val="21"/>
              </w:rPr>
            </w:pPr>
            <w:r>
              <w:t>Na</w:t>
            </w:r>
            <w:r>
              <w:rPr>
                <w:vertAlign w:val="superscript"/>
              </w:rPr>
              <w:t>+</w:t>
            </w:r>
          </w:p>
        </w:tc>
        <w:tc>
          <w:tcPr>
            <w:tcW w:w="702" w:type="pct"/>
            <w:vAlign w:val="center"/>
          </w:tcPr>
          <w:p w14:paraId="50F2E42F">
            <w:pPr>
              <w:widowControl/>
              <w:adjustRightInd w:val="0"/>
              <w:snapToGrid w:val="0"/>
              <w:jc w:val="center"/>
              <w:rPr>
                <w:rFonts w:eastAsia="等线"/>
                <w:kern w:val="0"/>
                <w:szCs w:val="21"/>
              </w:rPr>
            </w:pPr>
            <w:r>
              <w:t>mg/L</w:t>
            </w:r>
          </w:p>
        </w:tc>
        <w:tc>
          <w:tcPr>
            <w:tcW w:w="800" w:type="pct"/>
            <w:vAlign w:val="center"/>
          </w:tcPr>
          <w:p w14:paraId="1F5B4E9F">
            <w:pPr>
              <w:widowControl/>
              <w:adjustRightInd w:val="0"/>
              <w:snapToGrid w:val="0"/>
              <w:jc w:val="center"/>
              <w:rPr>
                <w:rFonts w:eastAsia="等线"/>
                <w:kern w:val="0"/>
                <w:szCs w:val="21"/>
              </w:rPr>
            </w:pPr>
            <w:r>
              <w:rPr>
                <w:rFonts w:hint="eastAsia" w:eastAsia="等线"/>
                <w:kern w:val="0"/>
                <w:szCs w:val="21"/>
              </w:rPr>
              <w:t>8.06</w:t>
            </w:r>
          </w:p>
        </w:tc>
        <w:tc>
          <w:tcPr>
            <w:tcW w:w="688" w:type="pct"/>
            <w:vAlign w:val="center"/>
          </w:tcPr>
          <w:p w14:paraId="7736AC8D">
            <w:pPr>
              <w:widowControl/>
              <w:adjustRightInd w:val="0"/>
              <w:snapToGrid w:val="0"/>
              <w:jc w:val="center"/>
              <w:rPr>
                <w:rFonts w:eastAsia="等线"/>
                <w:kern w:val="0"/>
                <w:szCs w:val="21"/>
              </w:rPr>
            </w:pPr>
            <w:r>
              <w:rPr>
                <w:rFonts w:hint="eastAsia" w:eastAsia="等线"/>
                <w:kern w:val="0"/>
                <w:szCs w:val="21"/>
              </w:rPr>
              <w:t>7.93</w:t>
            </w:r>
          </w:p>
        </w:tc>
        <w:tc>
          <w:tcPr>
            <w:tcW w:w="688" w:type="pct"/>
            <w:vAlign w:val="center"/>
          </w:tcPr>
          <w:p w14:paraId="79F74F32">
            <w:pPr>
              <w:widowControl/>
              <w:adjustRightInd w:val="0"/>
              <w:snapToGrid w:val="0"/>
              <w:jc w:val="center"/>
              <w:rPr>
                <w:rFonts w:eastAsia="等线"/>
                <w:kern w:val="0"/>
                <w:szCs w:val="21"/>
              </w:rPr>
            </w:pPr>
            <w:r>
              <w:rPr>
                <w:rFonts w:hint="eastAsia" w:eastAsia="等线"/>
                <w:kern w:val="0"/>
                <w:szCs w:val="21"/>
              </w:rPr>
              <w:t>8.82</w:t>
            </w:r>
          </w:p>
        </w:tc>
        <w:tc>
          <w:tcPr>
            <w:tcW w:w="666" w:type="pct"/>
            <w:vAlign w:val="center"/>
          </w:tcPr>
          <w:p w14:paraId="7A584587">
            <w:pPr>
              <w:widowControl/>
              <w:adjustRightInd w:val="0"/>
              <w:snapToGrid w:val="0"/>
              <w:jc w:val="center"/>
              <w:rPr>
                <w:rFonts w:eastAsia="等线"/>
                <w:kern w:val="0"/>
                <w:szCs w:val="21"/>
              </w:rPr>
            </w:pPr>
            <w:r>
              <w:rPr>
                <w:rFonts w:hint="eastAsia" w:eastAsia="等线"/>
                <w:kern w:val="0"/>
                <w:szCs w:val="21"/>
              </w:rPr>
              <w:t>7.65</w:t>
            </w:r>
          </w:p>
        </w:tc>
        <w:tc>
          <w:tcPr>
            <w:tcW w:w="660" w:type="pct"/>
            <w:vAlign w:val="center"/>
          </w:tcPr>
          <w:p w14:paraId="51774746">
            <w:pPr>
              <w:widowControl/>
              <w:adjustRightInd w:val="0"/>
              <w:snapToGrid w:val="0"/>
              <w:jc w:val="center"/>
              <w:rPr>
                <w:rFonts w:eastAsia="等线"/>
                <w:kern w:val="0"/>
                <w:szCs w:val="21"/>
              </w:rPr>
            </w:pPr>
            <w:r>
              <w:rPr>
                <w:rFonts w:hint="eastAsia" w:eastAsia="等线"/>
                <w:kern w:val="0"/>
                <w:szCs w:val="21"/>
              </w:rPr>
              <w:t>7.85</w:t>
            </w:r>
          </w:p>
        </w:tc>
      </w:tr>
      <w:tr w14:paraId="39846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5322C251">
            <w:pPr>
              <w:widowControl/>
              <w:adjustRightInd w:val="0"/>
              <w:snapToGrid w:val="0"/>
              <w:jc w:val="center"/>
              <w:rPr>
                <w:kern w:val="0"/>
                <w:szCs w:val="21"/>
              </w:rPr>
            </w:pPr>
            <w:r>
              <w:t>Ca</w:t>
            </w:r>
            <w:r>
              <w:rPr>
                <w:vertAlign w:val="superscript"/>
              </w:rPr>
              <w:t>2+</w:t>
            </w:r>
          </w:p>
        </w:tc>
        <w:tc>
          <w:tcPr>
            <w:tcW w:w="702" w:type="pct"/>
            <w:vAlign w:val="center"/>
          </w:tcPr>
          <w:p w14:paraId="45203D72">
            <w:pPr>
              <w:widowControl/>
              <w:adjustRightInd w:val="0"/>
              <w:snapToGrid w:val="0"/>
              <w:jc w:val="center"/>
              <w:rPr>
                <w:rFonts w:eastAsia="等线"/>
                <w:kern w:val="0"/>
                <w:szCs w:val="21"/>
              </w:rPr>
            </w:pPr>
            <w:r>
              <w:t>mg/L</w:t>
            </w:r>
          </w:p>
        </w:tc>
        <w:tc>
          <w:tcPr>
            <w:tcW w:w="800" w:type="pct"/>
            <w:vAlign w:val="center"/>
          </w:tcPr>
          <w:p w14:paraId="38E0C338">
            <w:pPr>
              <w:widowControl/>
              <w:adjustRightInd w:val="0"/>
              <w:snapToGrid w:val="0"/>
              <w:jc w:val="center"/>
              <w:rPr>
                <w:rFonts w:eastAsia="等线"/>
                <w:kern w:val="0"/>
                <w:szCs w:val="21"/>
              </w:rPr>
            </w:pPr>
            <w:r>
              <w:rPr>
                <w:rFonts w:hint="eastAsia" w:eastAsia="等线"/>
                <w:kern w:val="0"/>
                <w:szCs w:val="21"/>
              </w:rPr>
              <w:t>10.4</w:t>
            </w:r>
          </w:p>
        </w:tc>
        <w:tc>
          <w:tcPr>
            <w:tcW w:w="688" w:type="pct"/>
            <w:vAlign w:val="center"/>
          </w:tcPr>
          <w:p w14:paraId="136EE58A">
            <w:pPr>
              <w:widowControl/>
              <w:adjustRightInd w:val="0"/>
              <w:snapToGrid w:val="0"/>
              <w:jc w:val="center"/>
              <w:rPr>
                <w:rFonts w:eastAsia="等线"/>
                <w:kern w:val="0"/>
                <w:szCs w:val="21"/>
              </w:rPr>
            </w:pPr>
            <w:r>
              <w:rPr>
                <w:rFonts w:hint="eastAsia" w:eastAsia="等线"/>
                <w:kern w:val="0"/>
                <w:szCs w:val="21"/>
              </w:rPr>
              <w:t>9.53</w:t>
            </w:r>
          </w:p>
        </w:tc>
        <w:tc>
          <w:tcPr>
            <w:tcW w:w="688" w:type="pct"/>
            <w:vAlign w:val="center"/>
          </w:tcPr>
          <w:p w14:paraId="2D933035">
            <w:pPr>
              <w:widowControl/>
              <w:adjustRightInd w:val="0"/>
              <w:snapToGrid w:val="0"/>
              <w:jc w:val="center"/>
              <w:rPr>
                <w:rFonts w:eastAsia="等线"/>
                <w:kern w:val="0"/>
                <w:szCs w:val="21"/>
              </w:rPr>
            </w:pPr>
            <w:r>
              <w:rPr>
                <w:rFonts w:hint="eastAsia" w:eastAsia="等线"/>
                <w:kern w:val="0"/>
                <w:szCs w:val="21"/>
              </w:rPr>
              <w:t>7.77</w:t>
            </w:r>
          </w:p>
        </w:tc>
        <w:tc>
          <w:tcPr>
            <w:tcW w:w="666" w:type="pct"/>
            <w:vAlign w:val="center"/>
          </w:tcPr>
          <w:p w14:paraId="77985A59">
            <w:pPr>
              <w:widowControl/>
              <w:adjustRightInd w:val="0"/>
              <w:snapToGrid w:val="0"/>
              <w:jc w:val="center"/>
              <w:rPr>
                <w:rFonts w:eastAsia="等线"/>
                <w:kern w:val="0"/>
                <w:szCs w:val="21"/>
              </w:rPr>
            </w:pPr>
            <w:r>
              <w:rPr>
                <w:rFonts w:hint="eastAsia" w:eastAsia="等线"/>
                <w:kern w:val="0"/>
                <w:szCs w:val="21"/>
              </w:rPr>
              <w:t>9.41</w:t>
            </w:r>
          </w:p>
        </w:tc>
        <w:tc>
          <w:tcPr>
            <w:tcW w:w="660" w:type="pct"/>
            <w:vAlign w:val="center"/>
          </w:tcPr>
          <w:p w14:paraId="53D4917D">
            <w:pPr>
              <w:widowControl/>
              <w:adjustRightInd w:val="0"/>
              <w:snapToGrid w:val="0"/>
              <w:jc w:val="center"/>
              <w:rPr>
                <w:rFonts w:eastAsia="等线"/>
                <w:kern w:val="0"/>
                <w:szCs w:val="21"/>
              </w:rPr>
            </w:pPr>
            <w:r>
              <w:rPr>
                <w:rFonts w:hint="eastAsia" w:eastAsia="等线"/>
                <w:kern w:val="0"/>
                <w:szCs w:val="21"/>
              </w:rPr>
              <w:t>9.59</w:t>
            </w:r>
          </w:p>
        </w:tc>
      </w:tr>
      <w:tr w14:paraId="278AE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122EE867">
            <w:pPr>
              <w:widowControl/>
              <w:adjustRightInd w:val="0"/>
              <w:snapToGrid w:val="0"/>
              <w:jc w:val="center"/>
              <w:rPr>
                <w:kern w:val="0"/>
                <w:szCs w:val="21"/>
              </w:rPr>
            </w:pPr>
            <w:r>
              <w:t>Mg</w:t>
            </w:r>
            <w:r>
              <w:rPr>
                <w:vertAlign w:val="superscript"/>
              </w:rPr>
              <w:t>2+</w:t>
            </w:r>
          </w:p>
        </w:tc>
        <w:tc>
          <w:tcPr>
            <w:tcW w:w="702" w:type="pct"/>
            <w:vAlign w:val="center"/>
          </w:tcPr>
          <w:p w14:paraId="42094F94">
            <w:pPr>
              <w:widowControl/>
              <w:adjustRightInd w:val="0"/>
              <w:snapToGrid w:val="0"/>
              <w:jc w:val="center"/>
              <w:rPr>
                <w:rFonts w:eastAsia="等线"/>
                <w:kern w:val="0"/>
                <w:szCs w:val="21"/>
              </w:rPr>
            </w:pPr>
            <w:r>
              <w:t>mg/L</w:t>
            </w:r>
          </w:p>
        </w:tc>
        <w:tc>
          <w:tcPr>
            <w:tcW w:w="800" w:type="pct"/>
            <w:vAlign w:val="center"/>
          </w:tcPr>
          <w:p w14:paraId="0A0FE345">
            <w:pPr>
              <w:widowControl/>
              <w:adjustRightInd w:val="0"/>
              <w:snapToGrid w:val="0"/>
              <w:jc w:val="center"/>
              <w:rPr>
                <w:rFonts w:eastAsia="等线"/>
                <w:kern w:val="0"/>
                <w:szCs w:val="21"/>
              </w:rPr>
            </w:pPr>
            <w:r>
              <w:rPr>
                <w:rFonts w:hint="eastAsia" w:eastAsia="等线"/>
                <w:kern w:val="0"/>
                <w:szCs w:val="21"/>
              </w:rPr>
              <w:t>3.10</w:t>
            </w:r>
          </w:p>
        </w:tc>
        <w:tc>
          <w:tcPr>
            <w:tcW w:w="688" w:type="pct"/>
            <w:vAlign w:val="center"/>
          </w:tcPr>
          <w:p w14:paraId="239AFC39">
            <w:pPr>
              <w:widowControl/>
              <w:adjustRightInd w:val="0"/>
              <w:snapToGrid w:val="0"/>
              <w:jc w:val="center"/>
              <w:rPr>
                <w:rFonts w:eastAsia="等线"/>
                <w:kern w:val="0"/>
                <w:szCs w:val="21"/>
              </w:rPr>
            </w:pPr>
            <w:r>
              <w:rPr>
                <w:rFonts w:hint="eastAsia" w:eastAsia="等线"/>
                <w:kern w:val="0"/>
                <w:szCs w:val="21"/>
              </w:rPr>
              <w:t>3.11</w:t>
            </w:r>
          </w:p>
        </w:tc>
        <w:tc>
          <w:tcPr>
            <w:tcW w:w="688" w:type="pct"/>
            <w:vAlign w:val="center"/>
          </w:tcPr>
          <w:p w14:paraId="02F42A31">
            <w:pPr>
              <w:widowControl/>
              <w:adjustRightInd w:val="0"/>
              <w:snapToGrid w:val="0"/>
              <w:jc w:val="center"/>
              <w:rPr>
                <w:rFonts w:eastAsia="等线"/>
                <w:kern w:val="0"/>
                <w:szCs w:val="21"/>
              </w:rPr>
            </w:pPr>
            <w:r>
              <w:rPr>
                <w:rFonts w:hint="eastAsia" w:eastAsia="等线"/>
                <w:kern w:val="0"/>
                <w:szCs w:val="21"/>
              </w:rPr>
              <w:t>3.14</w:t>
            </w:r>
          </w:p>
        </w:tc>
        <w:tc>
          <w:tcPr>
            <w:tcW w:w="666" w:type="pct"/>
            <w:vAlign w:val="center"/>
          </w:tcPr>
          <w:p w14:paraId="6F0F645E">
            <w:pPr>
              <w:widowControl/>
              <w:adjustRightInd w:val="0"/>
              <w:snapToGrid w:val="0"/>
              <w:jc w:val="center"/>
              <w:rPr>
                <w:rFonts w:eastAsia="等线"/>
                <w:kern w:val="0"/>
                <w:szCs w:val="21"/>
              </w:rPr>
            </w:pPr>
            <w:r>
              <w:rPr>
                <w:rFonts w:hint="eastAsia" w:eastAsia="等线"/>
                <w:kern w:val="0"/>
                <w:szCs w:val="21"/>
              </w:rPr>
              <w:t>3.09</w:t>
            </w:r>
          </w:p>
        </w:tc>
        <w:tc>
          <w:tcPr>
            <w:tcW w:w="660" w:type="pct"/>
            <w:vAlign w:val="center"/>
          </w:tcPr>
          <w:p w14:paraId="607D1A14">
            <w:pPr>
              <w:widowControl/>
              <w:adjustRightInd w:val="0"/>
              <w:snapToGrid w:val="0"/>
              <w:jc w:val="center"/>
              <w:rPr>
                <w:rFonts w:eastAsia="等线"/>
                <w:kern w:val="0"/>
                <w:szCs w:val="21"/>
              </w:rPr>
            </w:pPr>
            <w:r>
              <w:rPr>
                <w:rFonts w:hint="eastAsia" w:eastAsia="等线"/>
                <w:kern w:val="0"/>
                <w:szCs w:val="21"/>
              </w:rPr>
              <w:t>3.16</w:t>
            </w:r>
          </w:p>
        </w:tc>
      </w:tr>
      <w:tr w14:paraId="3463A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1245AB97">
            <w:pPr>
              <w:widowControl/>
              <w:adjustRightInd w:val="0"/>
              <w:snapToGrid w:val="0"/>
              <w:jc w:val="center"/>
              <w:rPr>
                <w:kern w:val="0"/>
                <w:szCs w:val="21"/>
              </w:rPr>
            </w:pPr>
            <w:r>
              <w:t>CO</w:t>
            </w:r>
            <w:r>
              <w:rPr>
                <w:vertAlign w:val="subscript"/>
              </w:rPr>
              <w:t>3</w:t>
            </w:r>
            <w:r>
              <w:rPr>
                <w:vertAlign w:val="superscript"/>
              </w:rPr>
              <w:t>2-</w:t>
            </w:r>
          </w:p>
        </w:tc>
        <w:tc>
          <w:tcPr>
            <w:tcW w:w="702" w:type="pct"/>
            <w:vAlign w:val="center"/>
          </w:tcPr>
          <w:p w14:paraId="2CA36D13">
            <w:pPr>
              <w:widowControl/>
              <w:adjustRightInd w:val="0"/>
              <w:snapToGrid w:val="0"/>
              <w:jc w:val="center"/>
              <w:rPr>
                <w:rFonts w:eastAsia="等线"/>
                <w:kern w:val="0"/>
                <w:szCs w:val="21"/>
              </w:rPr>
            </w:pPr>
            <w:r>
              <w:t>mg/L</w:t>
            </w:r>
          </w:p>
        </w:tc>
        <w:tc>
          <w:tcPr>
            <w:tcW w:w="800" w:type="pct"/>
            <w:vAlign w:val="center"/>
          </w:tcPr>
          <w:p w14:paraId="17F5C510">
            <w:pPr>
              <w:widowControl/>
              <w:adjustRightInd w:val="0"/>
              <w:snapToGrid w:val="0"/>
              <w:jc w:val="center"/>
              <w:rPr>
                <w:rFonts w:eastAsia="等线"/>
                <w:kern w:val="0"/>
                <w:szCs w:val="21"/>
              </w:rPr>
            </w:pPr>
            <w:r>
              <w:rPr>
                <w:rFonts w:hint="eastAsia" w:eastAsia="等线"/>
                <w:kern w:val="0"/>
                <w:szCs w:val="21"/>
              </w:rPr>
              <w:t>5L</w:t>
            </w:r>
          </w:p>
        </w:tc>
        <w:tc>
          <w:tcPr>
            <w:tcW w:w="688" w:type="pct"/>
            <w:vAlign w:val="center"/>
          </w:tcPr>
          <w:p w14:paraId="3805E4FD">
            <w:pPr>
              <w:widowControl/>
              <w:adjustRightInd w:val="0"/>
              <w:snapToGrid w:val="0"/>
              <w:jc w:val="center"/>
              <w:rPr>
                <w:rFonts w:eastAsia="等线"/>
                <w:kern w:val="0"/>
                <w:szCs w:val="21"/>
              </w:rPr>
            </w:pPr>
            <w:r>
              <w:rPr>
                <w:rFonts w:hint="eastAsia" w:eastAsia="等线"/>
                <w:kern w:val="0"/>
                <w:szCs w:val="21"/>
              </w:rPr>
              <w:t>5L</w:t>
            </w:r>
          </w:p>
        </w:tc>
        <w:tc>
          <w:tcPr>
            <w:tcW w:w="688" w:type="pct"/>
            <w:vAlign w:val="center"/>
          </w:tcPr>
          <w:p w14:paraId="73E8419F">
            <w:pPr>
              <w:widowControl/>
              <w:adjustRightInd w:val="0"/>
              <w:snapToGrid w:val="0"/>
              <w:jc w:val="center"/>
              <w:rPr>
                <w:rFonts w:eastAsia="等线"/>
                <w:kern w:val="0"/>
                <w:szCs w:val="21"/>
              </w:rPr>
            </w:pPr>
            <w:r>
              <w:rPr>
                <w:rFonts w:hint="eastAsia" w:eastAsia="等线"/>
                <w:kern w:val="0"/>
                <w:szCs w:val="21"/>
              </w:rPr>
              <w:t>5L</w:t>
            </w:r>
          </w:p>
        </w:tc>
        <w:tc>
          <w:tcPr>
            <w:tcW w:w="666" w:type="pct"/>
            <w:vAlign w:val="center"/>
          </w:tcPr>
          <w:p w14:paraId="2BCB4746">
            <w:pPr>
              <w:widowControl/>
              <w:adjustRightInd w:val="0"/>
              <w:snapToGrid w:val="0"/>
              <w:jc w:val="center"/>
              <w:rPr>
                <w:rFonts w:eastAsia="等线"/>
                <w:kern w:val="0"/>
                <w:szCs w:val="21"/>
              </w:rPr>
            </w:pPr>
            <w:r>
              <w:rPr>
                <w:rFonts w:hint="eastAsia" w:eastAsia="等线"/>
                <w:kern w:val="0"/>
                <w:szCs w:val="21"/>
              </w:rPr>
              <w:t>5L</w:t>
            </w:r>
          </w:p>
        </w:tc>
        <w:tc>
          <w:tcPr>
            <w:tcW w:w="660" w:type="pct"/>
            <w:vAlign w:val="center"/>
          </w:tcPr>
          <w:p w14:paraId="7BAF5532">
            <w:pPr>
              <w:widowControl/>
              <w:adjustRightInd w:val="0"/>
              <w:snapToGrid w:val="0"/>
              <w:jc w:val="center"/>
              <w:rPr>
                <w:rFonts w:eastAsia="等线"/>
                <w:kern w:val="0"/>
                <w:szCs w:val="21"/>
              </w:rPr>
            </w:pPr>
            <w:r>
              <w:rPr>
                <w:rFonts w:hint="eastAsia" w:eastAsia="等线"/>
                <w:kern w:val="0"/>
                <w:szCs w:val="21"/>
              </w:rPr>
              <w:t>5L</w:t>
            </w:r>
          </w:p>
        </w:tc>
      </w:tr>
      <w:tr w14:paraId="06905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77A2FD34">
            <w:pPr>
              <w:widowControl/>
              <w:adjustRightInd w:val="0"/>
              <w:snapToGrid w:val="0"/>
              <w:jc w:val="center"/>
              <w:rPr>
                <w:kern w:val="0"/>
                <w:szCs w:val="21"/>
              </w:rPr>
            </w:pPr>
            <w:r>
              <w:t>HCO</w:t>
            </w:r>
            <w:r>
              <w:rPr>
                <w:vertAlign w:val="subscript"/>
              </w:rPr>
              <w:t>3</w:t>
            </w:r>
            <w:r>
              <w:rPr>
                <w:vertAlign w:val="superscript"/>
              </w:rPr>
              <w:t>-</w:t>
            </w:r>
          </w:p>
        </w:tc>
        <w:tc>
          <w:tcPr>
            <w:tcW w:w="702" w:type="pct"/>
            <w:vAlign w:val="center"/>
          </w:tcPr>
          <w:p w14:paraId="4E31AAFC">
            <w:pPr>
              <w:widowControl/>
              <w:adjustRightInd w:val="0"/>
              <w:snapToGrid w:val="0"/>
              <w:jc w:val="center"/>
              <w:rPr>
                <w:rFonts w:eastAsia="等线"/>
                <w:kern w:val="0"/>
                <w:szCs w:val="21"/>
              </w:rPr>
            </w:pPr>
            <w:r>
              <w:t>mg/L</w:t>
            </w:r>
          </w:p>
        </w:tc>
        <w:tc>
          <w:tcPr>
            <w:tcW w:w="800" w:type="pct"/>
            <w:vAlign w:val="center"/>
          </w:tcPr>
          <w:p w14:paraId="3472EC91">
            <w:pPr>
              <w:widowControl/>
              <w:adjustRightInd w:val="0"/>
              <w:snapToGrid w:val="0"/>
              <w:jc w:val="center"/>
              <w:rPr>
                <w:rFonts w:eastAsia="等线"/>
                <w:kern w:val="0"/>
                <w:szCs w:val="21"/>
              </w:rPr>
            </w:pPr>
            <w:r>
              <w:rPr>
                <w:rFonts w:hint="eastAsia" w:eastAsia="等线"/>
                <w:kern w:val="0"/>
                <w:szCs w:val="21"/>
              </w:rPr>
              <w:t>18.2</w:t>
            </w:r>
          </w:p>
        </w:tc>
        <w:tc>
          <w:tcPr>
            <w:tcW w:w="688" w:type="pct"/>
            <w:vAlign w:val="center"/>
          </w:tcPr>
          <w:p w14:paraId="0E399C11">
            <w:pPr>
              <w:widowControl/>
              <w:adjustRightInd w:val="0"/>
              <w:snapToGrid w:val="0"/>
              <w:jc w:val="center"/>
              <w:rPr>
                <w:kern w:val="0"/>
                <w:szCs w:val="21"/>
              </w:rPr>
            </w:pPr>
            <w:r>
              <w:rPr>
                <w:rFonts w:hint="eastAsia"/>
                <w:kern w:val="0"/>
                <w:szCs w:val="21"/>
              </w:rPr>
              <w:t>19.4</w:t>
            </w:r>
          </w:p>
        </w:tc>
        <w:tc>
          <w:tcPr>
            <w:tcW w:w="688" w:type="pct"/>
            <w:vAlign w:val="center"/>
          </w:tcPr>
          <w:p w14:paraId="3801960D">
            <w:pPr>
              <w:widowControl/>
              <w:adjustRightInd w:val="0"/>
              <w:snapToGrid w:val="0"/>
              <w:jc w:val="center"/>
              <w:rPr>
                <w:kern w:val="0"/>
                <w:szCs w:val="21"/>
              </w:rPr>
            </w:pPr>
            <w:r>
              <w:rPr>
                <w:rFonts w:hint="eastAsia"/>
                <w:kern w:val="0"/>
                <w:szCs w:val="21"/>
              </w:rPr>
              <w:t>17.0</w:t>
            </w:r>
          </w:p>
        </w:tc>
        <w:tc>
          <w:tcPr>
            <w:tcW w:w="666" w:type="pct"/>
            <w:vAlign w:val="center"/>
          </w:tcPr>
          <w:p w14:paraId="21BDFEF2">
            <w:pPr>
              <w:widowControl/>
              <w:adjustRightInd w:val="0"/>
              <w:snapToGrid w:val="0"/>
              <w:jc w:val="center"/>
              <w:rPr>
                <w:kern w:val="0"/>
                <w:szCs w:val="21"/>
              </w:rPr>
            </w:pPr>
            <w:r>
              <w:rPr>
                <w:rFonts w:hint="eastAsia"/>
                <w:kern w:val="0"/>
                <w:szCs w:val="21"/>
              </w:rPr>
              <w:t>19.4</w:t>
            </w:r>
          </w:p>
        </w:tc>
        <w:tc>
          <w:tcPr>
            <w:tcW w:w="660" w:type="pct"/>
            <w:vAlign w:val="center"/>
          </w:tcPr>
          <w:p w14:paraId="6F3A287C">
            <w:pPr>
              <w:widowControl/>
              <w:adjustRightInd w:val="0"/>
              <w:snapToGrid w:val="0"/>
              <w:jc w:val="center"/>
              <w:rPr>
                <w:kern w:val="0"/>
                <w:szCs w:val="21"/>
              </w:rPr>
            </w:pPr>
            <w:r>
              <w:rPr>
                <w:rFonts w:hint="eastAsia"/>
                <w:kern w:val="0"/>
                <w:szCs w:val="21"/>
              </w:rPr>
              <w:t>18.2</w:t>
            </w:r>
          </w:p>
        </w:tc>
      </w:tr>
      <w:tr w14:paraId="66BA9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1B6A9B78">
            <w:pPr>
              <w:widowControl/>
              <w:adjustRightInd w:val="0"/>
              <w:snapToGrid w:val="0"/>
              <w:jc w:val="center"/>
              <w:rPr>
                <w:kern w:val="0"/>
                <w:szCs w:val="21"/>
              </w:rPr>
            </w:pPr>
            <w:r>
              <w:t>Cl</w:t>
            </w:r>
            <w:r>
              <w:rPr>
                <w:vertAlign w:val="superscript"/>
              </w:rPr>
              <w:t>-</w:t>
            </w:r>
          </w:p>
        </w:tc>
        <w:tc>
          <w:tcPr>
            <w:tcW w:w="702" w:type="pct"/>
            <w:vAlign w:val="center"/>
          </w:tcPr>
          <w:p w14:paraId="241AD992">
            <w:pPr>
              <w:widowControl/>
              <w:adjustRightInd w:val="0"/>
              <w:snapToGrid w:val="0"/>
              <w:jc w:val="center"/>
              <w:rPr>
                <w:kern w:val="0"/>
                <w:szCs w:val="21"/>
              </w:rPr>
            </w:pPr>
            <w:r>
              <w:t>mg/L</w:t>
            </w:r>
          </w:p>
        </w:tc>
        <w:tc>
          <w:tcPr>
            <w:tcW w:w="800" w:type="pct"/>
            <w:vAlign w:val="center"/>
          </w:tcPr>
          <w:p w14:paraId="30B40900">
            <w:pPr>
              <w:widowControl/>
              <w:adjustRightInd w:val="0"/>
              <w:snapToGrid w:val="0"/>
              <w:jc w:val="center"/>
              <w:rPr>
                <w:kern w:val="0"/>
                <w:szCs w:val="21"/>
              </w:rPr>
            </w:pPr>
            <w:r>
              <w:rPr>
                <w:rFonts w:hint="eastAsia"/>
                <w:kern w:val="0"/>
                <w:szCs w:val="21"/>
              </w:rPr>
              <w:t>5.3</w:t>
            </w:r>
          </w:p>
        </w:tc>
        <w:tc>
          <w:tcPr>
            <w:tcW w:w="688" w:type="pct"/>
            <w:vAlign w:val="center"/>
          </w:tcPr>
          <w:p w14:paraId="2418C75F">
            <w:pPr>
              <w:widowControl/>
              <w:adjustRightInd w:val="0"/>
              <w:snapToGrid w:val="0"/>
              <w:jc w:val="center"/>
              <w:rPr>
                <w:rFonts w:eastAsia="等线"/>
                <w:kern w:val="0"/>
                <w:szCs w:val="21"/>
              </w:rPr>
            </w:pPr>
            <w:r>
              <w:rPr>
                <w:rFonts w:hint="eastAsia" w:eastAsia="等线"/>
                <w:kern w:val="0"/>
                <w:szCs w:val="21"/>
              </w:rPr>
              <w:t>8.1</w:t>
            </w:r>
          </w:p>
        </w:tc>
        <w:tc>
          <w:tcPr>
            <w:tcW w:w="688" w:type="pct"/>
            <w:vAlign w:val="center"/>
          </w:tcPr>
          <w:p w14:paraId="247875F6">
            <w:pPr>
              <w:widowControl/>
              <w:adjustRightInd w:val="0"/>
              <w:snapToGrid w:val="0"/>
              <w:jc w:val="center"/>
              <w:rPr>
                <w:kern w:val="0"/>
                <w:szCs w:val="21"/>
              </w:rPr>
            </w:pPr>
            <w:r>
              <w:rPr>
                <w:rFonts w:hint="eastAsia"/>
                <w:kern w:val="0"/>
                <w:szCs w:val="21"/>
              </w:rPr>
              <w:t>5.0</w:t>
            </w:r>
          </w:p>
        </w:tc>
        <w:tc>
          <w:tcPr>
            <w:tcW w:w="666" w:type="pct"/>
            <w:vAlign w:val="center"/>
          </w:tcPr>
          <w:p w14:paraId="109FAF8A">
            <w:pPr>
              <w:widowControl/>
              <w:adjustRightInd w:val="0"/>
              <w:snapToGrid w:val="0"/>
              <w:jc w:val="center"/>
              <w:rPr>
                <w:kern w:val="0"/>
                <w:szCs w:val="21"/>
              </w:rPr>
            </w:pPr>
            <w:r>
              <w:rPr>
                <w:rFonts w:hint="eastAsia"/>
                <w:kern w:val="0"/>
                <w:szCs w:val="21"/>
              </w:rPr>
              <w:t>10.1</w:t>
            </w:r>
          </w:p>
        </w:tc>
        <w:tc>
          <w:tcPr>
            <w:tcW w:w="660" w:type="pct"/>
            <w:vAlign w:val="center"/>
          </w:tcPr>
          <w:p w14:paraId="7CEB419D">
            <w:pPr>
              <w:widowControl/>
              <w:adjustRightInd w:val="0"/>
              <w:snapToGrid w:val="0"/>
              <w:jc w:val="center"/>
              <w:rPr>
                <w:kern w:val="0"/>
                <w:szCs w:val="21"/>
              </w:rPr>
            </w:pPr>
            <w:r>
              <w:rPr>
                <w:rFonts w:hint="eastAsia"/>
                <w:kern w:val="0"/>
                <w:szCs w:val="21"/>
              </w:rPr>
              <w:t>2.2</w:t>
            </w:r>
          </w:p>
        </w:tc>
      </w:tr>
      <w:tr w14:paraId="4981E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04582EC3">
            <w:pPr>
              <w:widowControl/>
              <w:adjustRightInd w:val="0"/>
              <w:snapToGrid w:val="0"/>
              <w:jc w:val="center"/>
              <w:rPr>
                <w:kern w:val="0"/>
                <w:szCs w:val="21"/>
              </w:rPr>
            </w:pPr>
            <w:r>
              <w:t>SO</w:t>
            </w:r>
            <w:r>
              <w:rPr>
                <w:vertAlign w:val="subscript"/>
              </w:rPr>
              <w:t>4</w:t>
            </w:r>
            <w:r>
              <w:rPr>
                <w:vertAlign w:val="superscript"/>
              </w:rPr>
              <w:t>2-</w:t>
            </w:r>
          </w:p>
        </w:tc>
        <w:tc>
          <w:tcPr>
            <w:tcW w:w="702" w:type="pct"/>
            <w:vAlign w:val="center"/>
          </w:tcPr>
          <w:p w14:paraId="4DF478BA">
            <w:pPr>
              <w:widowControl/>
              <w:adjustRightInd w:val="0"/>
              <w:snapToGrid w:val="0"/>
              <w:jc w:val="center"/>
              <w:rPr>
                <w:rFonts w:eastAsia="等线"/>
                <w:kern w:val="0"/>
                <w:szCs w:val="21"/>
              </w:rPr>
            </w:pPr>
            <w:r>
              <w:t>mg/L</w:t>
            </w:r>
          </w:p>
        </w:tc>
        <w:tc>
          <w:tcPr>
            <w:tcW w:w="800" w:type="pct"/>
            <w:vAlign w:val="center"/>
          </w:tcPr>
          <w:p w14:paraId="1EB7AB1E">
            <w:pPr>
              <w:widowControl/>
              <w:adjustRightInd w:val="0"/>
              <w:snapToGrid w:val="0"/>
              <w:jc w:val="center"/>
              <w:rPr>
                <w:rFonts w:eastAsia="等线"/>
                <w:kern w:val="0"/>
                <w:szCs w:val="21"/>
              </w:rPr>
            </w:pPr>
            <w:r>
              <w:rPr>
                <w:rFonts w:hint="eastAsia" w:eastAsia="等线"/>
                <w:kern w:val="0"/>
                <w:szCs w:val="21"/>
              </w:rPr>
              <w:t>28</w:t>
            </w:r>
          </w:p>
        </w:tc>
        <w:tc>
          <w:tcPr>
            <w:tcW w:w="688" w:type="pct"/>
            <w:vAlign w:val="center"/>
          </w:tcPr>
          <w:p w14:paraId="6ACC7B6B">
            <w:pPr>
              <w:widowControl/>
              <w:adjustRightInd w:val="0"/>
              <w:snapToGrid w:val="0"/>
              <w:jc w:val="center"/>
              <w:rPr>
                <w:rFonts w:eastAsia="等线"/>
                <w:kern w:val="0"/>
                <w:szCs w:val="21"/>
              </w:rPr>
            </w:pPr>
            <w:r>
              <w:rPr>
                <w:rFonts w:hint="eastAsia" w:eastAsia="等线"/>
                <w:kern w:val="0"/>
                <w:szCs w:val="21"/>
              </w:rPr>
              <w:t>24</w:t>
            </w:r>
          </w:p>
        </w:tc>
        <w:tc>
          <w:tcPr>
            <w:tcW w:w="688" w:type="pct"/>
            <w:vAlign w:val="center"/>
          </w:tcPr>
          <w:p w14:paraId="489D0D6D">
            <w:pPr>
              <w:widowControl/>
              <w:adjustRightInd w:val="0"/>
              <w:snapToGrid w:val="0"/>
              <w:jc w:val="center"/>
              <w:rPr>
                <w:rFonts w:eastAsia="等线"/>
                <w:kern w:val="0"/>
                <w:szCs w:val="21"/>
              </w:rPr>
            </w:pPr>
            <w:r>
              <w:rPr>
                <w:rFonts w:hint="eastAsia" w:eastAsia="等线"/>
                <w:kern w:val="0"/>
                <w:szCs w:val="21"/>
              </w:rPr>
              <w:t>23</w:t>
            </w:r>
          </w:p>
        </w:tc>
        <w:tc>
          <w:tcPr>
            <w:tcW w:w="666" w:type="pct"/>
            <w:vAlign w:val="center"/>
          </w:tcPr>
          <w:p w14:paraId="2AB2A03E">
            <w:pPr>
              <w:widowControl/>
              <w:adjustRightInd w:val="0"/>
              <w:snapToGrid w:val="0"/>
              <w:jc w:val="center"/>
              <w:rPr>
                <w:rFonts w:eastAsia="等线"/>
                <w:kern w:val="0"/>
                <w:szCs w:val="21"/>
              </w:rPr>
            </w:pPr>
            <w:r>
              <w:rPr>
                <w:rFonts w:hint="eastAsia" w:eastAsia="等线"/>
                <w:kern w:val="0"/>
                <w:szCs w:val="21"/>
              </w:rPr>
              <w:t>25</w:t>
            </w:r>
          </w:p>
        </w:tc>
        <w:tc>
          <w:tcPr>
            <w:tcW w:w="660" w:type="pct"/>
            <w:vAlign w:val="center"/>
          </w:tcPr>
          <w:p w14:paraId="482F46F8">
            <w:pPr>
              <w:widowControl/>
              <w:adjustRightInd w:val="0"/>
              <w:snapToGrid w:val="0"/>
              <w:jc w:val="center"/>
              <w:rPr>
                <w:rFonts w:eastAsia="等线"/>
                <w:kern w:val="0"/>
                <w:szCs w:val="21"/>
              </w:rPr>
            </w:pPr>
            <w:r>
              <w:rPr>
                <w:rFonts w:hint="eastAsia" w:eastAsia="等线"/>
                <w:kern w:val="0"/>
                <w:szCs w:val="21"/>
              </w:rPr>
              <w:t>27</w:t>
            </w:r>
          </w:p>
        </w:tc>
      </w:tr>
      <w:tr w14:paraId="78517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53413E31">
            <w:pPr>
              <w:widowControl/>
              <w:adjustRightInd w:val="0"/>
              <w:snapToGrid w:val="0"/>
              <w:jc w:val="center"/>
              <w:rPr>
                <w:kern w:val="0"/>
                <w:szCs w:val="21"/>
              </w:rPr>
            </w:pPr>
            <w:r>
              <w:t>pH值</w:t>
            </w:r>
          </w:p>
        </w:tc>
        <w:tc>
          <w:tcPr>
            <w:tcW w:w="702" w:type="pct"/>
            <w:vAlign w:val="center"/>
          </w:tcPr>
          <w:p w14:paraId="54234E10">
            <w:pPr>
              <w:widowControl/>
              <w:adjustRightInd w:val="0"/>
              <w:snapToGrid w:val="0"/>
              <w:jc w:val="center"/>
              <w:rPr>
                <w:kern w:val="0"/>
                <w:szCs w:val="21"/>
              </w:rPr>
            </w:pPr>
            <w:r>
              <w:rPr>
                <w:szCs w:val="21"/>
              </w:rPr>
              <w:t>无量纲</w:t>
            </w:r>
          </w:p>
        </w:tc>
        <w:tc>
          <w:tcPr>
            <w:tcW w:w="800" w:type="pct"/>
            <w:vAlign w:val="center"/>
          </w:tcPr>
          <w:p w14:paraId="3E88FE58">
            <w:pPr>
              <w:widowControl/>
              <w:adjustRightInd w:val="0"/>
              <w:snapToGrid w:val="0"/>
              <w:jc w:val="center"/>
              <w:rPr>
                <w:kern w:val="0"/>
                <w:szCs w:val="21"/>
              </w:rPr>
            </w:pPr>
            <w:r>
              <w:rPr>
                <w:rFonts w:hint="eastAsia"/>
                <w:kern w:val="0"/>
                <w:szCs w:val="21"/>
              </w:rPr>
              <w:t>6.7</w:t>
            </w:r>
          </w:p>
        </w:tc>
        <w:tc>
          <w:tcPr>
            <w:tcW w:w="688" w:type="pct"/>
            <w:vAlign w:val="center"/>
          </w:tcPr>
          <w:p w14:paraId="61FF8411">
            <w:pPr>
              <w:widowControl/>
              <w:adjustRightInd w:val="0"/>
              <w:snapToGrid w:val="0"/>
              <w:jc w:val="center"/>
              <w:rPr>
                <w:kern w:val="0"/>
                <w:szCs w:val="21"/>
              </w:rPr>
            </w:pPr>
            <w:r>
              <w:rPr>
                <w:rFonts w:hint="eastAsia"/>
                <w:kern w:val="0"/>
                <w:szCs w:val="21"/>
              </w:rPr>
              <w:t>6.6</w:t>
            </w:r>
          </w:p>
        </w:tc>
        <w:tc>
          <w:tcPr>
            <w:tcW w:w="688" w:type="pct"/>
            <w:vAlign w:val="center"/>
          </w:tcPr>
          <w:p w14:paraId="32DCB2F5">
            <w:pPr>
              <w:widowControl/>
              <w:adjustRightInd w:val="0"/>
              <w:snapToGrid w:val="0"/>
              <w:jc w:val="center"/>
              <w:rPr>
                <w:kern w:val="0"/>
                <w:szCs w:val="21"/>
              </w:rPr>
            </w:pPr>
            <w:r>
              <w:rPr>
                <w:rFonts w:hint="eastAsia"/>
                <w:kern w:val="0"/>
                <w:szCs w:val="21"/>
              </w:rPr>
              <w:t>6.6</w:t>
            </w:r>
          </w:p>
        </w:tc>
        <w:tc>
          <w:tcPr>
            <w:tcW w:w="666" w:type="pct"/>
            <w:vAlign w:val="center"/>
          </w:tcPr>
          <w:p w14:paraId="6890FEF6">
            <w:pPr>
              <w:widowControl/>
              <w:adjustRightInd w:val="0"/>
              <w:snapToGrid w:val="0"/>
              <w:jc w:val="center"/>
              <w:rPr>
                <w:kern w:val="0"/>
                <w:szCs w:val="21"/>
              </w:rPr>
            </w:pPr>
            <w:r>
              <w:rPr>
                <w:rFonts w:hint="eastAsia"/>
                <w:kern w:val="0"/>
                <w:szCs w:val="21"/>
              </w:rPr>
              <w:t>6.9</w:t>
            </w:r>
          </w:p>
        </w:tc>
        <w:tc>
          <w:tcPr>
            <w:tcW w:w="660" w:type="pct"/>
            <w:vAlign w:val="center"/>
          </w:tcPr>
          <w:p w14:paraId="44F4B31D">
            <w:pPr>
              <w:widowControl/>
              <w:adjustRightInd w:val="0"/>
              <w:snapToGrid w:val="0"/>
              <w:jc w:val="center"/>
              <w:rPr>
                <w:kern w:val="0"/>
                <w:szCs w:val="21"/>
              </w:rPr>
            </w:pPr>
            <w:r>
              <w:rPr>
                <w:rFonts w:hint="eastAsia"/>
                <w:kern w:val="0"/>
                <w:szCs w:val="21"/>
              </w:rPr>
              <w:t>6.8</w:t>
            </w:r>
          </w:p>
        </w:tc>
      </w:tr>
      <w:tr w14:paraId="64347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7482FD14">
            <w:pPr>
              <w:widowControl/>
              <w:adjustRightInd w:val="0"/>
              <w:snapToGrid w:val="0"/>
              <w:jc w:val="center"/>
            </w:pPr>
            <w:r>
              <w:t>总硬度</w:t>
            </w:r>
          </w:p>
          <w:p w14:paraId="4A4DDE8D">
            <w:pPr>
              <w:widowControl/>
              <w:adjustRightInd w:val="0"/>
              <w:snapToGrid w:val="0"/>
              <w:jc w:val="center"/>
              <w:rPr>
                <w:kern w:val="0"/>
                <w:szCs w:val="21"/>
              </w:rPr>
            </w:pPr>
            <w:r>
              <w:rPr>
                <w:rFonts w:hint="eastAsia"/>
              </w:rPr>
              <w:t>(</w:t>
            </w:r>
            <w:r>
              <w:t>以CaCO</w:t>
            </w:r>
            <w:r>
              <w:rPr>
                <w:vertAlign w:val="subscript"/>
              </w:rPr>
              <w:t>3</w:t>
            </w:r>
            <w:r>
              <w:t>计</w:t>
            </w:r>
            <w:r>
              <w:rPr>
                <w:rFonts w:hint="eastAsia"/>
              </w:rPr>
              <w:t>)</w:t>
            </w:r>
          </w:p>
        </w:tc>
        <w:tc>
          <w:tcPr>
            <w:tcW w:w="702" w:type="pct"/>
            <w:vAlign w:val="center"/>
          </w:tcPr>
          <w:p w14:paraId="107D1AC0">
            <w:pPr>
              <w:widowControl/>
              <w:adjustRightInd w:val="0"/>
              <w:snapToGrid w:val="0"/>
              <w:jc w:val="center"/>
              <w:rPr>
                <w:rFonts w:eastAsia="等线"/>
                <w:kern w:val="0"/>
                <w:szCs w:val="21"/>
              </w:rPr>
            </w:pPr>
            <w:r>
              <w:t>mg/L</w:t>
            </w:r>
          </w:p>
        </w:tc>
        <w:tc>
          <w:tcPr>
            <w:tcW w:w="800" w:type="pct"/>
            <w:vAlign w:val="center"/>
          </w:tcPr>
          <w:p w14:paraId="171800BA">
            <w:pPr>
              <w:widowControl/>
              <w:adjustRightInd w:val="0"/>
              <w:snapToGrid w:val="0"/>
              <w:jc w:val="center"/>
              <w:rPr>
                <w:rFonts w:eastAsia="等线"/>
                <w:kern w:val="0"/>
                <w:szCs w:val="21"/>
              </w:rPr>
            </w:pPr>
            <w:r>
              <w:rPr>
                <w:rFonts w:hint="eastAsia" w:eastAsia="等线"/>
                <w:kern w:val="0"/>
                <w:szCs w:val="21"/>
              </w:rPr>
              <w:t>42</w:t>
            </w:r>
          </w:p>
        </w:tc>
        <w:tc>
          <w:tcPr>
            <w:tcW w:w="688" w:type="pct"/>
            <w:vAlign w:val="center"/>
          </w:tcPr>
          <w:p w14:paraId="7C739B97">
            <w:pPr>
              <w:widowControl/>
              <w:adjustRightInd w:val="0"/>
              <w:snapToGrid w:val="0"/>
              <w:jc w:val="center"/>
              <w:rPr>
                <w:rFonts w:eastAsia="等线"/>
                <w:kern w:val="0"/>
                <w:szCs w:val="21"/>
              </w:rPr>
            </w:pPr>
            <w:r>
              <w:rPr>
                <w:rFonts w:hint="eastAsia" w:eastAsia="等线"/>
                <w:kern w:val="0"/>
                <w:szCs w:val="21"/>
              </w:rPr>
              <w:t>39</w:t>
            </w:r>
          </w:p>
        </w:tc>
        <w:tc>
          <w:tcPr>
            <w:tcW w:w="688" w:type="pct"/>
            <w:vAlign w:val="center"/>
          </w:tcPr>
          <w:p w14:paraId="2AD10367">
            <w:pPr>
              <w:widowControl/>
              <w:adjustRightInd w:val="0"/>
              <w:snapToGrid w:val="0"/>
              <w:jc w:val="center"/>
              <w:rPr>
                <w:rFonts w:eastAsia="等线"/>
                <w:kern w:val="0"/>
                <w:szCs w:val="21"/>
              </w:rPr>
            </w:pPr>
            <w:r>
              <w:rPr>
                <w:rFonts w:hint="eastAsia" w:eastAsia="等线"/>
                <w:kern w:val="0"/>
                <w:szCs w:val="21"/>
              </w:rPr>
              <w:t>31</w:t>
            </w:r>
          </w:p>
        </w:tc>
        <w:tc>
          <w:tcPr>
            <w:tcW w:w="666" w:type="pct"/>
            <w:vAlign w:val="center"/>
          </w:tcPr>
          <w:p w14:paraId="0F56A742">
            <w:pPr>
              <w:widowControl/>
              <w:adjustRightInd w:val="0"/>
              <w:snapToGrid w:val="0"/>
              <w:jc w:val="center"/>
              <w:rPr>
                <w:rFonts w:eastAsia="等线"/>
                <w:kern w:val="0"/>
                <w:szCs w:val="21"/>
              </w:rPr>
            </w:pPr>
            <w:r>
              <w:rPr>
                <w:rFonts w:hint="eastAsia" w:eastAsia="等线"/>
                <w:kern w:val="0"/>
                <w:szCs w:val="21"/>
              </w:rPr>
              <w:t>37</w:t>
            </w:r>
          </w:p>
        </w:tc>
        <w:tc>
          <w:tcPr>
            <w:tcW w:w="660" w:type="pct"/>
            <w:vAlign w:val="center"/>
          </w:tcPr>
          <w:p w14:paraId="43287899">
            <w:pPr>
              <w:widowControl/>
              <w:adjustRightInd w:val="0"/>
              <w:snapToGrid w:val="0"/>
              <w:jc w:val="center"/>
              <w:rPr>
                <w:rFonts w:eastAsia="等线"/>
                <w:kern w:val="0"/>
                <w:szCs w:val="21"/>
              </w:rPr>
            </w:pPr>
            <w:r>
              <w:rPr>
                <w:rFonts w:hint="eastAsia" w:eastAsia="等线"/>
                <w:kern w:val="0"/>
                <w:szCs w:val="21"/>
              </w:rPr>
              <w:t>40</w:t>
            </w:r>
          </w:p>
        </w:tc>
      </w:tr>
      <w:tr w14:paraId="567A5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2304F8F2">
            <w:pPr>
              <w:widowControl/>
              <w:adjustRightInd w:val="0"/>
              <w:snapToGrid w:val="0"/>
              <w:jc w:val="center"/>
            </w:pPr>
            <w:r>
              <w:t>挥发酚</w:t>
            </w:r>
          </w:p>
          <w:p w14:paraId="00C49CBC">
            <w:pPr>
              <w:widowControl/>
              <w:adjustRightInd w:val="0"/>
              <w:snapToGrid w:val="0"/>
              <w:jc w:val="center"/>
              <w:rPr>
                <w:kern w:val="0"/>
                <w:szCs w:val="21"/>
              </w:rPr>
            </w:pPr>
            <w:r>
              <w:t>(以苯酚计)</w:t>
            </w:r>
          </w:p>
        </w:tc>
        <w:tc>
          <w:tcPr>
            <w:tcW w:w="702" w:type="pct"/>
            <w:vAlign w:val="center"/>
          </w:tcPr>
          <w:p w14:paraId="61E973FE">
            <w:pPr>
              <w:widowControl/>
              <w:adjustRightInd w:val="0"/>
              <w:snapToGrid w:val="0"/>
              <w:jc w:val="center"/>
              <w:rPr>
                <w:kern w:val="0"/>
                <w:szCs w:val="21"/>
              </w:rPr>
            </w:pPr>
            <w:r>
              <w:t>mg/L</w:t>
            </w:r>
          </w:p>
        </w:tc>
        <w:tc>
          <w:tcPr>
            <w:tcW w:w="800" w:type="pct"/>
            <w:vAlign w:val="center"/>
          </w:tcPr>
          <w:p w14:paraId="46478C40">
            <w:pPr>
              <w:widowControl/>
              <w:adjustRightInd w:val="0"/>
              <w:snapToGrid w:val="0"/>
              <w:jc w:val="center"/>
              <w:rPr>
                <w:rFonts w:eastAsia="等线"/>
                <w:kern w:val="0"/>
                <w:szCs w:val="21"/>
              </w:rPr>
            </w:pPr>
            <w:r>
              <w:rPr>
                <w:rFonts w:hint="eastAsia" w:eastAsia="等线"/>
                <w:kern w:val="0"/>
                <w:szCs w:val="21"/>
              </w:rPr>
              <w:t>0.0003L</w:t>
            </w:r>
          </w:p>
        </w:tc>
        <w:tc>
          <w:tcPr>
            <w:tcW w:w="688" w:type="pct"/>
            <w:vAlign w:val="center"/>
          </w:tcPr>
          <w:p w14:paraId="10FC4F1A">
            <w:pPr>
              <w:widowControl/>
              <w:adjustRightInd w:val="0"/>
              <w:snapToGrid w:val="0"/>
              <w:jc w:val="center"/>
              <w:rPr>
                <w:rFonts w:eastAsia="等线"/>
                <w:kern w:val="0"/>
                <w:szCs w:val="21"/>
              </w:rPr>
            </w:pPr>
            <w:r>
              <w:rPr>
                <w:rFonts w:hint="eastAsia" w:eastAsia="等线"/>
                <w:kern w:val="0"/>
                <w:szCs w:val="21"/>
              </w:rPr>
              <w:t>0.0003L</w:t>
            </w:r>
          </w:p>
        </w:tc>
        <w:tc>
          <w:tcPr>
            <w:tcW w:w="688" w:type="pct"/>
            <w:vAlign w:val="center"/>
          </w:tcPr>
          <w:p w14:paraId="21D13160">
            <w:pPr>
              <w:widowControl/>
              <w:adjustRightInd w:val="0"/>
              <w:snapToGrid w:val="0"/>
              <w:jc w:val="center"/>
              <w:rPr>
                <w:rFonts w:eastAsia="等线"/>
                <w:kern w:val="0"/>
                <w:szCs w:val="21"/>
              </w:rPr>
            </w:pPr>
            <w:r>
              <w:rPr>
                <w:rFonts w:hint="eastAsia" w:eastAsia="等线"/>
                <w:kern w:val="0"/>
                <w:szCs w:val="21"/>
              </w:rPr>
              <w:t>0.0003L</w:t>
            </w:r>
          </w:p>
        </w:tc>
        <w:tc>
          <w:tcPr>
            <w:tcW w:w="666" w:type="pct"/>
            <w:vAlign w:val="center"/>
          </w:tcPr>
          <w:p w14:paraId="4A528F2F">
            <w:pPr>
              <w:widowControl/>
              <w:adjustRightInd w:val="0"/>
              <w:snapToGrid w:val="0"/>
              <w:jc w:val="center"/>
              <w:rPr>
                <w:rFonts w:eastAsia="等线"/>
                <w:kern w:val="0"/>
                <w:szCs w:val="21"/>
              </w:rPr>
            </w:pPr>
            <w:r>
              <w:rPr>
                <w:rFonts w:hint="eastAsia" w:eastAsia="等线"/>
                <w:kern w:val="0"/>
                <w:szCs w:val="21"/>
              </w:rPr>
              <w:t>0.0003L</w:t>
            </w:r>
          </w:p>
        </w:tc>
        <w:tc>
          <w:tcPr>
            <w:tcW w:w="660" w:type="pct"/>
            <w:vAlign w:val="center"/>
          </w:tcPr>
          <w:p w14:paraId="18D6678E">
            <w:pPr>
              <w:widowControl/>
              <w:adjustRightInd w:val="0"/>
              <w:snapToGrid w:val="0"/>
              <w:jc w:val="center"/>
              <w:rPr>
                <w:rFonts w:eastAsia="等线"/>
                <w:kern w:val="0"/>
                <w:szCs w:val="21"/>
              </w:rPr>
            </w:pPr>
            <w:r>
              <w:rPr>
                <w:rFonts w:hint="eastAsia" w:eastAsia="等线"/>
                <w:kern w:val="0"/>
                <w:szCs w:val="21"/>
              </w:rPr>
              <w:t>0.0003L</w:t>
            </w:r>
          </w:p>
        </w:tc>
      </w:tr>
      <w:tr w14:paraId="45688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6A26E978">
            <w:pPr>
              <w:widowControl/>
              <w:adjustRightInd w:val="0"/>
              <w:snapToGrid w:val="0"/>
              <w:jc w:val="center"/>
              <w:rPr>
                <w:kern w:val="0"/>
                <w:szCs w:val="21"/>
              </w:rPr>
            </w:pPr>
            <w:r>
              <w:t>溶解性总固体</w:t>
            </w:r>
          </w:p>
        </w:tc>
        <w:tc>
          <w:tcPr>
            <w:tcW w:w="702" w:type="pct"/>
            <w:vAlign w:val="center"/>
          </w:tcPr>
          <w:p w14:paraId="3753F29A">
            <w:pPr>
              <w:widowControl/>
              <w:adjustRightInd w:val="0"/>
              <w:snapToGrid w:val="0"/>
              <w:jc w:val="center"/>
              <w:rPr>
                <w:rFonts w:eastAsia="等线"/>
                <w:kern w:val="0"/>
                <w:szCs w:val="21"/>
              </w:rPr>
            </w:pPr>
            <w:r>
              <w:t>mg/L</w:t>
            </w:r>
          </w:p>
        </w:tc>
        <w:tc>
          <w:tcPr>
            <w:tcW w:w="800" w:type="pct"/>
            <w:vAlign w:val="center"/>
          </w:tcPr>
          <w:p w14:paraId="2476ACF4">
            <w:pPr>
              <w:widowControl/>
              <w:adjustRightInd w:val="0"/>
              <w:snapToGrid w:val="0"/>
              <w:jc w:val="center"/>
              <w:rPr>
                <w:rFonts w:eastAsia="等线"/>
                <w:kern w:val="0"/>
                <w:szCs w:val="21"/>
              </w:rPr>
            </w:pPr>
            <w:r>
              <w:rPr>
                <w:rFonts w:hint="eastAsia" w:eastAsia="等线"/>
                <w:kern w:val="0"/>
                <w:szCs w:val="21"/>
              </w:rPr>
              <w:t>76</w:t>
            </w:r>
          </w:p>
        </w:tc>
        <w:tc>
          <w:tcPr>
            <w:tcW w:w="688" w:type="pct"/>
            <w:vAlign w:val="center"/>
          </w:tcPr>
          <w:p w14:paraId="1F1A68BF">
            <w:pPr>
              <w:widowControl/>
              <w:adjustRightInd w:val="0"/>
              <w:snapToGrid w:val="0"/>
              <w:jc w:val="center"/>
              <w:rPr>
                <w:rFonts w:eastAsia="等线"/>
                <w:kern w:val="0"/>
                <w:szCs w:val="21"/>
              </w:rPr>
            </w:pPr>
            <w:r>
              <w:rPr>
                <w:rFonts w:hint="eastAsia" w:eastAsia="等线"/>
                <w:kern w:val="0"/>
                <w:szCs w:val="21"/>
              </w:rPr>
              <w:t>69</w:t>
            </w:r>
          </w:p>
        </w:tc>
        <w:tc>
          <w:tcPr>
            <w:tcW w:w="688" w:type="pct"/>
            <w:vAlign w:val="center"/>
          </w:tcPr>
          <w:p w14:paraId="516B568B">
            <w:pPr>
              <w:widowControl/>
              <w:adjustRightInd w:val="0"/>
              <w:snapToGrid w:val="0"/>
              <w:jc w:val="center"/>
              <w:rPr>
                <w:rFonts w:eastAsia="等线"/>
                <w:kern w:val="0"/>
                <w:szCs w:val="21"/>
              </w:rPr>
            </w:pPr>
            <w:r>
              <w:rPr>
                <w:rFonts w:hint="eastAsia" w:eastAsia="等线"/>
                <w:kern w:val="0"/>
                <w:szCs w:val="21"/>
              </w:rPr>
              <w:t>62</w:t>
            </w:r>
          </w:p>
        </w:tc>
        <w:tc>
          <w:tcPr>
            <w:tcW w:w="666" w:type="pct"/>
            <w:vAlign w:val="center"/>
          </w:tcPr>
          <w:p w14:paraId="6CF31932">
            <w:pPr>
              <w:widowControl/>
              <w:adjustRightInd w:val="0"/>
              <w:snapToGrid w:val="0"/>
              <w:jc w:val="center"/>
              <w:rPr>
                <w:rFonts w:eastAsia="等线"/>
                <w:kern w:val="0"/>
                <w:szCs w:val="21"/>
              </w:rPr>
            </w:pPr>
            <w:r>
              <w:rPr>
                <w:rFonts w:hint="eastAsia" w:eastAsia="等线"/>
                <w:kern w:val="0"/>
                <w:szCs w:val="21"/>
              </w:rPr>
              <w:t>71</w:t>
            </w:r>
          </w:p>
        </w:tc>
        <w:tc>
          <w:tcPr>
            <w:tcW w:w="660" w:type="pct"/>
            <w:vAlign w:val="center"/>
          </w:tcPr>
          <w:p w14:paraId="3E97E1D4">
            <w:pPr>
              <w:widowControl/>
              <w:adjustRightInd w:val="0"/>
              <w:snapToGrid w:val="0"/>
              <w:jc w:val="center"/>
              <w:rPr>
                <w:rFonts w:eastAsia="等线"/>
                <w:kern w:val="0"/>
                <w:szCs w:val="21"/>
              </w:rPr>
            </w:pPr>
            <w:r>
              <w:rPr>
                <w:rFonts w:hint="eastAsia" w:eastAsia="等线"/>
                <w:kern w:val="0"/>
                <w:szCs w:val="21"/>
              </w:rPr>
              <w:t>66</w:t>
            </w:r>
          </w:p>
        </w:tc>
      </w:tr>
      <w:tr w14:paraId="3DE0C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2AE2C607">
            <w:pPr>
              <w:widowControl/>
              <w:adjustRightInd w:val="0"/>
              <w:snapToGrid w:val="0"/>
              <w:jc w:val="center"/>
              <w:rPr>
                <w:kern w:val="0"/>
                <w:szCs w:val="21"/>
              </w:rPr>
            </w:pPr>
            <w:r>
              <w:t>氟化物</w:t>
            </w:r>
          </w:p>
        </w:tc>
        <w:tc>
          <w:tcPr>
            <w:tcW w:w="702" w:type="pct"/>
            <w:vAlign w:val="center"/>
          </w:tcPr>
          <w:p w14:paraId="5F2C00BE">
            <w:pPr>
              <w:widowControl/>
              <w:adjustRightInd w:val="0"/>
              <w:snapToGrid w:val="0"/>
              <w:jc w:val="center"/>
              <w:rPr>
                <w:kern w:val="0"/>
                <w:szCs w:val="21"/>
              </w:rPr>
            </w:pPr>
            <w:r>
              <w:t>mg/L</w:t>
            </w:r>
          </w:p>
        </w:tc>
        <w:tc>
          <w:tcPr>
            <w:tcW w:w="800" w:type="pct"/>
            <w:vAlign w:val="center"/>
          </w:tcPr>
          <w:p w14:paraId="4F6113FC">
            <w:pPr>
              <w:widowControl/>
              <w:adjustRightInd w:val="0"/>
              <w:snapToGrid w:val="0"/>
              <w:jc w:val="center"/>
              <w:rPr>
                <w:rFonts w:eastAsia="等线"/>
                <w:kern w:val="0"/>
                <w:szCs w:val="21"/>
              </w:rPr>
            </w:pPr>
            <w:r>
              <w:rPr>
                <w:rFonts w:hint="eastAsia" w:eastAsia="等线"/>
                <w:kern w:val="0"/>
                <w:szCs w:val="21"/>
              </w:rPr>
              <w:t>0.11</w:t>
            </w:r>
          </w:p>
        </w:tc>
        <w:tc>
          <w:tcPr>
            <w:tcW w:w="688" w:type="pct"/>
            <w:vAlign w:val="center"/>
          </w:tcPr>
          <w:p w14:paraId="2E7FEABE">
            <w:pPr>
              <w:widowControl/>
              <w:adjustRightInd w:val="0"/>
              <w:snapToGrid w:val="0"/>
              <w:jc w:val="center"/>
              <w:rPr>
                <w:rFonts w:eastAsia="等线"/>
                <w:kern w:val="0"/>
                <w:szCs w:val="21"/>
              </w:rPr>
            </w:pPr>
            <w:r>
              <w:rPr>
                <w:rFonts w:hint="eastAsia" w:eastAsia="等线"/>
                <w:kern w:val="0"/>
                <w:szCs w:val="21"/>
              </w:rPr>
              <w:t>0.07</w:t>
            </w:r>
          </w:p>
        </w:tc>
        <w:tc>
          <w:tcPr>
            <w:tcW w:w="688" w:type="pct"/>
            <w:vAlign w:val="center"/>
          </w:tcPr>
          <w:p w14:paraId="66B2A1F9">
            <w:pPr>
              <w:widowControl/>
              <w:adjustRightInd w:val="0"/>
              <w:snapToGrid w:val="0"/>
              <w:jc w:val="center"/>
              <w:rPr>
                <w:rFonts w:eastAsia="等线"/>
                <w:kern w:val="0"/>
                <w:szCs w:val="21"/>
              </w:rPr>
            </w:pPr>
            <w:r>
              <w:rPr>
                <w:rFonts w:hint="eastAsia" w:eastAsia="等线"/>
                <w:kern w:val="0"/>
                <w:szCs w:val="21"/>
              </w:rPr>
              <w:t>0.06</w:t>
            </w:r>
          </w:p>
        </w:tc>
        <w:tc>
          <w:tcPr>
            <w:tcW w:w="666" w:type="pct"/>
            <w:vAlign w:val="center"/>
          </w:tcPr>
          <w:p w14:paraId="29A74CC0">
            <w:pPr>
              <w:widowControl/>
              <w:adjustRightInd w:val="0"/>
              <w:snapToGrid w:val="0"/>
              <w:jc w:val="center"/>
              <w:rPr>
                <w:rFonts w:eastAsia="等线"/>
                <w:kern w:val="0"/>
                <w:szCs w:val="21"/>
              </w:rPr>
            </w:pPr>
            <w:r>
              <w:rPr>
                <w:rFonts w:hint="eastAsia" w:eastAsia="等线"/>
                <w:kern w:val="0"/>
                <w:szCs w:val="21"/>
              </w:rPr>
              <w:t>0.10</w:t>
            </w:r>
          </w:p>
        </w:tc>
        <w:tc>
          <w:tcPr>
            <w:tcW w:w="660" w:type="pct"/>
            <w:vAlign w:val="center"/>
          </w:tcPr>
          <w:p w14:paraId="78A62033">
            <w:pPr>
              <w:widowControl/>
              <w:adjustRightInd w:val="0"/>
              <w:snapToGrid w:val="0"/>
              <w:jc w:val="center"/>
              <w:rPr>
                <w:rFonts w:eastAsia="等线"/>
                <w:kern w:val="0"/>
                <w:szCs w:val="21"/>
              </w:rPr>
            </w:pPr>
            <w:r>
              <w:rPr>
                <w:rFonts w:hint="eastAsia" w:eastAsia="等线"/>
                <w:kern w:val="0"/>
                <w:szCs w:val="21"/>
              </w:rPr>
              <w:t>0.08</w:t>
            </w:r>
          </w:p>
        </w:tc>
      </w:tr>
      <w:tr w14:paraId="43C91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7ECDF252">
            <w:pPr>
              <w:widowControl/>
              <w:adjustRightInd w:val="0"/>
              <w:snapToGrid w:val="0"/>
              <w:jc w:val="center"/>
              <w:rPr>
                <w:kern w:val="0"/>
                <w:szCs w:val="21"/>
              </w:rPr>
            </w:pPr>
            <w:r>
              <w:t>氨氮</w:t>
            </w:r>
          </w:p>
        </w:tc>
        <w:tc>
          <w:tcPr>
            <w:tcW w:w="702" w:type="pct"/>
            <w:vAlign w:val="center"/>
          </w:tcPr>
          <w:p w14:paraId="7E28E23A">
            <w:pPr>
              <w:widowControl/>
              <w:adjustRightInd w:val="0"/>
              <w:snapToGrid w:val="0"/>
              <w:jc w:val="center"/>
              <w:rPr>
                <w:rFonts w:eastAsia="等线"/>
                <w:kern w:val="0"/>
                <w:szCs w:val="21"/>
              </w:rPr>
            </w:pPr>
            <w:r>
              <w:t>mg/L</w:t>
            </w:r>
          </w:p>
        </w:tc>
        <w:tc>
          <w:tcPr>
            <w:tcW w:w="800" w:type="pct"/>
            <w:vAlign w:val="center"/>
          </w:tcPr>
          <w:p w14:paraId="0C052AD2">
            <w:pPr>
              <w:widowControl/>
              <w:adjustRightInd w:val="0"/>
              <w:snapToGrid w:val="0"/>
              <w:jc w:val="center"/>
              <w:rPr>
                <w:rFonts w:eastAsia="等线"/>
                <w:kern w:val="0"/>
                <w:szCs w:val="21"/>
              </w:rPr>
            </w:pPr>
            <w:r>
              <w:rPr>
                <w:rFonts w:hint="eastAsia" w:eastAsia="等线"/>
                <w:kern w:val="0"/>
                <w:szCs w:val="21"/>
              </w:rPr>
              <w:t>0.026</w:t>
            </w:r>
          </w:p>
        </w:tc>
        <w:tc>
          <w:tcPr>
            <w:tcW w:w="688" w:type="pct"/>
            <w:vAlign w:val="center"/>
          </w:tcPr>
          <w:p w14:paraId="043B209B">
            <w:pPr>
              <w:widowControl/>
              <w:adjustRightInd w:val="0"/>
              <w:snapToGrid w:val="0"/>
              <w:jc w:val="center"/>
              <w:rPr>
                <w:rFonts w:eastAsia="等线"/>
                <w:kern w:val="0"/>
                <w:szCs w:val="21"/>
              </w:rPr>
            </w:pPr>
            <w:r>
              <w:rPr>
                <w:rFonts w:hint="eastAsia" w:eastAsia="等线"/>
                <w:kern w:val="0"/>
                <w:szCs w:val="21"/>
              </w:rPr>
              <w:t>0.037</w:t>
            </w:r>
          </w:p>
        </w:tc>
        <w:tc>
          <w:tcPr>
            <w:tcW w:w="688" w:type="pct"/>
            <w:vAlign w:val="center"/>
          </w:tcPr>
          <w:p w14:paraId="5703AC7B">
            <w:pPr>
              <w:widowControl/>
              <w:adjustRightInd w:val="0"/>
              <w:snapToGrid w:val="0"/>
              <w:jc w:val="center"/>
              <w:rPr>
                <w:rFonts w:eastAsia="等线"/>
                <w:kern w:val="0"/>
                <w:szCs w:val="21"/>
              </w:rPr>
            </w:pPr>
            <w:r>
              <w:rPr>
                <w:rFonts w:hint="eastAsia" w:eastAsia="等线"/>
                <w:kern w:val="0"/>
                <w:szCs w:val="21"/>
              </w:rPr>
              <w:t>0.031</w:t>
            </w:r>
          </w:p>
        </w:tc>
        <w:tc>
          <w:tcPr>
            <w:tcW w:w="666" w:type="pct"/>
            <w:vAlign w:val="center"/>
          </w:tcPr>
          <w:p w14:paraId="74BC25C9">
            <w:pPr>
              <w:widowControl/>
              <w:adjustRightInd w:val="0"/>
              <w:snapToGrid w:val="0"/>
              <w:jc w:val="center"/>
              <w:rPr>
                <w:rFonts w:eastAsia="等线"/>
                <w:kern w:val="0"/>
                <w:szCs w:val="21"/>
              </w:rPr>
            </w:pPr>
            <w:r>
              <w:rPr>
                <w:rFonts w:hint="eastAsia" w:eastAsia="等线"/>
                <w:kern w:val="0"/>
                <w:szCs w:val="21"/>
              </w:rPr>
              <w:t>0.049</w:t>
            </w:r>
          </w:p>
        </w:tc>
        <w:tc>
          <w:tcPr>
            <w:tcW w:w="660" w:type="pct"/>
            <w:vAlign w:val="center"/>
          </w:tcPr>
          <w:p w14:paraId="40ACDCC2">
            <w:pPr>
              <w:widowControl/>
              <w:adjustRightInd w:val="0"/>
              <w:snapToGrid w:val="0"/>
              <w:jc w:val="center"/>
              <w:rPr>
                <w:rFonts w:eastAsia="等线"/>
                <w:kern w:val="0"/>
                <w:szCs w:val="21"/>
              </w:rPr>
            </w:pPr>
            <w:r>
              <w:rPr>
                <w:rFonts w:hint="eastAsia" w:eastAsia="等线"/>
                <w:kern w:val="0"/>
                <w:szCs w:val="21"/>
              </w:rPr>
              <w:t>0.046</w:t>
            </w:r>
          </w:p>
        </w:tc>
      </w:tr>
      <w:tr w14:paraId="2BD09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322D1CF4">
            <w:pPr>
              <w:widowControl/>
              <w:adjustRightInd w:val="0"/>
              <w:snapToGrid w:val="0"/>
              <w:jc w:val="center"/>
              <w:rPr>
                <w:kern w:val="0"/>
                <w:szCs w:val="21"/>
              </w:rPr>
            </w:pPr>
            <w:r>
              <w:t>氰化物</w:t>
            </w:r>
          </w:p>
        </w:tc>
        <w:tc>
          <w:tcPr>
            <w:tcW w:w="702" w:type="pct"/>
            <w:vAlign w:val="center"/>
          </w:tcPr>
          <w:p w14:paraId="6C2E5D6A">
            <w:pPr>
              <w:widowControl/>
              <w:adjustRightInd w:val="0"/>
              <w:snapToGrid w:val="0"/>
              <w:jc w:val="center"/>
              <w:rPr>
                <w:rFonts w:eastAsia="等线"/>
                <w:kern w:val="0"/>
                <w:szCs w:val="21"/>
              </w:rPr>
            </w:pPr>
            <w:r>
              <w:t>mg/L</w:t>
            </w:r>
          </w:p>
        </w:tc>
        <w:tc>
          <w:tcPr>
            <w:tcW w:w="800" w:type="pct"/>
            <w:vAlign w:val="center"/>
          </w:tcPr>
          <w:p w14:paraId="4E2F230C">
            <w:pPr>
              <w:widowControl/>
              <w:adjustRightInd w:val="0"/>
              <w:snapToGrid w:val="0"/>
              <w:jc w:val="center"/>
              <w:rPr>
                <w:rFonts w:eastAsia="等线"/>
                <w:kern w:val="0"/>
                <w:szCs w:val="21"/>
              </w:rPr>
            </w:pPr>
            <w:r>
              <w:rPr>
                <w:rFonts w:hint="eastAsia" w:eastAsia="等线"/>
                <w:kern w:val="0"/>
                <w:szCs w:val="21"/>
              </w:rPr>
              <w:t>0.004L</w:t>
            </w:r>
          </w:p>
        </w:tc>
        <w:tc>
          <w:tcPr>
            <w:tcW w:w="688" w:type="pct"/>
            <w:vAlign w:val="center"/>
          </w:tcPr>
          <w:p w14:paraId="70B11251">
            <w:pPr>
              <w:widowControl/>
              <w:adjustRightInd w:val="0"/>
              <w:snapToGrid w:val="0"/>
              <w:jc w:val="center"/>
              <w:rPr>
                <w:rFonts w:eastAsia="等线"/>
                <w:kern w:val="0"/>
                <w:szCs w:val="21"/>
              </w:rPr>
            </w:pPr>
            <w:r>
              <w:rPr>
                <w:rFonts w:hint="eastAsia" w:eastAsia="等线"/>
                <w:kern w:val="0"/>
                <w:szCs w:val="21"/>
              </w:rPr>
              <w:t>0.004L</w:t>
            </w:r>
          </w:p>
        </w:tc>
        <w:tc>
          <w:tcPr>
            <w:tcW w:w="688" w:type="pct"/>
            <w:vAlign w:val="center"/>
          </w:tcPr>
          <w:p w14:paraId="6B457F89">
            <w:pPr>
              <w:widowControl/>
              <w:adjustRightInd w:val="0"/>
              <w:snapToGrid w:val="0"/>
              <w:jc w:val="center"/>
              <w:rPr>
                <w:rFonts w:eastAsia="等线"/>
                <w:kern w:val="0"/>
                <w:szCs w:val="21"/>
              </w:rPr>
            </w:pPr>
            <w:r>
              <w:rPr>
                <w:rFonts w:hint="eastAsia" w:eastAsia="等线"/>
                <w:kern w:val="0"/>
                <w:szCs w:val="21"/>
              </w:rPr>
              <w:t>0.004L</w:t>
            </w:r>
          </w:p>
        </w:tc>
        <w:tc>
          <w:tcPr>
            <w:tcW w:w="666" w:type="pct"/>
            <w:vAlign w:val="center"/>
          </w:tcPr>
          <w:p w14:paraId="3713BC4B">
            <w:pPr>
              <w:widowControl/>
              <w:adjustRightInd w:val="0"/>
              <w:snapToGrid w:val="0"/>
              <w:jc w:val="center"/>
              <w:rPr>
                <w:rFonts w:eastAsia="等线"/>
                <w:kern w:val="0"/>
                <w:szCs w:val="21"/>
              </w:rPr>
            </w:pPr>
            <w:r>
              <w:rPr>
                <w:rFonts w:hint="eastAsia" w:eastAsia="等线"/>
                <w:kern w:val="0"/>
                <w:szCs w:val="21"/>
              </w:rPr>
              <w:t>0.004L</w:t>
            </w:r>
          </w:p>
        </w:tc>
        <w:tc>
          <w:tcPr>
            <w:tcW w:w="660" w:type="pct"/>
            <w:vAlign w:val="center"/>
          </w:tcPr>
          <w:p w14:paraId="072264A9">
            <w:pPr>
              <w:widowControl/>
              <w:adjustRightInd w:val="0"/>
              <w:snapToGrid w:val="0"/>
              <w:jc w:val="center"/>
              <w:rPr>
                <w:rFonts w:eastAsia="等线"/>
                <w:kern w:val="0"/>
                <w:szCs w:val="21"/>
              </w:rPr>
            </w:pPr>
            <w:r>
              <w:rPr>
                <w:rFonts w:hint="eastAsia" w:eastAsia="等线"/>
                <w:kern w:val="0"/>
                <w:szCs w:val="21"/>
              </w:rPr>
              <w:t>0.004L</w:t>
            </w:r>
          </w:p>
        </w:tc>
      </w:tr>
      <w:tr w14:paraId="5A72E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49CFB652">
            <w:pPr>
              <w:widowControl/>
              <w:adjustRightInd w:val="0"/>
              <w:snapToGrid w:val="0"/>
              <w:jc w:val="center"/>
              <w:rPr>
                <w:kern w:val="0"/>
                <w:szCs w:val="21"/>
              </w:rPr>
            </w:pPr>
            <w:r>
              <w:t>硝酸盐</w:t>
            </w:r>
          </w:p>
        </w:tc>
        <w:tc>
          <w:tcPr>
            <w:tcW w:w="702" w:type="pct"/>
            <w:vAlign w:val="center"/>
          </w:tcPr>
          <w:p w14:paraId="4331BC89">
            <w:pPr>
              <w:widowControl/>
              <w:adjustRightInd w:val="0"/>
              <w:snapToGrid w:val="0"/>
              <w:jc w:val="center"/>
              <w:rPr>
                <w:kern w:val="0"/>
                <w:szCs w:val="21"/>
              </w:rPr>
            </w:pPr>
            <w:r>
              <w:t>mg/L</w:t>
            </w:r>
          </w:p>
        </w:tc>
        <w:tc>
          <w:tcPr>
            <w:tcW w:w="800" w:type="pct"/>
            <w:vAlign w:val="center"/>
          </w:tcPr>
          <w:p w14:paraId="32204142">
            <w:pPr>
              <w:widowControl/>
              <w:adjustRightInd w:val="0"/>
              <w:snapToGrid w:val="0"/>
              <w:jc w:val="center"/>
              <w:rPr>
                <w:kern w:val="0"/>
                <w:szCs w:val="21"/>
              </w:rPr>
            </w:pPr>
            <w:r>
              <w:rPr>
                <w:rFonts w:hint="eastAsia"/>
                <w:kern w:val="0"/>
                <w:szCs w:val="21"/>
              </w:rPr>
              <w:t>7.5</w:t>
            </w:r>
          </w:p>
        </w:tc>
        <w:tc>
          <w:tcPr>
            <w:tcW w:w="688" w:type="pct"/>
            <w:vAlign w:val="center"/>
          </w:tcPr>
          <w:p w14:paraId="67DAD29E">
            <w:pPr>
              <w:widowControl/>
              <w:adjustRightInd w:val="0"/>
              <w:snapToGrid w:val="0"/>
              <w:jc w:val="center"/>
              <w:rPr>
                <w:kern w:val="0"/>
                <w:szCs w:val="21"/>
              </w:rPr>
            </w:pPr>
            <w:r>
              <w:rPr>
                <w:rFonts w:hint="eastAsia"/>
                <w:kern w:val="0"/>
                <w:szCs w:val="21"/>
              </w:rPr>
              <w:t>2.7</w:t>
            </w:r>
          </w:p>
        </w:tc>
        <w:tc>
          <w:tcPr>
            <w:tcW w:w="688" w:type="pct"/>
            <w:vAlign w:val="center"/>
          </w:tcPr>
          <w:p w14:paraId="3322280B">
            <w:pPr>
              <w:widowControl/>
              <w:adjustRightInd w:val="0"/>
              <w:snapToGrid w:val="0"/>
              <w:jc w:val="center"/>
              <w:rPr>
                <w:kern w:val="0"/>
                <w:szCs w:val="21"/>
              </w:rPr>
            </w:pPr>
            <w:r>
              <w:rPr>
                <w:rFonts w:hint="eastAsia"/>
                <w:kern w:val="0"/>
                <w:szCs w:val="21"/>
              </w:rPr>
              <w:t>1.9</w:t>
            </w:r>
          </w:p>
        </w:tc>
        <w:tc>
          <w:tcPr>
            <w:tcW w:w="666" w:type="pct"/>
            <w:vAlign w:val="center"/>
          </w:tcPr>
          <w:p w14:paraId="4A621272">
            <w:pPr>
              <w:widowControl/>
              <w:adjustRightInd w:val="0"/>
              <w:snapToGrid w:val="0"/>
              <w:jc w:val="center"/>
              <w:rPr>
                <w:kern w:val="0"/>
                <w:szCs w:val="21"/>
              </w:rPr>
            </w:pPr>
            <w:r>
              <w:rPr>
                <w:rFonts w:hint="eastAsia"/>
                <w:kern w:val="0"/>
                <w:szCs w:val="21"/>
              </w:rPr>
              <w:t>1.3</w:t>
            </w:r>
          </w:p>
        </w:tc>
        <w:tc>
          <w:tcPr>
            <w:tcW w:w="660" w:type="pct"/>
            <w:vAlign w:val="center"/>
          </w:tcPr>
          <w:p w14:paraId="5838B2B3">
            <w:pPr>
              <w:widowControl/>
              <w:adjustRightInd w:val="0"/>
              <w:snapToGrid w:val="0"/>
              <w:jc w:val="center"/>
              <w:rPr>
                <w:kern w:val="0"/>
                <w:szCs w:val="21"/>
              </w:rPr>
            </w:pPr>
            <w:r>
              <w:rPr>
                <w:rFonts w:hint="eastAsia"/>
                <w:kern w:val="0"/>
                <w:szCs w:val="21"/>
              </w:rPr>
              <w:t>1.5</w:t>
            </w:r>
          </w:p>
        </w:tc>
      </w:tr>
      <w:tr w14:paraId="47AAF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10A6E2C7">
            <w:pPr>
              <w:widowControl/>
              <w:adjustRightInd w:val="0"/>
              <w:snapToGrid w:val="0"/>
              <w:jc w:val="center"/>
              <w:rPr>
                <w:kern w:val="0"/>
                <w:szCs w:val="21"/>
              </w:rPr>
            </w:pPr>
            <w:r>
              <w:t>亚硝酸盐</w:t>
            </w:r>
          </w:p>
        </w:tc>
        <w:tc>
          <w:tcPr>
            <w:tcW w:w="702" w:type="pct"/>
            <w:vAlign w:val="center"/>
          </w:tcPr>
          <w:p w14:paraId="4F3E9794">
            <w:pPr>
              <w:widowControl/>
              <w:adjustRightInd w:val="0"/>
              <w:snapToGrid w:val="0"/>
              <w:jc w:val="center"/>
              <w:rPr>
                <w:kern w:val="0"/>
                <w:szCs w:val="21"/>
              </w:rPr>
            </w:pPr>
            <w:r>
              <w:t>mg/L</w:t>
            </w:r>
          </w:p>
        </w:tc>
        <w:tc>
          <w:tcPr>
            <w:tcW w:w="800" w:type="pct"/>
            <w:vAlign w:val="center"/>
          </w:tcPr>
          <w:p w14:paraId="32C59560">
            <w:pPr>
              <w:widowControl/>
              <w:adjustRightInd w:val="0"/>
              <w:snapToGrid w:val="0"/>
              <w:jc w:val="center"/>
              <w:rPr>
                <w:kern w:val="0"/>
                <w:szCs w:val="21"/>
              </w:rPr>
            </w:pPr>
            <w:r>
              <w:rPr>
                <w:rFonts w:hint="eastAsia"/>
                <w:kern w:val="0"/>
                <w:szCs w:val="21"/>
              </w:rPr>
              <w:t>0.003L</w:t>
            </w:r>
          </w:p>
        </w:tc>
        <w:tc>
          <w:tcPr>
            <w:tcW w:w="688" w:type="pct"/>
            <w:vAlign w:val="center"/>
          </w:tcPr>
          <w:p w14:paraId="62F17457">
            <w:pPr>
              <w:widowControl/>
              <w:adjustRightInd w:val="0"/>
              <w:snapToGrid w:val="0"/>
              <w:jc w:val="center"/>
              <w:rPr>
                <w:kern w:val="0"/>
                <w:szCs w:val="21"/>
              </w:rPr>
            </w:pPr>
            <w:r>
              <w:rPr>
                <w:rFonts w:hint="eastAsia"/>
                <w:kern w:val="0"/>
                <w:szCs w:val="21"/>
              </w:rPr>
              <w:t>0.003L</w:t>
            </w:r>
          </w:p>
        </w:tc>
        <w:tc>
          <w:tcPr>
            <w:tcW w:w="688" w:type="pct"/>
            <w:vAlign w:val="center"/>
          </w:tcPr>
          <w:p w14:paraId="3D8CCBB1">
            <w:pPr>
              <w:widowControl/>
              <w:adjustRightInd w:val="0"/>
              <w:snapToGrid w:val="0"/>
              <w:jc w:val="center"/>
              <w:rPr>
                <w:kern w:val="0"/>
                <w:szCs w:val="21"/>
              </w:rPr>
            </w:pPr>
            <w:r>
              <w:rPr>
                <w:rFonts w:hint="eastAsia"/>
                <w:kern w:val="0"/>
                <w:szCs w:val="21"/>
              </w:rPr>
              <w:t>0.003L</w:t>
            </w:r>
          </w:p>
        </w:tc>
        <w:tc>
          <w:tcPr>
            <w:tcW w:w="666" w:type="pct"/>
            <w:vAlign w:val="center"/>
          </w:tcPr>
          <w:p w14:paraId="46076B6E">
            <w:pPr>
              <w:widowControl/>
              <w:adjustRightInd w:val="0"/>
              <w:snapToGrid w:val="0"/>
              <w:jc w:val="center"/>
              <w:rPr>
                <w:kern w:val="0"/>
                <w:szCs w:val="21"/>
              </w:rPr>
            </w:pPr>
            <w:r>
              <w:rPr>
                <w:rFonts w:hint="eastAsia"/>
                <w:kern w:val="0"/>
                <w:szCs w:val="21"/>
              </w:rPr>
              <w:t>0.003L</w:t>
            </w:r>
          </w:p>
        </w:tc>
        <w:tc>
          <w:tcPr>
            <w:tcW w:w="660" w:type="pct"/>
            <w:vAlign w:val="center"/>
          </w:tcPr>
          <w:p w14:paraId="5E14A534">
            <w:pPr>
              <w:widowControl/>
              <w:adjustRightInd w:val="0"/>
              <w:snapToGrid w:val="0"/>
              <w:jc w:val="center"/>
              <w:rPr>
                <w:kern w:val="0"/>
                <w:szCs w:val="21"/>
              </w:rPr>
            </w:pPr>
            <w:r>
              <w:rPr>
                <w:rFonts w:hint="eastAsia"/>
                <w:kern w:val="0"/>
                <w:szCs w:val="21"/>
              </w:rPr>
              <w:t>0.003L</w:t>
            </w:r>
          </w:p>
        </w:tc>
      </w:tr>
      <w:tr w14:paraId="530AB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7030D0C4">
            <w:pPr>
              <w:widowControl/>
              <w:adjustRightInd w:val="0"/>
              <w:snapToGrid w:val="0"/>
              <w:jc w:val="center"/>
              <w:rPr>
                <w:kern w:val="0"/>
                <w:szCs w:val="21"/>
              </w:rPr>
            </w:pPr>
            <w:r>
              <w:t>六价铬</w:t>
            </w:r>
          </w:p>
        </w:tc>
        <w:tc>
          <w:tcPr>
            <w:tcW w:w="702" w:type="pct"/>
            <w:vAlign w:val="center"/>
          </w:tcPr>
          <w:p w14:paraId="1B48B899">
            <w:pPr>
              <w:widowControl/>
              <w:adjustRightInd w:val="0"/>
              <w:snapToGrid w:val="0"/>
              <w:jc w:val="center"/>
            </w:pPr>
            <w:r>
              <w:t>mg/L</w:t>
            </w:r>
          </w:p>
        </w:tc>
        <w:tc>
          <w:tcPr>
            <w:tcW w:w="800" w:type="pct"/>
            <w:vAlign w:val="center"/>
          </w:tcPr>
          <w:p w14:paraId="703DE22D">
            <w:pPr>
              <w:widowControl/>
              <w:adjustRightInd w:val="0"/>
              <w:snapToGrid w:val="0"/>
              <w:jc w:val="center"/>
              <w:rPr>
                <w:kern w:val="0"/>
                <w:szCs w:val="21"/>
              </w:rPr>
            </w:pPr>
            <w:r>
              <w:rPr>
                <w:rFonts w:hint="eastAsia"/>
                <w:kern w:val="0"/>
                <w:szCs w:val="21"/>
              </w:rPr>
              <w:t>0.002</w:t>
            </w:r>
          </w:p>
        </w:tc>
        <w:tc>
          <w:tcPr>
            <w:tcW w:w="688" w:type="pct"/>
            <w:vAlign w:val="center"/>
          </w:tcPr>
          <w:p w14:paraId="6353BD8B">
            <w:pPr>
              <w:widowControl/>
              <w:adjustRightInd w:val="0"/>
              <w:snapToGrid w:val="0"/>
              <w:jc w:val="center"/>
              <w:rPr>
                <w:kern w:val="0"/>
                <w:szCs w:val="21"/>
              </w:rPr>
            </w:pPr>
            <w:r>
              <w:rPr>
                <w:rFonts w:hint="eastAsia"/>
                <w:kern w:val="0"/>
                <w:szCs w:val="21"/>
              </w:rPr>
              <w:t>0.003</w:t>
            </w:r>
          </w:p>
        </w:tc>
        <w:tc>
          <w:tcPr>
            <w:tcW w:w="688" w:type="pct"/>
            <w:vAlign w:val="center"/>
          </w:tcPr>
          <w:p w14:paraId="7AC7C104">
            <w:pPr>
              <w:widowControl/>
              <w:adjustRightInd w:val="0"/>
              <w:snapToGrid w:val="0"/>
              <w:jc w:val="center"/>
              <w:rPr>
                <w:kern w:val="0"/>
                <w:szCs w:val="21"/>
              </w:rPr>
            </w:pPr>
            <w:r>
              <w:rPr>
                <w:rFonts w:hint="eastAsia"/>
                <w:kern w:val="0"/>
                <w:szCs w:val="21"/>
              </w:rPr>
              <w:t>0.003</w:t>
            </w:r>
          </w:p>
        </w:tc>
        <w:tc>
          <w:tcPr>
            <w:tcW w:w="666" w:type="pct"/>
            <w:vAlign w:val="center"/>
          </w:tcPr>
          <w:p w14:paraId="1515CF3C">
            <w:pPr>
              <w:widowControl/>
              <w:adjustRightInd w:val="0"/>
              <w:snapToGrid w:val="0"/>
              <w:jc w:val="center"/>
              <w:rPr>
                <w:kern w:val="0"/>
                <w:szCs w:val="21"/>
              </w:rPr>
            </w:pPr>
            <w:r>
              <w:rPr>
                <w:rFonts w:hint="eastAsia"/>
                <w:kern w:val="0"/>
                <w:szCs w:val="21"/>
              </w:rPr>
              <w:t>0.002</w:t>
            </w:r>
          </w:p>
        </w:tc>
        <w:tc>
          <w:tcPr>
            <w:tcW w:w="660" w:type="pct"/>
            <w:vAlign w:val="center"/>
          </w:tcPr>
          <w:p w14:paraId="466912B5">
            <w:pPr>
              <w:widowControl/>
              <w:adjustRightInd w:val="0"/>
              <w:snapToGrid w:val="0"/>
              <w:jc w:val="center"/>
              <w:rPr>
                <w:kern w:val="0"/>
                <w:szCs w:val="21"/>
              </w:rPr>
            </w:pPr>
            <w:r>
              <w:rPr>
                <w:rFonts w:hint="eastAsia"/>
                <w:kern w:val="0"/>
                <w:szCs w:val="21"/>
              </w:rPr>
              <w:t>0.003</w:t>
            </w:r>
          </w:p>
        </w:tc>
      </w:tr>
      <w:tr w14:paraId="4C85C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1FC0EF02">
            <w:pPr>
              <w:widowControl/>
              <w:adjustRightInd w:val="0"/>
              <w:snapToGrid w:val="0"/>
              <w:jc w:val="center"/>
              <w:rPr>
                <w:kern w:val="0"/>
                <w:szCs w:val="21"/>
              </w:rPr>
            </w:pPr>
            <w:r>
              <w:t>耗氧量(COD</w:t>
            </w:r>
            <w:r>
              <w:rPr>
                <w:vertAlign w:val="subscript"/>
              </w:rPr>
              <w:t>Mn</w:t>
            </w:r>
            <w:r>
              <w:t>法，以O</w:t>
            </w:r>
            <w:r>
              <w:rPr>
                <w:vertAlign w:val="subscript"/>
              </w:rPr>
              <w:t>2</w:t>
            </w:r>
            <w:r>
              <w:t>计)</w:t>
            </w:r>
          </w:p>
        </w:tc>
        <w:tc>
          <w:tcPr>
            <w:tcW w:w="702" w:type="pct"/>
            <w:vAlign w:val="center"/>
          </w:tcPr>
          <w:p w14:paraId="01F68D9D">
            <w:pPr>
              <w:widowControl/>
              <w:adjustRightInd w:val="0"/>
              <w:snapToGrid w:val="0"/>
              <w:jc w:val="center"/>
              <w:rPr>
                <w:rFonts w:eastAsia="等线"/>
                <w:kern w:val="0"/>
                <w:szCs w:val="21"/>
              </w:rPr>
            </w:pPr>
            <w:r>
              <w:t>mg/L</w:t>
            </w:r>
          </w:p>
        </w:tc>
        <w:tc>
          <w:tcPr>
            <w:tcW w:w="800" w:type="pct"/>
            <w:vAlign w:val="center"/>
          </w:tcPr>
          <w:p w14:paraId="1791E7AC">
            <w:pPr>
              <w:widowControl/>
              <w:adjustRightInd w:val="0"/>
              <w:snapToGrid w:val="0"/>
              <w:jc w:val="center"/>
              <w:rPr>
                <w:rFonts w:eastAsia="等线"/>
                <w:kern w:val="0"/>
                <w:szCs w:val="21"/>
              </w:rPr>
            </w:pPr>
            <w:r>
              <w:rPr>
                <w:rFonts w:hint="eastAsia" w:eastAsia="等线"/>
                <w:kern w:val="0"/>
                <w:szCs w:val="21"/>
              </w:rPr>
              <w:t>0.7</w:t>
            </w:r>
          </w:p>
        </w:tc>
        <w:tc>
          <w:tcPr>
            <w:tcW w:w="688" w:type="pct"/>
            <w:vAlign w:val="center"/>
          </w:tcPr>
          <w:p w14:paraId="1DC7EA74">
            <w:pPr>
              <w:widowControl/>
              <w:adjustRightInd w:val="0"/>
              <w:snapToGrid w:val="0"/>
              <w:jc w:val="center"/>
              <w:rPr>
                <w:rFonts w:eastAsia="等线"/>
                <w:kern w:val="0"/>
                <w:szCs w:val="21"/>
              </w:rPr>
            </w:pPr>
            <w:r>
              <w:rPr>
                <w:rFonts w:hint="eastAsia" w:eastAsia="等线"/>
                <w:kern w:val="0"/>
                <w:szCs w:val="21"/>
              </w:rPr>
              <w:t>0.6</w:t>
            </w:r>
          </w:p>
        </w:tc>
        <w:tc>
          <w:tcPr>
            <w:tcW w:w="688" w:type="pct"/>
            <w:vAlign w:val="center"/>
          </w:tcPr>
          <w:p w14:paraId="7C0CDE43">
            <w:pPr>
              <w:widowControl/>
              <w:adjustRightInd w:val="0"/>
              <w:snapToGrid w:val="0"/>
              <w:jc w:val="center"/>
              <w:rPr>
                <w:rFonts w:eastAsia="等线"/>
                <w:kern w:val="0"/>
                <w:szCs w:val="21"/>
              </w:rPr>
            </w:pPr>
            <w:r>
              <w:rPr>
                <w:rFonts w:hint="eastAsia" w:eastAsia="等线"/>
                <w:kern w:val="0"/>
                <w:szCs w:val="21"/>
              </w:rPr>
              <w:t>0.5</w:t>
            </w:r>
          </w:p>
        </w:tc>
        <w:tc>
          <w:tcPr>
            <w:tcW w:w="666" w:type="pct"/>
            <w:vAlign w:val="center"/>
          </w:tcPr>
          <w:p w14:paraId="3C7D6677">
            <w:pPr>
              <w:widowControl/>
              <w:adjustRightInd w:val="0"/>
              <w:snapToGrid w:val="0"/>
              <w:jc w:val="center"/>
              <w:rPr>
                <w:rFonts w:eastAsia="等线"/>
                <w:kern w:val="0"/>
                <w:szCs w:val="21"/>
              </w:rPr>
            </w:pPr>
            <w:r>
              <w:rPr>
                <w:rFonts w:hint="eastAsia" w:eastAsia="等线"/>
                <w:kern w:val="0"/>
                <w:szCs w:val="21"/>
              </w:rPr>
              <w:t>0.5</w:t>
            </w:r>
          </w:p>
        </w:tc>
        <w:tc>
          <w:tcPr>
            <w:tcW w:w="660" w:type="pct"/>
            <w:vAlign w:val="center"/>
          </w:tcPr>
          <w:p w14:paraId="107219B1">
            <w:pPr>
              <w:widowControl/>
              <w:adjustRightInd w:val="0"/>
              <w:snapToGrid w:val="0"/>
              <w:jc w:val="center"/>
              <w:rPr>
                <w:rFonts w:eastAsia="等线"/>
                <w:kern w:val="0"/>
                <w:szCs w:val="21"/>
              </w:rPr>
            </w:pPr>
            <w:r>
              <w:rPr>
                <w:rFonts w:hint="eastAsia" w:eastAsia="等线"/>
                <w:kern w:val="0"/>
                <w:szCs w:val="21"/>
              </w:rPr>
              <w:t>0.3</w:t>
            </w:r>
          </w:p>
        </w:tc>
      </w:tr>
      <w:tr w14:paraId="0E477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19280C42">
            <w:pPr>
              <w:widowControl/>
              <w:adjustRightInd w:val="0"/>
              <w:snapToGrid w:val="0"/>
              <w:jc w:val="center"/>
              <w:rPr>
                <w:kern w:val="0"/>
                <w:szCs w:val="21"/>
              </w:rPr>
            </w:pPr>
            <w:r>
              <w:t>汞</w:t>
            </w:r>
          </w:p>
        </w:tc>
        <w:tc>
          <w:tcPr>
            <w:tcW w:w="702" w:type="pct"/>
            <w:vAlign w:val="center"/>
          </w:tcPr>
          <w:p w14:paraId="51DC4CF0">
            <w:pPr>
              <w:widowControl/>
              <w:adjustRightInd w:val="0"/>
              <w:snapToGrid w:val="0"/>
              <w:jc w:val="center"/>
              <w:rPr>
                <w:rFonts w:eastAsia="等线"/>
                <w:kern w:val="0"/>
                <w:szCs w:val="21"/>
              </w:rPr>
            </w:pPr>
            <w:r>
              <w:t>mg/L</w:t>
            </w:r>
          </w:p>
        </w:tc>
        <w:tc>
          <w:tcPr>
            <w:tcW w:w="800" w:type="pct"/>
            <w:vAlign w:val="center"/>
          </w:tcPr>
          <w:p w14:paraId="58DA30D5">
            <w:pPr>
              <w:widowControl/>
              <w:adjustRightInd w:val="0"/>
              <w:snapToGrid w:val="0"/>
              <w:jc w:val="center"/>
              <w:rPr>
                <w:rFonts w:eastAsia="等线"/>
                <w:kern w:val="0"/>
                <w:szCs w:val="21"/>
              </w:rPr>
            </w:pPr>
            <w:r>
              <w:rPr>
                <w:rFonts w:hint="eastAsia" w:eastAsia="等线"/>
                <w:kern w:val="0"/>
                <w:szCs w:val="21"/>
              </w:rPr>
              <w:t>0.00004L</w:t>
            </w:r>
          </w:p>
        </w:tc>
        <w:tc>
          <w:tcPr>
            <w:tcW w:w="688" w:type="pct"/>
            <w:vAlign w:val="center"/>
          </w:tcPr>
          <w:p w14:paraId="2E73FA3B">
            <w:pPr>
              <w:widowControl/>
              <w:adjustRightInd w:val="0"/>
              <w:snapToGrid w:val="0"/>
              <w:jc w:val="center"/>
              <w:rPr>
                <w:rFonts w:eastAsia="等线"/>
                <w:kern w:val="0"/>
                <w:szCs w:val="21"/>
              </w:rPr>
            </w:pPr>
            <w:r>
              <w:rPr>
                <w:rFonts w:hint="eastAsia" w:eastAsia="等线"/>
                <w:kern w:val="0"/>
                <w:szCs w:val="21"/>
              </w:rPr>
              <w:t>0.00004L</w:t>
            </w:r>
          </w:p>
        </w:tc>
        <w:tc>
          <w:tcPr>
            <w:tcW w:w="688" w:type="pct"/>
            <w:vAlign w:val="center"/>
          </w:tcPr>
          <w:p w14:paraId="0AF169D9">
            <w:pPr>
              <w:widowControl/>
              <w:adjustRightInd w:val="0"/>
              <w:snapToGrid w:val="0"/>
              <w:jc w:val="center"/>
              <w:rPr>
                <w:rFonts w:eastAsia="等线"/>
                <w:kern w:val="0"/>
                <w:szCs w:val="21"/>
              </w:rPr>
            </w:pPr>
            <w:r>
              <w:rPr>
                <w:rFonts w:hint="eastAsia" w:eastAsia="等线"/>
                <w:kern w:val="0"/>
                <w:szCs w:val="21"/>
              </w:rPr>
              <w:t>0.00004L</w:t>
            </w:r>
          </w:p>
        </w:tc>
        <w:tc>
          <w:tcPr>
            <w:tcW w:w="666" w:type="pct"/>
            <w:vAlign w:val="center"/>
          </w:tcPr>
          <w:p w14:paraId="68838230">
            <w:pPr>
              <w:widowControl/>
              <w:adjustRightInd w:val="0"/>
              <w:snapToGrid w:val="0"/>
              <w:jc w:val="center"/>
              <w:rPr>
                <w:rFonts w:eastAsia="等线"/>
                <w:kern w:val="0"/>
                <w:szCs w:val="21"/>
              </w:rPr>
            </w:pPr>
            <w:r>
              <w:rPr>
                <w:rFonts w:hint="eastAsia" w:eastAsia="等线"/>
                <w:kern w:val="0"/>
                <w:szCs w:val="21"/>
              </w:rPr>
              <w:t>0.00004L</w:t>
            </w:r>
          </w:p>
        </w:tc>
        <w:tc>
          <w:tcPr>
            <w:tcW w:w="660" w:type="pct"/>
            <w:vAlign w:val="center"/>
          </w:tcPr>
          <w:p w14:paraId="3C66CA91">
            <w:pPr>
              <w:widowControl/>
              <w:adjustRightInd w:val="0"/>
              <w:snapToGrid w:val="0"/>
              <w:jc w:val="center"/>
              <w:rPr>
                <w:rFonts w:eastAsia="等线"/>
                <w:kern w:val="0"/>
                <w:szCs w:val="21"/>
              </w:rPr>
            </w:pPr>
            <w:r>
              <w:rPr>
                <w:rFonts w:hint="eastAsia" w:eastAsia="等线"/>
                <w:kern w:val="0"/>
                <w:szCs w:val="21"/>
              </w:rPr>
              <w:t>0.00004L</w:t>
            </w:r>
          </w:p>
        </w:tc>
      </w:tr>
      <w:tr w14:paraId="297A3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487C33A0">
            <w:pPr>
              <w:widowControl/>
              <w:adjustRightInd w:val="0"/>
              <w:snapToGrid w:val="0"/>
              <w:jc w:val="center"/>
              <w:rPr>
                <w:kern w:val="0"/>
                <w:szCs w:val="21"/>
              </w:rPr>
            </w:pPr>
            <w:r>
              <w:t>镉</w:t>
            </w:r>
          </w:p>
        </w:tc>
        <w:tc>
          <w:tcPr>
            <w:tcW w:w="702" w:type="pct"/>
            <w:vAlign w:val="center"/>
          </w:tcPr>
          <w:p w14:paraId="258E65C9">
            <w:pPr>
              <w:widowControl/>
              <w:adjustRightInd w:val="0"/>
              <w:snapToGrid w:val="0"/>
              <w:jc w:val="center"/>
              <w:rPr>
                <w:kern w:val="0"/>
                <w:szCs w:val="21"/>
              </w:rPr>
            </w:pPr>
            <w:r>
              <w:rPr>
                <w:rFonts w:hint="eastAsia"/>
              </w:rPr>
              <w:t>m</w:t>
            </w:r>
            <w:r>
              <w:t>g/L</w:t>
            </w:r>
          </w:p>
        </w:tc>
        <w:tc>
          <w:tcPr>
            <w:tcW w:w="800" w:type="pct"/>
            <w:vAlign w:val="center"/>
          </w:tcPr>
          <w:p w14:paraId="71196F45">
            <w:pPr>
              <w:widowControl/>
              <w:adjustRightInd w:val="0"/>
              <w:snapToGrid w:val="0"/>
              <w:jc w:val="center"/>
              <w:rPr>
                <w:rFonts w:eastAsia="等线"/>
                <w:kern w:val="0"/>
                <w:szCs w:val="21"/>
              </w:rPr>
            </w:pPr>
            <w:r>
              <w:rPr>
                <w:rFonts w:hint="eastAsia" w:eastAsia="等线"/>
                <w:kern w:val="0"/>
                <w:szCs w:val="21"/>
              </w:rPr>
              <w:t>0.0002L</w:t>
            </w:r>
          </w:p>
        </w:tc>
        <w:tc>
          <w:tcPr>
            <w:tcW w:w="688" w:type="pct"/>
            <w:vAlign w:val="center"/>
          </w:tcPr>
          <w:p w14:paraId="555490FC">
            <w:pPr>
              <w:widowControl/>
              <w:adjustRightInd w:val="0"/>
              <w:snapToGrid w:val="0"/>
              <w:jc w:val="center"/>
              <w:rPr>
                <w:rFonts w:eastAsia="等线"/>
                <w:kern w:val="0"/>
                <w:szCs w:val="21"/>
              </w:rPr>
            </w:pPr>
            <w:r>
              <w:rPr>
                <w:rFonts w:hint="eastAsia" w:eastAsia="等线"/>
                <w:kern w:val="0"/>
                <w:szCs w:val="21"/>
              </w:rPr>
              <w:t>0.0002L</w:t>
            </w:r>
          </w:p>
        </w:tc>
        <w:tc>
          <w:tcPr>
            <w:tcW w:w="688" w:type="pct"/>
            <w:vAlign w:val="center"/>
          </w:tcPr>
          <w:p w14:paraId="3E6D0702">
            <w:pPr>
              <w:widowControl/>
              <w:adjustRightInd w:val="0"/>
              <w:snapToGrid w:val="0"/>
              <w:jc w:val="center"/>
              <w:rPr>
                <w:rFonts w:eastAsia="等线"/>
                <w:kern w:val="0"/>
                <w:szCs w:val="21"/>
              </w:rPr>
            </w:pPr>
            <w:r>
              <w:rPr>
                <w:rFonts w:hint="eastAsia" w:eastAsia="等线"/>
                <w:kern w:val="0"/>
                <w:szCs w:val="21"/>
              </w:rPr>
              <w:t>0.0002L</w:t>
            </w:r>
          </w:p>
        </w:tc>
        <w:tc>
          <w:tcPr>
            <w:tcW w:w="666" w:type="pct"/>
            <w:vAlign w:val="center"/>
          </w:tcPr>
          <w:p w14:paraId="5774C07B">
            <w:pPr>
              <w:widowControl/>
              <w:adjustRightInd w:val="0"/>
              <w:snapToGrid w:val="0"/>
              <w:jc w:val="center"/>
              <w:rPr>
                <w:rFonts w:eastAsia="等线"/>
                <w:kern w:val="0"/>
                <w:szCs w:val="21"/>
              </w:rPr>
            </w:pPr>
            <w:r>
              <w:rPr>
                <w:rFonts w:hint="eastAsia" w:eastAsia="等线"/>
                <w:kern w:val="0"/>
                <w:szCs w:val="21"/>
              </w:rPr>
              <w:t>0.0002L</w:t>
            </w:r>
          </w:p>
        </w:tc>
        <w:tc>
          <w:tcPr>
            <w:tcW w:w="660" w:type="pct"/>
            <w:vAlign w:val="center"/>
          </w:tcPr>
          <w:p w14:paraId="05B8069E">
            <w:pPr>
              <w:widowControl/>
              <w:adjustRightInd w:val="0"/>
              <w:snapToGrid w:val="0"/>
              <w:jc w:val="center"/>
              <w:rPr>
                <w:rFonts w:eastAsia="等线"/>
                <w:kern w:val="0"/>
                <w:szCs w:val="21"/>
              </w:rPr>
            </w:pPr>
            <w:r>
              <w:rPr>
                <w:rFonts w:hint="eastAsia" w:eastAsia="等线"/>
                <w:kern w:val="0"/>
                <w:szCs w:val="21"/>
              </w:rPr>
              <w:t>0.0002L</w:t>
            </w:r>
          </w:p>
        </w:tc>
      </w:tr>
      <w:tr w14:paraId="02DE5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2AEC000B">
            <w:pPr>
              <w:widowControl/>
              <w:adjustRightInd w:val="0"/>
              <w:snapToGrid w:val="0"/>
              <w:jc w:val="center"/>
              <w:rPr>
                <w:kern w:val="0"/>
                <w:szCs w:val="21"/>
              </w:rPr>
            </w:pPr>
            <w:r>
              <w:t>铁</w:t>
            </w:r>
          </w:p>
        </w:tc>
        <w:tc>
          <w:tcPr>
            <w:tcW w:w="702" w:type="pct"/>
            <w:vAlign w:val="center"/>
          </w:tcPr>
          <w:p w14:paraId="75F1D519">
            <w:pPr>
              <w:widowControl/>
              <w:adjustRightInd w:val="0"/>
              <w:snapToGrid w:val="0"/>
              <w:jc w:val="center"/>
              <w:rPr>
                <w:rFonts w:eastAsia="等线"/>
                <w:kern w:val="0"/>
                <w:szCs w:val="21"/>
              </w:rPr>
            </w:pPr>
            <w:r>
              <w:t>mg/L</w:t>
            </w:r>
          </w:p>
        </w:tc>
        <w:tc>
          <w:tcPr>
            <w:tcW w:w="800" w:type="pct"/>
            <w:vAlign w:val="center"/>
          </w:tcPr>
          <w:p w14:paraId="0CDBF38E">
            <w:pPr>
              <w:widowControl/>
              <w:adjustRightInd w:val="0"/>
              <w:snapToGrid w:val="0"/>
              <w:jc w:val="center"/>
              <w:rPr>
                <w:rFonts w:eastAsia="等线"/>
                <w:kern w:val="0"/>
                <w:szCs w:val="21"/>
              </w:rPr>
            </w:pPr>
            <w:r>
              <w:rPr>
                <w:rFonts w:hint="eastAsia" w:eastAsia="等线"/>
                <w:kern w:val="0"/>
                <w:szCs w:val="21"/>
              </w:rPr>
              <w:t>0.03L</w:t>
            </w:r>
          </w:p>
        </w:tc>
        <w:tc>
          <w:tcPr>
            <w:tcW w:w="688" w:type="pct"/>
            <w:vAlign w:val="center"/>
          </w:tcPr>
          <w:p w14:paraId="03A7156F">
            <w:pPr>
              <w:widowControl/>
              <w:adjustRightInd w:val="0"/>
              <w:snapToGrid w:val="0"/>
              <w:jc w:val="center"/>
              <w:rPr>
                <w:rFonts w:eastAsia="等线"/>
                <w:kern w:val="0"/>
                <w:szCs w:val="21"/>
              </w:rPr>
            </w:pPr>
            <w:r>
              <w:rPr>
                <w:rFonts w:hint="eastAsia" w:eastAsia="等线"/>
                <w:kern w:val="0"/>
                <w:szCs w:val="21"/>
              </w:rPr>
              <w:t>0.03L</w:t>
            </w:r>
          </w:p>
        </w:tc>
        <w:tc>
          <w:tcPr>
            <w:tcW w:w="688" w:type="pct"/>
            <w:vAlign w:val="center"/>
          </w:tcPr>
          <w:p w14:paraId="39333C3F">
            <w:pPr>
              <w:widowControl/>
              <w:adjustRightInd w:val="0"/>
              <w:snapToGrid w:val="0"/>
              <w:jc w:val="center"/>
              <w:rPr>
                <w:rFonts w:eastAsia="等线"/>
                <w:kern w:val="0"/>
                <w:szCs w:val="21"/>
              </w:rPr>
            </w:pPr>
            <w:r>
              <w:rPr>
                <w:rFonts w:hint="eastAsia" w:eastAsia="等线"/>
                <w:kern w:val="0"/>
                <w:szCs w:val="21"/>
              </w:rPr>
              <w:t>0.03L</w:t>
            </w:r>
          </w:p>
        </w:tc>
        <w:tc>
          <w:tcPr>
            <w:tcW w:w="666" w:type="pct"/>
            <w:vAlign w:val="center"/>
          </w:tcPr>
          <w:p w14:paraId="0106BF75">
            <w:pPr>
              <w:widowControl/>
              <w:adjustRightInd w:val="0"/>
              <w:snapToGrid w:val="0"/>
              <w:jc w:val="center"/>
              <w:rPr>
                <w:rFonts w:eastAsia="等线"/>
                <w:kern w:val="0"/>
                <w:szCs w:val="21"/>
              </w:rPr>
            </w:pPr>
            <w:r>
              <w:rPr>
                <w:rFonts w:hint="eastAsia" w:eastAsia="等线"/>
                <w:kern w:val="0"/>
                <w:szCs w:val="21"/>
              </w:rPr>
              <w:t>0.03L</w:t>
            </w:r>
          </w:p>
        </w:tc>
        <w:tc>
          <w:tcPr>
            <w:tcW w:w="660" w:type="pct"/>
            <w:vAlign w:val="center"/>
          </w:tcPr>
          <w:p w14:paraId="4094F03F">
            <w:pPr>
              <w:widowControl/>
              <w:adjustRightInd w:val="0"/>
              <w:snapToGrid w:val="0"/>
              <w:jc w:val="center"/>
              <w:rPr>
                <w:rFonts w:eastAsia="等线"/>
                <w:kern w:val="0"/>
                <w:szCs w:val="21"/>
              </w:rPr>
            </w:pPr>
            <w:r>
              <w:rPr>
                <w:rFonts w:hint="eastAsia" w:eastAsia="等线"/>
                <w:kern w:val="0"/>
                <w:szCs w:val="21"/>
              </w:rPr>
              <w:t>0.03L</w:t>
            </w:r>
          </w:p>
        </w:tc>
      </w:tr>
      <w:tr w14:paraId="03F7C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5E06446A">
            <w:pPr>
              <w:widowControl/>
              <w:adjustRightInd w:val="0"/>
              <w:snapToGrid w:val="0"/>
              <w:jc w:val="center"/>
              <w:rPr>
                <w:kern w:val="0"/>
                <w:szCs w:val="21"/>
              </w:rPr>
            </w:pPr>
            <w:r>
              <w:t>铅</w:t>
            </w:r>
          </w:p>
        </w:tc>
        <w:tc>
          <w:tcPr>
            <w:tcW w:w="702" w:type="pct"/>
            <w:vAlign w:val="center"/>
          </w:tcPr>
          <w:p w14:paraId="140F0F24">
            <w:pPr>
              <w:widowControl/>
              <w:adjustRightInd w:val="0"/>
              <w:snapToGrid w:val="0"/>
              <w:jc w:val="center"/>
              <w:rPr>
                <w:kern w:val="0"/>
                <w:szCs w:val="21"/>
              </w:rPr>
            </w:pPr>
            <w:r>
              <w:rPr>
                <w:rFonts w:hint="eastAsia"/>
              </w:rPr>
              <w:t>m</w:t>
            </w:r>
            <w:r>
              <w:t>g/L</w:t>
            </w:r>
          </w:p>
        </w:tc>
        <w:tc>
          <w:tcPr>
            <w:tcW w:w="800" w:type="pct"/>
            <w:vAlign w:val="center"/>
          </w:tcPr>
          <w:p w14:paraId="4D15A67D">
            <w:pPr>
              <w:widowControl/>
              <w:adjustRightInd w:val="0"/>
              <w:snapToGrid w:val="0"/>
              <w:jc w:val="center"/>
              <w:rPr>
                <w:kern w:val="0"/>
                <w:szCs w:val="21"/>
              </w:rPr>
            </w:pPr>
            <w:r>
              <w:rPr>
                <w:rFonts w:hint="eastAsia"/>
                <w:kern w:val="0"/>
                <w:szCs w:val="21"/>
              </w:rPr>
              <w:t>0.002L</w:t>
            </w:r>
          </w:p>
        </w:tc>
        <w:tc>
          <w:tcPr>
            <w:tcW w:w="688" w:type="pct"/>
            <w:vAlign w:val="center"/>
          </w:tcPr>
          <w:p w14:paraId="2BDDBE03">
            <w:pPr>
              <w:widowControl/>
              <w:adjustRightInd w:val="0"/>
              <w:snapToGrid w:val="0"/>
              <w:jc w:val="center"/>
              <w:rPr>
                <w:kern w:val="0"/>
                <w:szCs w:val="21"/>
              </w:rPr>
            </w:pPr>
            <w:r>
              <w:rPr>
                <w:rFonts w:hint="eastAsia"/>
                <w:kern w:val="0"/>
                <w:szCs w:val="21"/>
              </w:rPr>
              <w:t>0.002L</w:t>
            </w:r>
          </w:p>
        </w:tc>
        <w:tc>
          <w:tcPr>
            <w:tcW w:w="688" w:type="pct"/>
            <w:vAlign w:val="center"/>
          </w:tcPr>
          <w:p w14:paraId="52733871">
            <w:pPr>
              <w:widowControl/>
              <w:adjustRightInd w:val="0"/>
              <w:snapToGrid w:val="0"/>
              <w:jc w:val="center"/>
              <w:rPr>
                <w:kern w:val="0"/>
                <w:szCs w:val="21"/>
              </w:rPr>
            </w:pPr>
            <w:r>
              <w:rPr>
                <w:rFonts w:hint="eastAsia"/>
                <w:kern w:val="0"/>
                <w:szCs w:val="21"/>
              </w:rPr>
              <w:t>0.002L</w:t>
            </w:r>
          </w:p>
        </w:tc>
        <w:tc>
          <w:tcPr>
            <w:tcW w:w="666" w:type="pct"/>
            <w:vAlign w:val="center"/>
          </w:tcPr>
          <w:p w14:paraId="1D569397">
            <w:pPr>
              <w:widowControl/>
              <w:adjustRightInd w:val="0"/>
              <w:snapToGrid w:val="0"/>
              <w:jc w:val="center"/>
              <w:rPr>
                <w:kern w:val="0"/>
                <w:szCs w:val="21"/>
              </w:rPr>
            </w:pPr>
            <w:r>
              <w:rPr>
                <w:rFonts w:hint="eastAsia"/>
                <w:kern w:val="0"/>
                <w:szCs w:val="21"/>
              </w:rPr>
              <w:t>0.002L</w:t>
            </w:r>
          </w:p>
        </w:tc>
        <w:tc>
          <w:tcPr>
            <w:tcW w:w="660" w:type="pct"/>
            <w:vAlign w:val="center"/>
          </w:tcPr>
          <w:p w14:paraId="0153D7B3">
            <w:pPr>
              <w:widowControl/>
              <w:adjustRightInd w:val="0"/>
              <w:snapToGrid w:val="0"/>
              <w:jc w:val="center"/>
              <w:rPr>
                <w:kern w:val="0"/>
                <w:szCs w:val="21"/>
              </w:rPr>
            </w:pPr>
            <w:r>
              <w:rPr>
                <w:rFonts w:hint="eastAsia"/>
                <w:kern w:val="0"/>
                <w:szCs w:val="21"/>
              </w:rPr>
              <w:t>0.002L</w:t>
            </w:r>
          </w:p>
        </w:tc>
      </w:tr>
      <w:tr w14:paraId="37457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5CE5741F">
            <w:pPr>
              <w:widowControl/>
              <w:adjustRightInd w:val="0"/>
              <w:snapToGrid w:val="0"/>
              <w:jc w:val="center"/>
              <w:rPr>
                <w:kern w:val="0"/>
                <w:szCs w:val="21"/>
              </w:rPr>
            </w:pPr>
            <w:r>
              <w:t>砷</w:t>
            </w:r>
          </w:p>
        </w:tc>
        <w:tc>
          <w:tcPr>
            <w:tcW w:w="702" w:type="pct"/>
            <w:vAlign w:val="center"/>
          </w:tcPr>
          <w:p w14:paraId="2F4AD7D3">
            <w:pPr>
              <w:widowControl/>
              <w:adjustRightInd w:val="0"/>
              <w:snapToGrid w:val="0"/>
              <w:jc w:val="center"/>
              <w:rPr>
                <w:rFonts w:eastAsia="等线"/>
                <w:kern w:val="0"/>
                <w:szCs w:val="21"/>
              </w:rPr>
            </w:pPr>
            <w:r>
              <w:rPr>
                <w:rFonts w:hint="eastAsia"/>
              </w:rPr>
              <w:t>m</w:t>
            </w:r>
            <w:r>
              <w:t>g/L</w:t>
            </w:r>
          </w:p>
        </w:tc>
        <w:tc>
          <w:tcPr>
            <w:tcW w:w="800" w:type="pct"/>
            <w:vAlign w:val="center"/>
          </w:tcPr>
          <w:p w14:paraId="51D07862">
            <w:pPr>
              <w:widowControl/>
              <w:adjustRightInd w:val="0"/>
              <w:snapToGrid w:val="0"/>
              <w:jc w:val="center"/>
              <w:rPr>
                <w:rFonts w:eastAsia="等线"/>
                <w:kern w:val="0"/>
                <w:szCs w:val="21"/>
              </w:rPr>
            </w:pPr>
            <w:r>
              <w:rPr>
                <w:rFonts w:hint="eastAsia" w:eastAsia="等线"/>
                <w:kern w:val="0"/>
                <w:szCs w:val="21"/>
              </w:rPr>
              <w:t>0.0003L</w:t>
            </w:r>
          </w:p>
        </w:tc>
        <w:tc>
          <w:tcPr>
            <w:tcW w:w="688" w:type="pct"/>
            <w:vAlign w:val="center"/>
          </w:tcPr>
          <w:p w14:paraId="54E2A09C">
            <w:pPr>
              <w:widowControl/>
              <w:adjustRightInd w:val="0"/>
              <w:snapToGrid w:val="0"/>
              <w:jc w:val="center"/>
              <w:rPr>
                <w:rFonts w:eastAsia="等线"/>
                <w:kern w:val="0"/>
                <w:szCs w:val="21"/>
              </w:rPr>
            </w:pPr>
            <w:r>
              <w:rPr>
                <w:rFonts w:hint="eastAsia" w:eastAsia="等线"/>
                <w:kern w:val="0"/>
                <w:szCs w:val="21"/>
              </w:rPr>
              <w:t>0.0003L</w:t>
            </w:r>
          </w:p>
        </w:tc>
        <w:tc>
          <w:tcPr>
            <w:tcW w:w="688" w:type="pct"/>
            <w:vAlign w:val="center"/>
          </w:tcPr>
          <w:p w14:paraId="379B5B80">
            <w:pPr>
              <w:widowControl/>
              <w:adjustRightInd w:val="0"/>
              <w:snapToGrid w:val="0"/>
              <w:jc w:val="center"/>
              <w:rPr>
                <w:rFonts w:eastAsia="等线"/>
                <w:kern w:val="0"/>
                <w:szCs w:val="21"/>
              </w:rPr>
            </w:pPr>
            <w:r>
              <w:rPr>
                <w:rFonts w:hint="eastAsia" w:eastAsia="等线"/>
                <w:kern w:val="0"/>
                <w:szCs w:val="21"/>
              </w:rPr>
              <w:t>0.0003L</w:t>
            </w:r>
          </w:p>
        </w:tc>
        <w:tc>
          <w:tcPr>
            <w:tcW w:w="666" w:type="pct"/>
            <w:vAlign w:val="center"/>
          </w:tcPr>
          <w:p w14:paraId="65454FBC">
            <w:pPr>
              <w:widowControl/>
              <w:adjustRightInd w:val="0"/>
              <w:snapToGrid w:val="0"/>
              <w:jc w:val="center"/>
              <w:rPr>
                <w:rFonts w:eastAsia="等线"/>
                <w:kern w:val="0"/>
                <w:szCs w:val="21"/>
              </w:rPr>
            </w:pPr>
            <w:r>
              <w:rPr>
                <w:rFonts w:hint="eastAsia" w:eastAsia="等线"/>
                <w:kern w:val="0"/>
                <w:szCs w:val="21"/>
              </w:rPr>
              <w:t>0.0003L</w:t>
            </w:r>
          </w:p>
        </w:tc>
        <w:tc>
          <w:tcPr>
            <w:tcW w:w="660" w:type="pct"/>
            <w:vAlign w:val="center"/>
          </w:tcPr>
          <w:p w14:paraId="46BDC119">
            <w:pPr>
              <w:widowControl/>
              <w:adjustRightInd w:val="0"/>
              <w:snapToGrid w:val="0"/>
              <w:jc w:val="center"/>
              <w:rPr>
                <w:rFonts w:eastAsia="等线"/>
                <w:kern w:val="0"/>
                <w:szCs w:val="21"/>
              </w:rPr>
            </w:pPr>
            <w:r>
              <w:rPr>
                <w:rFonts w:hint="eastAsia" w:eastAsia="等线"/>
                <w:kern w:val="0"/>
                <w:szCs w:val="21"/>
              </w:rPr>
              <w:t>0.0003L</w:t>
            </w:r>
          </w:p>
        </w:tc>
      </w:tr>
      <w:tr w14:paraId="19C59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50194C2B">
            <w:pPr>
              <w:widowControl/>
              <w:adjustRightInd w:val="0"/>
              <w:snapToGrid w:val="0"/>
              <w:jc w:val="center"/>
              <w:rPr>
                <w:kern w:val="0"/>
                <w:szCs w:val="21"/>
              </w:rPr>
            </w:pPr>
            <w:r>
              <w:t>锰</w:t>
            </w:r>
          </w:p>
        </w:tc>
        <w:tc>
          <w:tcPr>
            <w:tcW w:w="702" w:type="pct"/>
            <w:vAlign w:val="center"/>
          </w:tcPr>
          <w:p w14:paraId="44A6983F">
            <w:pPr>
              <w:widowControl/>
              <w:adjustRightInd w:val="0"/>
              <w:snapToGrid w:val="0"/>
              <w:jc w:val="center"/>
              <w:rPr>
                <w:rFonts w:eastAsia="等线"/>
                <w:kern w:val="0"/>
                <w:szCs w:val="21"/>
              </w:rPr>
            </w:pPr>
            <w:r>
              <w:t>mg/L</w:t>
            </w:r>
          </w:p>
        </w:tc>
        <w:tc>
          <w:tcPr>
            <w:tcW w:w="800" w:type="pct"/>
            <w:vAlign w:val="center"/>
          </w:tcPr>
          <w:p w14:paraId="7C4B2AFD">
            <w:pPr>
              <w:widowControl/>
              <w:adjustRightInd w:val="0"/>
              <w:snapToGrid w:val="0"/>
              <w:jc w:val="center"/>
              <w:rPr>
                <w:rFonts w:eastAsia="等线"/>
                <w:kern w:val="0"/>
                <w:szCs w:val="21"/>
              </w:rPr>
            </w:pPr>
            <w:r>
              <w:rPr>
                <w:rFonts w:hint="eastAsia" w:eastAsia="等线"/>
                <w:kern w:val="0"/>
                <w:szCs w:val="21"/>
              </w:rPr>
              <w:t>0.07</w:t>
            </w:r>
          </w:p>
        </w:tc>
        <w:tc>
          <w:tcPr>
            <w:tcW w:w="688" w:type="pct"/>
            <w:vAlign w:val="center"/>
          </w:tcPr>
          <w:p w14:paraId="16686EBF">
            <w:pPr>
              <w:widowControl/>
              <w:adjustRightInd w:val="0"/>
              <w:snapToGrid w:val="0"/>
              <w:jc w:val="center"/>
              <w:rPr>
                <w:rFonts w:eastAsia="等线"/>
                <w:kern w:val="0"/>
                <w:szCs w:val="21"/>
              </w:rPr>
            </w:pPr>
            <w:r>
              <w:rPr>
                <w:rFonts w:hint="eastAsia" w:eastAsia="等线"/>
                <w:kern w:val="0"/>
                <w:szCs w:val="21"/>
              </w:rPr>
              <w:t>0.05</w:t>
            </w:r>
          </w:p>
        </w:tc>
        <w:tc>
          <w:tcPr>
            <w:tcW w:w="688" w:type="pct"/>
            <w:vAlign w:val="center"/>
          </w:tcPr>
          <w:p w14:paraId="17E9C605">
            <w:pPr>
              <w:widowControl/>
              <w:adjustRightInd w:val="0"/>
              <w:snapToGrid w:val="0"/>
              <w:jc w:val="center"/>
              <w:rPr>
                <w:rFonts w:eastAsia="等线"/>
                <w:kern w:val="0"/>
                <w:szCs w:val="21"/>
              </w:rPr>
            </w:pPr>
            <w:r>
              <w:rPr>
                <w:rFonts w:hint="eastAsia" w:eastAsia="等线"/>
                <w:kern w:val="0"/>
                <w:szCs w:val="21"/>
              </w:rPr>
              <w:t>0.01L</w:t>
            </w:r>
          </w:p>
        </w:tc>
        <w:tc>
          <w:tcPr>
            <w:tcW w:w="666" w:type="pct"/>
            <w:vAlign w:val="center"/>
          </w:tcPr>
          <w:p w14:paraId="1FA0E4CA">
            <w:pPr>
              <w:widowControl/>
              <w:adjustRightInd w:val="0"/>
              <w:snapToGrid w:val="0"/>
              <w:jc w:val="center"/>
              <w:rPr>
                <w:rFonts w:eastAsia="等线"/>
                <w:kern w:val="0"/>
                <w:szCs w:val="21"/>
              </w:rPr>
            </w:pPr>
            <w:r>
              <w:rPr>
                <w:rFonts w:hint="eastAsia" w:eastAsia="等线"/>
                <w:kern w:val="0"/>
                <w:szCs w:val="21"/>
              </w:rPr>
              <w:t>0.01L</w:t>
            </w:r>
          </w:p>
        </w:tc>
        <w:tc>
          <w:tcPr>
            <w:tcW w:w="660" w:type="pct"/>
            <w:vAlign w:val="center"/>
          </w:tcPr>
          <w:p w14:paraId="782D8BEC">
            <w:pPr>
              <w:widowControl/>
              <w:adjustRightInd w:val="0"/>
              <w:snapToGrid w:val="0"/>
              <w:jc w:val="center"/>
              <w:rPr>
                <w:rFonts w:eastAsia="等线"/>
                <w:kern w:val="0"/>
                <w:szCs w:val="21"/>
              </w:rPr>
            </w:pPr>
            <w:r>
              <w:rPr>
                <w:rFonts w:hint="eastAsia" w:eastAsia="等线"/>
                <w:kern w:val="0"/>
                <w:szCs w:val="21"/>
              </w:rPr>
              <w:t>0.01L</w:t>
            </w:r>
          </w:p>
        </w:tc>
      </w:tr>
      <w:tr w14:paraId="5B68D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059E7090">
            <w:pPr>
              <w:widowControl/>
              <w:adjustRightInd w:val="0"/>
              <w:snapToGrid w:val="0"/>
              <w:jc w:val="center"/>
              <w:rPr>
                <w:kern w:val="0"/>
                <w:szCs w:val="21"/>
              </w:rPr>
            </w:pPr>
            <w:r>
              <w:t>石油类</w:t>
            </w:r>
          </w:p>
        </w:tc>
        <w:tc>
          <w:tcPr>
            <w:tcW w:w="702" w:type="pct"/>
            <w:vAlign w:val="center"/>
          </w:tcPr>
          <w:p w14:paraId="35C414BD">
            <w:pPr>
              <w:widowControl/>
              <w:adjustRightInd w:val="0"/>
              <w:snapToGrid w:val="0"/>
              <w:jc w:val="center"/>
              <w:rPr>
                <w:rFonts w:eastAsia="等线"/>
                <w:kern w:val="0"/>
                <w:szCs w:val="21"/>
              </w:rPr>
            </w:pPr>
            <w:r>
              <w:t>mg/L</w:t>
            </w:r>
          </w:p>
        </w:tc>
        <w:tc>
          <w:tcPr>
            <w:tcW w:w="800" w:type="pct"/>
            <w:vAlign w:val="center"/>
          </w:tcPr>
          <w:p w14:paraId="300F3A9E">
            <w:pPr>
              <w:widowControl/>
              <w:adjustRightInd w:val="0"/>
              <w:snapToGrid w:val="0"/>
              <w:jc w:val="center"/>
              <w:rPr>
                <w:rFonts w:eastAsia="等线"/>
                <w:kern w:val="0"/>
                <w:szCs w:val="21"/>
              </w:rPr>
            </w:pPr>
            <w:r>
              <w:rPr>
                <w:rFonts w:hint="eastAsia" w:eastAsia="等线"/>
                <w:kern w:val="0"/>
                <w:szCs w:val="21"/>
              </w:rPr>
              <w:t>0.01L</w:t>
            </w:r>
          </w:p>
        </w:tc>
        <w:tc>
          <w:tcPr>
            <w:tcW w:w="688" w:type="pct"/>
            <w:vAlign w:val="center"/>
          </w:tcPr>
          <w:p w14:paraId="63954FC3">
            <w:pPr>
              <w:widowControl/>
              <w:adjustRightInd w:val="0"/>
              <w:snapToGrid w:val="0"/>
              <w:jc w:val="center"/>
              <w:rPr>
                <w:rFonts w:eastAsia="等线"/>
                <w:kern w:val="0"/>
                <w:szCs w:val="21"/>
              </w:rPr>
            </w:pPr>
            <w:r>
              <w:rPr>
                <w:rFonts w:hint="eastAsia" w:eastAsia="等线"/>
                <w:kern w:val="0"/>
                <w:szCs w:val="21"/>
              </w:rPr>
              <w:t>0.01L</w:t>
            </w:r>
          </w:p>
        </w:tc>
        <w:tc>
          <w:tcPr>
            <w:tcW w:w="688" w:type="pct"/>
            <w:vAlign w:val="center"/>
          </w:tcPr>
          <w:p w14:paraId="5A1E4ABE">
            <w:pPr>
              <w:widowControl/>
              <w:adjustRightInd w:val="0"/>
              <w:snapToGrid w:val="0"/>
              <w:jc w:val="center"/>
              <w:rPr>
                <w:kern w:val="0"/>
                <w:szCs w:val="21"/>
              </w:rPr>
            </w:pPr>
            <w:r>
              <w:rPr>
                <w:rFonts w:hint="eastAsia" w:eastAsia="等线"/>
                <w:kern w:val="0"/>
                <w:szCs w:val="21"/>
              </w:rPr>
              <w:t>0.01L</w:t>
            </w:r>
          </w:p>
        </w:tc>
        <w:tc>
          <w:tcPr>
            <w:tcW w:w="666" w:type="pct"/>
            <w:vAlign w:val="center"/>
          </w:tcPr>
          <w:p w14:paraId="335FD291">
            <w:pPr>
              <w:widowControl/>
              <w:adjustRightInd w:val="0"/>
              <w:snapToGrid w:val="0"/>
              <w:jc w:val="center"/>
              <w:rPr>
                <w:kern w:val="0"/>
                <w:szCs w:val="21"/>
              </w:rPr>
            </w:pPr>
            <w:r>
              <w:rPr>
                <w:rFonts w:hint="eastAsia" w:eastAsia="等线"/>
                <w:kern w:val="0"/>
                <w:szCs w:val="21"/>
              </w:rPr>
              <w:t>0.01L</w:t>
            </w:r>
          </w:p>
        </w:tc>
        <w:tc>
          <w:tcPr>
            <w:tcW w:w="660" w:type="pct"/>
            <w:vAlign w:val="center"/>
          </w:tcPr>
          <w:p w14:paraId="42631E72">
            <w:pPr>
              <w:widowControl/>
              <w:adjustRightInd w:val="0"/>
              <w:snapToGrid w:val="0"/>
              <w:jc w:val="center"/>
              <w:rPr>
                <w:rFonts w:eastAsia="等线"/>
                <w:kern w:val="0"/>
                <w:szCs w:val="21"/>
              </w:rPr>
            </w:pPr>
            <w:r>
              <w:rPr>
                <w:rFonts w:hint="eastAsia" w:eastAsia="等线"/>
                <w:kern w:val="0"/>
                <w:szCs w:val="21"/>
              </w:rPr>
              <w:t>0.01L</w:t>
            </w:r>
          </w:p>
        </w:tc>
      </w:tr>
      <w:tr w14:paraId="489D0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15A42B92">
            <w:pPr>
              <w:widowControl/>
              <w:adjustRightInd w:val="0"/>
              <w:snapToGrid w:val="0"/>
              <w:jc w:val="center"/>
              <w:rPr>
                <w:kern w:val="0"/>
                <w:szCs w:val="21"/>
              </w:rPr>
            </w:pPr>
            <w:r>
              <w:t>总大肠菌群</w:t>
            </w:r>
          </w:p>
        </w:tc>
        <w:tc>
          <w:tcPr>
            <w:tcW w:w="702" w:type="pct"/>
            <w:vAlign w:val="center"/>
          </w:tcPr>
          <w:p w14:paraId="0C7E25EA">
            <w:pPr>
              <w:widowControl/>
              <w:adjustRightInd w:val="0"/>
              <w:snapToGrid w:val="0"/>
              <w:jc w:val="center"/>
              <w:rPr>
                <w:rFonts w:eastAsia="等线"/>
                <w:kern w:val="0"/>
                <w:szCs w:val="21"/>
              </w:rPr>
            </w:pPr>
            <w:r>
              <w:rPr>
                <w:rFonts w:eastAsia="等线"/>
                <w:kern w:val="0"/>
                <w:szCs w:val="21"/>
              </w:rPr>
              <w:t>MPU/100mL</w:t>
            </w:r>
          </w:p>
        </w:tc>
        <w:tc>
          <w:tcPr>
            <w:tcW w:w="800" w:type="pct"/>
            <w:vAlign w:val="center"/>
          </w:tcPr>
          <w:p w14:paraId="73C8FB17">
            <w:pPr>
              <w:widowControl/>
              <w:adjustRightInd w:val="0"/>
              <w:snapToGrid w:val="0"/>
              <w:jc w:val="center"/>
              <w:rPr>
                <w:rFonts w:eastAsia="等线"/>
                <w:kern w:val="0"/>
                <w:szCs w:val="21"/>
              </w:rPr>
            </w:pPr>
            <w:r>
              <w:rPr>
                <w:rFonts w:hint="eastAsia" w:eastAsia="等线"/>
                <w:kern w:val="0"/>
                <w:szCs w:val="21"/>
              </w:rPr>
              <w:t>2.0</w:t>
            </w:r>
          </w:p>
        </w:tc>
        <w:tc>
          <w:tcPr>
            <w:tcW w:w="688" w:type="pct"/>
            <w:vAlign w:val="center"/>
          </w:tcPr>
          <w:p w14:paraId="2FA0F413">
            <w:pPr>
              <w:widowControl/>
              <w:adjustRightInd w:val="0"/>
              <w:snapToGrid w:val="0"/>
              <w:jc w:val="center"/>
              <w:rPr>
                <w:rFonts w:eastAsia="等线"/>
                <w:kern w:val="0"/>
                <w:szCs w:val="21"/>
              </w:rPr>
            </w:pPr>
            <w:r>
              <w:rPr>
                <w:rFonts w:hint="eastAsia" w:eastAsia="等线"/>
                <w:kern w:val="0"/>
                <w:szCs w:val="21"/>
              </w:rPr>
              <w:t>2.0</w:t>
            </w:r>
          </w:p>
        </w:tc>
        <w:tc>
          <w:tcPr>
            <w:tcW w:w="688" w:type="pct"/>
            <w:vAlign w:val="center"/>
          </w:tcPr>
          <w:p w14:paraId="2C596C84">
            <w:pPr>
              <w:widowControl/>
              <w:adjustRightInd w:val="0"/>
              <w:snapToGrid w:val="0"/>
              <w:jc w:val="center"/>
              <w:rPr>
                <w:rFonts w:eastAsia="等线"/>
                <w:kern w:val="0"/>
                <w:szCs w:val="21"/>
              </w:rPr>
            </w:pPr>
            <w:r>
              <w:rPr>
                <w:rFonts w:hint="eastAsia" w:eastAsia="等线"/>
                <w:kern w:val="0"/>
                <w:szCs w:val="21"/>
              </w:rPr>
              <w:t>2.0L</w:t>
            </w:r>
          </w:p>
        </w:tc>
        <w:tc>
          <w:tcPr>
            <w:tcW w:w="666" w:type="pct"/>
            <w:vAlign w:val="center"/>
          </w:tcPr>
          <w:p w14:paraId="4FCB4B93">
            <w:pPr>
              <w:widowControl/>
              <w:adjustRightInd w:val="0"/>
              <w:snapToGrid w:val="0"/>
              <w:jc w:val="center"/>
              <w:rPr>
                <w:rFonts w:eastAsia="等线"/>
                <w:kern w:val="0"/>
                <w:szCs w:val="21"/>
              </w:rPr>
            </w:pPr>
            <w:r>
              <w:rPr>
                <w:rFonts w:hint="eastAsia" w:eastAsia="等线"/>
                <w:kern w:val="0"/>
                <w:szCs w:val="21"/>
              </w:rPr>
              <w:t>2.0L</w:t>
            </w:r>
          </w:p>
        </w:tc>
        <w:tc>
          <w:tcPr>
            <w:tcW w:w="660" w:type="pct"/>
            <w:vAlign w:val="center"/>
          </w:tcPr>
          <w:p w14:paraId="2D8920DE">
            <w:pPr>
              <w:widowControl/>
              <w:adjustRightInd w:val="0"/>
              <w:snapToGrid w:val="0"/>
              <w:jc w:val="center"/>
              <w:rPr>
                <w:rFonts w:eastAsia="等线"/>
                <w:kern w:val="0"/>
                <w:szCs w:val="21"/>
              </w:rPr>
            </w:pPr>
            <w:r>
              <w:rPr>
                <w:rFonts w:hint="eastAsia" w:eastAsia="等线"/>
                <w:kern w:val="0"/>
                <w:szCs w:val="21"/>
              </w:rPr>
              <w:t>2.0</w:t>
            </w:r>
          </w:p>
        </w:tc>
      </w:tr>
      <w:tr w14:paraId="29A59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3" w:type="pct"/>
            <w:vAlign w:val="center"/>
          </w:tcPr>
          <w:p w14:paraId="406D0AA8">
            <w:pPr>
              <w:widowControl/>
              <w:adjustRightInd w:val="0"/>
              <w:snapToGrid w:val="0"/>
              <w:jc w:val="center"/>
              <w:rPr>
                <w:kern w:val="0"/>
                <w:szCs w:val="21"/>
              </w:rPr>
            </w:pPr>
            <w:r>
              <w:t>菌落总数</w:t>
            </w:r>
          </w:p>
        </w:tc>
        <w:tc>
          <w:tcPr>
            <w:tcW w:w="702" w:type="pct"/>
            <w:vAlign w:val="center"/>
          </w:tcPr>
          <w:p w14:paraId="5FDF81BE">
            <w:pPr>
              <w:widowControl/>
              <w:adjustRightInd w:val="0"/>
              <w:snapToGrid w:val="0"/>
              <w:jc w:val="center"/>
              <w:rPr>
                <w:kern w:val="0"/>
                <w:szCs w:val="21"/>
              </w:rPr>
            </w:pPr>
            <w:r>
              <w:rPr>
                <w:rFonts w:eastAsia="等线"/>
                <w:kern w:val="0"/>
                <w:szCs w:val="21"/>
              </w:rPr>
              <w:t>CFU/mL</w:t>
            </w:r>
          </w:p>
        </w:tc>
        <w:tc>
          <w:tcPr>
            <w:tcW w:w="800" w:type="pct"/>
            <w:vAlign w:val="center"/>
          </w:tcPr>
          <w:p w14:paraId="55D5003D">
            <w:pPr>
              <w:widowControl/>
              <w:adjustRightInd w:val="0"/>
              <w:snapToGrid w:val="0"/>
              <w:jc w:val="center"/>
              <w:rPr>
                <w:kern w:val="0"/>
                <w:szCs w:val="21"/>
              </w:rPr>
            </w:pPr>
            <w:r>
              <w:rPr>
                <w:rFonts w:hint="eastAsia"/>
                <w:kern w:val="0"/>
                <w:szCs w:val="21"/>
              </w:rPr>
              <w:t>32</w:t>
            </w:r>
          </w:p>
        </w:tc>
        <w:tc>
          <w:tcPr>
            <w:tcW w:w="688" w:type="pct"/>
            <w:vAlign w:val="center"/>
          </w:tcPr>
          <w:p w14:paraId="68A6DE46">
            <w:pPr>
              <w:widowControl/>
              <w:adjustRightInd w:val="0"/>
              <w:snapToGrid w:val="0"/>
              <w:jc w:val="center"/>
              <w:rPr>
                <w:kern w:val="0"/>
                <w:szCs w:val="21"/>
              </w:rPr>
            </w:pPr>
            <w:r>
              <w:rPr>
                <w:rFonts w:hint="eastAsia"/>
                <w:kern w:val="0"/>
                <w:szCs w:val="21"/>
              </w:rPr>
              <w:t>27</w:t>
            </w:r>
          </w:p>
        </w:tc>
        <w:tc>
          <w:tcPr>
            <w:tcW w:w="688" w:type="pct"/>
            <w:vAlign w:val="center"/>
          </w:tcPr>
          <w:p w14:paraId="19833D26">
            <w:pPr>
              <w:widowControl/>
              <w:adjustRightInd w:val="0"/>
              <w:snapToGrid w:val="0"/>
              <w:jc w:val="center"/>
              <w:rPr>
                <w:kern w:val="0"/>
                <w:szCs w:val="21"/>
              </w:rPr>
            </w:pPr>
            <w:r>
              <w:rPr>
                <w:rFonts w:hint="eastAsia"/>
                <w:kern w:val="0"/>
                <w:szCs w:val="21"/>
              </w:rPr>
              <w:t>40</w:t>
            </w:r>
          </w:p>
        </w:tc>
        <w:tc>
          <w:tcPr>
            <w:tcW w:w="666" w:type="pct"/>
            <w:vAlign w:val="center"/>
          </w:tcPr>
          <w:p w14:paraId="39935B01">
            <w:pPr>
              <w:widowControl/>
              <w:adjustRightInd w:val="0"/>
              <w:snapToGrid w:val="0"/>
              <w:jc w:val="center"/>
              <w:rPr>
                <w:kern w:val="0"/>
                <w:szCs w:val="21"/>
              </w:rPr>
            </w:pPr>
            <w:r>
              <w:rPr>
                <w:rFonts w:hint="eastAsia"/>
                <w:kern w:val="0"/>
                <w:szCs w:val="21"/>
              </w:rPr>
              <w:t>55</w:t>
            </w:r>
          </w:p>
        </w:tc>
        <w:tc>
          <w:tcPr>
            <w:tcW w:w="660" w:type="pct"/>
            <w:vAlign w:val="center"/>
          </w:tcPr>
          <w:p w14:paraId="53643468">
            <w:pPr>
              <w:widowControl/>
              <w:adjustRightInd w:val="0"/>
              <w:snapToGrid w:val="0"/>
              <w:jc w:val="center"/>
              <w:rPr>
                <w:kern w:val="0"/>
                <w:szCs w:val="21"/>
              </w:rPr>
            </w:pPr>
            <w:r>
              <w:rPr>
                <w:rFonts w:hint="eastAsia"/>
                <w:kern w:val="0"/>
                <w:szCs w:val="21"/>
              </w:rPr>
              <w:t>13</w:t>
            </w:r>
          </w:p>
        </w:tc>
      </w:tr>
    </w:tbl>
    <w:p w14:paraId="23286A2D">
      <w:pPr>
        <w:pStyle w:val="7"/>
        <w:spacing w:before="120" w:beforeLines="50"/>
        <w:rPr>
          <w:rStyle w:val="557"/>
          <w:color w:val="auto"/>
        </w:rPr>
      </w:pPr>
      <w:bookmarkStart w:id="178" w:name="_Ref77014747"/>
      <w:r>
        <w:rPr>
          <w:rStyle w:val="557"/>
          <w:color w:val="auto"/>
        </w:rPr>
        <w:t>地下水环境质量现状评价</w:t>
      </w:r>
    </w:p>
    <w:p w14:paraId="04C04669">
      <w:pPr>
        <w:pStyle w:val="234"/>
      </w:pPr>
      <w:r>
        <w:t>（1）评价因子</w:t>
      </w:r>
    </w:p>
    <w:p w14:paraId="3CD72E3C">
      <w:pPr>
        <w:pStyle w:val="234"/>
      </w:pPr>
      <w:r>
        <w:t>评价因子为pH、氨氮(以N计)、硝酸盐(以N计)、亚硝酸盐(以N计)、挥发性酚类(以苯酚计)、氰化物、砷、汞、总硬度(以CaCO</w:t>
      </w:r>
      <w:r>
        <w:rPr>
          <w:vertAlign w:val="subscript"/>
        </w:rPr>
        <w:t>3</w:t>
      </w:r>
      <w:r>
        <w:t>计)、铅、铬(六价)、氟、镉、铁、锰、溶解性总固体、耗氧量(COD</w:t>
      </w:r>
      <w:r>
        <w:rPr>
          <w:vertAlign w:val="subscript"/>
        </w:rPr>
        <w:t>Mn</w:t>
      </w:r>
      <w:r>
        <w:t>法，以O</w:t>
      </w:r>
      <w:r>
        <w:rPr>
          <w:vertAlign w:val="subscript"/>
        </w:rPr>
        <w:t>2</w:t>
      </w:r>
      <w:r>
        <w:t>计)、总大肠菌群、菌落总数，石油类。</w:t>
      </w:r>
    </w:p>
    <w:p w14:paraId="00719101">
      <w:pPr>
        <w:pStyle w:val="234"/>
      </w:pPr>
      <w:r>
        <w:t>（2）评价方法</w:t>
      </w:r>
    </w:p>
    <w:p w14:paraId="78DA604E">
      <w:pPr>
        <w:pStyle w:val="234"/>
      </w:pPr>
      <w:r>
        <w:t>采用标准指数法，模式如下：</w:t>
      </w:r>
    </w:p>
    <w:p w14:paraId="719A9C09">
      <w:pPr>
        <w:pStyle w:val="234"/>
        <w:jc w:val="center"/>
        <w:rPr>
          <w:i/>
          <w:iCs/>
        </w:rPr>
      </w:pPr>
      <w:r>
        <w:rPr>
          <w:rFonts w:hint="eastAsia"/>
          <w:i/>
          <w:iCs/>
        </w:rPr>
        <w:t>P</w:t>
      </w:r>
      <w:r>
        <w:rPr>
          <w:rFonts w:hint="eastAsia"/>
          <w:i/>
          <w:iCs/>
          <w:vertAlign w:val="subscript"/>
        </w:rPr>
        <w:t>i</w:t>
      </w:r>
      <w:r>
        <w:rPr>
          <w:rFonts w:hint="eastAsia"/>
          <w:i/>
          <w:iCs/>
        </w:rPr>
        <w:t>=</w:t>
      </w:r>
      <m:oMath>
        <m:f>
          <m:fPr>
            <m:ctrlPr>
              <w:rPr>
                <w:rFonts w:ascii="Cambria Math" w:hAnsi="Cambria Math"/>
                <w:i/>
                <w:iCs/>
              </w:rPr>
            </m:ctrlPr>
          </m:fPr>
          <m:num>
            <m:sSub>
              <m:sSubPr>
                <m:ctrlPr>
                  <w:rPr>
                    <w:rFonts w:ascii="Cambria Math" w:hAnsi="Cambria Math"/>
                    <w:i/>
                    <w:iCs/>
                  </w:rPr>
                </m:ctrlPr>
              </m:sSubPr>
              <m:e>
                <m:r>
                  <m:rPr/>
                  <w:rPr>
                    <w:rFonts w:ascii="Cambria Math" w:hAnsi="Cambria Math"/>
                  </w:rPr>
                  <m:t>C</m:t>
                </m:r>
                <m:ctrlPr>
                  <w:rPr>
                    <w:rFonts w:ascii="Cambria Math" w:hAnsi="Cambria Math"/>
                    <w:i/>
                    <w:iCs/>
                  </w:rPr>
                </m:ctrlPr>
              </m:e>
              <m:sub>
                <m:r>
                  <m:rPr/>
                  <w:rPr>
                    <w:rFonts w:hint="eastAsia" w:ascii="Cambria Math" w:hAnsi="Cambria Math"/>
                  </w:rPr>
                  <m:t>i</m:t>
                </m:r>
                <m:ctrlPr>
                  <w:rPr>
                    <w:rFonts w:ascii="Cambria Math" w:hAnsi="Cambria Math"/>
                    <w:i/>
                    <w:iCs/>
                  </w:rPr>
                </m:ctrlPr>
              </m:sub>
            </m:sSub>
            <m:ctrlPr>
              <w:rPr>
                <w:rFonts w:ascii="Cambria Math" w:hAnsi="Cambria Math"/>
                <w:i/>
                <w:iCs/>
              </w:rPr>
            </m:ctrlPr>
          </m:num>
          <m:den>
            <m:sSub>
              <m:sSubPr>
                <m:ctrlPr>
                  <w:rPr>
                    <w:rFonts w:ascii="Cambria Math" w:hAnsi="Cambria Math"/>
                    <w:i/>
                    <w:iCs/>
                  </w:rPr>
                </m:ctrlPr>
              </m:sSubPr>
              <m:e>
                <m:r>
                  <m:rPr/>
                  <w:rPr>
                    <w:rFonts w:ascii="Cambria Math" w:hAnsi="Cambria Math"/>
                  </w:rPr>
                  <m:t>C</m:t>
                </m:r>
                <m:ctrlPr>
                  <w:rPr>
                    <w:rFonts w:ascii="Cambria Math" w:hAnsi="Cambria Math"/>
                    <w:i/>
                    <w:iCs/>
                  </w:rPr>
                </m:ctrlPr>
              </m:e>
              <m:sub>
                <m:r>
                  <m:rPr/>
                  <w:rPr>
                    <w:rFonts w:hint="eastAsia" w:ascii="Cambria Math" w:hAnsi="Cambria Math"/>
                  </w:rPr>
                  <m:t>si</m:t>
                </m:r>
                <m:ctrlPr>
                  <w:rPr>
                    <w:rFonts w:ascii="Cambria Math" w:hAnsi="Cambria Math"/>
                    <w:i/>
                    <w:iCs/>
                  </w:rPr>
                </m:ctrlPr>
              </m:sub>
            </m:sSub>
            <m:ctrlPr>
              <w:rPr>
                <w:rFonts w:ascii="Cambria Math" w:hAnsi="Cambria Math"/>
                <w:i/>
                <w:iCs/>
              </w:rPr>
            </m:ctrlPr>
          </m:den>
        </m:f>
      </m:oMath>
    </w:p>
    <w:p w14:paraId="784DE5FA">
      <w:pPr>
        <w:pStyle w:val="234"/>
      </w:pPr>
      <w:r>
        <w:t>式中：</w:t>
      </w:r>
      <w:r>
        <w:rPr>
          <w:i/>
          <w:iCs/>
        </w:rPr>
        <w:t>P</w:t>
      </w:r>
      <w:r>
        <w:rPr>
          <w:i/>
          <w:iCs/>
          <w:vertAlign w:val="subscript"/>
        </w:rPr>
        <w:t>i</w:t>
      </w:r>
      <w:r>
        <w:t>——第i个水质因子的标准指数，无量纲；</w:t>
      </w:r>
    </w:p>
    <w:p w14:paraId="17C45554">
      <w:pPr>
        <w:pStyle w:val="234"/>
      </w:pPr>
      <w:r>
        <w:t xml:space="preserve">      </w:t>
      </w:r>
      <w:r>
        <w:rPr>
          <w:i/>
          <w:iCs/>
        </w:rPr>
        <w:t>C</w:t>
      </w:r>
      <w:r>
        <w:rPr>
          <w:vertAlign w:val="subscript"/>
        </w:rPr>
        <w:t>i</w:t>
      </w:r>
      <w:r>
        <w:t>——第i个水质因子的监测浓度值（mg/L）；</w:t>
      </w:r>
    </w:p>
    <w:p w14:paraId="6882E3BB">
      <w:pPr>
        <w:pStyle w:val="234"/>
      </w:pPr>
      <w:r>
        <w:t xml:space="preserve">      </w:t>
      </w:r>
      <w:r>
        <w:rPr>
          <w:i/>
          <w:iCs/>
        </w:rPr>
        <w:t>C</w:t>
      </w:r>
      <w:r>
        <w:rPr>
          <w:i/>
          <w:iCs/>
          <w:vertAlign w:val="subscript"/>
        </w:rPr>
        <w:t>si</w:t>
      </w:r>
      <w:r>
        <w:t>——第i个水质因子的标准浓度值（mg/L）。</w:t>
      </w:r>
    </w:p>
    <w:p w14:paraId="26531AD6">
      <w:pPr>
        <w:pStyle w:val="234"/>
      </w:pPr>
      <w:r>
        <w:t>pH的标准指数为：</w:t>
      </w:r>
    </w:p>
    <w:p w14:paraId="24F3C023">
      <w:pPr>
        <w:pStyle w:val="234"/>
        <w:jc w:val="center"/>
        <w:rPr>
          <w:color w:val="0000FF"/>
        </w:rPr>
      </w:pPr>
      <w:r>
        <w:rPr>
          <w:color w:val="0000FF"/>
        </w:rPr>
        <w:drawing>
          <wp:inline distT="0" distB="0" distL="0" distR="0">
            <wp:extent cx="1670050" cy="389890"/>
            <wp:effectExtent l="0" t="0" r="635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1670050" cy="389890"/>
                    </a:xfrm>
                    <a:prstGeom prst="rect">
                      <a:avLst/>
                    </a:prstGeom>
                    <a:noFill/>
                    <a:ln>
                      <a:noFill/>
                    </a:ln>
                  </pic:spPr>
                </pic:pic>
              </a:graphicData>
            </a:graphic>
          </wp:inline>
        </w:drawing>
      </w:r>
    </w:p>
    <w:p w14:paraId="2F341982">
      <w:pPr>
        <w:pStyle w:val="234"/>
        <w:jc w:val="center"/>
        <w:rPr>
          <w:color w:val="0000FF"/>
        </w:rPr>
      </w:pPr>
      <w:r>
        <w:rPr>
          <w:color w:val="0000FF"/>
        </w:rPr>
        <w:drawing>
          <wp:inline distT="0" distB="0" distL="0" distR="0">
            <wp:extent cx="1637665" cy="397510"/>
            <wp:effectExtent l="0" t="0" r="635"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1637665" cy="397510"/>
                    </a:xfrm>
                    <a:prstGeom prst="rect">
                      <a:avLst/>
                    </a:prstGeom>
                    <a:noFill/>
                    <a:ln>
                      <a:noFill/>
                    </a:ln>
                  </pic:spPr>
                </pic:pic>
              </a:graphicData>
            </a:graphic>
          </wp:inline>
        </w:drawing>
      </w:r>
    </w:p>
    <w:p w14:paraId="1215AE65">
      <w:pPr>
        <w:pStyle w:val="234"/>
      </w:pPr>
      <w:r>
        <w:t>式中：</w:t>
      </w:r>
      <w:r>
        <w:rPr>
          <w:i/>
          <w:iCs/>
        </w:rPr>
        <w:t>P</w:t>
      </w:r>
      <w:r>
        <w:rPr>
          <w:i/>
          <w:iCs/>
          <w:vertAlign w:val="subscript"/>
        </w:rPr>
        <w:t>pH</w:t>
      </w:r>
      <w:r>
        <w:t>——pH的标准指数，无量纲；</w:t>
      </w:r>
    </w:p>
    <w:p w14:paraId="644F5FAF">
      <w:pPr>
        <w:pStyle w:val="234"/>
      </w:pPr>
      <w:r>
        <w:t xml:space="preserve">    </w:t>
      </w:r>
      <w:r>
        <w:rPr>
          <w:rFonts w:hint="eastAsia"/>
        </w:rPr>
        <w:t xml:space="preserve">      </w:t>
      </w:r>
      <w:r>
        <w:t xml:space="preserve">  </w:t>
      </w:r>
      <w:r>
        <w:rPr>
          <w:i/>
          <w:iCs/>
        </w:rPr>
        <w:t>pH</w:t>
      </w:r>
      <w:r>
        <w:t>——pH监测值；</w:t>
      </w:r>
    </w:p>
    <w:p w14:paraId="598B612C">
      <w:pPr>
        <w:pStyle w:val="234"/>
      </w:pPr>
      <w:r>
        <w:t xml:space="preserve">    </w:t>
      </w:r>
      <w:r>
        <w:rPr>
          <w:rFonts w:hint="eastAsia"/>
        </w:rPr>
        <w:t xml:space="preserve">      </w:t>
      </w:r>
      <w:r>
        <w:t xml:space="preserve">  </w:t>
      </w:r>
      <w:r>
        <w:rPr>
          <w:i/>
          <w:iCs/>
        </w:rPr>
        <w:t>pH</w:t>
      </w:r>
      <w:r>
        <w:rPr>
          <w:i/>
          <w:iCs/>
          <w:vertAlign w:val="subscript"/>
        </w:rPr>
        <w:t>su</w:t>
      </w:r>
      <w:r>
        <w:t>——pH值标准规定的上限值；</w:t>
      </w:r>
    </w:p>
    <w:p w14:paraId="6A5CE917">
      <w:pPr>
        <w:pStyle w:val="234"/>
      </w:pPr>
      <w:r>
        <w:t xml:space="preserve">      </w:t>
      </w:r>
      <w:r>
        <w:rPr>
          <w:rFonts w:hint="eastAsia"/>
        </w:rPr>
        <w:t xml:space="preserve">      </w:t>
      </w:r>
      <w:r>
        <w:rPr>
          <w:i/>
          <w:iCs/>
        </w:rPr>
        <w:t>pH</w:t>
      </w:r>
      <w:r>
        <w:rPr>
          <w:i/>
          <w:iCs/>
          <w:vertAlign w:val="subscript"/>
        </w:rPr>
        <w:t>sd</w:t>
      </w:r>
      <w:r>
        <w:t>——pH标准规定的下限值。</w:t>
      </w:r>
    </w:p>
    <w:p w14:paraId="6BD8604F">
      <w:pPr>
        <w:pStyle w:val="234"/>
      </w:pPr>
      <w:r>
        <w:t>（3）评价标准</w:t>
      </w:r>
    </w:p>
    <w:p w14:paraId="414F6CF8">
      <w:pPr>
        <w:pStyle w:val="234"/>
      </w:pPr>
      <w:r>
        <w:rPr>
          <w:szCs w:val="21"/>
        </w:rPr>
        <w:t>石油类参照执行《地表水环境质量标准》（GB3838-2002）</w:t>
      </w:r>
      <w:r>
        <w:fldChar w:fldCharType="begin"/>
      </w:r>
      <w:r>
        <w:instrText xml:space="preserve"> = 3 \* ROMAN \* MERGEFORMAT </w:instrText>
      </w:r>
      <w:r>
        <w:fldChar w:fldCharType="separate"/>
      </w:r>
      <w:r>
        <w:t>III</w:t>
      </w:r>
      <w:r>
        <w:fldChar w:fldCharType="end"/>
      </w:r>
      <w:r>
        <w:rPr>
          <w:szCs w:val="21"/>
        </w:rPr>
        <w:t>类限值。其他项目</w:t>
      </w:r>
      <w:r>
        <w:t>采用《地下水质量标准》（GB/T14848-2017）中</w:t>
      </w:r>
      <w:r>
        <w:fldChar w:fldCharType="begin"/>
      </w:r>
      <w:r>
        <w:instrText xml:space="preserve"> = 3 \* ROMAN \* MERGEFORMAT </w:instrText>
      </w:r>
      <w:r>
        <w:fldChar w:fldCharType="separate"/>
      </w:r>
      <w:r>
        <w:t>III</w:t>
      </w:r>
      <w:r>
        <w:fldChar w:fldCharType="end"/>
      </w:r>
      <w:r>
        <w:t>类标准。</w:t>
      </w:r>
    </w:p>
    <w:p w14:paraId="080A7E60">
      <w:pPr>
        <w:pStyle w:val="234"/>
      </w:pPr>
      <w:r>
        <w:t>（4）评价结果</w:t>
      </w:r>
    </w:p>
    <w:p w14:paraId="16F42F5F">
      <w:pPr>
        <w:pStyle w:val="234"/>
      </w:pPr>
      <w:r>
        <w:t>地下水现状评价结果见表4.2-1</w:t>
      </w:r>
      <w:r>
        <w:rPr>
          <w:rFonts w:hint="eastAsia"/>
        </w:rPr>
        <w:t>6</w:t>
      </w:r>
      <w:r>
        <w:t>。</w:t>
      </w:r>
    </w:p>
    <w:p w14:paraId="61EA273C">
      <w:pPr>
        <w:pStyle w:val="904"/>
      </w:pPr>
      <w:r>
        <w:t xml:space="preserve">表 </w:t>
      </w:r>
      <w:r>
        <w:fldChar w:fldCharType="begin"/>
      </w:r>
      <w:r>
        <w:instrText xml:space="preserve"> STYLEREF 2 \s </w:instrText>
      </w:r>
      <w:r>
        <w:fldChar w:fldCharType="separate"/>
      </w:r>
      <w:r>
        <w:t>4.2</w:t>
      </w:r>
      <w:r>
        <w:fldChar w:fldCharType="end"/>
      </w:r>
      <w:r>
        <w:noBreakHyphen/>
      </w:r>
      <w:bookmarkEnd w:id="178"/>
      <w:r>
        <w:t>1</w:t>
      </w:r>
      <w:r>
        <w:rPr>
          <w:rFonts w:hint="eastAsia"/>
        </w:rPr>
        <w:t>6</w:t>
      </w:r>
      <w:r>
        <w:t>地下水现状评价指数一览表</w:t>
      </w:r>
    </w:p>
    <w:tbl>
      <w:tblPr>
        <w:tblStyle w:val="139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7"/>
        <w:gridCol w:w="1559"/>
        <w:gridCol w:w="1582"/>
        <w:gridCol w:w="1789"/>
        <w:gridCol w:w="1385"/>
        <w:gridCol w:w="1324"/>
      </w:tblGrid>
      <w:tr w14:paraId="7FC6A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76026FE0">
            <w:pPr>
              <w:pStyle w:val="1343"/>
              <w:jc w:val="right"/>
            </w:pPr>
            <w:r>
              <w:rPr>
                <w:snapToGrid/>
              </w:rPr>
              <mc:AlternateContent>
                <mc:Choice Requires="wps">
                  <w:drawing>
                    <wp:anchor distT="0" distB="0" distL="114300" distR="114300" simplePos="0" relativeHeight="251659264" behindDoc="0" locked="0" layoutInCell="1" allowOverlap="1">
                      <wp:simplePos x="0" y="0"/>
                      <wp:positionH relativeFrom="column">
                        <wp:posOffset>-62865</wp:posOffset>
                      </wp:positionH>
                      <wp:positionV relativeFrom="paragraph">
                        <wp:posOffset>2540</wp:posOffset>
                      </wp:positionV>
                      <wp:extent cx="1209675" cy="502920"/>
                      <wp:effectExtent l="1905" t="4445" r="7620" b="10795"/>
                      <wp:wrapNone/>
                      <wp:docPr id="12" name="直接连接符 12"/>
                      <wp:cNvGraphicFramePr/>
                      <a:graphic xmlns:a="http://schemas.openxmlformats.org/drawingml/2006/main">
                        <a:graphicData uri="http://schemas.microsoft.com/office/word/2010/wordprocessingShape">
                          <wps:wsp>
                            <wps:cNvCnPr/>
                            <wps:spPr>
                              <a:xfrm>
                                <a:off x="0" y="0"/>
                                <a:ext cx="1209675" cy="5029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95pt;margin-top:0.2pt;height:39.6pt;width:95.25pt;z-index:251659264;mso-width-relative:page;mso-height-relative:page;" filled="f" stroked="t" coordsize="21600,21600" o:gfxdata="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Vevrp0wAA&#10;AAYBAAAPAAAAAAAAAAEAIAAAACIAAABkcnMvZG93bnJldi54bWxQSwECFAAUAAAACACHTuJASJFv&#10;CuoBAAC4AwAADgAAAAAAAAABACAAAAAiAQAAZHJzL2Uyb0RvYy54bWxQSwUGAAAAAAYABgBZAQAA&#10;fgUAAAAA&#10;">
                      <v:fill on="f" focussize="0,0"/>
                      <v:stroke weight="0.5pt" color="#000000 [3213]" miterlimit="8" joinstyle="miter"/>
                      <v:imagedata o:title=""/>
                      <o:lock v:ext="edit" aspectratio="f"/>
                    </v:line>
                  </w:pict>
                </mc:Fallback>
              </mc:AlternateContent>
            </w:r>
            <w:r>
              <w:t>采样点位</w:t>
            </w:r>
          </w:p>
          <w:p w14:paraId="71C4264F">
            <w:pPr>
              <w:pStyle w:val="1343"/>
              <w:jc w:val="right"/>
            </w:pPr>
          </w:p>
          <w:p w14:paraId="7E703CEE">
            <w:pPr>
              <w:pStyle w:val="1343"/>
              <w:jc w:val="left"/>
            </w:pPr>
            <w:r>
              <w:rPr>
                <w:rFonts w:hint="eastAsia"/>
              </w:rPr>
              <w:t>监测因子</w:t>
            </w:r>
          </w:p>
        </w:tc>
        <w:tc>
          <w:tcPr>
            <w:tcW w:w="813" w:type="pct"/>
            <w:vAlign w:val="center"/>
          </w:tcPr>
          <w:p w14:paraId="07747419">
            <w:pPr>
              <w:pStyle w:val="1343"/>
            </w:pPr>
            <w:r>
              <w:rPr>
                <w:rFonts w:hint="eastAsia"/>
              </w:rPr>
              <w:t>大白石坳</w:t>
            </w:r>
            <w:r>
              <w:t>水井</w:t>
            </w:r>
          </w:p>
        </w:tc>
        <w:tc>
          <w:tcPr>
            <w:tcW w:w="825" w:type="pct"/>
            <w:vAlign w:val="center"/>
          </w:tcPr>
          <w:p w14:paraId="285E3277">
            <w:pPr>
              <w:pStyle w:val="1343"/>
            </w:pPr>
            <w:r>
              <w:rPr>
                <w:rFonts w:hint="eastAsia"/>
              </w:rPr>
              <w:t>资家湾</w:t>
            </w:r>
            <w:r>
              <w:t>水井</w:t>
            </w:r>
          </w:p>
        </w:tc>
        <w:tc>
          <w:tcPr>
            <w:tcW w:w="933" w:type="pct"/>
            <w:vAlign w:val="center"/>
          </w:tcPr>
          <w:p w14:paraId="63084A3F">
            <w:pPr>
              <w:pStyle w:val="1343"/>
            </w:pPr>
            <w:r>
              <w:rPr>
                <w:rFonts w:hint="eastAsia"/>
              </w:rPr>
              <w:t>铜角湾</w:t>
            </w:r>
            <w:r>
              <w:t>水井</w:t>
            </w:r>
          </w:p>
        </w:tc>
        <w:tc>
          <w:tcPr>
            <w:tcW w:w="722" w:type="pct"/>
            <w:vAlign w:val="center"/>
          </w:tcPr>
          <w:p w14:paraId="01CB63F2">
            <w:pPr>
              <w:pStyle w:val="1343"/>
            </w:pPr>
            <w:r>
              <w:rPr>
                <w:rFonts w:hint="eastAsia"/>
              </w:rPr>
              <w:t>蒋家冲</w:t>
            </w:r>
            <w:r>
              <w:t>水井</w:t>
            </w:r>
          </w:p>
        </w:tc>
        <w:tc>
          <w:tcPr>
            <w:tcW w:w="690" w:type="pct"/>
            <w:vAlign w:val="center"/>
          </w:tcPr>
          <w:p w14:paraId="31E53823">
            <w:pPr>
              <w:pStyle w:val="1343"/>
            </w:pPr>
            <w:r>
              <w:rPr>
                <w:rFonts w:hint="eastAsia"/>
              </w:rPr>
              <w:t>里王村</w:t>
            </w:r>
            <w:r>
              <w:t>水井</w:t>
            </w:r>
          </w:p>
        </w:tc>
      </w:tr>
      <w:tr w14:paraId="0EB22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3349A322">
            <w:pPr>
              <w:widowControl/>
              <w:jc w:val="center"/>
              <w:rPr>
                <w:szCs w:val="21"/>
              </w:rPr>
            </w:pPr>
            <w:r>
              <w:rPr>
                <w:szCs w:val="21"/>
              </w:rPr>
              <w:t>Na</w:t>
            </w:r>
            <w:r>
              <w:rPr>
                <w:szCs w:val="21"/>
                <w:vertAlign w:val="superscript"/>
              </w:rPr>
              <w:t>+</w:t>
            </w:r>
          </w:p>
        </w:tc>
        <w:tc>
          <w:tcPr>
            <w:tcW w:w="1559" w:type="dxa"/>
            <w:vAlign w:val="center"/>
          </w:tcPr>
          <w:p w14:paraId="536A6B43">
            <w:pPr>
              <w:widowControl/>
              <w:adjustRightInd w:val="0"/>
              <w:snapToGrid w:val="0"/>
              <w:jc w:val="center"/>
              <w:rPr>
                <w:rFonts w:eastAsia="等线"/>
                <w:kern w:val="0"/>
                <w:szCs w:val="21"/>
              </w:rPr>
            </w:pPr>
            <w:r>
              <w:rPr>
                <w:rFonts w:hint="eastAsia" w:eastAsia="等线"/>
                <w:kern w:val="0"/>
                <w:szCs w:val="21"/>
              </w:rPr>
              <w:t xml:space="preserve">0.040 </w:t>
            </w:r>
          </w:p>
        </w:tc>
        <w:tc>
          <w:tcPr>
            <w:tcW w:w="1582" w:type="dxa"/>
            <w:vAlign w:val="center"/>
          </w:tcPr>
          <w:p w14:paraId="59EC0E5B">
            <w:pPr>
              <w:widowControl/>
              <w:adjustRightInd w:val="0"/>
              <w:snapToGrid w:val="0"/>
              <w:jc w:val="center"/>
              <w:rPr>
                <w:rFonts w:eastAsia="等线"/>
                <w:kern w:val="0"/>
                <w:szCs w:val="21"/>
              </w:rPr>
            </w:pPr>
            <w:r>
              <w:rPr>
                <w:rFonts w:hint="eastAsia" w:eastAsia="等线"/>
                <w:kern w:val="0"/>
                <w:szCs w:val="21"/>
              </w:rPr>
              <w:t xml:space="preserve">0.040 </w:t>
            </w:r>
          </w:p>
        </w:tc>
        <w:tc>
          <w:tcPr>
            <w:tcW w:w="1789" w:type="dxa"/>
            <w:vAlign w:val="center"/>
          </w:tcPr>
          <w:p w14:paraId="5F8BFE71">
            <w:pPr>
              <w:widowControl/>
              <w:adjustRightInd w:val="0"/>
              <w:snapToGrid w:val="0"/>
              <w:jc w:val="center"/>
              <w:rPr>
                <w:rFonts w:eastAsia="等线"/>
                <w:kern w:val="0"/>
                <w:szCs w:val="21"/>
              </w:rPr>
            </w:pPr>
            <w:r>
              <w:rPr>
                <w:rFonts w:hint="eastAsia" w:eastAsia="等线"/>
                <w:kern w:val="0"/>
                <w:szCs w:val="21"/>
              </w:rPr>
              <w:t xml:space="preserve">0.044 </w:t>
            </w:r>
          </w:p>
        </w:tc>
        <w:tc>
          <w:tcPr>
            <w:tcW w:w="1385" w:type="dxa"/>
            <w:vAlign w:val="center"/>
          </w:tcPr>
          <w:p w14:paraId="1194F663">
            <w:pPr>
              <w:widowControl/>
              <w:adjustRightInd w:val="0"/>
              <w:snapToGrid w:val="0"/>
              <w:jc w:val="center"/>
              <w:rPr>
                <w:rFonts w:eastAsia="等线"/>
                <w:kern w:val="0"/>
                <w:szCs w:val="21"/>
              </w:rPr>
            </w:pPr>
            <w:r>
              <w:rPr>
                <w:rFonts w:hint="eastAsia" w:eastAsia="等线"/>
                <w:kern w:val="0"/>
                <w:szCs w:val="21"/>
              </w:rPr>
              <w:t xml:space="preserve">0.038 </w:t>
            </w:r>
          </w:p>
        </w:tc>
        <w:tc>
          <w:tcPr>
            <w:tcW w:w="1324" w:type="dxa"/>
            <w:vAlign w:val="center"/>
          </w:tcPr>
          <w:p w14:paraId="7DA15AC1">
            <w:pPr>
              <w:widowControl/>
              <w:adjustRightInd w:val="0"/>
              <w:snapToGrid w:val="0"/>
              <w:jc w:val="center"/>
              <w:rPr>
                <w:rFonts w:eastAsia="等线"/>
                <w:kern w:val="0"/>
                <w:szCs w:val="21"/>
              </w:rPr>
            </w:pPr>
            <w:r>
              <w:rPr>
                <w:rFonts w:hint="eastAsia" w:eastAsia="等线"/>
                <w:kern w:val="0"/>
                <w:szCs w:val="21"/>
              </w:rPr>
              <w:t xml:space="preserve">0.039 </w:t>
            </w:r>
          </w:p>
        </w:tc>
      </w:tr>
      <w:tr w14:paraId="16C91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71FE88A9">
            <w:pPr>
              <w:widowControl/>
              <w:jc w:val="center"/>
              <w:rPr>
                <w:kern w:val="0"/>
                <w:szCs w:val="21"/>
              </w:rPr>
            </w:pPr>
            <w:r>
              <w:rPr>
                <w:szCs w:val="21"/>
              </w:rPr>
              <w:t>Cl</w:t>
            </w:r>
            <w:r>
              <w:rPr>
                <w:szCs w:val="21"/>
                <w:vertAlign w:val="superscript"/>
              </w:rPr>
              <w:t>-</w:t>
            </w:r>
          </w:p>
        </w:tc>
        <w:tc>
          <w:tcPr>
            <w:tcW w:w="1559" w:type="dxa"/>
            <w:vAlign w:val="center"/>
          </w:tcPr>
          <w:p w14:paraId="633F39DF">
            <w:pPr>
              <w:widowControl/>
              <w:adjustRightInd w:val="0"/>
              <w:snapToGrid w:val="0"/>
              <w:jc w:val="center"/>
              <w:rPr>
                <w:rFonts w:eastAsia="等线"/>
                <w:kern w:val="0"/>
                <w:szCs w:val="21"/>
              </w:rPr>
            </w:pPr>
            <w:r>
              <w:rPr>
                <w:rFonts w:hint="eastAsia" w:eastAsia="等线"/>
                <w:kern w:val="0"/>
                <w:szCs w:val="21"/>
              </w:rPr>
              <w:t xml:space="preserve">0.021 </w:t>
            </w:r>
          </w:p>
        </w:tc>
        <w:tc>
          <w:tcPr>
            <w:tcW w:w="1582" w:type="dxa"/>
            <w:vAlign w:val="center"/>
          </w:tcPr>
          <w:p w14:paraId="7DFDED26">
            <w:pPr>
              <w:widowControl/>
              <w:adjustRightInd w:val="0"/>
              <w:snapToGrid w:val="0"/>
              <w:jc w:val="center"/>
              <w:rPr>
                <w:rFonts w:eastAsia="等线"/>
                <w:kern w:val="0"/>
                <w:szCs w:val="21"/>
              </w:rPr>
            </w:pPr>
            <w:r>
              <w:rPr>
                <w:rFonts w:hint="eastAsia" w:eastAsia="等线"/>
                <w:kern w:val="0"/>
                <w:szCs w:val="21"/>
              </w:rPr>
              <w:t xml:space="preserve">0.032 </w:t>
            </w:r>
          </w:p>
        </w:tc>
        <w:tc>
          <w:tcPr>
            <w:tcW w:w="1789" w:type="dxa"/>
            <w:vAlign w:val="center"/>
          </w:tcPr>
          <w:p w14:paraId="2378743F">
            <w:pPr>
              <w:widowControl/>
              <w:adjustRightInd w:val="0"/>
              <w:snapToGrid w:val="0"/>
              <w:jc w:val="center"/>
              <w:rPr>
                <w:rFonts w:eastAsia="等线"/>
                <w:kern w:val="0"/>
                <w:szCs w:val="21"/>
              </w:rPr>
            </w:pPr>
            <w:r>
              <w:rPr>
                <w:rFonts w:hint="eastAsia" w:eastAsia="等线"/>
                <w:kern w:val="0"/>
                <w:szCs w:val="21"/>
              </w:rPr>
              <w:t xml:space="preserve">0.020 </w:t>
            </w:r>
          </w:p>
        </w:tc>
        <w:tc>
          <w:tcPr>
            <w:tcW w:w="1385" w:type="dxa"/>
            <w:vAlign w:val="center"/>
          </w:tcPr>
          <w:p w14:paraId="1BACC502">
            <w:pPr>
              <w:widowControl/>
              <w:adjustRightInd w:val="0"/>
              <w:snapToGrid w:val="0"/>
              <w:jc w:val="center"/>
              <w:rPr>
                <w:rFonts w:eastAsia="等线"/>
                <w:kern w:val="0"/>
                <w:szCs w:val="21"/>
              </w:rPr>
            </w:pPr>
            <w:r>
              <w:rPr>
                <w:rFonts w:hint="eastAsia" w:eastAsia="等线"/>
                <w:kern w:val="0"/>
                <w:szCs w:val="21"/>
              </w:rPr>
              <w:t xml:space="preserve">0.040 </w:t>
            </w:r>
          </w:p>
        </w:tc>
        <w:tc>
          <w:tcPr>
            <w:tcW w:w="1324" w:type="dxa"/>
            <w:vAlign w:val="center"/>
          </w:tcPr>
          <w:p w14:paraId="2E322D47">
            <w:pPr>
              <w:widowControl/>
              <w:adjustRightInd w:val="0"/>
              <w:snapToGrid w:val="0"/>
              <w:jc w:val="center"/>
              <w:rPr>
                <w:rFonts w:eastAsia="等线"/>
                <w:kern w:val="0"/>
                <w:szCs w:val="21"/>
              </w:rPr>
            </w:pPr>
            <w:r>
              <w:rPr>
                <w:rFonts w:hint="eastAsia" w:eastAsia="等线"/>
                <w:kern w:val="0"/>
                <w:szCs w:val="21"/>
              </w:rPr>
              <w:t xml:space="preserve">0.009 </w:t>
            </w:r>
          </w:p>
        </w:tc>
      </w:tr>
      <w:tr w14:paraId="5A4DA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2B7D13FE">
            <w:pPr>
              <w:widowControl/>
              <w:jc w:val="center"/>
              <w:rPr>
                <w:kern w:val="0"/>
                <w:szCs w:val="21"/>
              </w:rPr>
            </w:pPr>
            <w:r>
              <w:rPr>
                <w:szCs w:val="21"/>
              </w:rPr>
              <w:t>SO</w:t>
            </w:r>
            <w:r>
              <w:rPr>
                <w:szCs w:val="21"/>
                <w:vertAlign w:val="subscript"/>
              </w:rPr>
              <w:t>4</w:t>
            </w:r>
            <w:r>
              <w:rPr>
                <w:szCs w:val="21"/>
                <w:vertAlign w:val="superscript"/>
              </w:rPr>
              <w:t>2-</w:t>
            </w:r>
          </w:p>
        </w:tc>
        <w:tc>
          <w:tcPr>
            <w:tcW w:w="1559" w:type="dxa"/>
            <w:vAlign w:val="center"/>
          </w:tcPr>
          <w:p w14:paraId="61DE0E79">
            <w:pPr>
              <w:widowControl/>
              <w:adjustRightInd w:val="0"/>
              <w:snapToGrid w:val="0"/>
              <w:jc w:val="center"/>
              <w:rPr>
                <w:rFonts w:eastAsia="等线"/>
                <w:kern w:val="0"/>
                <w:szCs w:val="21"/>
              </w:rPr>
            </w:pPr>
            <w:r>
              <w:rPr>
                <w:rFonts w:hint="eastAsia" w:eastAsia="等线"/>
                <w:kern w:val="0"/>
                <w:szCs w:val="21"/>
              </w:rPr>
              <w:t xml:space="preserve">0.112 </w:t>
            </w:r>
          </w:p>
        </w:tc>
        <w:tc>
          <w:tcPr>
            <w:tcW w:w="1582" w:type="dxa"/>
            <w:vAlign w:val="center"/>
          </w:tcPr>
          <w:p w14:paraId="12D15CE1">
            <w:pPr>
              <w:widowControl/>
              <w:adjustRightInd w:val="0"/>
              <w:snapToGrid w:val="0"/>
              <w:jc w:val="center"/>
              <w:rPr>
                <w:rFonts w:eastAsia="等线"/>
                <w:kern w:val="0"/>
                <w:szCs w:val="21"/>
              </w:rPr>
            </w:pPr>
            <w:r>
              <w:rPr>
                <w:rFonts w:hint="eastAsia" w:eastAsia="等线"/>
                <w:kern w:val="0"/>
                <w:szCs w:val="21"/>
              </w:rPr>
              <w:t xml:space="preserve">0.096 </w:t>
            </w:r>
          </w:p>
        </w:tc>
        <w:tc>
          <w:tcPr>
            <w:tcW w:w="1789" w:type="dxa"/>
            <w:vAlign w:val="center"/>
          </w:tcPr>
          <w:p w14:paraId="3B2A9407">
            <w:pPr>
              <w:widowControl/>
              <w:adjustRightInd w:val="0"/>
              <w:snapToGrid w:val="0"/>
              <w:jc w:val="center"/>
              <w:rPr>
                <w:rFonts w:eastAsia="等线"/>
                <w:kern w:val="0"/>
                <w:szCs w:val="21"/>
              </w:rPr>
            </w:pPr>
            <w:r>
              <w:rPr>
                <w:rFonts w:hint="eastAsia" w:eastAsia="等线"/>
                <w:kern w:val="0"/>
                <w:szCs w:val="21"/>
              </w:rPr>
              <w:t xml:space="preserve">0.092 </w:t>
            </w:r>
          </w:p>
        </w:tc>
        <w:tc>
          <w:tcPr>
            <w:tcW w:w="1385" w:type="dxa"/>
            <w:vAlign w:val="center"/>
          </w:tcPr>
          <w:p w14:paraId="1AAD3A4E">
            <w:pPr>
              <w:widowControl/>
              <w:adjustRightInd w:val="0"/>
              <w:snapToGrid w:val="0"/>
              <w:jc w:val="center"/>
              <w:rPr>
                <w:rFonts w:eastAsia="等线"/>
                <w:kern w:val="0"/>
                <w:szCs w:val="21"/>
              </w:rPr>
            </w:pPr>
            <w:r>
              <w:rPr>
                <w:rFonts w:hint="eastAsia" w:eastAsia="等线"/>
                <w:kern w:val="0"/>
                <w:szCs w:val="21"/>
              </w:rPr>
              <w:t xml:space="preserve">0.100 </w:t>
            </w:r>
          </w:p>
        </w:tc>
        <w:tc>
          <w:tcPr>
            <w:tcW w:w="1324" w:type="dxa"/>
            <w:vAlign w:val="center"/>
          </w:tcPr>
          <w:p w14:paraId="3F5535EF">
            <w:pPr>
              <w:widowControl/>
              <w:adjustRightInd w:val="0"/>
              <w:snapToGrid w:val="0"/>
              <w:jc w:val="center"/>
              <w:rPr>
                <w:rFonts w:eastAsia="等线"/>
                <w:kern w:val="0"/>
                <w:szCs w:val="21"/>
              </w:rPr>
            </w:pPr>
            <w:r>
              <w:rPr>
                <w:rFonts w:hint="eastAsia" w:eastAsia="等线"/>
                <w:kern w:val="0"/>
                <w:szCs w:val="21"/>
              </w:rPr>
              <w:t xml:space="preserve">0.108 </w:t>
            </w:r>
          </w:p>
        </w:tc>
      </w:tr>
      <w:tr w14:paraId="09524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511CF16E">
            <w:pPr>
              <w:widowControl/>
              <w:jc w:val="center"/>
              <w:rPr>
                <w:kern w:val="0"/>
                <w:szCs w:val="21"/>
              </w:rPr>
            </w:pPr>
            <w:r>
              <w:rPr>
                <w:szCs w:val="21"/>
              </w:rPr>
              <w:t>pH值</w:t>
            </w:r>
          </w:p>
        </w:tc>
        <w:tc>
          <w:tcPr>
            <w:tcW w:w="1559" w:type="dxa"/>
            <w:vAlign w:val="center"/>
          </w:tcPr>
          <w:p w14:paraId="445918A6">
            <w:pPr>
              <w:widowControl/>
              <w:adjustRightInd w:val="0"/>
              <w:snapToGrid w:val="0"/>
              <w:jc w:val="center"/>
              <w:rPr>
                <w:rFonts w:eastAsia="等线"/>
                <w:kern w:val="0"/>
                <w:szCs w:val="21"/>
              </w:rPr>
            </w:pPr>
            <w:r>
              <w:rPr>
                <w:rFonts w:hint="eastAsia" w:eastAsia="等线"/>
                <w:kern w:val="0"/>
                <w:szCs w:val="21"/>
              </w:rPr>
              <w:t xml:space="preserve">0.600 </w:t>
            </w:r>
          </w:p>
        </w:tc>
        <w:tc>
          <w:tcPr>
            <w:tcW w:w="1582" w:type="dxa"/>
            <w:vAlign w:val="center"/>
          </w:tcPr>
          <w:p w14:paraId="4EBC0A1B">
            <w:pPr>
              <w:widowControl/>
              <w:adjustRightInd w:val="0"/>
              <w:snapToGrid w:val="0"/>
              <w:jc w:val="center"/>
              <w:rPr>
                <w:rFonts w:eastAsia="等线"/>
                <w:kern w:val="0"/>
                <w:szCs w:val="21"/>
              </w:rPr>
            </w:pPr>
            <w:r>
              <w:rPr>
                <w:rFonts w:hint="eastAsia" w:eastAsia="等线"/>
                <w:kern w:val="0"/>
                <w:szCs w:val="21"/>
              </w:rPr>
              <w:t xml:space="preserve">0.800 </w:t>
            </w:r>
          </w:p>
        </w:tc>
        <w:tc>
          <w:tcPr>
            <w:tcW w:w="1789" w:type="dxa"/>
            <w:vAlign w:val="center"/>
          </w:tcPr>
          <w:p w14:paraId="1F9C4120">
            <w:pPr>
              <w:widowControl/>
              <w:adjustRightInd w:val="0"/>
              <w:snapToGrid w:val="0"/>
              <w:jc w:val="center"/>
              <w:rPr>
                <w:rFonts w:eastAsia="等线"/>
                <w:kern w:val="0"/>
                <w:szCs w:val="21"/>
              </w:rPr>
            </w:pPr>
            <w:r>
              <w:rPr>
                <w:rFonts w:hint="eastAsia" w:eastAsia="等线"/>
                <w:kern w:val="0"/>
                <w:szCs w:val="21"/>
              </w:rPr>
              <w:t xml:space="preserve">0.800 </w:t>
            </w:r>
          </w:p>
        </w:tc>
        <w:tc>
          <w:tcPr>
            <w:tcW w:w="1385" w:type="dxa"/>
            <w:vAlign w:val="center"/>
          </w:tcPr>
          <w:p w14:paraId="2E11DEEE">
            <w:pPr>
              <w:widowControl/>
              <w:adjustRightInd w:val="0"/>
              <w:snapToGrid w:val="0"/>
              <w:jc w:val="center"/>
              <w:rPr>
                <w:rFonts w:eastAsia="等线"/>
                <w:kern w:val="0"/>
                <w:szCs w:val="21"/>
              </w:rPr>
            </w:pPr>
            <w:r>
              <w:rPr>
                <w:rFonts w:hint="eastAsia" w:eastAsia="等线"/>
                <w:kern w:val="0"/>
                <w:szCs w:val="21"/>
              </w:rPr>
              <w:t>0.200</w:t>
            </w:r>
          </w:p>
        </w:tc>
        <w:tc>
          <w:tcPr>
            <w:tcW w:w="1324" w:type="dxa"/>
            <w:vAlign w:val="center"/>
          </w:tcPr>
          <w:p w14:paraId="52152DB7">
            <w:pPr>
              <w:widowControl/>
              <w:adjustRightInd w:val="0"/>
              <w:snapToGrid w:val="0"/>
              <w:jc w:val="center"/>
              <w:rPr>
                <w:rFonts w:eastAsia="等线"/>
                <w:kern w:val="0"/>
                <w:szCs w:val="21"/>
              </w:rPr>
            </w:pPr>
            <w:r>
              <w:rPr>
                <w:rFonts w:hint="eastAsia" w:eastAsia="等线"/>
                <w:kern w:val="0"/>
                <w:szCs w:val="21"/>
              </w:rPr>
              <w:t xml:space="preserve">0.400 </w:t>
            </w:r>
          </w:p>
        </w:tc>
      </w:tr>
      <w:tr w14:paraId="36CD9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3D7D77D1">
            <w:pPr>
              <w:widowControl/>
              <w:jc w:val="center"/>
              <w:rPr>
                <w:kern w:val="0"/>
                <w:szCs w:val="21"/>
              </w:rPr>
            </w:pPr>
            <w:r>
              <w:rPr>
                <w:szCs w:val="21"/>
              </w:rPr>
              <w:t>总硬度（以CaCO</w:t>
            </w:r>
            <w:r>
              <w:rPr>
                <w:szCs w:val="21"/>
                <w:vertAlign w:val="subscript"/>
              </w:rPr>
              <w:t>3</w:t>
            </w:r>
            <w:r>
              <w:rPr>
                <w:szCs w:val="21"/>
              </w:rPr>
              <w:t>计）</w:t>
            </w:r>
          </w:p>
        </w:tc>
        <w:tc>
          <w:tcPr>
            <w:tcW w:w="1559" w:type="dxa"/>
            <w:vAlign w:val="center"/>
          </w:tcPr>
          <w:p w14:paraId="1C314ADD">
            <w:pPr>
              <w:widowControl/>
              <w:adjustRightInd w:val="0"/>
              <w:snapToGrid w:val="0"/>
              <w:jc w:val="center"/>
              <w:rPr>
                <w:rFonts w:eastAsia="等线"/>
                <w:kern w:val="0"/>
                <w:szCs w:val="21"/>
              </w:rPr>
            </w:pPr>
            <w:r>
              <w:rPr>
                <w:rFonts w:hint="eastAsia" w:eastAsia="等线"/>
                <w:kern w:val="0"/>
                <w:szCs w:val="21"/>
              </w:rPr>
              <w:t xml:space="preserve">0.093 </w:t>
            </w:r>
          </w:p>
        </w:tc>
        <w:tc>
          <w:tcPr>
            <w:tcW w:w="1582" w:type="dxa"/>
            <w:vAlign w:val="center"/>
          </w:tcPr>
          <w:p w14:paraId="715D60B7">
            <w:pPr>
              <w:widowControl/>
              <w:adjustRightInd w:val="0"/>
              <w:snapToGrid w:val="0"/>
              <w:jc w:val="center"/>
              <w:rPr>
                <w:rFonts w:eastAsia="等线"/>
                <w:kern w:val="0"/>
                <w:szCs w:val="21"/>
              </w:rPr>
            </w:pPr>
            <w:r>
              <w:rPr>
                <w:rFonts w:hint="eastAsia" w:eastAsia="等线"/>
                <w:kern w:val="0"/>
                <w:szCs w:val="21"/>
              </w:rPr>
              <w:t xml:space="preserve">0.087 </w:t>
            </w:r>
          </w:p>
        </w:tc>
        <w:tc>
          <w:tcPr>
            <w:tcW w:w="1789" w:type="dxa"/>
            <w:vAlign w:val="center"/>
          </w:tcPr>
          <w:p w14:paraId="120EF7E9">
            <w:pPr>
              <w:widowControl/>
              <w:adjustRightInd w:val="0"/>
              <w:snapToGrid w:val="0"/>
              <w:jc w:val="center"/>
              <w:rPr>
                <w:rFonts w:eastAsia="等线"/>
                <w:kern w:val="0"/>
                <w:szCs w:val="21"/>
              </w:rPr>
            </w:pPr>
            <w:r>
              <w:rPr>
                <w:rFonts w:hint="eastAsia" w:eastAsia="等线"/>
                <w:kern w:val="0"/>
                <w:szCs w:val="21"/>
              </w:rPr>
              <w:t xml:space="preserve">0.069 </w:t>
            </w:r>
          </w:p>
        </w:tc>
        <w:tc>
          <w:tcPr>
            <w:tcW w:w="1385" w:type="dxa"/>
            <w:vAlign w:val="center"/>
          </w:tcPr>
          <w:p w14:paraId="772AA6B4">
            <w:pPr>
              <w:widowControl/>
              <w:adjustRightInd w:val="0"/>
              <w:snapToGrid w:val="0"/>
              <w:jc w:val="center"/>
              <w:rPr>
                <w:rFonts w:eastAsia="等线"/>
                <w:kern w:val="0"/>
                <w:szCs w:val="21"/>
              </w:rPr>
            </w:pPr>
            <w:r>
              <w:rPr>
                <w:rFonts w:hint="eastAsia" w:eastAsia="等线"/>
                <w:kern w:val="0"/>
                <w:szCs w:val="21"/>
              </w:rPr>
              <w:t xml:space="preserve">0.082 </w:t>
            </w:r>
          </w:p>
        </w:tc>
        <w:tc>
          <w:tcPr>
            <w:tcW w:w="1324" w:type="dxa"/>
            <w:vAlign w:val="center"/>
          </w:tcPr>
          <w:p w14:paraId="628E59E1">
            <w:pPr>
              <w:widowControl/>
              <w:adjustRightInd w:val="0"/>
              <w:snapToGrid w:val="0"/>
              <w:jc w:val="center"/>
              <w:rPr>
                <w:rFonts w:eastAsia="等线"/>
                <w:kern w:val="0"/>
                <w:szCs w:val="21"/>
              </w:rPr>
            </w:pPr>
            <w:r>
              <w:rPr>
                <w:rFonts w:hint="eastAsia" w:eastAsia="等线"/>
                <w:kern w:val="0"/>
                <w:szCs w:val="21"/>
              </w:rPr>
              <w:t xml:space="preserve">0.089 </w:t>
            </w:r>
          </w:p>
        </w:tc>
      </w:tr>
      <w:tr w14:paraId="72ECD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4A73DB82">
            <w:pPr>
              <w:widowControl/>
              <w:jc w:val="center"/>
              <w:rPr>
                <w:kern w:val="0"/>
                <w:szCs w:val="21"/>
              </w:rPr>
            </w:pPr>
            <w:r>
              <w:rPr>
                <w:szCs w:val="21"/>
              </w:rPr>
              <w:t>挥发酚(以苯酚计)</w:t>
            </w:r>
          </w:p>
        </w:tc>
        <w:tc>
          <w:tcPr>
            <w:tcW w:w="1559" w:type="dxa"/>
            <w:vAlign w:val="center"/>
          </w:tcPr>
          <w:p w14:paraId="503983E0">
            <w:pPr>
              <w:widowControl/>
              <w:adjustRightInd w:val="0"/>
              <w:snapToGrid w:val="0"/>
              <w:jc w:val="center"/>
              <w:rPr>
                <w:rFonts w:eastAsia="等线"/>
                <w:kern w:val="0"/>
                <w:szCs w:val="21"/>
              </w:rPr>
            </w:pPr>
            <w:r>
              <w:rPr>
                <w:rFonts w:hint="eastAsia" w:eastAsia="等线"/>
                <w:kern w:val="0"/>
                <w:szCs w:val="21"/>
              </w:rPr>
              <w:t xml:space="preserve">0.075 </w:t>
            </w:r>
          </w:p>
        </w:tc>
        <w:tc>
          <w:tcPr>
            <w:tcW w:w="1582" w:type="dxa"/>
            <w:vAlign w:val="center"/>
          </w:tcPr>
          <w:p w14:paraId="2A7CC8BC">
            <w:pPr>
              <w:widowControl/>
              <w:adjustRightInd w:val="0"/>
              <w:snapToGrid w:val="0"/>
              <w:jc w:val="center"/>
              <w:rPr>
                <w:rFonts w:eastAsia="等线"/>
                <w:kern w:val="0"/>
                <w:szCs w:val="21"/>
              </w:rPr>
            </w:pPr>
            <w:r>
              <w:rPr>
                <w:rFonts w:hint="eastAsia" w:eastAsia="等线"/>
                <w:kern w:val="0"/>
                <w:szCs w:val="21"/>
              </w:rPr>
              <w:t xml:space="preserve">0.075 </w:t>
            </w:r>
          </w:p>
        </w:tc>
        <w:tc>
          <w:tcPr>
            <w:tcW w:w="1789" w:type="dxa"/>
            <w:vAlign w:val="center"/>
          </w:tcPr>
          <w:p w14:paraId="065C7349">
            <w:pPr>
              <w:widowControl/>
              <w:adjustRightInd w:val="0"/>
              <w:snapToGrid w:val="0"/>
              <w:jc w:val="center"/>
              <w:rPr>
                <w:rFonts w:eastAsia="等线"/>
                <w:kern w:val="0"/>
                <w:szCs w:val="21"/>
              </w:rPr>
            </w:pPr>
            <w:r>
              <w:rPr>
                <w:rFonts w:hint="eastAsia" w:eastAsia="等线"/>
                <w:kern w:val="0"/>
                <w:szCs w:val="21"/>
              </w:rPr>
              <w:t xml:space="preserve">0.075 </w:t>
            </w:r>
          </w:p>
        </w:tc>
        <w:tc>
          <w:tcPr>
            <w:tcW w:w="1385" w:type="dxa"/>
            <w:vAlign w:val="center"/>
          </w:tcPr>
          <w:p w14:paraId="16952569">
            <w:pPr>
              <w:widowControl/>
              <w:adjustRightInd w:val="0"/>
              <w:snapToGrid w:val="0"/>
              <w:jc w:val="center"/>
              <w:rPr>
                <w:rFonts w:eastAsia="等线"/>
                <w:kern w:val="0"/>
                <w:szCs w:val="21"/>
              </w:rPr>
            </w:pPr>
            <w:r>
              <w:rPr>
                <w:rFonts w:hint="eastAsia" w:eastAsia="等线"/>
                <w:kern w:val="0"/>
                <w:szCs w:val="21"/>
              </w:rPr>
              <w:t xml:space="preserve">0.075 </w:t>
            </w:r>
          </w:p>
        </w:tc>
        <w:tc>
          <w:tcPr>
            <w:tcW w:w="1324" w:type="dxa"/>
            <w:vAlign w:val="center"/>
          </w:tcPr>
          <w:p w14:paraId="6E888D1E">
            <w:pPr>
              <w:widowControl/>
              <w:adjustRightInd w:val="0"/>
              <w:snapToGrid w:val="0"/>
              <w:jc w:val="center"/>
              <w:rPr>
                <w:rFonts w:eastAsia="等线"/>
                <w:kern w:val="0"/>
                <w:szCs w:val="21"/>
              </w:rPr>
            </w:pPr>
            <w:r>
              <w:rPr>
                <w:rFonts w:hint="eastAsia" w:eastAsia="等线"/>
                <w:kern w:val="0"/>
                <w:szCs w:val="21"/>
              </w:rPr>
              <w:t xml:space="preserve">0.075 </w:t>
            </w:r>
          </w:p>
        </w:tc>
      </w:tr>
      <w:tr w14:paraId="4C01A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760A99AF">
            <w:pPr>
              <w:widowControl/>
              <w:jc w:val="center"/>
              <w:rPr>
                <w:kern w:val="0"/>
                <w:szCs w:val="21"/>
              </w:rPr>
            </w:pPr>
            <w:r>
              <w:rPr>
                <w:szCs w:val="21"/>
              </w:rPr>
              <w:t>溶解性总固体</w:t>
            </w:r>
          </w:p>
        </w:tc>
        <w:tc>
          <w:tcPr>
            <w:tcW w:w="1559" w:type="dxa"/>
            <w:vAlign w:val="center"/>
          </w:tcPr>
          <w:p w14:paraId="08C541BE">
            <w:pPr>
              <w:widowControl/>
              <w:adjustRightInd w:val="0"/>
              <w:snapToGrid w:val="0"/>
              <w:jc w:val="center"/>
              <w:rPr>
                <w:rFonts w:eastAsia="等线"/>
                <w:kern w:val="0"/>
                <w:szCs w:val="21"/>
              </w:rPr>
            </w:pPr>
            <w:r>
              <w:rPr>
                <w:rFonts w:hint="eastAsia" w:eastAsia="等线"/>
                <w:kern w:val="0"/>
                <w:szCs w:val="21"/>
              </w:rPr>
              <w:t xml:space="preserve">0.076 </w:t>
            </w:r>
          </w:p>
        </w:tc>
        <w:tc>
          <w:tcPr>
            <w:tcW w:w="1582" w:type="dxa"/>
            <w:vAlign w:val="center"/>
          </w:tcPr>
          <w:p w14:paraId="3B583F1E">
            <w:pPr>
              <w:widowControl/>
              <w:adjustRightInd w:val="0"/>
              <w:snapToGrid w:val="0"/>
              <w:jc w:val="center"/>
              <w:rPr>
                <w:rFonts w:eastAsia="等线"/>
                <w:kern w:val="0"/>
                <w:szCs w:val="21"/>
              </w:rPr>
            </w:pPr>
            <w:r>
              <w:rPr>
                <w:rFonts w:hint="eastAsia" w:eastAsia="等线"/>
                <w:kern w:val="0"/>
                <w:szCs w:val="21"/>
              </w:rPr>
              <w:t xml:space="preserve">0.069 </w:t>
            </w:r>
          </w:p>
        </w:tc>
        <w:tc>
          <w:tcPr>
            <w:tcW w:w="1789" w:type="dxa"/>
            <w:vAlign w:val="center"/>
          </w:tcPr>
          <w:p w14:paraId="43E7F140">
            <w:pPr>
              <w:widowControl/>
              <w:adjustRightInd w:val="0"/>
              <w:snapToGrid w:val="0"/>
              <w:jc w:val="center"/>
              <w:rPr>
                <w:rFonts w:eastAsia="等线"/>
                <w:kern w:val="0"/>
                <w:szCs w:val="21"/>
              </w:rPr>
            </w:pPr>
            <w:r>
              <w:rPr>
                <w:rFonts w:hint="eastAsia" w:eastAsia="等线"/>
                <w:kern w:val="0"/>
                <w:szCs w:val="21"/>
              </w:rPr>
              <w:t xml:space="preserve">0.062 </w:t>
            </w:r>
          </w:p>
        </w:tc>
        <w:tc>
          <w:tcPr>
            <w:tcW w:w="1385" w:type="dxa"/>
            <w:vAlign w:val="center"/>
          </w:tcPr>
          <w:p w14:paraId="61B6555F">
            <w:pPr>
              <w:widowControl/>
              <w:adjustRightInd w:val="0"/>
              <w:snapToGrid w:val="0"/>
              <w:jc w:val="center"/>
              <w:rPr>
                <w:rFonts w:eastAsia="等线"/>
                <w:kern w:val="0"/>
                <w:szCs w:val="21"/>
              </w:rPr>
            </w:pPr>
            <w:r>
              <w:rPr>
                <w:rFonts w:hint="eastAsia" w:eastAsia="等线"/>
                <w:kern w:val="0"/>
                <w:szCs w:val="21"/>
              </w:rPr>
              <w:t xml:space="preserve">0.071 </w:t>
            </w:r>
          </w:p>
        </w:tc>
        <w:tc>
          <w:tcPr>
            <w:tcW w:w="1324" w:type="dxa"/>
            <w:vAlign w:val="center"/>
          </w:tcPr>
          <w:p w14:paraId="02F72E3F">
            <w:pPr>
              <w:widowControl/>
              <w:adjustRightInd w:val="0"/>
              <w:snapToGrid w:val="0"/>
              <w:jc w:val="center"/>
              <w:rPr>
                <w:rFonts w:eastAsia="等线"/>
                <w:kern w:val="0"/>
                <w:szCs w:val="21"/>
              </w:rPr>
            </w:pPr>
            <w:r>
              <w:rPr>
                <w:rFonts w:hint="eastAsia" w:eastAsia="等线"/>
                <w:kern w:val="0"/>
                <w:szCs w:val="21"/>
              </w:rPr>
              <w:t xml:space="preserve">0.066 </w:t>
            </w:r>
          </w:p>
        </w:tc>
      </w:tr>
      <w:tr w14:paraId="6B6D7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0A7186CE">
            <w:pPr>
              <w:widowControl/>
              <w:jc w:val="center"/>
              <w:rPr>
                <w:kern w:val="0"/>
                <w:szCs w:val="21"/>
              </w:rPr>
            </w:pPr>
            <w:r>
              <w:rPr>
                <w:szCs w:val="21"/>
              </w:rPr>
              <w:t>氟化物</w:t>
            </w:r>
          </w:p>
        </w:tc>
        <w:tc>
          <w:tcPr>
            <w:tcW w:w="1559" w:type="dxa"/>
            <w:vAlign w:val="center"/>
          </w:tcPr>
          <w:p w14:paraId="20FC1F09">
            <w:pPr>
              <w:widowControl/>
              <w:adjustRightInd w:val="0"/>
              <w:snapToGrid w:val="0"/>
              <w:jc w:val="center"/>
              <w:rPr>
                <w:rFonts w:eastAsia="等线"/>
                <w:kern w:val="0"/>
                <w:szCs w:val="21"/>
              </w:rPr>
            </w:pPr>
            <w:r>
              <w:rPr>
                <w:rFonts w:hint="eastAsia" w:eastAsia="等线"/>
                <w:kern w:val="0"/>
                <w:szCs w:val="21"/>
              </w:rPr>
              <w:t xml:space="preserve">0.110 </w:t>
            </w:r>
          </w:p>
        </w:tc>
        <w:tc>
          <w:tcPr>
            <w:tcW w:w="1582" w:type="dxa"/>
            <w:vAlign w:val="center"/>
          </w:tcPr>
          <w:p w14:paraId="457E7F91">
            <w:pPr>
              <w:widowControl/>
              <w:adjustRightInd w:val="0"/>
              <w:snapToGrid w:val="0"/>
              <w:jc w:val="center"/>
              <w:rPr>
                <w:rFonts w:eastAsia="等线"/>
                <w:kern w:val="0"/>
                <w:szCs w:val="21"/>
              </w:rPr>
            </w:pPr>
            <w:r>
              <w:rPr>
                <w:rFonts w:hint="eastAsia" w:eastAsia="等线"/>
                <w:kern w:val="0"/>
                <w:szCs w:val="21"/>
              </w:rPr>
              <w:t xml:space="preserve">0.070 </w:t>
            </w:r>
          </w:p>
        </w:tc>
        <w:tc>
          <w:tcPr>
            <w:tcW w:w="1789" w:type="dxa"/>
            <w:vAlign w:val="center"/>
          </w:tcPr>
          <w:p w14:paraId="4071CD11">
            <w:pPr>
              <w:widowControl/>
              <w:adjustRightInd w:val="0"/>
              <w:snapToGrid w:val="0"/>
              <w:jc w:val="center"/>
              <w:rPr>
                <w:rFonts w:eastAsia="等线"/>
                <w:kern w:val="0"/>
                <w:szCs w:val="21"/>
              </w:rPr>
            </w:pPr>
            <w:r>
              <w:rPr>
                <w:rFonts w:hint="eastAsia" w:eastAsia="等线"/>
                <w:kern w:val="0"/>
                <w:szCs w:val="21"/>
              </w:rPr>
              <w:t xml:space="preserve">0.060 </w:t>
            </w:r>
          </w:p>
        </w:tc>
        <w:tc>
          <w:tcPr>
            <w:tcW w:w="1385" w:type="dxa"/>
            <w:vAlign w:val="center"/>
          </w:tcPr>
          <w:p w14:paraId="440C95C4">
            <w:pPr>
              <w:widowControl/>
              <w:adjustRightInd w:val="0"/>
              <w:snapToGrid w:val="0"/>
              <w:jc w:val="center"/>
              <w:rPr>
                <w:rFonts w:eastAsia="等线"/>
                <w:kern w:val="0"/>
                <w:szCs w:val="21"/>
              </w:rPr>
            </w:pPr>
            <w:r>
              <w:rPr>
                <w:rFonts w:hint="eastAsia" w:eastAsia="等线"/>
                <w:kern w:val="0"/>
                <w:szCs w:val="21"/>
              </w:rPr>
              <w:t xml:space="preserve">0.100 </w:t>
            </w:r>
          </w:p>
        </w:tc>
        <w:tc>
          <w:tcPr>
            <w:tcW w:w="1324" w:type="dxa"/>
            <w:vAlign w:val="center"/>
          </w:tcPr>
          <w:p w14:paraId="58099BF8">
            <w:pPr>
              <w:widowControl/>
              <w:adjustRightInd w:val="0"/>
              <w:snapToGrid w:val="0"/>
              <w:jc w:val="center"/>
              <w:rPr>
                <w:rFonts w:eastAsia="等线"/>
                <w:kern w:val="0"/>
                <w:szCs w:val="21"/>
              </w:rPr>
            </w:pPr>
            <w:r>
              <w:rPr>
                <w:rFonts w:hint="eastAsia" w:eastAsia="等线"/>
                <w:kern w:val="0"/>
                <w:szCs w:val="21"/>
              </w:rPr>
              <w:t xml:space="preserve">0.080 </w:t>
            </w:r>
          </w:p>
        </w:tc>
      </w:tr>
      <w:tr w14:paraId="233EA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7BB0F5A8">
            <w:pPr>
              <w:widowControl/>
              <w:jc w:val="center"/>
              <w:rPr>
                <w:kern w:val="0"/>
                <w:szCs w:val="21"/>
              </w:rPr>
            </w:pPr>
            <w:r>
              <w:rPr>
                <w:szCs w:val="21"/>
              </w:rPr>
              <w:t>氨氮</w:t>
            </w:r>
          </w:p>
        </w:tc>
        <w:tc>
          <w:tcPr>
            <w:tcW w:w="1559" w:type="dxa"/>
            <w:vAlign w:val="center"/>
          </w:tcPr>
          <w:p w14:paraId="7765EB95">
            <w:pPr>
              <w:widowControl/>
              <w:adjustRightInd w:val="0"/>
              <w:snapToGrid w:val="0"/>
              <w:jc w:val="center"/>
              <w:rPr>
                <w:rFonts w:eastAsia="等线"/>
                <w:kern w:val="0"/>
                <w:szCs w:val="21"/>
              </w:rPr>
            </w:pPr>
            <w:r>
              <w:rPr>
                <w:rFonts w:hint="eastAsia" w:eastAsia="等线"/>
                <w:kern w:val="0"/>
                <w:szCs w:val="21"/>
              </w:rPr>
              <w:t xml:space="preserve">0.052 </w:t>
            </w:r>
          </w:p>
        </w:tc>
        <w:tc>
          <w:tcPr>
            <w:tcW w:w="1582" w:type="dxa"/>
            <w:vAlign w:val="center"/>
          </w:tcPr>
          <w:p w14:paraId="13AA2C66">
            <w:pPr>
              <w:widowControl/>
              <w:adjustRightInd w:val="0"/>
              <w:snapToGrid w:val="0"/>
              <w:jc w:val="center"/>
              <w:rPr>
                <w:rFonts w:eastAsia="等线"/>
                <w:kern w:val="0"/>
                <w:szCs w:val="21"/>
              </w:rPr>
            </w:pPr>
            <w:r>
              <w:rPr>
                <w:rFonts w:hint="eastAsia" w:eastAsia="等线"/>
                <w:kern w:val="0"/>
                <w:szCs w:val="21"/>
              </w:rPr>
              <w:t xml:space="preserve">0.074 </w:t>
            </w:r>
          </w:p>
        </w:tc>
        <w:tc>
          <w:tcPr>
            <w:tcW w:w="1789" w:type="dxa"/>
            <w:vAlign w:val="center"/>
          </w:tcPr>
          <w:p w14:paraId="608BE83A">
            <w:pPr>
              <w:widowControl/>
              <w:adjustRightInd w:val="0"/>
              <w:snapToGrid w:val="0"/>
              <w:jc w:val="center"/>
              <w:rPr>
                <w:rFonts w:eastAsia="等线"/>
                <w:kern w:val="0"/>
                <w:szCs w:val="21"/>
              </w:rPr>
            </w:pPr>
            <w:r>
              <w:rPr>
                <w:rFonts w:hint="eastAsia" w:eastAsia="等线"/>
                <w:kern w:val="0"/>
                <w:szCs w:val="21"/>
              </w:rPr>
              <w:t xml:space="preserve">0.062 </w:t>
            </w:r>
          </w:p>
        </w:tc>
        <w:tc>
          <w:tcPr>
            <w:tcW w:w="1385" w:type="dxa"/>
            <w:vAlign w:val="center"/>
          </w:tcPr>
          <w:p w14:paraId="732F330C">
            <w:pPr>
              <w:widowControl/>
              <w:adjustRightInd w:val="0"/>
              <w:snapToGrid w:val="0"/>
              <w:jc w:val="center"/>
              <w:rPr>
                <w:rFonts w:eastAsia="等线"/>
                <w:kern w:val="0"/>
                <w:szCs w:val="21"/>
              </w:rPr>
            </w:pPr>
            <w:r>
              <w:rPr>
                <w:rFonts w:hint="eastAsia" w:eastAsia="等线"/>
                <w:kern w:val="0"/>
                <w:szCs w:val="21"/>
              </w:rPr>
              <w:t xml:space="preserve">0.098 </w:t>
            </w:r>
          </w:p>
        </w:tc>
        <w:tc>
          <w:tcPr>
            <w:tcW w:w="1324" w:type="dxa"/>
            <w:vAlign w:val="center"/>
          </w:tcPr>
          <w:p w14:paraId="1C9FAF49">
            <w:pPr>
              <w:widowControl/>
              <w:adjustRightInd w:val="0"/>
              <w:snapToGrid w:val="0"/>
              <w:jc w:val="center"/>
              <w:rPr>
                <w:rFonts w:eastAsia="等线"/>
                <w:kern w:val="0"/>
                <w:szCs w:val="21"/>
              </w:rPr>
            </w:pPr>
            <w:r>
              <w:rPr>
                <w:rFonts w:hint="eastAsia" w:eastAsia="等线"/>
                <w:kern w:val="0"/>
                <w:szCs w:val="21"/>
              </w:rPr>
              <w:t xml:space="preserve">0.092 </w:t>
            </w:r>
          </w:p>
        </w:tc>
      </w:tr>
      <w:tr w14:paraId="38AEB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16A87A5F">
            <w:pPr>
              <w:widowControl/>
              <w:jc w:val="center"/>
              <w:rPr>
                <w:kern w:val="0"/>
                <w:szCs w:val="21"/>
              </w:rPr>
            </w:pPr>
            <w:r>
              <w:rPr>
                <w:szCs w:val="21"/>
              </w:rPr>
              <w:t>氰化物</w:t>
            </w:r>
          </w:p>
        </w:tc>
        <w:tc>
          <w:tcPr>
            <w:tcW w:w="1559" w:type="dxa"/>
            <w:vAlign w:val="center"/>
          </w:tcPr>
          <w:p w14:paraId="59B8D92E">
            <w:pPr>
              <w:widowControl/>
              <w:adjustRightInd w:val="0"/>
              <w:snapToGrid w:val="0"/>
              <w:jc w:val="center"/>
              <w:rPr>
                <w:rFonts w:eastAsia="等线"/>
                <w:kern w:val="0"/>
                <w:szCs w:val="21"/>
              </w:rPr>
            </w:pPr>
            <w:r>
              <w:rPr>
                <w:rFonts w:hint="eastAsia" w:eastAsia="等线"/>
                <w:kern w:val="0"/>
                <w:szCs w:val="21"/>
              </w:rPr>
              <w:t xml:space="preserve">0.040 </w:t>
            </w:r>
          </w:p>
        </w:tc>
        <w:tc>
          <w:tcPr>
            <w:tcW w:w="1582" w:type="dxa"/>
            <w:vAlign w:val="center"/>
          </w:tcPr>
          <w:p w14:paraId="37697429">
            <w:pPr>
              <w:widowControl/>
              <w:adjustRightInd w:val="0"/>
              <w:snapToGrid w:val="0"/>
              <w:jc w:val="center"/>
              <w:rPr>
                <w:rFonts w:eastAsia="等线"/>
                <w:kern w:val="0"/>
                <w:szCs w:val="21"/>
              </w:rPr>
            </w:pPr>
            <w:r>
              <w:rPr>
                <w:rFonts w:hint="eastAsia" w:eastAsia="等线"/>
                <w:kern w:val="0"/>
                <w:szCs w:val="21"/>
              </w:rPr>
              <w:t xml:space="preserve">0.040 </w:t>
            </w:r>
          </w:p>
        </w:tc>
        <w:tc>
          <w:tcPr>
            <w:tcW w:w="1789" w:type="dxa"/>
            <w:vAlign w:val="center"/>
          </w:tcPr>
          <w:p w14:paraId="1336C03A">
            <w:pPr>
              <w:widowControl/>
              <w:adjustRightInd w:val="0"/>
              <w:snapToGrid w:val="0"/>
              <w:jc w:val="center"/>
              <w:rPr>
                <w:rFonts w:eastAsia="等线"/>
                <w:kern w:val="0"/>
                <w:szCs w:val="21"/>
              </w:rPr>
            </w:pPr>
            <w:r>
              <w:rPr>
                <w:rFonts w:hint="eastAsia" w:eastAsia="等线"/>
                <w:kern w:val="0"/>
                <w:szCs w:val="21"/>
              </w:rPr>
              <w:t xml:space="preserve">0.040 </w:t>
            </w:r>
          </w:p>
        </w:tc>
        <w:tc>
          <w:tcPr>
            <w:tcW w:w="1385" w:type="dxa"/>
            <w:vAlign w:val="center"/>
          </w:tcPr>
          <w:p w14:paraId="053E48A4">
            <w:pPr>
              <w:widowControl/>
              <w:adjustRightInd w:val="0"/>
              <w:snapToGrid w:val="0"/>
              <w:jc w:val="center"/>
              <w:rPr>
                <w:rFonts w:eastAsia="等线"/>
                <w:kern w:val="0"/>
                <w:szCs w:val="21"/>
              </w:rPr>
            </w:pPr>
            <w:r>
              <w:rPr>
                <w:rFonts w:hint="eastAsia" w:eastAsia="等线"/>
                <w:kern w:val="0"/>
                <w:szCs w:val="21"/>
              </w:rPr>
              <w:t xml:space="preserve">0.040 </w:t>
            </w:r>
          </w:p>
        </w:tc>
        <w:tc>
          <w:tcPr>
            <w:tcW w:w="1324" w:type="dxa"/>
            <w:vAlign w:val="center"/>
          </w:tcPr>
          <w:p w14:paraId="633B3E82">
            <w:pPr>
              <w:widowControl/>
              <w:adjustRightInd w:val="0"/>
              <w:snapToGrid w:val="0"/>
              <w:jc w:val="center"/>
              <w:rPr>
                <w:rFonts w:eastAsia="等线"/>
                <w:kern w:val="0"/>
                <w:szCs w:val="21"/>
              </w:rPr>
            </w:pPr>
            <w:r>
              <w:rPr>
                <w:rFonts w:hint="eastAsia" w:eastAsia="等线"/>
                <w:kern w:val="0"/>
                <w:szCs w:val="21"/>
              </w:rPr>
              <w:t xml:space="preserve">0.040 </w:t>
            </w:r>
          </w:p>
        </w:tc>
      </w:tr>
      <w:tr w14:paraId="11B47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0065DBB4">
            <w:pPr>
              <w:widowControl/>
              <w:jc w:val="center"/>
              <w:rPr>
                <w:kern w:val="0"/>
                <w:szCs w:val="21"/>
              </w:rPr>
            </w:pPr>
            <w:r>
              <w:t>硝酸盐(以N计)</w:t>
            </w:r>
          </w:p>
        </w:tc>
        <w:tc>
          <w:tcPr>
            <w:tcW w:w="1559" w:type="dxa"/>
            <w:vAlign w:val="center"/>
          </w:tcPr>
          <w:p w14:paraId="5120CC95">
            <w:pPr>
              <w:widowControl/>
              <w:adjustRightInd w:val="0"/>
              <w:snapToGrid w:val="0"/>
              <w:jc w:val="center"/>
              <w:rPr>
                <w:rFonts w:eastAsia="等线"/>
                <w:kern w:val="0"/>
                <w:szCs w:val="21"/>
              </w:rPr>
            </w:pPr>
            <w:r>
              <w:rPr>
                <w:rFonts w:hint="eastAsia" w:eastAsia="等线"/>
                <w:kern w:val="0"/>
                <w:szCs w:val="21"/>
              </w:rPr>
              <w:t xml:space="preserve">0.375 </w:t>
            </w:r>
          </w:p>
        </w:tc>
        <w:tc>
          <w:tcPr>
            <w:tcW w:w="1582" w:type="dxa"/>
            <w:vAlign w:val="center"/>
          </w:tcPr>
          <w:p w14:paraId="130841E8">
            <w:pPr>
              <w:widowControl/>
              <w:adjustRightInd w:val="0"/>
              <w:snapToGrid w:val="0"/>
              <w:jc w:val="center"/>
              <w:rPr>
                <w:rFonts w:eastAsia="等线"/>
                <w:kern w:val="0"/>
                <w:szCs w:val="21"/>
              </w:rPr>
            </w:pPr>
            <w:r>
              <w:rPr>
                <w:rFonts w:hint="eastAsia" w:eastAsia="等线"/>
                <w:kern w:val="0"/>
                <w:szCs w:val="21"/>
              </w:rPr>
              <w:t xml:space="preserve">0.135 </w:t>
            </w:r>
          </w:p>
        </w:tc>
        <w:tc>
          <w:tcPr>
            <w:tcW w:w="1789" w:type="dxa"/>
            <w:vAlign w:val="center"/>
          </w:tcPr>
          <w:p w14:paraId="355C82AC">
            <w:pPr>
              <w:widowControl/>
              <w:adjustRightInd w:val="0"/>
              <w:snapToGrid w:val="0"/>
              <w:jc w:val="center"/>
              <w:rPr>
                <w:rFonts w:eastAsia="等线"/>
                <w:kern w:val="0"/>
                <w:szCs w:val="21"/>
              </w:rPr>
            </w:pPr>
            <w:r>
              <w:rPr>
                <w:rFonts w:hint="eastAsia" w:eastAsia="等线"/>
                <w:kern w:val="0"/>
                <w:szCs w:val="21"/>
              </w:rPr>
              <w:t xml:space="preserve">0.095 </w:t>
            </w:r>
          </w:p>
        </w:tc>
        <w:tc>
          <w:tcPr>
            <w:tcW w:w="1385" w:type="dxa"/>
            <w:vAlign w:val="center"/>
          </w:tcPr>
          <w:p w14:paraId="563068C7">
            <w:pPr>
              <w:widowControl/>
              <w:adjustRightInd w:val="0"/>
              <w:snapToGrid w:val="0"/>
              <w:jc w:val="center"/>
              <w:rPr>
                <w:rFonts w:eastAsia="等线"/>
                <w:kern w:val="0"/>
                <w:szCs w:val="21"/>
              </w:rPr>
            </w:pPr>
            <w:r>
              <w:rPr>
                <w:rFonts w:hint="eastAsia" w:eastAsia="等线"/>
                <w:kern w:val="0"/>
                <w:szCs w:val="21"/>
              </w:rPr>
              <w:t xml:space="preserve">0.065 </w:t>
            </w:r>
          </w:p>
        </w:tc>
        <w:tc>
          <w:tcPr>
            <w:tcW w:w="1324" w:type="dxa"/>
            <w:vAlign w:val="center"/>
          </w:tcPr>
          <w:p w14:paraId="5052D537">
            <w:pPr>
              <w:widowControl/>
              <w:adjustRightInd w:val="0"/>
              <w:snapToGrid w:val="0"/>
              <w:jc w:val="center"/>
              <w:rPr>
                <w:rFonts w:eastAsia="等线"/>
                <w:kern w:val="0"/>
                <w:szCs w:val="21"/>
              </w:rPr>
            </w:pPr>
            <w:r>
              <w:rPr>
                <w:rFonts w:hint="eastAsia" w:eastAsia="等线"/>
                <w:kern w:val="0"/>
                <w:szCs w:val="21"/>
              </w:rPr>
              <w:t xml:space="preserve">0.075 </w:t>
            </w:r>
          </w:p>
        </w:tc>
      </w:tr>
      <w:tr w14:paraId="49115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470806D6">
            <w:pPr>
              <w:widowControl/>
              <w:jc w:val="center"/>
              <w:rPr>
                <w:kern w:val="0"/>
                <w:szCs w:val="21"/>
              </w:rPr>
            </w:pPr>
            <w:r>
              <w:t>亚硝酸盐(以N计)</w:t>
            </w:r>
          </w:p>
        </w:tc>
        <w:tc>
          <w:tcPr>
            <w:tcW w:w="1559" w:type="dxa"/>
            <w:vAlign w:val="center"/>
          </w:tcPr>
          <w:p w14:paraId="45D0ED4A">
            <w:pPr>
              <w:widowControl/>
              <w:adjustRightInd w:val="0"/>
              <w:snapToGrid w:val="0"/>
              <w:jc w:val="center"/>
              <w:rPr>
                <w:rFonts w:eastAsia="等线"/>
                <w:kern w:val="0"/>
                <w:szCs w:val="21"/>
              </w:rPr>
            </w:pPr>
            <w:r>
              <w:rPr>
                <w:rFonts w:hint="eastAsia" w:eastAsia="等线"/>
                <w:kern w:val="0"/>
                <w:szCs w:val="21"/>
              </w:rPr>
              <w:t xml:space="preserve">0.002 </w:t>
            </w:r>
          </w:p>
        </w:tc>
        <w:tc>
          <w:tcPr>
            <w:tcW w:w="1582" w:type="dxa"/>
            <w:vAlign w:val="center"/>
          </w:tcPr>
          <w:p w14:paraId="143AE101">
            <w:pPr>
              <w:widowControl/>
              <w:adjustRightInd w:val="0"/>
              <w:snapToGrid w:val="0"/>
              <w:jc w:val="center"/>
              <w:rPr>
                <w:rFonts w:eastAsia="等线"/>
                <w:kern w:val="0"/>
                <w:szCs w:val="21"/>
              </w:rPr>
            </w:pPr>
            <w:r>
              <w:rPr>
                <w:rFonts w:hint="eastAsia" w:eastAsia="等线"/>
                <w:kern w:val="0"/>
                <w:szCs w:val="21"/>
              </w:rPr>
              <w:t xml:space="preserve">0.002 </w:t>
            </w:r>
          </w:p>
        </w:tc>
        <w:tc>
          <w:tcPr>
            <w:tcW w:w="1789" w:type="dxa"/>
            <w:vAlign w:val="center"/>
          </w:tcPr>
          <w:p w14:paraId="2ACBE583">
            <w:pPr>
              <w:widowControl/>
              <w:adjustRightInd w:val="0"/>
              <w:snapToGrid w:val="0"/>
              <w:jc w:val="center"/>
              <w:rPr>
                <w:rFonts w:eastAsia="等线"/>
                <w:kern w:val="0"/>
                <w:szCs w:val="21"/>
              </w:rPr>
            </w:pPr>
            <w:r>
              <w:rPr>
                <w:rFonts w:hint="eastAsia" w:eastAsia="等线"/>
                <w:kern w:val="0"/>
                <w:szCs w:val="21"/>
              </w:rPr>
              <w:t xml:space="preserve">0.002 </w:t>
            </w:r>
          </w:p>
        </w:tc>
        <w:tc>
          <w:tcPr>
            <w:tcW w:w="1385" w:type="dxa"/>
            <w:vAlign w:val="center"/>
          </w:tcPr>
          <w:p w14:paraId="102217B9">
            <w:pPr>
              <w:widowControl/>
              <w:adjustRightInd w:val="0"/>
              <w:snapToGrid w:val="0"/>
              <w:jc w:val="center"/>
              <w:rPr>
                <w:rFonts w:eastAsia="等线"/>
                <w:kern w:val="0"/>
                <w:szCs w:val="21"/>
              </w:rPr>
            </w:pPr>
            <w:r>
              <w:rPr>
                <w:rFonts w:hint="eastAsia" w:eastAsia="等线"/>
                <w:kern w:val="0"/>
                <w:szCs w:val="21"/>
              </w:rPr>
              <w:t xml:space="preserve">0.002 </w:t>
            </w:r>
          </w:p>
        </w:tc>
        <w:tc>
          <w:tcPr>
            <w:tcW w:w="1324" w:type="dxa"/>
            <w:vAlign w:val="center"/>
          </w:tcPr>
          <w:p w14:paraId="11A98E42">
            <w:pPr>
              <w:widowControl/>
              <w:adjustRightInd w:val="0"/>
              <w:snapToGrid w:val="0"/>
              <w:jc w:val="center"/>
              <w:rPr>
                <w:rFonts w:eastAsia="等线"/>
                <w:kern w:val="0"/>
                <w:szCs w:val="21"/>
              </w:rPr>
            </w:pPr>
            <w:r>
              <w:rPr>
                <w:rFonts w:hint="eastAsia" w:eastAsia="等线"/>
                <w:kern w:val="0"/>
                <w:szCs w:val="21"/>
              </w:rPr>
              <w:t xml:space="preserve">0.002 </w:t>
            </w:r>
          </w:p>
        </w:tc>
      </w:tr>
      <w:tr w14:paraId="59929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06BB47DB">
            <w:pPr>
              <w:widowControl/>
              <w:jc w:val="center"/>
              <w:rPr>
                <w:kern w:val="0"/>
                <w:szCs w:val="21"/>
              </w:rPr>
            </w:pPr>
            <w:r>
              <w:rPr>
                <w:szCs w:val="21"/>
              </w:rPr>
              <w:t>六价铬</w:t>
            </w:r>
          </w:p>
        </w:tc>
        <w:tc>
          <w:tcPr>
            <w:tcW w:w="1559" w:type="dxa"/>
            <w:vAlign w:val="center"/>
          </w:tcPr>
          <w:p w14:paraId="401C4CF5">
            <w:pPr>
              <w:widowControl/>
              <w:adjustRightInd w:val="0"/>
              <w:snapToGrid w:val="0"/>
              <w:jc w:val="center"/>
              <w:rPr>
                <w:rFonts w:eastAsia="等线"/>
                <w:kern w:val="0"/>
                <w:szCs w:val="21"/>
              </w:rPr>
            </w:pPr>
            <w:r>
              <w:rPr>
                <w:rFonts w:hint="eastAsia" w:eastAsia="等线"/>
                <w:kern w:val="0"/>
                <w:szCs w:val="21"/>
              </w:rPr>
              <w:t xml:space="preserve">0.040 </w:t>
            </w:r>
          </w:p>
        </w:tc>
        <w:tc>
          <w:tcPr>
            <w:tcW w:w="1582" w:type="dxa"/>
            <w:vAlign w:val="center"/>
          </w:tcPr>
          <w:p w14:paraId="1193D7A8">
            <w:pPr>
              <w:widowControl/>
              <w:adjustRightInd w:val="0"/>
              <w:snapToGrid w:val="0"/>
              <w:jc w:val="center"/>
              <w:rPr>
                <w:rFonts w:eastAsia="等线"/>
                <w:kern w:val="0"/>
                <w:szCs w:val="21"/>
              </w:rPr>
            </w:pPr>
            <w:r>
              <w:rPr>
                <w:rFonts w:hint="eastAsia" w:eastAsia="等线"/>
                <w:kern w:val="0"/>
                <w:szCs w:val="21"/>
              </w:rPr>
              <w:t xml:space="preserve">0.060 </w:t>
            </w:r>
          </w:p>
        </w:tc>
        <w:tc>
          <w:tcPr>
            <w:tcW w:w="1789" w:type="dxa"/>
            <w:vAlign w:val="center"/>
          </w:tcPr>
          <w:p w14:paraId="4929E136">
            <w:pPr>
              <w:widowControl/>
              <w:adjustRightInd w:val="0"/>
              <w:snapToGrid w:val="0"/>
              <w:jc w:val="center"/>
              <w:rPr>
                <w:rFonts w:eastAsia="等线"/>
                <w:kern w:val="0"/>
                <w:szCs w:val="21"/>
              </w:rPr>
            </w:pPr>
            <w:r>
              <w:rPr>
                <w:rFonts w:hint="eastAsia" w:eastAsia="等线"/>
                <w:kern w:val="0"/>
                <w:szCs w:val="21"/>
              </w:rPr>
              <w:t xml:space="preserve">0.060 </w:t>
            </w:r>
          </w:p>
        </w:tc>
        <w:tc>
          <w:tcPr>
            <w:tcW w:w="1385" w:type="dxa"/>
            <w:vAlign w:val="center"/>
          </w:tcPr>
          <w:p w14:paraId="532E4653">
            <w:pPr>
              <w:widowControl/>
              <w:adjustRightInd w:val="0"/>
              <w:snapToGrid w:val="0"/>
              <w:jc w:val="center"/>
              <w:rPr>
                <w:rFonts w:eastAsia="等线"/>
                <w:kern w:val="0"/>
                <w:szCs w:val="21"/>
              </w:rPr>
            </w:pPr>
            <w:r>
              <w:rPr>
                <w:rFonts w:hint="eastAsia" w:eastAsia="等线"/>
                <w:kern w:val="0"/>
                <w:szCs w:val="21"/>
              </w:rPr>
              <w:t xml:space="preserve">0.040 </w:t>
            </w:r>
          </w:p>
        </w:tc>
        <w:tc>
          <w:tcPr>
            <w:tcW w:w="1324" w:type="dxa"/>
            <w:vAlign w:val="center"/>
          </w:tcPr>
          <w:p w14:paraId="0774489C">
            <w:pPr>
              <w:widowControl/>
              <w:adjustRightInd w:val="0"/>
              <w:snapToGrid w:val="0"/>
              <w:jc w:val="center"/>
              <w:rPr>
                <w:rFonts w:eastAsia="等线"/>
                <w:kern w:val="0"/>
                <w:szCs w:val="21"/>
              </w:rPr>
            </w:pPr>
            <w:r>
              <w:rPr>
                <w:rFonts w:hint="eastAsia" w:eastAsia="等线"/>
                <w:kern w:val="0"/>
                <w:szCs w:val="21"/>
              </w:rPr>
              <w:t xml:space="preserve">0.060 </w:t>
            </w:r>
          </w:p>
        </w:tc>
      </w:tr>
      <w:tr w14:paraId="759B7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6F9896B7">
            <w:pPr>
              <w:widowControl/>
              <w:jc w:val="center"/>
              <w:rPr>
                <w:kern w:val="0"/>
                <w:szCs w:val="21"/>
              </w:rPr>
            </w:pPr>
            <w:r>
              <w:rPr>
                <w:szCs w:val="21"/>
              </w:rPr>
              <w:t>耗氧量(COD</w:t>
            </w:r>
            <w:r>
              <w:rPr>
                <w:szCs w:val="21"/>
                <w:vertAlign w:val="subscript"/>
              </w:rPr>
              <w:t>Mn</w:t>
            </w:r>
            <w:r>
              <w:rPr>
                <w:szCs w:val="21"/>
              </w:rPr>
              <w:t>法，以O</w:t>
            </w:r>
            <w:r>
              <w:rPr>
                <w:szCs w:val="21"/>
                <w:vertAlign w:val="subscript"/>
              </w:rPr>
              <w:t>2</w:t>
            </w:r>
            <w:r>
              <w:rPr>
                <w:szCs w:val="21"/>
              </w:rPr>
              <w:t>计)</w:t>
            </w:r>
          </w:p>
        </w:tc>
        <w:tc>
          <w:tcPr>
            <w:tcW w:w="1559" w:type="dxa"/>
            <w:vAlign w:val="center"/>
          </w:tcPr>
          <w:p w14:paraId="5261178B">
            <w:pPr>
              <w:widowControl/>
              <w:adjustRightInd w:val="0"/>
              <w:snapToGrid w:val="0"/>
              <w:jc w:val="center"/>
              <w:rPr>
                <w:rFonts w:eastAsia="等线"/>
                <w:kern w:val="0"/>
                <w:szCs w:val="21"/>
              </w:rPr>
            </w:pPr>
            <w:r>
              <w:rPr>
                <w:rFonts w:hint="eastAsia" w:eastAsia="等线"/>
                <w:kern w:val="0"/>
                <w:szCs w:val="21"/>
              </w:rPr>
              <w:t xml:space="preserve">0.233 </w:t>
            </w:r>
          </w:p>
        </w:tc>
        <w:tc>
          <w:tcPr>
            <w:tcW w:w="1582" w:type="dxa"/>
            <w:vAlign w:val="center"/>
          </w:tcPr>
          <w:p w14:paraId="3141E64A">
            <w:pPr>
              <w:widowControl/>
              <w:adjustRightInd w:val="0"/>
              <w:snapToGrid w:val="0"/>
              <w:jc w:val="center"/>
              <w:rPr>
                <w:rFonts w:eastAsia="等线"/>
                <w:kern w:val="0"/>
                <w:szCs w:val="21"/>
              </w:rPr>
            </w:pPr>
            <w:r>
              <w:rPr>
                <w:rFonts w:hint="eastAsia" w:eastAsia="等线"/>
                <w:kern w:val="0"/>
                <w:szCs w:val="21"/>
              </w:rPr>
              <w:t xml:space="preserve">0.200 </w:t>
            </w:r>
          </w:p>
        </w:tc>
        <w:tc>
          <w:tcPr>
            <w:tcW w:w="1789" w:type="dxa"/>
            <w:vAlign w:val="center"/>
          </w:tcPr>
          <w:p w14:paraId="1842B236">
            <w:pPr>
              <w:widowControl/>
              <w:adjustRightInd w:val="0"/>
              <w:snapToGrid w:val="0"/>
              <w:jc w:val="center"/>
              <w:rPr>
                <w:rFonts w:eastAsia="等线"/>
                <w:kern w:val="0"/>
                <w:szCs w:val="21"/>
              </w:rPr>
            </w:pPr>
            <w:r>
              <w:rPr>
                <w:rFonts w:hint="eastAsia" w:eastAsia="等线"/>
                <w:kern w:val="0"/>
                <w:szCs w:val="21"/>
              </w:rPr>
              <w:t xml:space="preserve">0.167 </w:t>
            </w:r>
          </w:p>
        </w:tc>
        <w:tc>
          <w:tcPr>
            <w:tcW w:w="1385" w:type="dxa"/>
            <w:vAlign w:val="center"/>
          </w:tcPr>
          <w:p w14:paraId="5B0D2E67">
            <w:pPr>
              <w:widowControl/>
              <w:adjustRightInd w:val="0"/>
              <w:snapToGrid w:val="0"/>
              <w:jc w:val="center"/>
              <w:rPr>
                <w:rFonts w:eastAsia="等线"/>
                <w:kern w:val="0"/>
                <w:szCs w:val="21"/>
              </w:rPr>
            </w:pPr>
            <w:r>
              <w:rPr>
                <w:rFonts w:hint="eastAsia" w:eastAsia="等线"/>
                <w:kern w:val="0"/>
                <w:szCs w:val="21"/>
              </w:rPr>
              <w:t xml:space="preserve">0.167 </w:t>
            </w:r>
          </w:p>
        </w:tc>
        <w:tc>
          <w:tcPr>
            <w:tcW w:w="1324" w:type="dxa"/>
            <w:vAlign w:val="center"/>
          </w:tcPr>
          <w:p w14:paraId="19FF35FA">
            <w:pPr>
              <w:widowControl/>
              <w:adjustRightInd w:val="0"/>
              <w:snapToGrid w:val="0"/>
              <w:jc w:val="center"/>
              <w:rPr>
                <w:rFonts w:eastAsia="等线"/>
                <w:kern w:val="0"/>
                <w:szCs w:val="21"/>
              </w:rPr>
            </w:pPr>
            <w:r>
              <w:rPr>
                <w:rFonts w:hint="eastAsia" w:eastAsia="等线"/>
                <w:kern w:val="0"/>
                <w:szCs w:val="21"/>
              </w:rPr>
              <w:t xml:space="preserve">0.100 </w:t>
            </w:r>
          </w:p>
        </w:tc>
      </w:tr>
      <w:tr w14:paraId="40E73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5FF6B6B1">
            <w:pPr>
              <w:widowControl/>
              <w:jc w:val="center"/>
              <w:rPr>
                <w:kern w:val="0"/>
                <w:szCs w:val="21"/>
              </w:rPr>
            </w:pPr>
            <w:r>
              <w:rPr>
                <w:szCs w:val="21"/>
              </w:rPr>
              <w:t>汞</w:t>
            </w:r>
          </w:p>
        </w:tc>
        <w:tc>
          <w:tcPr>
            <w:tcW w:w="1559" w:type="dxa"/>
            <w:vAlign w:val="center"/>
          </w:tcPr>
          <w:p w14:paraId="43653D70">
            <w:pPr>
              <w:widowControl/>
              <w:adjustRightInd w:val="0"/>
              <w:snapToGrid w:val="0"/>
              <w:jc w:val="center"/>
              <w:rPr>
                <w:rFonts w:eastAsia="等线"/>
                <w:kern w:val="0"/>
                <w:szCs w:val="21"/>
              </w:rPr>
            </w:pPr>
            <w:r>
              <w:rPr>
                <w:rFonts w:hint="eastAsia" w:eastAsia="等线"/>
                <w:kern w:val="0"/>
                <w:szCs w:val="21"/>
              </w:rPr>
              <w:t xml:space="preserve">0.020 </w:t>
            </w:r>
          </w:p>
        </w:tc>
        <w:tc>
          <w:tcPr>
            <w:tcW w:w="1582" w:type="dxa"/>
            <w:vAlign w:val="center"/>
          </w:tcPr>
          <w:p w14:paraId="1CA36294">
            <w:pPr>
              <w:widowControl/>
              <w:adjustRightInd w:val="0"/>
              <w:snapToGrid w:val="0"/>
              <w:jc w:val="center"/>
              <w:rPr>
                <w:rFonts w:eastAsia="等线"/>
                <w:kern w:val="0"/>
                <w:szCs w:val="21"/>
              </w:rPr>
            </w:pPr>
            <w:r>
              <w:rPr>
                <w:rFonts w:hint="eastAsia" w:eastAsia="等线"/>
                <w:kern w:val="0"/>
                <w:szCs w:val="21"/>
              </w:rPr>
              <w:t xml:space="preserve">0.020 </w:t>
            </w:r>
          </w:p>
        </w:tc>
        <w:tc>
          <w:tcPr>
            <w:tcW w:w="1789" w:type="dxa"/>
            <w:vAlign w:val="center"/>
          </w:tcPr>
          <w:p w14:paraId="636BA210">
            <w:pPr>
              <w:widowControl/>
              <w:adjustRightInd w:val="0"/>
              <w:snapToGrid w:val="0"/>
              <w:jc w:val="center"/>
              <w:rPr>
                <w:rFonts w:eastAsia="等线"/>
                <w:kern w:val="0"/>
                <w:szCs w:val="21"/>
              </w:rPr>
            </w:pPr>
            <w:r>
              <w:rPr>
                <w:rFonts w:hint="eastAsia" w:eastAsia="等线"/>
                <w:kern w:val="0"/>
                <w:szCs w:val="21"/>
              </w:rPr>
              <w:t xml:space="preserve">0.020 </w:t>
            </w:r>
          </w:p>
        </w:tc>
        <w:tc>
          <w:tcPr>
            <w:tcW w:w="1385" w:type="dxa"/>
            <w:vAlign w:val="center"/>
          </w:tcPr>
          <w:p w14:paraId="128BA78C">
            <w:pPr>
              <w:widowControl/>
              <w:adjustRightInd w:val="0"/>
              <w:snapToGrid w:val="0"/>
              <w:jc w:val="center"/>
              <w:rPr>
                <w:rFonts w:eastAsia="等线"/>
                <w:kern w:val="0"/>
                <w:szCs w:val="21"/>
              </w:rPr>
            </w:pPr>
            <w:r>
              <w:rPr>
                <w:rFonts w:hint="eastAsia" w:eastAsia="等线"/>
                <w:kern w:val="0"/>
                <w:szCs w:val="21"/>
              </w:rPr>
              <w:t xml:space="preserve">0.020 </w:t>
            </w:r>
          </w:p>
        </w:tc>
        <w:tc>
          <w:tcPr>
            <w:tcW w:w="1324" w:type="dxa"/>
            <w:vAlign w:val="center"/>
          </w:tcPr>
          <w:p w14:paraId="1170A8AE">
            <w:pPr>
              <w:widowControl/>
              <w:adjustRightInd w:val="0"/>
              <w:snapToGrid w:val="0"/>
              <w:jc w:val="center"/>
              <w:rPr>
                <w:rFonts w:eastAsia="等线"/>
                <w:kern w:val="0"/>
                <w:szCs w:val="21"/>
              </w:rPr>
            </w:pPr>
            <w:r>
              <w:rPr>
                <w:rFonts w:hint="eastAsia" w:eastAsia="等线"/>
                <w:kern w:val="0"/>
                <w:szCs w:val="21"/>
              </w:rPr>
              <w:t xml:space="preserve">0.020 </w:t>
            </w:r>
          </w:p>
        </w:tc>
      </w:tr>
      <w:tr w14:paraId="62C8B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1589B5BF">
            <w:pPr>
              <w:widowControl/>
              <w:jc w:val="center"/>
              <w:rPr>
                <w:kern w:val="0"/>
                <w:szCs w:val="21"/>
              </w:rPr>
            </w:pPr>
            <w:r>
              <w:rPr>
                <w:szCs w:val="21"/>
              </w:rPr>
              <w:t>镉</w:t>
            </w:r>
          </w:p>
        </w:tc>
        <w:tc>
          <w:tcPr>
            <w:tcW w:w="1559" w:type="dxa"/>
            <w:vAlign w:val="center"/>
          </w:tcPr>
          <w:p w14:paraId="11773657">
            <w:pPr>
              <w:widowControl/>
              <w:adjustRightInd w:val="0"/>
              <w:snapToGrid w:val="0"/>
              <w:jc w:val="center"/>
              <w:rPr>
                <w:rFonts w:eastAsia="等线"/>
                <w:kern w:val="0"/>
                <w:szCs w:val="21"/>
              </w:rPr>
            </w:pPr>
            <w:r>
              <w:rPr>
                <w:rFonts w:hint="eastAsia" w:eastAsia="等线"/>
                <w:kern w:val="0"/>
                <w:szCs w:val="21"/>
              </w:rPr>
              <w:t xml:space="preserve">0.020 </w:t>
            </w:r>
          </w:p>
        </w:tc>
        <w:tc>
          <w:tcPr>
            <w:tcW w:w="1582" w:type="dxa"/>
            <w:vAlign w:val="center"/>
          </w:tcPr>
          <w:p w14:paraId="342C9C09">
            <w:pPr>
              <w:widowControl/>
              <w:adjustRightInd w:val="0"/>
              <w:snapToGrid w:val="0"/>
              <w:jc w:val="center"/>
              <w:rPr>
                <w:rFonts w:eastAsia="等线"/>
                <w:kern w:val="0"/>
                <w:szCs w:val="21"/>
              </w:rPr>
            </w:pPr>
            <w:r>
              <w:rPr>
                <w:rFonts w:hint="eastAsia" w:eastAsia="等线"/>
                <w:kern w:val="0"/>
                <w:szCs w:val="21"/>
              </w:rPr>
              <w:t xml:space="preserve">0.020 </w:t>
            </w:r>
          </w:p>
        </w:tc>
        <w:tc>
          <w:tcPr>
            <w:tcW w:w="1789" w:type="dxa"/>
            <w:vAlign w:val="center"/>
          </w:tcPr>
          <w:p w14:paraId="4E0AF0AC">
            <w:pPr>
              <w:widowControl/>
              <w:adjustRightInd w:val="0"/>
              <w:snapToGrid w:val="0"/>
              <w:jc w:val="center"/>
              <w:rPr>
                <w:rFonts w:eastAsia="等线"/>
                <w:kern w:val="0"/>
                <w:szCs w:val="21"/>
              </w:rPr>
            </w:pPr>
            <w:r>
              <w:rPr>
                <w:rFonts w:hint="eastAsia" w:eastAsia="等线"/>
                <w:kern w:val="0"/>
                <w:szCs w:val="21"/>
              </w:rPr>
              <w:t xml:space="preserve">0.020 </w:t>
            </w:r>
          </w:p>
        </w:tc>
        <w:tc>
          <w:tcPr>
            <w:tcW w:w="1385" w:type="dxa"/>
            <w:vAlign w:val="center"/>
          </w:tcPr>
          <w:p w14:paraId="3A036C06">
            <w:pPr>
              <w:widowControl/>
              <w:adjustRightInd w:val="0"/>
              <w:snapToGrid w:val="0"/>
              <w:jc w:val="center"/>
              <w:rPr>
                <w:rFonts w:eastAsia="等线"/>
                <w:kern w:val="0"/>
                <w:szCs w:val="21"/>
              </w:rPr>
            </w:pPr>
            <w:r>
              <w:rPr>
                <w:rFonts w:hint="eastAsia" w:eastAsia="等线"/>
                <w:kern w:val="0"/>
                <w:szCs w:val="21"/>
              </w:rPr>
              <w:t xml:space="preserve">0.020 </w:t>
            </w:r>
          </w:p>
        </w:tc>
        <w:tc>
          <w:tcPr>
            <w:tcW w:w="1324" w:type="dxa"/>
            <w:vAlign w:val="center"/>
          </w:tcPr>
          <w:p w14:paraId="6BA5405B">
            <w:pPr>
              <w:widowControl/>
              <w:adjustRightInd w:val="0"/>
              <w:snapToGrid w:val="0"/>
              <w:jc w:val="center"/>
              <w:rPr>
                <w:rFonts w:eastAsia="等线"/>
                <w:kern w:val="0"/>
                <w:szCs w:val="21"/>
              </w:rPr>
            </w:pPr>
            <w:r>
              <w:rPr>
                <w:rFonts w:hint="eastAsia" w:eastAsia="等线"/>
                <w:kern w:val="0"/>
                <w:szCs w:val="21"/>
              </w:rPr>
              <w:t xml:space="preserve">0.020 </w:t>
            </w:r>
          </w:p>
        </w:tc>
      </w:tr>
      <w:tr w14:paraId="4B657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2F7EF2F3">
            <w:pPr>
              <w:widowControl/>
              <w:jc w:val="center"/>
              <w:rPr>
                <w:kern w:val="0"/>
                <w:szCs w:val="21"/>
              </w:rPr>
            </w:pPr>
            <w:r>
              <w:rPr>
                <w:szCs w:val="21"/>
              </w:rPr>
              <w:t>铁</w:t>
            </w:r>
          </w:p>
        </w:tc>
        <w:tc>
          <w:tcPr>
            <w:tcW w:w="1559" w:type="dxa"/>
            <w:vAlign w:val="center"/>
          </w:tcPr>
          <w:p w14:paraId="22EDF0BD">
            <w:pPr>
              <w:widowControl/>
              <w:adjustRightInd w:val="0"/>
              <w:snapToGrid w:val="0"/>
              <w:jc w:val="center"/>
              <w:rPr>
                <w:rFonts w:eastAsia="等线"/>
                <w:kern w:val="0"/>
                <w:szCs w:val="21"/>
              </w:rPr>
            </w:pPr>
            <w:r>
              <w:rPr>
                <w:rFonts w:hint="eastAsia" w:eastAsia="等线"/>
                <w:kern w:val="0"/>
                <w:szCs w:val="21"/>
              </w:rPr>
              <w:t xml:space="preserve">0.050 </w:t>
            </w:r>
          </w:p>
        </w:tc>
        <w:tc>
          <w:tcPr>
            <w:tcW w:w="1582" w:type="dxa"/>
            <w:vAlign w:val="center"/>
          </w:tcPr>
          <w:p w14:paraId="381F156A">
            <w:pPr>
              <w:widowControl/>
              <w:adjustRightInd w:val="0"/>
              <w:snapToGrid w:val="0"/>
              <w:jc w:val="center"/>
              <w:rPr>
                <w:rFonts w:eastAsia="等线"/>
                <w:kern w:val="0"/>
                <w:szCs w:val="21"/>
              </w:rPr>
            </w:pPr>
            <w:r>
              <w:rPr>
                <w:rFonts w:hint="eastAsia" w:eastAsia="等线"/>
                <w:kern w:val="0"/>
                <w:szCs w:val="21"/>
              </w:rPr>
              <w:t xml:space="preserve">0.050 </w:t>
            </w:r>
          </w:p>
        </w:tc>
        <w:tc>
          <w:tcPr>
            <w:tcW w:w="1789" w:type="dxa"/>
            <w:vAlign w:val="center"/>
          </w:tcPr>
          <w:p w14:paraId="3E268C20">
            <w:pPr>
              <w:widowControl/>
              <w:adjustRightInd w:val="0"/>
              <w:snapToGrid w:val="0"/>
              <w:jc w:val="center"/>
              <w:rPr>
                <w:rFonts w:eastAsia="等线"/>
                <w:kern w:val="0"/>
                <w:szCs w:val="21"/>
              </w:rPr>
            </w:pPr>
            <w:r>
              <w:rPr>
                <w:rFonts w:hint="eastAsia" w:eastAsia="等线"/>
                <w:kern w:val="0"/>
                <w:szCs w:val="21"/>
              </w:rPr>
              <w:t xml:space="preserve">0.050 </w:t>
            </w:r>
          </w:p>
        </w:tc>
        <w:tc>
          <w:tcPr>
            <w:tcW w:w="1385" w:type="dxa"/>
            <w:vAlign w:val="center"/>
          </w:tcPr>
          <w:p w14:paraId="01432238">
            <w:pPr>
              <w:widowControl/>
              <w:adjustRightInd w:val="0"/>
              <w:snapToGrid w:val="0"/>
              <w:jc w:val="center"/>
              <w:rPr>
                <w:rFonts w:eastAsia="等线"/>
                <w:kern w:val="0"/>
                <w:szCs w:val="21"/>
              </w:rPr>
            </w:pPr>
            <w:r>
              <w:rPr>
                <w:rFonts w:hint="eastAsia" w:eastAsia="等线"/>
                <w:kern w:val="0"/>
                <w:szCs w:val="21"/>
              </w:rPr>
              <w:t xml:space="preserve">0.050 </w:t>
            </w:r>
          </w:p>
        </w:tc>
        <w:tc>
          <w:tcPr>
            <w:tcW w:w="1324" w:type="dxa"/>
            <w:vAlign w:val="center"/>
          </w:tcPr>
          <w:p w14:paraId="06BF3137">
            <w:pPr>
              <w:widowControl/>
              <w:adjustRightInd w:val="0"/>
              <w:snapToGrid w:val="0"/>
              <w:jc w:val="center"/>
              <w:rPr>
                <w:rFonts w:eastAsia="等线"/>
                <w:kern w:val="0"/>
                <w:szCs w:val="21"/>
              </w:rPr>
            </w:pPr>
            <w:r>
              <w:rPr>
                <w:rFonts w:hint="eastAsia" w:eastAsia="等线"/>
                <w:kern w:val="0"/>
                <w:szCs w:val="21"/>
              </w:rPr>
              <w:t xml:space="preserve">0.050 </w:t>
            </w:r>
          </w:p>
        </w:tc>
      </w:tr>
      <w:tr w14:paraId="48103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02BE4A8B">
            <w:pPr>
              <w:widowControl/>
              <w:jc w:val="center"/>
              <w:rPr>
                <w:kern w:val="0"/>
                <w:szCs w:val="21"/>
              </w:rPr>
            </w:pPr>
            <w:r>
              <w:rPr>
                <w:szCs w:val="21"/>
              </w:rPr>
              <w:t>铅</w:t>
            </w:r>
          </w:p>
        </w:tc>
        <w:tc>
          <w:tcPr>
            <w:tcW w:w="1559" w:type="dxa"/>
            <w:vAlign w:val="center"/>
          </w:tcPr>
          <w:p w14:paraId="54ABCB4C">
            <w:pPr>
              <w:widowControl/>
              <w:adjustRightInd w:val="0"/>
              <w:snapToGrid w:val="0"/>
              <w:jc w:val="center"/>
              <w:rPr>
                <w:rFonts w:eastAsia="等线"/>
                <w:kern w:val="0"/>
                <w:szCs w:val="21"/>
              </w:rPr>
            </w:pPr>
            <w:r>
              <w:rPr>
                <w:rFonts w:hint="eastAsia" w:eastAsia="等线"/>
                <w:kern w:val="0"/>
                <w:szCs w:val="21"/>
              </w:rPr>
              <w:t xml:space="preserve">0.100 </w:t>
            </w:r>
          </w:p>
        </w:tc>
        <w:tc>
          <w:tcPr>
            <w:tcW w:w="1582" w:type="dxa"/>
            <w:vAlign w:val="center"/>
          </w:tcPr>
          <w:p w14:paraId="01171B1C">
            <w:pPr>
              <w:widowControl/>
              <w:adjustRightInd w:val="0"/>
              <w:snapToGrid w:val="0"/>
              <w:jc w:val="center"/>
              <w:rPr>
                <w:rFonts w:eastAsia="等线"/>
                <w:kern w:val="0"/>
                <w:szCs w:val="21"/>
              </w:rPr>
            </w:pPr>
            <w:r>
              <w:rPr>
                <w:rFonts w:hint="eastAsia" w:eastAsia="等线"/>
                <w:kern w:val="0"/>
                <w:szCs w:val="21"/>
              </w:rPr>
              <w:t xml:space="preserve">0.100 </w:t>
            </w:r>
          </w:p>
        </w:tc>
        <w:tc>
          <w:tcPr>
            <w:tcW w:w="1789" w:type="dxa"/>
            <w:vAlign w:val="center"/>
          </w:tcPr>
          <w:p w14:paraId="6F08252F">
            <w:pPr>
              <w:widowControl/>
              <w:adjustRightInd w:val="0"/>
              <w:snapToGrid w:val="0"/>
              <w:jc w:val="center"/>
              <w:rPr>
                <w:rFonts w:eastAsia="等线"/>
                <w:kern w:val="0"/>
                <w:szCs w:val="21"/>
              </w:rPr>
            </w:pPr>
            <w:r>
              <w:rPr>
                <w:rFonts w:hint="eastAsia" w:eastAsia="等线"/>
                <w:kern w:val="0"/>
                <w:szCs w:val="21"/>
              </w:rPr>
              <w:t xml:space="preserve">0.100 </w:t>
            </w:r>
          </w:p>
        </w:tc>
        <w:tc>
          <w:tcPr>
            <w:tcW w:w="1385" w:type="dxa"/>
            <w:vAlign w:val="center"/>
          </w:tcPr>
          <w:p w14:paraId="0BB6212A">
            <w:pPr>
              <w:widowControl/>
              <w:adjustRightInd w:val="0"/>
              <w:snapToGrid w:val="0"/>
              <w:jc w:val="center"/>
              <w:rPr>
                <w:rFonts w:eastAsia="等线"/>
                <w:kern w:val="0"/>
                <w:szCs w:val="21"/>
              </w:rPr>
            </w:pPr>
            <w:r>
              <w:rPr>
                <w:rFonts w:hint="eastAsia" w:eastAsia="等线"/>
                <w:kern w:val="0"/>
                <w:szCs w:val="21"/>
              </w:rPr>
              <w:t xml:space="preserve">0.100 </w:t>
            </w:r>
          </w:p>
        </w:tc>
        <w:tc>
          <w:tcPr>
            <w:tcW w:w="1324" w:type="dxa"/>
            <w:vAlign w:val="center"/>
          </w:tcPr>
          <w:p w14:paraId="4DC5E9A9">
            <w:pPr>
              <w:widowControl/>
              <w:adjustRightInd w:val="0"/>
              <w:snapToGrid w:val="0"/>
              <w:jc w:val="center"/>
              <w:rPr>
                <w:rFonts w:eastAsia="等线"/>
                <w:kern w:val="0"/>
                <w:szCs w:val="21"/>
              </w:rPr>
            </w:pPr>
            <w:r>
              <w:rPr>
                <w:rFonts w:hint="eastAsia" w:eastAsia="等线"/>
                <w:kern w:val="0"/>
                <w:szCs w:val="21"/>
              </w:rPr>
              <w:t xml:space="preserve">0.100 </w:t>
            </w:r>
          </w:p>
        </w:tc>
      </w:tr>
      <w:tr w14:paraId="1F618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0A6BBBFF">
            <w:pPr>
              <w:widowControl/>
              <w:jc w:val="center"/>
              <w:rPr>
                <w:kern w:val="0"/>
                <w:szCs w:val="21"/>
              </w:rPr>
            </w:pPr>
            <w:r>
              <w:rPr>
                <w:szCs w:val="21"/>
              </w:rPr>
              <w:t>砷</w:t>
            </w:r>
          </w:p>
        </w:tc>
        <w:tc>
          <w:tcPr>
            <w:tcW w:w="1559" w:type="dxa"/>
            <w:vAlign w:val="center"/>
          </w:tcPr>
          <w:p w14:paraId="03DE57E5">
            <w:pPr>
              <w:widowControl/>
              <w:adjustRightInd w:val="0"/>
              <w:snapToGrid w:val="0"/>
              <w:jc w:val="center"/>
              <w:rPr>
                <w:rFonts w:eastAsia="等线"/>
                <w:kern w:val="0"/>
                <w:szCs w:val="21"/>
              </w:rPr>
            </w:pPr>
            <w:r>
              <w:rPr>
                <w:rFonts w:hint="eastAsia" w:eastAsia="等线"/>
                <w:kern w:val="0"/>
                <w:szCs w:val="21"/>
              </w:rPr>
              <w:t xml:space="preserve">0.015 </w:t>
            </w:r>
          </w:p>
        </w:tc>
        <w:tc>
          <w:tcPr>
            <w:tcW w:w="1582" w:type="dxa"/>
            <w:vAlign w:val="center"/>
          </w:tcPr>
          <w:p w14:paraId="40E884F5">
            <w:pPr>
              <w:widowControl/>
              <w:adjustRightInd w:val="0"/>
              <w:snapToGrid w:val="0"/>
              <w:jc w:val="center"/>
              <w:rPr>
                <w:rFonts w:eastAsia="等线"/>
                <w:kern w:val="0"/>
                <w:szCs w:val="21"/>
              </w:rPr>
            </w:pPr>
            <w:r>
              <w:rPr>
                <w:rFonts w:hint="eastAsia" w:eastAsia="等线"/>
                <w:kern w:val="0"/>
                <w:szCs w:val="21"/>
              </w:rPr>
              <w:t xml:space="preserve">0.015 </w:t>
            </w:r>
          </w:p>
        </w:tc>
        <w:tc>
          <w:tcPr>
            <w:tcW w:w="1789" w:type="dxa"/>
            <w:vAlign w:val="center"/>
          </w:tcPr>
          <w:p w14:paraId="36E31E37">
            <w:pPr>
              <w:widowControl/>
              <w:adjustRightInd w:val="0"/>
              <w:snapToGrid w:val="0"/>
              <w:jc w:val="center"/>
              <w:rPr>
                <w:rFonts w:eastAsia="等线"/>
                <w:kern w:val="0"/>
                <w:szCs w:val="21"/>
              </w:rPr>
            </w:pPr>
            <w:r>
              <w:rPr>
                <w:rFonts w:hint="eastAsia" w:eastAsia="等线"/>
                <w:kern w:val="0"/>
                <w:szCs w:val="21"/>
              </w:rPr>
              <w:t xml:space="preserve">0.015 </w:t>
            </w:r>
          </w:p>
        </w:tc>
        <w:tc>
          <w:tcPr>
            <w:tcW w:w="1385" w:type="dxa"/>
            <w:vAlign w:val="center"/>
          </w:tcPr>
          <w:p w14:paraId="0F8FA925">
            <w:pPr>
              <w:widowControl/>
              <w:adjustRightInd w:val="0"/>
              <w:snapToGrid w:val="0"/>
              <w:jc w:val="center"/>
              <w:rPr>
                <w:rFonts w:eastAsia="等线"/>
                <w:kern w:val="0"/>
                <w:szCs w:val="21"/>
              </w:rPr>
            </w:pPr>
            <w:r>
              <w:rPr>
                <w:rFonts w:hint="eastAsia" w:eastAsia="等线"/>
                <w:kern w:val="0"/>
                <w:szCs w:val="21"/>
              </w:rPr>
              <w:t xml:space="preserve">0.015 </w:t>
            </w:r>
          </w:p>
        </w:tc>
        <w:tc>
          <w:tcPr>
            <w:tcW w:w="1324" w:type="dxa"/>
            <w:vAlign w:val="center"/>
          </w:tcPr>
          <w:p w14:paraId="538B05A5">
            <w:pPr>
              <w:widowControl/>
              <w:adjustRightInd w:val="0"/>
              <w:snapToGrid w:val="0"/>
              <w:jc w:val="center"/>
              <w:rPr>
                <w:rFonts w:eastAsia="等线"/>
                <w:kern w:val="0"/>
                <w:szCs w:val="21"/>
              </w:rPr>
            </w:pPr>
            <w:r>
              <w:rPr>
                <w:rFonts w:hint="eastAsia" w:eastAsia="等线"/>
                <w:kern w:val="0"/>
                <w:szCs w:val="21"/>
              </w:rPr>
              <w:t xml:space="preserve">0.015 </w:t>
            </w:r>
          </w:p>
        </w:tc>
      </w:tr>
      <w:tr w14:paraId="4FA83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39DCD33E">
            <w:pPr>
              <w:widowControl/>
              <w:jc w:val="center"/>
              <w:rPr>
                <w:kern w:val="0"/>
                <w:szCs w:val="21"/>
              </w:rPr>
            </w:pPr>
            <w:r>
              <w:rPr>
                <w:szCs w:val="21"/>
              </w:rPr>
              <w:t>锰</w:t>
            </w:r>
          </w:p>
        </w:tc>
        <w:tc>
          <w:tcPr>
            <w:tcW w:w="1559" w:type="dxa"/>
            <w:vAlign w:val="center"/>
          </w:tcPr>
          <w:p w14:paraId="3435317F">
            <w:pPr>
              <w:widowControl/>
              <w:adjustRightInd w:val="0"/>
              <w:snapToGrid w:val="0"/>
              <w:jc w:val="center"/>
              <w:rPr>
                <w:rFonts w:eastAsia="等线"/>
                <w:kern w:val="0"/>
                <w:szCs w:val="21"/>
              </w:rPr>
            </w:pPr>
            <w:r>
              <w:rPr>
                <w:rFonts w:hint="eastAsia" w:eastAsia="等线"/>
                <w:kern w:val="0"/>
                <w:szCs w:val="21"/>
              </w:rPr>
              <w:t xml:space="preserve">0.700 </w:t>
            </w:r>
          </w:p>
        </w:tc>
        <w:tc>
          <w:tcPr>
            <w:tcW w:w="1582" w:type="dxa"/>
            <w:vAlign w:val="center"/>
          </w:tcPr>
          <w:p w14:paraId="25DCE98C">
            <w:pPr>
              <w:widowControl/>
              <w:adjustRightInd w:val="0"/>
              <w:snapToGrid w:val="0"/>
              <w:jc w:val="center"/>
              <w:rPr>
                <w:rFonts w:eastAsia="等线"/>
                <w:kern w:val="0"/>
                <w:szCs w:val="21"/>
              </w:rPr>
            </w:pPr>
            <w:r>
              <w:rPr>
                <w:rFonts w:hint="eastAsia" w:eastAsia="等线"/>
                <w:kern w:val="0"/>
                <w:szCs w:val="21"/>
              </w:rPr>
              <w:t>0.500</w:t>
            </w:r>
          </w:p>
        </w:tc>
        <w:tc>
          <w:tcPr>
            <w:tcW w:w="1789" w:type="dxa"/>
            <w:vAlign w:val="center"/>
          </w:tcPr>
          <w:p w14:paraId="160D3ADD">
            <w:pPr>
              <w:widowControl/>
              <w:adjustRightInd w:val="0"/>
              <w:snapToGrid w:val="0"/>
              <w:jc w:val="center"/>
              <w:rPr>
                <w:rFonts w:eastAsia="等线"/>
                <w:kern w:val="0"/>
                <w:szCs w:val="21"/>
              </w:rPr>
            </w:pPr>
            <w:r>
              <w:rPr>
                <w:rFonts w:hint="eastAsia" w:eastAsia="等线"/>
                <w:kern w:val="0"/>
                <w:szCs w:val="21"/>
              </w:rPr>
              <w:t xml:space="preserve">0.050 </w:t>
            </w:r>
          </w:p>
        </w:tc>
        <w:tc>
          <w:tcPr>
            <w:tcW w:w="1385" w:type="dxa"/>
            <w:vAlign w:val="center"/>
          </w:tcPr>
          <w:p w14:paraId="0CA980DD">
            <w:pPr>
              <w:widowControl/>
              <w:adjustRightInd w:val="0"/>
              <w:snapToGrid w:val="0"/>
              <w:jc w:val="center"/>
              <w:rPr>
                <w:rFonts w:eastAsia="等线"/>
                <w:kern w:val="0"/>
                <w:szCs w:val="21"/>
              </w:rPr>
            </w:pPr>
            <w:r>
              <w:rPr>
                <w:rFonts w:hint="eastAsia" w:eastAsia="等线"/>
                <w:kern w:val="0"/>
                <w:szCs w:val="21"/>
              </w:rPr>
              <w:t xml:space="preserve">0.050 </w:t>
            </w:r>
          </w:p>
        </w:tc>
        <w:tc>
          <w:tcPr>
            <w:tcW w:w="1324" w:type="dxa"/>
            <w:vAlign w:val="center"/>
          </w:tcPr>
          <w:p w14:paraId="56C9A3AB">
            <w:pPr>
              <w:widowControl/>
              <w:adjustRightInd w:val="0"/>
              <w:snapToGrid w:val="0"/>
              <w:jc w:val="center"/>
              <w:rPr>
                <w:rFonts w:eastAsia="等线"/>
                <w:kern w:val="0"/>
                <w:szCs w:val="21"/>
              </w:rPr>
            </w:pPr>
            <w:r>
              <w:rPr>
                <w:rFonts w:hint="eastAsia" w:eastAsia="等线"/>
                <w:kern w:val="0"/>
                <w:szCs w:val="21"/>
              </w:rPr>
              <w:t xml:space="preserve">0.050 </w:t>
            </w:r>
          </w:p>
        </w:tc>
      </w:tr>
      <w:tr w14:paraId="5D88B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5EE65BB0">
            <w:pPr>
              <w:widowControl/>
              <w:jc w:val="center"/>
              <w:rPr>
                <w:kern w:val="0"/>
                <w:szCs w:val="21"/>
              </w:rPr>
            </w:pPr>
            <w:r>
              <w:rPr>
                <w:szCs w:val="21"/>
              </w:rPr>
              <w:t>石油类</w:t>
            </w:r>
          </w:p>
        </w:tc>
        <w:tc>
          <w:tcPr>
            <w:tcW w:w="1559" w:type="dxa"/>
            <w:vAlign w:val="center"/>
          </w:tcPr>
          <w:p w14:paraId="2DC75872">
            <w:pPr>
              <w:widowControl/>
              <w:adjustRightInd w:val="0"/>
              <w:snapToGrid w:val="0"/>
              <w:jc w:val="center"/>
              <w:rPr>
                <w:rFonts w:eastAsia="等线"/>
                <w:kern w:val="0"/>
                <w:szCs w:val="21"/>
              </w:rPr>
            </w:pPr>
            <w:r>
              <w:rPr>
                <w:rFonts w:hint="eastAsia" w:eastAsia="等线"/>
                <w:kern w:val="0"/>
                <w:szCs w:val="21"/>
              </w:rPr>
              <w:t xml:space="preserve">0.100 </w:t>
            </w:r>
          </w:p>
        </w:tc>
        <w:tc>
          <w:tcPr>
            <w:tcW w:w="1582" w:type="dxa"/>
            <w:vAlign w:val="center"/>
          </w:tcPr>
          <w:p w14:paraId="5EF4C56A">
            <w:pPr>
              <w:widowControl/>
              <w:adjustRightInd w:val="0"/>
              <w:snapToGrid w:val="0"/>
              <w:jc w:val="center"/>
              <w:rPr>
                <w:rFonts w:eastAsia="等线"/>
                <w:kern w:val="0"/>
                <w:szCs w:val="21"/>
              </w:rPr>
            </w:pPr>
            <w:r>
              <w:rPr>
                <w:rFonts w:hint="eastAsia" w:eastAsia="等线"/>
                <w:kern w:val="0"/>
                <w:szCs w:val="21"/>
              </w:rPr>
              <w:t xml:space="preserve">0.100 </w:t>
            </w:r>
          </w:p>
        </w:tc>
        <w:tc>
          <w:tcPr>
            <w:tcW w:w="1789" w:type="dxa"/>
            <w:vAlign w:val="center"/>
          </w:tcPr>
          <w:p w14:paraId="521C30AD">
            <w:pPr>
              <w:widowControl/>
              <w:adjustRightInd w:val="0"/>
              <w:snapToGrid w:val="0"/>
              <w:jc w:val="center"/>
              <w:rPr>
                <w:rFonts w:eastAsia="等线"/>
                <w:kern w:val="0"/>
                <w:szCs w:val="21"/>
              </w:rPr>
            </w:pPr>
            <w:r>
              <w:rPr>
                <w:rFonts w:hint="eastAsia" w:eastAsia="等线"/>
                <w:kern w:val="0"/>
                <w:szCs w:val="21"/>
              </w:rPr>
              <w:t xml:space="preserve">0.100 </w:t>
            </w:r>
          </w:p>
        </w:tc>
        <w:tc>
          <w:tcPr>
            <w:tcW w:w="1385" w:type="dxa"/>
            <w:vAlign w:val="center"/>
          </w:tcPr>
          <w:p w14:paraId="7986BDD1">
            <w:pPr>
              <w:widowControl/>
              <w:adjustRightInd w:val="0"/>
              <w:snapToGrid w:val="0"/>
              <w:jc w:val="center"/>
              <w:rPr>
                <w:rFonts w:eastAsia="等线"/>
                <w:kern w:val="0"/>
                <w:szCs w:val="21"/>
              </w:rPr>
            </w:pPr>
            <w:r>
              <w:rPr>
                <w:rFonts w:hint="eastAsia" w:eastAsia="等线"/>
                <w:kern w:val="0"/>
                <w:szCs w:val="21"/>
              </w:rPr>
              <w:t xml:space="preserve">0.100 </w:t>
            </w:r>
          </w:p>
        </w:tc>
        <w:tc>
          <w:tcPr>
            <w:tcW w:w="1324" w:type="dxa"/>
            <w:vAlign w:val="center"/>
          </w:tcPr>
          <w:p w14:paraId="3A6707B4">
            <w:pPr>
              <w:widowControl/>
              <w:adjustRightInd w:val="0"/>
              <w:snapToGrid w:val="0"/>
              <w:jc w:val="center"/>
              <w:rPr>
                <w:rFonts w:eastAsia="等线"/>
                <w:kern w:val="0"/>
                <w:szCs w:val="21"/>
              </w:rPr>
            </w:pPr>
            <w:r>
              <w:rPr>
                <w:rFonts w:hint="eastAsia" w:eastAsia="等线"/>
                <w:kern w:val="0"/>
                <w:szCs w:val="21"/>
              </w:rPr>
              <w:t xml:space="preserve">0.100 </w:t>
            </w:r>
          </w:p>
        </w:tc>
      </w:tr>
      <w:tr w14:paraId="5E63B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04567980">
            <w:pPr>
              <w:widowControl/>
              <w:jc w:val="center"/>
              <w:rPr>
                <w:kern w:val="0"/>
                <w:szCs w:val="21"/>
              </w:rPr>
            </w:pPr>
            <w:r>
              <w:rPr>
                <w:szCs w:val="21"/>
              </w:rPr>
              <w:t>总大肠菌群</w:t>
            </w:r>
          </w:p>
        </w:tc>
        <w:tc>
          <w:tcPr>
            <w:tcW w:w="1559" w:type="dxa"/>
            <w:vAlign w:val="center"/>
          </w:tcPr>
          <w:p w14:paraId="42F49549">
            <w:pPr>
              <w:widowControl/>
              <w:adjustRightInd w:val="0"/>
              <w:snapToGrid w:val="0"/>
              <w:jc w:val="center"/>
              <w:rPr>
                <w:rFonts w:eastAsia="等线"/>
                <w:kern w:val="0"/>
                <w:szCs w:val="21"/>
              </w:rPr>
            </w:pPr>
            <w:r>
              <w:rPr>
                <w:rFonts w:hint="eastAsia" w:eastAsia="等线"/>
                <w:kern w:val="0"/>
                <w:szCs w:val="21"/>
              </w:rPr>
              <w:t xml:space="preserve">0.667 </w:t>
            </w:r>
          </w:p>
        </w:tc>
        <w:tc>
          <w:tcPr>
            <w:tcW w:w="1582" w:type="dxa"/>
            <w:vAlign w:val="center"/>
          </w:tcPr>
          <w:p w14:paraId="396C386B">
            <w:pPr>
              <w:widowControl/>
              <w:adjustRightInd w:val="0"/>
              <w:snapToGrid w:val="0"/>
              <w:jc w:val="center"/>
              <w:rPr>
                <w:rFonts w:eastAsia="等线"/>
                <w:kern w:val="0"/>
                <w:szCs w:val="21"/>
              </w:rPr>
            </w:pPr>
            <w:r>
              <w:rPr>
                <w:rFonts w:hint="eastAsia" w:eastAsia="等线"/>
                <w:kern w:val="0"/>
                <w:szCs w:val="21"/>
              </w:rPr>
              <w:t xml:space="preserve">0.667 </w:t>
            </w:r>
          </w:p>
        </w:tc>
        <w:tc>
          <w:tcPr>
            <w:tcW w:w="1789" w:type="dxa"/>
            <w:vAlign w:val="center"/>
          </w:tcPr>
          <w:p w14:paraId="109E1BBF">
            <w:pPr>
              <w:widowControl/>
              <w:adjustRightInd w:val="0"/>
              <w:snapToGrid w:val="0"/>
              <w:jc w:val="center"/>
              <w:rPr>
                <w:rFonts w:eastAsia="等线"/>
                <w:kern w:val="0"/>
                <w:szCs w:val="21"/>
              </w:rPr>
            </w:pPr>
            <w:r>
              <w:rPr>
                <w:rFonts w:hint="eastAsia" w:eastAsia="等线"/>
                <w:kern w:val="0"/>
                <w:szCs w:val="21"/>
              </w:rPr>
              <w:t xml:space="preserve">0.333 </w:t>
            </w:r>
          </w:p>
        </w:tc>
        <w:tc>
          <w:tcPr>
            <w:tcW w:w="1385" w:type="dxa"/>
            <w:vAlign w:val="center"/>
          </w:tcPr>
          <w:p w14:paraId="2D76EA9E">
            <w:pPr>
              <w:widowControl/>
              <w:adjustRightInd w:val="0"/>
              <w:snapToGrid w:val="0"/>
              <w:jc w:val="center"/>
              <w:rPr>
                <w:rFonts w:eastAsia="等线"/>
                <w:kern w:val="0"/>
                <w:szCs w:val="21"/>
              </w:rPr>
            </w:pPr>
            <w:r>
              <w:rPr>
                <w:rFonts w:hint="eastAsia" w:eastAsia="等线"/>
                <w:kern w:val="0"/>
                <w:szCs w:val="21"/>
              </w:rPr>
              <w:t xml:space="preserve">0.333 </w:t>
            </w:r>
          </w:p>
        </w:tc>
        <w:tc>
          <w:tcPr>
            <w:tcW w:w="1324" w:type="dxa"/>
            <w:vAlign w:val="center"/>
          </w:tcPr>
          <w:p w14:paraId="304D3904">
            <w:pPr>
              <w:widowControl/>
              <w:adjustRightInd w:val="0"/>
              <w:snapToGrid w:val="0"/>
              <w:jc w:val="center"/>
              <w:rPr>
                <w:rFonts w:eastAsia="等线"/>
                <w:kern w:val="0"/>
                <w:szCs w:val="21"/>
              </w:rPr>
            </w:pPr>
            <w:r>
              <w:rPr>
                <w:rFonts w:hint="eastAsia" w:eastAsia="等线"/>
                <w:kern w:val="0"/>
                <w:szCs w:val="21"/>
              </w:rPr>
              <w:t xml:space="preserve">0.667 </w:t>
            </w:r>
          </w:p>
        </w:tc>
      </w:tr>
      <w:tr w14:paraId="35780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pct"/>
            <w:vAlign w:val="center"/>
          </w:tcPr>
          <w:p w14:paraId="12ED2307">
            <w:pPr>
              <w:widowControl/>
              <w:jc w:val="center"/>
              <w:rPr>
                <w:kern w:val="0"/>
                <w:szCs w:val="21"/>
              </w:rPr>
            </w:pPr>
            <w:r>
              <w:rPr>
                <w:szCs w:val="21"/>
              </w:rPr>
              <w:t>菌落总数</w:t>
            </w:r>
          </w:p>
        </w:tc>
        <w:tc>
          <w:tcPr>
            <w:tcW w:w="1559" w:type="dxa"/>
            <w:vAlign w:val="center"/>
          </w:tcPr>
          <w:p w14:paraId="5DA04C12">
            <w:pPr>
              <w:widowControl/>
              <w:adjustRightInd w:val="0"/>
              <w:snapToGrid w:val="0"/>
              <w:jc w:val="center"/>
              <w:rPr>
                <w:rFonts w:eastAsia="等线"/>
                <w:kern w:val="0"/>
                <w:szCs w:val="21"/>
              </w:rPr>
            </w:pPr>
            <w:r>
              <w:rPr>
                <w:rFonts w:hint="eastAsia" w:eastAsia="等线"/>
                <w:kern w:val="0"/>
                <w:szCs w:val="21"/>
              </w:rPr>
              <w:t>0.320</w:t>
            </w:r>
          </w:p>
        </w:tc>
        <w:tc>
          <w:tcPr>
            <w:tcW w:w="1582" w:type="dxa"/>
            <w:vAlign w:val="center"/>
          </w:tcPr>
          <w:p w14:paraId="7EC8262D">
            <w:pPr>
              <w:widowControl/>
              <w:adjustRightInd w:val="0"/>
              <w:snapToGrid w:val="0"/>
              <w:jc w:val="center"/>
              <w:rPr>
                <w:rFonts w:eastAsia="等线"/>
                <w:kern w:val="0"/>
                <w:szCs w:val="21"/>
              </w:rPr>
            </w:pPr>
            <w:r>
              <w:rPr>
                <w:rFonts w:hint="eastAsia" w:eastAsia="等线"/>
                <w:kern w:val="0"/>
                <w:szCs w:val="21"/>
              </w:rPr>
              <w:t>0.270</w:t>
            </w:r>
          </w:p>
        </w:tc>
        <w:tc>
          <w:tcPr>
            <w:tcW w:w="1789" w:type="dxa"/>
            <w:vAlign w:val="center"/>
          </w:tcPr>
          <w:p w14:paraId="0587B049">
            <w:pPr>
              <w:widowControl/>
              <w:adjustRightInd w:val="0"/>
              <w:snapToGrid w:val="0"/>
              <w:jc w:val="center"/>
              <w:rPr>
                <w:rFonts w:eastAsia="等线"/>
                <w:kern w:val="0"/>
                <w:szCs w:val="21"/>
              </w:rPr>
            </w:pPr>
            <w:r>
              <w:rPr>
                <w:rFonts w:hint="eastAsia" w:eastAsia="等线"/>
                <w:kern w:val="0"/>
                <w:szCs w:val="21"/>
              </w:rPr>
              <w:t>0.400</w:t>
            </w:r>
          </w:p>
        </w:tc>
        <w:tc>
          <w:tcPr>
            <w:tcW w:w="1385" w:type="dxa"/>
            <w:vAlign w:val="center"/>
          </w:tcPr>
          <w:p w14:paraId="0496DCBA">
            <w:pPr>
              <w:widowControl/>
              <w:adjustRightInd w:val="0"/>
              <w:snapToGrid w:val="0"/>
              <w:jc w:val="center"/>
              <w:rPr>
                <w:rFonts w:eastAsia="等线"/>
                <w:kern w:val="0"/>
                <w:szCs w:val="21"/>
              </w:rPr>
            </w:pPr>
            <w:r>
              <w:rPr>
                <w:rFonts w:hint="eastAsia" w:eastAsia="等线"/>
                <w:kern w:val="0"/>
                <w:szCs w:val="21"/>
              </w:rPr>
              <w:t>0.550</w:t>
            </w:r>
          </w:p>
        </w:tc>
        <w:tc>
          <w:tcPr>
            <w:tcW w:w="1324" w:type="dxa"/>
            <w:vAlign w:val="center"/>
          </w:tcPr>
          <w:p w14:paraId="7C3858BC">
            <w:pPr>
              <w:widowControl/>
              <w:adjustRightInd w:val="0"/>
              <w:snapToGrid w:val="0"/>
              <w:jc w:val="center"/>
              <w:rPr>
                <w:rFonts w:eastAsia="等线"/>
                <w:kern w:val="0"/>
                <w:szCs w:val="21"/>
              </w:rPr>
            </w:pPr>
            <w:r>
              <w:rPr>
                <w:rFonts w:hint="eastAsia" w:eastAsia="等线"/>
                <w:kern w:val="0"/>
                <w:szCs w:val="21"/>
              </w:rPr>
              <w:t xml:space="preserve">0.130 </w:t>
            </w:r>
          </w:p>
        </w:tc>
      </w:tr>
    </w:tbl>
    <w:p w14:paraId="4EAE77DB">
      <w:pPr>
        <w:pStyle w:val="234"/>
        <w:spacing w:before="120" w:beforeLines="50"/>
      </w:pPr>
      <w:r>
        <w:t>根据上述评价结果</w:t>
      </w:r>
      <w:r>
        <w:rPr>
          <w:rFonts w:hint="eastAsia"/>
        </w:rPr>
        <w:t>，</w:t>
      </w:r>
      <w:r>
        <w:t>本次</w:t>
      </w:r>
      <w:r>
        <w:rPr>
          <w:rFonts w:hint="eastAsia"/>
        </w:rPr>
        <w:t>5</w:t>
      </w:r>
      <w:r>
        <w:t>个监测点位</w:t>
      </w:r>
      <w:r>
        <w:rPr>
          <w:rFonts w:hint="eastAsia"/>
        </w:rPr>
        <w:t>各</w:t>
      </w:r>
      <w:r>
        <w:t>因子均能满足《地下水质量标准》(GB/T14848-2017)III类标准要求</w:t>
      </w:r>
      <w:r>
        <w:rPr>
          <w:rFonts w:hint="eastAsia"/>
        </w:rPr>
        <w:t>，</w:t>
      </w:r>
      <w:r>
        <w:t>石油类</w:t>
      </w:r>
      <w:r>
        <w:rPr>
          <w:rFonts w:hint="eastAsia"/>
        </w:rPr>
        <w:t>满足</w:t>
      </w:r>
      <w:r>
        <w:t>《地表水环境质量标准》(GB3838-2002)Ⅲ类标准要求</w:t>
      </w:r>
      <w:r>
        <w:rPr>
          <w:rFonts w:hint="eastAsia"/>
        </w:rPr>
        <w:t>，</w:t>
      </w:r>
      <w:r>
        <w:t>表明项目所经区域地下水水质</w:t>
      </w:r>
      <w:r>
        <w:rPr>
          <w:rFonts w:hint="eastAsia"/>
        </w:rPr>
        <w:t>良好</w:t>
      </w:r>
      <w:r>
        <w:t>。</w:t>
      </w:r>
    </w:p>
    <w:p w14:paraId="60BAFAEA">
      <w:pPr>
        <w:pStyle w:val="5"/>
        <w:rPr>
          <w:color w:val="auto"/>
        </w:rPr>
      </w:pPr>
      <w:r>
        <w:rPr>
          <w:color w:val="auto"/>
        </w:rPr>
        <w:t xml:space="preserve"> 声环境质量现状</w:t>
      </w:r>
    </w:p>
    <w:p w14:paraId="4A3660EC">
      <w:pPr>
        <w:pStyle w:val="7"/>
        <w:ind w:left="862" w:hanging="862"/>
      </w:pPr>
      <w:r>
        <w:rPr>
          <w:rFonts w:hint="eastAsia"/>
        </w:rPr>
        <w:t>监测点位布设</w:t>
      </w:r>
    </w:p>
    <w:p w14:paraId="0C631680">
      <w:pPr>
        <w:pStyle w:val="234"/>
      </w:pPr>
      <w:r>
        <w:t>根据</w:t>
      </w:r>
      <w:r>
        <w:rPr>
          <w:rFonts w:hint="eastAsia"/>
        </w:rPr>
        <w:t>本工程管线</w:t>
      </w:r>
      <w:r>
        <w:t>周围声环境状况，选择沿线声环境敏感目标进行声环境现状监测。监测布点情况见4.2-1</w:t>
      </w:r>
      <w:r>
        <w:rPr>
          <w:rFonts w:hint="eastAsia"/>
        </w:rPr>
        <w:t>7</w:t>
      </w:r>
      <w:r>
        <w:t>和图4.2-1。</w:t>
      </w:r>
    </w:p>
    <w:p w14:paraId="43274D34">
      <w:pPr>
        <w:pStyle w:val="904"/>
      </w:pPr>
      <w:r>
        <w:t>表4.2-1</w:t>
      </w:r>
      <w:r>
        <w:rPr>
          <w:rFonts w:hint="eastAsia"/>
        </w:rPr>
        <w:t>7</w:t>
      </w:r>
      <w:r>
        <w:t>噪声现状监测点一览表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8"/>
        <w:gridCol w:w="3366"/>
        <w:gridCol w:w="2626"/>
        <w:gridCol w:w="2626"/>
      </w:tblGrid>
      <w:tr w14:paraId="007F9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tcBorders>
              <w:top w:val="single" w:color="auto" w:sz="4" w:space="0"/>
              <w:left w:val="single" w:color="auto" w:sz="4" w:space="0"/>
              <w:bottom w:val="single" w:color="auto" w:sz="4" w:space="0"/>
              <w:right w:val="single" w:color="auto" w:sz="4" w:space="0"/>
            </w:tcBorders>
            <w:vAlign w:val="center"/>
          </w:tcPr>
          <w:p w14:paraId="5C8B11EC">
            <w:pPr>
              <w:pStyle w:val="1343"/>
              <w:rPr>
                <w:kern w:val="2"/>
              </w:rPr>
            </w:pPr>
            <w:r>
              <w:t>编号</w:t>
            </w:r>
          </w:p>
        </w:tc>
        <w:tc>
          <w:tcPr>
            <w:tcW w:w="1755" w:type="pct"/>
            <w:tcBorders>
              <w:top w:val="single" w:color="auto" w:sz="4" w:space="0"/>
              <w:left w:val="single" w:color="auto" w:sz="4" w:space="0"/>
              <w:bottom w:val="single" w:color="auto" w:sz="4" w:space="0"/>
              <w:right w:val="single" w:color="auto" w:sz="4" w:space="0"/>
            </w:tcBorders>
            <w:vAlign w:val="center"/>
          </w:tcPr>
          <w:p w14:paraId="60056AB6">
            <w:pPr>
              <w:pStyle w:val="1343"/>
            </w:pPr>
            <w:r>
              <w:t>监测点位置</w:t>
            </w:r>
          </w:p>
        </w:tc>
        <w:tc>
          <w:tcPr>
            <w:tcW w:w="1369" w:type="pct"/>
            <w:tcBorders>
              <w:top w:val="single" w:color="auto" w:sz="4" w:space="0"/>
              <w:left w:val="single" w:color="auto" w:sz="4" w:space="0"/>
              <w:bottom w:val="single" w:color="auto" w:sz="4" w:space="0"/>
              <w:right w:val="single" w:color="auto" w:sz="4" w:space="0"/>
            </w:tcBorders>
            <w:vAlign w:val="center"/>
          </w:tcPr>
          <w:p w14:paraId="58D0B6E0">
            <w:pPr>
              <w:pStyle w:val="1343"/>
            </w:pPr>
            <w:r>
              <w:t>布设意义</w:t>
            </w:r>
          </w:p>
        </w:tc>
        <w:tc>
          <w:tcPr>
            <w:tcW w:w="1369" w:type="pct"/>
            <w:tcBorders>
              <w:top w:val="single" w:color="auto" w:sz="4" w:space="0"/>
              <w:left w:val="single" w:color="auto" w:sz="4" w:space="0"/>
              <w:bottom w:val="single" w:color="auto" w:sz="4" w:space="0"/>
              <w:right w:val="single" w:color="auto" w:sz="4" w:space="0"/>
            </w:tcBorders>
            <w:vAlign w:val="center"/>
          </w:tcPr>
          <w:p w14:paraId="0D8CF292">
            <w:pPr>
              <w:pStyle w:val="1343"/>
            </w:pPr>
            <w:r>
              <w:t>位置</w:t>
            </w:r>
          </w:p>
        </w:tc>
      </w:tr>
      <w:tr w14:paraId="15CFC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tcBorders>
              <w:top w:val="single" w:color="auto" w:sz="4" w:space="0"/>
              <w:left w:val="single" w:color="auto" w:sz="4" w:space="0"/>
              <w:bottom w:val="single" w:color="auto" w:sz="4" w:space="0"/>
              <w:right w:val="single" w:color="auto" w:sz="4" w:space="0"/>
            </w:tcBorders>
            <w:vAlign w:val="center"/>
          </w:tcPr>
          <w:p w14:paraId="52305589">
            <w:pPr>
              <w:pStyle w:val="1343"/>
            </w:pPr>
            <w:r>
              <w:t>N1</w:t>
            </w:r>
          </w:p>
        </w:tc>
        <w:tc>
          <w:tcPr>
            <w:tcW w:w="1755" w:type="pct"/>
            <w:tcBorders>
              <w:top w:val="single" w:color="auto" w:sz="4" w:space="0"/>
              <w:left w:val="single" w:color="auto" w:sz="4" w:space="0"/>
              <w:bottom w:val="single" w:color="auto" w:sz="4" w:space="0"/>
              <w:right w:val="single" w:color="auto" w:sz="4" w:space="0"/>
            </w:tcBorders>
            <w:vAlign w:val="center"/>
          </w:tcPr>
          <w:p w14:paraId="7B5AB0D8">
            <w:pPr>
              <w:pStyle w:val="1343"/>
            </w:pPr>
            <w:r>
              <w:rPr>
                <w:rFonts w:hint="eastAsia"/>
              </w:rPr>
              <w:t>铜角湾</w:t>
            </w:r>
          </w:p>
        </w:tc>
        <w:tc>
          <w:tcPr>
            <w:tcW w:w="1369" w:type="pct"/>
            <w:tcBorders>
              <w:top w:val="single" w:color="auto" w:sz="4" w:space="0"/>
              <w:left w:val="single" w:color="auto" w:sz="4" w:space="0"/>
              <w:bottom w:val="single" w:color="auto" w:sz="4" w:space="0"/>
              <w:right w:val="single" w:color="auto" w:sz="4" w:space="0"/>
            </w:tcBorders>
            <w:vAlign w:val="center"/>
          </w:tcPr>
          <w:p w14:paraId="619EED20">
            <w:pPr>
              <w:pStyle w:val="1343"/>
              <w:rPr>
                <w:bCs/>
              </w:rPr>
            </w:pPr>
            <w:r>
              <w:rPr>
                <w:rFonts w:hint="eastAsia"/>
              </w:rPr>
              <w:t>新建站场</w:t>
            </w:r>
            <w:r>
              <w:t>最近敏感点</w:t>
            </w:r>
          </w:p>
        </w:tc>
        <w:tc>
          <w:tcPr>
            <w:tcW w:w="1369" w:type="pct"/>
            <w:tcBorders>
              <w:top w:val="single" w:color="auto" w:sz="4" w:space="0"/>
              <w:left w:val="single" w:color="auto" w:sz="4" w:space="0"/>
              <w:bottom w:val="single" w:color="auto" w:sz="4" w:space="0"/>
              <w:right w:val="single" w:color="auto" w:sz="4" w:space="0"/>
            </w:tcBorders>
            <w:vAlign w:val="center"/>
          </w:tcPr>
          <w:p w14:paraId="73C030B9">
            <w:pPr>
              <w:adjustRightInd w:val="0"/>
              <w:snapToGrid w:val="0"/>
              <w:jc w:val="center"/>
              <w:rPr>
                <w:bCs/>
                <w:sz w:val="24"/>
              </w:rPr>
            </w:pPr>
            <w:r>
              <w:rPr>
                <w:rFonts w:hint="eastAsia" w:hAnsi="宋体"/>
                <w:bCs/>
                <w:szCs w:val="21"/>
              </w:rPr>
              <w:t>耒阳分输站东190m</w:t>
            </w:r>
          </w:p>
        </w:tc>
      </w:tr>
      <w:tr w14:paraId="3F9A7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tcBorders>
              <w:top w:val="single" w:color="auto" w:sz="4" w:space="0"/>
              <w:left w:val="single" w:color="auto" w:sz="4" w:space="0"/>
              <w:bottom w:val="single" w:color="auto" w:sz="4" w:space="0"/>
              <w:right w:val="single" w:color="auto" w:sz="4" w:space="0"/>
            </w:tcBorders>
            <w:vAlign w:val="center"/>
          </w:tcPr>
          <w:p w14:paraId="27E3A5B8">
            <w:pPr>
              <w:pStyle w:val="1343"/>
            </w:pPr>
            <w:r>
              <w:t>N2</w:t>
            </w:r>
          </w:p>
        </w:tc>
        <w:tc>
          <w:tcPr>
            <w:tcW w:w="1755" w:type="pct"/>
            <w:tcBorders>
              <w:top w:val="single" w:color="auto" w:sz="4" w:space="0"/>
              <w:left w:val="single" w:color="auto" w:sz="4" w:space="0"/>
              <w:bottom w:val="single" w:color="auto" w:sz="4" w:space="0"/>
              <w:right w:val="single" w:color="auto" w:sz="4" w:space="0"/>
            </w:tcBorders>
            <w:vAlign w:val="center"/>
          </w:tcPr>
          <w:p w14:paraId="29B292B1">
            <w:pPr>
              <w:pStyle w:val="1343"/>
            </w:pPr>
            <w:r>
              <w:rPr>
                <w:rFonts w:hint="eastAsia"/>
                <w:bCs/>
              </w:rPr>
              <w:t>蒋家冲</w:t>
            </w:r>
          </w:p>
        </w:tc>
        <w:tc>
          <w:tcPr>
            <w:tcW w:w="1369" w:type="pct"/>
            <w:tcBorders>
              <w:top w:val="single" w:color="auto" w:sz="4" w:space="0"/>
              <w:left w:val="single" w:color="auto" w:sz="4" w:space="0"/>
              <w:bottom w:val="single" w:color="auto" w:sz="4" w:space="0"/>
              <w:right w:val="single" w:color="auto" w:sz="4" w:space="0"/>
            </w:tcBorders>
            <w:vAlign w:val="center"/>
          </w:tcPr>
          <w:p w14:paraId="4AB9998A">
            <w:pPr>
              <w:pStyle w:val="1343"/>
              <w:rPr>
                <w:bCs/>
              </w:rPr>
            </w:pPr>
            <w:r>
              <w:t>沿线最近敏感点</w:t>
            </w:r>
          </w:p>
        </w:tc>
        <w:tc>
          <w:tcPr>
            <w:tcW w:w="1369" w:type="pct"/>
            <w:tcBorders>
              <w:top w:val="single" w:color="auto" w:sz="4" w:space="0"/>
              <w:left w:val="single" w:color="auto" w:sz="4" w:space="0"/>
              <w:bottom w:val="single" w:color="auto" w:sz="4" w:space="0"/>
              <w:right w:val="single" w:color="auto" w:sz="4" w:space="0"/>
            </w:tcBorders>
            <w:vAlign w:val="center"/>
          </w:tcPr>
          <w:p w14:paraId="192BF124">
            <w:pPr>
              <w:adjustRightInd w:val="0"/>
              <w:snapToGrid w:val="0"/>
              <w:jc w:val="center"/>
            </w:pPr>
            <w:r>
              <w:rPr>
                <w:rFonts w:hint="eastAsia" w:hAnsi="宋体"/>
                <w:bCs/>
                <w:szCs w:val="21"/>
              </w:rPr>
              <w:t>管线西侧40m</w:t>
            </w:r>
          </w:p>
        </w:tc>
      </w:tr>
      <w:tr w14:paraId="77626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5" w:type="pct"/>
            <w:tcBorders>
              <w:top w:val="single" w:color="auto" w:sz="4" w:space="0"/>
              <w:left w:val="single" w:color="auto" w:sz="4" w:space="0"/>
              <w:bottom w:val="single" w:color="auto" w:sz="4" w:space="0"/>
              <w:right w:val="single" w:color="auto" w:sz="4" w:space="0"/>
            </w:tcBorders>
            <w:vAlign w:val="center"/>
          </w:tcPr>
          <w:p w14:paraId="4CA681AD">
            <w:pPr>
              <w:pStyle w:val="1343"/>
            </w:pPr>
            <w:r>
              <w:t>N3</w:t>
            </w:r>
          </w:p>
        </w:tc>
        <w:tc>
          <w:tcPr>
            <w:tcW w:w="1755" w:type="pct"/>
            <w:tcBorders>
              <w:top w:val="single" w:color="auto" w:sz="4" w:space="0"/>
              <w:left w:val="single" w:color="auto" w:sz="4" w:space="0"/>
              <w:bottom w:val="single" w:color="auto" w:sz="4" w:space="0"/>
              <w:right w:val="single" w:color="auto" w:sz="4" w:space="0"/>
            </w:tcBorders>
            <w:vAlign w:val="center"/>
          </w:tcPr>
          <w:p w14:paraId="41804026">
            <w:pPr>
              <w:pStyle w:val="1343"/>
            </w:pPr>
            <w:r>
              <w:rPr>
                <w:rFonts w:hint="eastAsia"/>
                <w:bCs/>
              </w:rPr>
              <w:t>蒋家冲（近G356处）</w:t>
            </w:r>
          </w:p>
        </w:tc>
        <w:tc>
          <w:tcPr>
            <w:tcW w:w="1369" w:type="pct"/>
            <w:tcBorders>
              <w:top w:val="single" w:color="auto" w:sz="4" w:space="0"/>
              <w:left w:val="single" w:color="auto" w:sz="4" w:space="0"/>
              <w:bottom w:val="single" w:color="auto" w:sz="4" w:space="0"/>
              <w:right w:val="single" w:color="auto" w:sz="4" w:space="0"/>
            </w:tcBorders>
            <w:vAlign w:val="center"/>
          </w:tcPr>
          <w:p w14:paraId="7C3569C7">
            <w:pPr>
              <w:pStyle w:val="1343"/>
              <w:rPr>
                <w:bCs/>
              </w:rPr>
            </w:pPr>
            <w:r>
              <w:rPr>
                <w:rFonts w:hint="eastAsia"/>
              </w:rPr>
              <w:t>受交通影响敏感目标</w:t>
            </w:r>
          </w:p>
        </w:tc>
        <w:tc>
          <w:tcPr>
            <w:tcW w:w="1369" w:type="pct"/>
            <w:tcBorders>
              <w:top w:val="single" w:color="auto" w:sz="4" w:space="0"/>
              <w:left w:val="single" w:color="auto" w:sz="4" w:space="0"/>
              <w:bottom w:val="single" w:color="auto" w:sz="4" w:space="0"/>
              <w:right w:val="single" w:color="auto" w:sz="4" w:space="0"/>
            </w:tcBorders>
            <w:vAlign w:val="center"/>
          </w:tcPr>
          <w:p w14:paraId="2942CCDA">
            <w:pPr>
              <w:adjustRightInd w:val="0"/>
              <w:snapToGrid w:val="0"/>
              <w:jc w:val="center"/>
            </w:pPr>
            <w:r>
              <w:rPr>
                <w:rFonts w:hint="eastAsia" w:hAnsi="宋体"/>
                <w:bCs/>
                <w:szCs w:val="21"/>
              </w:rPr>
              <w:t>管线东侧75m</w:t>
            </w:r>
          </w:p>
        </w:tc>
      </w:tr>
    </w:tbl>
    <w:p w14:paraId="24FDBE85">
      <w:pPr>
        <w:pStyle w:val="7"/>
        <w:spacing w:before="120" w:beforeLines="50"/>
        <w:ind w:left="862" w:hanging="862"/>
      </w:pPr>
      <w:r>
        <w:t>监测时间与频率</w:t>
      </w:r>
    </w:p>
    <w:p w14:paraId="5B387E32">
      <w:pPr>
        <w:pStyle w:val="234"/>
      </w:pPr>
      <w:r>
        <w:rPr>
          <w:bCs/>
        </w:rPr>
        <w:t>于</w:t>
      </w:r>
      <w:r>
        <w:t>202</w:t>
      </w:r>
      <w:r>
        <w:rPr>
          <w:rFonts w:hint="eastAsia"/>
        </w:rPr>
        <w:t>3</w:t>
      </w:r>
      <w:r>
        <w:t>年</w:t>
      </w:r>
      <w:r>
        <w:rPr>
          <w:rFonts w:hint="eastAsia"/>
        </w:rPr>
        <w:t>8</w:t>
      </w:r>
      <w:r>
        <w:t>月</w:t>
      </w:r>
      <w:r>
        <w:rPr>
          <w:rFonts w:hint="eastAsia"/>
        </w:rPr>
        <w:t>11</w:t>
      </w:r>
      <w:r>
        <w:t>日~</w:t>
      </w:r>
      <w:r>
        <w:rPr>
          <w:rFonts w:hint="eastAsia"/>
        </w:rPr>
        <w:t>8</w:t>
      </w:r>
      <w:r>
        <w:t>月</w:t>
      </w:r>
      <w:r>
        <w:rPr>
          <w:rFonts w:hint="eastAsia"/>
        </w:rPr>
        <w:t>12</w:t>
      </w:r>
      <w:r>
        <w:t>日进行监测</w:t>
      </w:r>
      <w:r>
        <w:rPr>
          <w:rFonts w:hint="eastAsia"/>
        </w:rPr>
        <w:t>，</w:t>
      </w:r>
      <w:r>
        <w:t>连续监测两天，每天昼间、夜间各一次。</w:t>
      </w:r>
    </w:p>
    <w:p w14:paraId="005E227D">
      <w:pPr>
        <w:pStyle w:val="7"/>
        <w:ind w:left="862" w:hanging="862"/>
      </w:pPr>
      <w:r>
        <w:t>监测方法及条件</w:t>
      </w:r>
    </w:p>
    <w:p w14:paraId="0FEFB483">
      <w:pPr>
        <w:pStyle w:val="234"/>
      </w:pPr>
      <w:r>
        <w:t>监测方法执行《声环境质量标准》(GB3096-2008)中的有关规定，测量期间无雨雪、无雷电天气，风速5m/s以下时进行，监测等效连续A声级作为噪声代表值。</w:t>
      </w:r>
    </w:p>
    <w:p w14:paraId="67EF90A0">
      <w:pPr>
        <w:pStyle w:val="7"/>
        <w:ind w:left="862" w:hanging="862"/>
      </w:pPr>
      <w:r>
        <w:t>监测及评价结果</w:t>
      </w:r>
    </w:p>
    <w:p w14:paraId="526A1BDF">
      <w:pPr>
        <w:pStyle w:val="234"/>
      </w:pPr>
      <w:r>
        <w:t>本次声环境监测结果见4.2-1</w:t>
      </w:r>
      <w:r>
        <w:rPr>
          <w:rFonts w:hint="eastAsia" w:eastAsia="黑体"/>
          <w:snapToGrid w:val="0"/>
          <w:kern w:val="0"/>
        </w:rPr>
        <w:t>8</w:t>
      </w:r>
      <w:r>
        <w:t>，声环境现状评价结果见4.2-</w:t>
      </w:r>
      <w:r>
        <w:rPr>
          <w:rFonts w:hint="eastAsia"/>
        </w:rPr>
        <w:t>19</w:t>
      </w:r>
      <w:r>
        <w:t>。</w:t>
      </w:r>
    </w:p>
    <w:p w14:paraId="4056116E">
      <w:pPr>
        <w:pStyle w:val="904"/>
      </w:pPr>
      <w:bookmarkStart w:id="179" w:name="_Ref77018176"/>
      <w:r>
        <w:t>表4.2-1</w:t>
      </w:r>
      <w:r>
        <w:rPr>
          <w:rFonts w:hint="eastAsia"/>
        </w:rPr>
        <w:t>8</w:t>
      </w:r>
      <w:r>
        <w:t>声环境现状监测结果一览表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2"/>
        <w:gridCol w:w="1321"/>
        <w:gridCol w:w="706"/>
        <w:gridCol w:w="1323"/>
        <w:gridCol w:w="721"/>
        <w:gridCol w:w="1287"/>
        <w:gridCol w:w="746"/>
        <w:gridCol w:w="1329"/>
        <w:gridCol w:w="761"/>
      </w:tblGrid>
      <w:tr w14:paraId="3EAF5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vMerge w:val="restart"/>
            <w:noWrap/>
            <w:vAlign w:val="center"/>
          </w:tcPr>
          <w:p w14:paraId="7EB3082B">
            <w:pPr>
              <w:pStyle w:val="1343"/>
            </w:pPr>
            <w:r>
              <w:t>监测点位</w:t>
            </w:r>
          </w:p>
        </w:tc>
        <w:tc>
          <w:tcPr>
            <w:tcW w:w="4273" w:type="pct"/>
            <w:gridSpan w:val="8"/>
            <w:vAlign w:val="center"/>
          </w:tcPr>
          <w:p w14:paraId="2647DFF3">
            <w:pPr>
              <w:pStyle w:val="1343"/>
            </w:pPr>
            <w:r>
              <w:t>监测结果(</w:t>
            </w:r>
            <w:r>
              <w:rPr>
                <w:rFonts w:eastAsia="Times New Roman"/>
                <w:spacing w:val="-1"/>
              </w:rPr>
              <w:t>dB(A)</w:t>
            </w:r>
            <w:r>
              <w:rPr>
                <w:spacing w:val="-1"/>
              </w:rPr>
              <w:t>)</w:t>
            </w:r>
          </w:p>
        </w:tc>
      </w:tr>
      <w:tr w14:paraId="30296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vMerge w:val="continue"/>
            <w:noWrap/>
            <w:vAlign w:val="center"/>
          </w:tcPr>
          <w:p w14:paraId="2073D2E7">
            <w:pPr>
              <w:pStyle w:val="1343"/>
            </w:pPr>
          </w:p>
        </w:tc>
        <w:tc>
          <w:tcPr>
            <w:tcW w:w="2123" w:type="pct"/>
            <w:gridSpan w:val="4"/>
            <w:vAlign w:val="center"/>
          </w:tcPr>
          <w:p w14:paraId="68D32ADA">
            <w:pPr>
              <w:pStyle w:val="1343"/>
            </w:pPr>
            <w:r>
              <w:rPr>
                <w:rFonts w:hint="eastAsia"/>
              </w:rPr>
              <w:t>8月11日</w:t>
            </w:r>
          </w:p>
        </w:tc>
        <w:tc>
          <w:tcPr>
            <w:tcW w:w="2150" w:type="pct"/>
            <w:gridSpan w:val="4"/>
            <w:vAlign w:val="center"/>
          </w:tcPr>
          <w:p w14:paraId="305251E3">
            <w:pPr>
              <w:pStyle w:val="1343"/>
            </w:pPr>
            <w:r>
              <w:rPr>
                <w:rFonts w:hint="eastAsia"/>
              </w:rPr>
              <w:t>8月12日</w:t>
            </w:r>
          </w:p>
        </w:tc>
      </w:tr>
      <w:tr w14:paraId="58BA5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vMerge w:val="continue"/>
            <w:noWrap/>
            <w:vAlign w:val="center"/>
          </w:tcPr>
          <w:p w14:paraId="54C1F66D">
            <w:pPr>
              <w:pStyle w:val="1343"/>
            </w:pPr>
          </w:p>
        </w:tc>
        <w:tc>
          <w:tcPr>
            <w:tcW w:w="689" w:type="pct"/>
            <w:vAlign w:val="center"/>
          </w:tcPr>
          <w:p w14:paraId="43006167">
            <w:pPr>
              <w:pStyle w:val="1343"/>
            </w:pPr>
            <w:r>
              <w:t>采样时间</w:t>
            </w:r>
          </w:p>
        </w:tc>
        <w:tc>
          <w:tcPr>
            <w:tcW w:w="368" w:type="pct"/>
            <w:vAlign w:val="center"/>
          </w:tcPr>
          <w:p w14:paraId="44A94EDD">
            <w:pPr>
              <w:pStyle w:val="1343"/>
            </w:pPr>
            <w:r>
              <w:t>昼间</w:t>
            </w:r>
          </w:p>
        </w:tc>
        <w:tc>
          <w:tcPr>
            <w:tcW w:w="690" w:type="pct"/>
            <w:vAlign w:val="center"/>
          </w:tcPr>
          <w:p w14:paraId="2E541D26">
            <w:pPr>
              <w:pStyle w:val="1343"/>
            </w:pPr>
            <w:r>
              <w:t>采样时间</w:t>
            </w:r>
          </w:p>
        </w:tc>
        <w:tc>
          <w:tcPr>
            <w:tcW w:w="376" w:type="pct"/>
            <w:vAlign w:val="center"/>
          </w:tcPr>
          <w:p w14:paraId="1B42515F">
            <w:pPr>
              <w:pStyle w:val="1343"/>
            </w:pPr>
            <w:r>
              <w:t>夜间</w:t>
            </w:r>
          </w:p>
        </w:tc>
        <w:tc>
          <w:tcPr>
            <w:tcW w:w="671" w:type="pct"/>
            <w:vAlign w:val="center"/>
          </w:tcPr>
          <w:p w14:paraId="2C0392A8">
            <w:pPr>
              <w:pStyle w:val="1343"/>
            </w:pPr>
            <w:r>
              <w:t>采样时间</w:t>
            </w:r>
          </w:p>
        </w:tc>
        <w:tc>
          <w:tcPr>
            <w:tcW w:w="389" w:type="pct"/>
            <w:vAlign w:val="center"/>
          </w:tcPr>
          <w:p w14:paraId="6AFF0CDD">
            <w:pPr>
              <w:pStyle w:val="1343"/>
            </w:pPr>
            <w:r>
              <w:t>昼间</w:t>
            </w:r>
          </w:p>
        </w:tc>
        <w:tc>
          <w:tcPr>
            <w:tcW w:w="693" w:type="pct"/>
            <w:vAlign w:val="center"/>
          </w:tcPr>
          <w:p w14:paraId="32F29E74">
            <w:pPr>
              <w:pStyle w:val="1343"/>
            </w:pPr>
            <w:r>
              <w:t>采样时间</w:t>
            </w:r>
          </w:p>
        </w:tc>
        <w:tc>
          <w:tcPr>
            <w:tcW w:w="396" w:type="pct"/>
            <w:vAlign w:val="center"/>
          </w:tcPr>
          <w:p w14:paraId="1260E8B2">
            <w:pPr>
              <w:pStyle w:val="1343"/>
            </w:pPr>
            <w:r>
              <w:t>夜间</w:t>
            </w:r>
          </w:p>
        </w:tc>
      </w:tr>
      <w:tr w14:paraId="55451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vAlign w:val="center"/>
          </w:tcPr>
          <w:p w14:paraId="7951260D">
            <w:pPr>
              <w:pStyle w:val="1343"/>
            </w:pPr>
            <w:r>
              <w:rPr>
                <w:bCs/>
              </w:rPr>
              <w:t>N1</w:t>
            </w:r>
            <w:r>
              <w:rPr>
                <w:rFonts w:hint="eastAsia"/>
                <w:bCs/>
              </w:rPr>
              <w:t>铜角湾</w:t>
            </w:r>
          </w:p>
        </w:tc>
        <w:tc>
          <w:tcPr>
            <w:tcW w:w="689" w:type="pct"/>
            <w:vAlign w:val="center"/>
          </w:tcPr>
          <w:p w14:paraId="1BCB6D2E">
            <w:pPr>
              <w:pStyle w:val="1343"/>
            </w:pPr>
            <w:r>
              <w:t>1</w:t>
            </w:r>
            <w:r>
              <w:rPr>
                <w:rFonts w:hint="eastAsia"/>
              </w:rPr>
              <w:t>1</w:t>
            </w:r>
            <w:r>
              <w:t>:</w:t>
            </w:r>
            <w:r>
              <w:rPr>
                <w:rFonts w:hint="eastAsia"/>
              </w:rPr>
              <w:t>54-12:14</w:t>
            </w:r>
          </w:p>
        </w:tc>
        <w:tc>
          <w:tcPr>
            <w:tcW w:w="368" w:type="pct"/>
            <w:vAlign w:val="center"/>
          </w:tcPr>
          <w:p w14:paraId="610D3D59">
            <w:pPr>
              <w:pStyle w:val="1343"/>
            </w:pPr>
            <w:r>
              <w:rPr>
                <w:rFonts w:hint="eastAsia"/>
              </w:rPr>
              <w:t>47</w:t>
            </w:r>
          </w:p>
        </w:tc>
        <w:tc>
          <w:tcPr>
            <w:tcW w:w="690" w:type="pct"/>
            <w:vAlign w:val="center"/>
          </w:tcPr>
          <w:p w14:paraId="4F37AE4F">
            <w:pPr>
              <w:pStyle w:val="1343"/>
            </w:pPr>
            <w:r>
              <w:rPr>
                <w:rFonts w:hint="eastAsia"/>
              </w:rPr>
              <w:t>22:41-23:01</w:t>
            </w:r>
          </w:p>
        </w:tc>
        <w:tc>
          <w:tcPr>
            <w:tcW w:w="376" w:type="pct"/>
            <w:vAlign w:val="center"/>
          </w:tcPr>
          <w:p w14:paraId="4A332CF8">
            <w:pPr>
              <w:pStyle w:val="1343"/>
            </w:pPr>
            <w:r>
              <w:rPr>
                <w:rFonts w:hint="eastAsia"/>
              </w:rPr>
              <w:t>44</w:t>
            </w:r>
          </w:p>
        </w:tc>
        <w:tc>
          <w:tcPr>
            <w:tcW w:w="671" w:type="pct"/>
            <w:vAlign w:val="center"/>
          </w:tcPr>
          <w:p w14:paraId="1C55ACFA">
            <w:pPr>
              <w:pStyle w:val="1343"/>
            </w:pPr>
            <w:r>
              <w:rPr>
                <w:rFonts w:hint="eastAsia"/>
              </w:rPr>
              <w:t>10:42-11:02</w:t>
            </w:r>
          </w:p>
        </w:tc>
        <w:tc>
          <w:tcPr>
            <w:tcW w:w="389" w:type="pct"/>
            <w:vAlign w:val="center"/>
          </w:tcPr>
          <w:p w14:paraId="214943F6">
            <w:pPr>
              <w:pStyle w:val="1343"/>
            </w:pPr>
            <w:r>
              <w:rPr>
                <w:rFonts w:hint="eastAsia"/>
              </w:rPr>
              <w:t>46</w:t>
            </w:r>
          </w:p>
        </w:tc>
        <w:tc>
          <w:tcPr>
            <w:tcW w:w="693" w:type="pct"/>
            <w:vAlign w:val="center"/>
          </w:tcPr>
          <w:p w14:paraId="2312D92C">
            <w:pPr>
              <w:pStyle w:val="1343"/>
            </w:pPr>
            <w:r>
              <w:rPr>
                <w:rFonts w:hint="eastAsia"/>
              </w:rPr>
              <w:t>22:44-23:04</w:t>
            </w:r>
          </w:p>
        </w:tc>
        <w:tc>
          <w:tcPr>
            <w:tcW w:w="396" w:type="pct"/>
            <w:vAlign w:val="center"/>
          </w:tcPr>
          <w:p w14:paraId="5ED99A9F">
            <w:pPr>
              <w:pStyle w:val="1343"/>
            </w:pPr>
            <w:r>
              <w:rPr>
                <w:rFonts w:hint="eastAsia"/>
              </w:rPr>
              <w:t>43</w:t>
            </w:r>
          </w:p>
        </w:tc>
      </w:tr>
      <w:tr w14:paraId="57C4F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vAlign w:val="center"/>
          </w:tcPr>
          <w:p w14:paraId="73709272">
            <w:pPr>
              <w:pStyle w:val="1343"/>
            </w:pPr>
            <w:r>
              <w:rPr>
                <w:bCs/>
              </w:rPr>
              <w:t>N2</w:t>
            </w:r>
            <w:r>
              <w:rPr>
                <w:rFonts w:hint="eastAsia"/>
                <w:bCs/>
              </w:rPr>
              <w:t>蒋家冲</w:t>
            </w:r>
          </w:p>
        </w:tc>
        <w:tc>
          <w:tcPr>
            <w:tcW w:w="689" w:type="pct"/>
            <w:vAlign w:val="center"/>
          </w:tcPr>
          <w:p w14:paraId="2EE0D9DC">
            <w:pPr>
              <w:pStyle w:val="1343"/>
            </w:pPr>
            <w:r>
              <w:rPr>
                <w:rFonts w:hint="eastAsia"/>
              </w:rPr>
              <w:t>12:32-12:52</w:t>
            </w:r>
          </w:p>
        </w:tc>
        <w:tc>
          <w:tcPr>
            <w:tcW w:w="368" w:type="pct"/>
            <w:vAlign w:val="center"/>
          </w:tcPr>
          <w:p w14:paraId="7B2E6DF6">
            <w:pPr>
              <w:pStyle w:val="1343"/>
            </w:pPr>
            <w:r>
              <w:rPr>
                <w:rFonts w:hint="eastAsia"/>
              </w:rPr>
              <w:t>47</w:t>
            </w:r>
          </w:p>
        </w:tc>
        <w:tc>
          <w:tcPr>
            <w:tcW w:w="690" w:type="pct"/>
            <w:vAlign w:val="center"/>
          </w:tcPr>
          <w:p w14:paraId="72B3604D">
            <w:pPr>
              <w:pStyle w:val="1343"/>
            </w:pPr>
            <w:r>
              <w:rPr>
                <w:rFonts w:hint="eastAsia"/>
              </w:rPr>
              <w:t>23:20-23:40</w:t>
            </w:r>
          </w:p>
        </w:tc>
        <w:tc>
          <w:tcPr>
            <w:tcW w:w="376" w:type="pct"/>
            <w:vAlign w:val="center"/>
          </w:tcPr>
          <w:p w14:paraId="21194595">
            <w:pPr>
              <w:pStyle w:val="1343"/>
            </w:pPr>
            <w:r>
              <w:rPr>
                <w:rFonts w:hint="eastAsia"/>
              </w:rPr>
              <w:t>43</w:t>
            </w:r>
          </w:p>
        </w:tc>
        <w:tc>
          <w:tcPr>
            <w:tcW w:w="671" w:type="pct"/>
            <w:vAlign w:val="center"/>
          </w:tcPr>
          <w:p w14:paraId="598599B8">
            <w:pPr>
              <w:pStyle w:val="1343"/>
            </w:pPr>
            <w:r>
              <w:rPr>
                <w:rFonts w:hint="eastAsia"/>
              </w:rPr>
              <w:t>11:28-11:48</w:t>
            </w:r>
          </w:p>
        </w:tc>
        <w:tc>
          <w:tcPr>
            <w:tcW w:w="389" w:type="pct"/>
            <w:vAlign w:val="center"/>
          </w:tcPr>
          <w:p w14:paraId="4E45BC4C">
            <w:pPr>
              <w:pStyle w:val="1343"/>
            </w:pPr>
            <w:r>
              <w:rPr>
                <w:rFonts w:hint="eastAsia"/>
              </w:rPr>
              <w:t>47</w:t>
            </w:r>
          </w:p>
        </w:tc>
        <w:tc>
          <w:tcPr>
            <w:tcW w:w="693" w:type="pct"/>
            <w:vAlign w:val="center"/>
          </w:tcPr>
          <w:p w14:paraId="6C4B964F">
            <w:pPr>
              <w:pStyle w:val="1343"/>
            </w:pPr>
            <w:r>
              <w:rPr>
                <w:rFonts w:hint="eastAsia"/>
              </w:rPr>
              <w:t>23:8-23:39</w:t>
            </w:r>
          </w:p>
        </w:tc>
        <w:tc>
          <w:tcPr>
            <w:tcW w:w="396" w:type="pct"/>
            <w:vAlign w:val="center"/>
          </w:tcPr>
          <w:p w14:paraId="456A473F">
            <w:pPr>
              <w:pStyle w:val="1343"/>
            </w:pPr>
            <w:r>
              <w:rPr>
                <w:rFonts w:hint="eastAsia"/>
              </w:rPr>
              <w:t>44</w:t>
            </w:r>
          </w:p>
        </w:tc>
      </w:tr>
      <w:tr w14:paraId="216E6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vAlign w:val="center"/>
          </w:tcPr>
          <w:p w14:paraId="360586D7">
            <w:pPr>
              <w:pStyle w:val="1343"/>
              <w:rPr>
                <w:bCs/>
              </w:rPr>
            </w:pPr>
            <w:r>
              <w:rPr>
                <w:rFonts w:hint="eastAsia"/>
                <w:bCs/>
              </w:rPr>
              <w:t>标准值</w:t>
            </w:r>
          </w:p>
        </w:tc>
        <w:tc>
          <w:tcPr>
            <w:tcW w:w="1057" w:type="pct"/>
            <w:gridSpan w:val="2"/>
            <w:vAlign w:val="center"/>
          </w:tcPr>
          <w:p w14:paraId="7B5F832C">
            <w:pPr>
              <w:pStyle w:val="1343"/>
              <w:rPr>
                <w:i/>
                <w:iCs/>
                <w:color w:val="auto"/>
                <w:u w:val="single"/>
              </w:rPr>
            </w:pPr>
            <w:r>
              <w:rPr>
                <w:rFonts w:hint="eastAsia"/>
                <w:i/>
                <w:iCs/>
                <w:color w:val="auto"/>
                <w:u w:val="single"/>
              </w:rPr>
              <w:t>60</w:t>
            </w:r>
          </w:p>
        </w:tc>
        <w:tc>
          <w:tcPr>
            <w:tcW w:w="1066" w:type="pct"/>
            <w:gridSpan w:val="2"/>
            <w:vAlign w:val="center"/>
          </w:tcPr>
          <w:p w14:paraId="12C4D62B">
            <w:pPr>
              <w:pStyle w:val="1343"/>
              <w:rPr>
                <w:i/>
                <w:iCs/>
                <w:color w:val="auto"/>
                <w:u w:val="single"/>
              </w:rPr>
            </w:pPr>
            <w:r>
              <w:rPr>
                <w:rFonts w:hint="eastAsia"/>
                <w:i/>
                <w:iCs/>
                <w:color w:val="auto"/>
                <w:u w:val="single"/>
              </w:rPr>
              <w:t>50</w:t>
            </w:r>
          </w:p>
        </w:tc>
        <w:tc>
          <w:tcPr>
            <w:tcW w:w="1060" w:type="pct"/>
            <w:gridSpan w:val="2"/>
            <w:vAlign w:val="center"/>
          </w:tcPr>
          <w:p w14:paraId="6A6924F0">
            <w:pPr>
              <w:pStyle w:val="1343"/>
              <w:rPr>
                <w:i/>
                <w:iCs/>
                <w:color w:val="auto"/>
                <w:u w:val="single"/>
              </w:rPr>
            </w:pPr>
            <w:r>
              <w:rPr>
                <w:rFonts w:hint="eastAsia"/>
                <w:i/>
                <w:iCs/>
                <w:color w:val="auto"/>
                <w:u w:val="single"/>
              </w:rPr>
              <w:t>60</w:t>
            </w:r>
          </w:p>
        </w:tc>
        <w:tc>
          <w:tcPr>
            <w:tcW w:w="1089" w:type="pct"/>
            <w:gridSpan w:val="2"/>
            <w:vAlign w:val="center"/>
          </w:tcPr>
          <w:p w14:paraId="19523AA6">
            <w:pPr>
              <w:pStyle w:val="1343"/>
              <w:rPr>
                <w:i/>
                <w:iCs/>
                <w:color w:val="auto"/>
                <w:u w:val="single"/>
              </w:rPr>
            </w:pPr>
            <w:r>
              <w:rPr>
                <w:rFonts w:hint="eastAsia"/>
                <w:i/>
                <w:iCs/>
                <w:color w:val="auto"/>
                <w:u w:val="single"/>
              </w:rPr>
              <w:t>50</w:t>
            </w:r>
          </w:p>
        </w:tc>
      </w:tr>
      <w:tr w14:paraId="43AD8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vAlign w:val="center"/>
          </w:tcPr>
          <w:p w14:paraId="338BDF3C">
            <w:pPr>
              <w:pStyle w:val="1343"/>
              <w:rPr>
                <w:bCs/>
              </w:rPr>
            </w:pPr>
            <w:r>
              <w:rPr>
                <w:bCs/>
              </w:rPr>
              <w:t>N3</w:t>
            </w:r>
            <w:r>
              <w:rPr>
                <w:rFonts w:hint="eastAsia"/>
                <w:bCs/>
              </w:rPr>
              <w:t>蒋家冲</w:t>
            </w:r>
          </w:p>
          <w:p w14:paraId="1113ED43">
            <w:pPr>
              <w:pStyle w:val="1343"/>
            </w:pPr>
            <w:r>
              <w:rPr>
                <w:rFonts w:hint="eastAsia"/>
                <w:bCs/>
              </w:rPr>
              <w:t>(近G356处)</w:t>
            </w:r>
          </w:p>
        </w:tc>
        <w:tc>
          <w:tcPr>
            <w:tcW w:w="689" w:type="pct"/>
            <w:vAlign w:val="center"/>
          </w:tcPr>
          <w:p w14:paraId="4809C914">
            <w:pPr>
              <w:pStyle w:val="1343"/>
            </w:pPr>
            <w:r>
              <w:t>12:</w:t>
            </w:r>
            <w:r>
              <w:rPr>
                <w:rFonts w:hint="eastAsia"/>
              </w:rPr>
              <w:t>58-13:18</w:t>
            </w:r>
          </w:p>
        </w:tc>
        <w:tc>
          <w:tcPr>
            <w:tcW w:w="368" w:type="pct"/>
            <w:vAlign w:val="center"/>
          </w:tcPr>
          <w:p w14:paraId="24F0EFEC">
            <w:pPr>
              <w:pStyle w:val="1343"/>
            </w:pPr>
            <w:r>
              <w:rPr>
                <w:rFonts w:hint="eastAsia"/>
              </w:rPr>
              <w:t>46</w:t>
            </w:r>
          </w:p>
        </w:tc>
        <w:tc>
          <w:tcPr>
            <w:tcW w:w="690" w:type="pct"/>
            <w:vAlign w:val="center"/>
          </w:tcPr>
          <w:p w14:paraId="7C9099C5">
            <w:pPr>
              <w:pStyle w:val="1343"/>
            </w:pPr>
            <w:r>
              <w:rPr>
                <w:rFonts w:hint="eastAsia"/>
              </w:rPr>
              <w:t>23:49-00:19</w:t>
            </w:r>
          </w:p>
        </w:tc>
        <w:tc>
          <w:tcPr>
            <w:tcW w:w="376" w:type="pct"/>
            <w:vAlign w:val="center"/>
          </w:tcPr>
          <w:p w14:paraId="4786B7D3">
            <w:pPr>
              <w:pStyle w:val="1343"/>
            </w:pPr>
            <w:r>
              <w:rPr>
                <w:rFonts w:hint="eastAsia"/>
              </w:rPr>
              <w:t>44</w:t>
            </w:r>
          </w:p>
        </w:tc>
        <w:tc>
          <w:tcPr>
            <w:tcW w:w="671" w:type="pct"/>
            <w:vAlign w:val="center"/>
          </w:tcPr>
          <w:p w14:paraId="36FC19A1">
            <w:pPr>
              <w:pStyle w:val="1343"/>
            </w:pPr>
            <w:r>
              <w:rPr>
                <w:rFonts w:hint="eastAsia"/>
              </w:rPr>
              <w:t>11:53-12:13</w:t>
            </w:r>
          </w:p>
        </w:tc>
        <w:tc>
          <w:tcPr>
            <w:tcW w:w="389" w:type="pct"/>
            <w:vAlign w:val="center"/>
          </w:tcPr>
          <w:p w14:paraId="38F3358C">
            <w:pPr>
              <w:pStyle w:val="1343"/>
            </w:pPr>
            <w:r>
              <w:rPr>
                <w:rFonts w:hint="eastAsia"/>
              </w:rPr>
              <w:t>46</w:t>
            </w:r>
          </w:p>
        </w:tc>
        <w:tc>
          <w:tcPr>
            <w:tcW w:w="693" w:type="pct"/>
            <w:vAlign w:val="center"/>
          </w:tcPr>
          <w:p w14:paraId="5E4B172F">
            <w:pPr>
              <w:pStyle w:val="1343"/>
            </w:pPr>
            <w:r>
              <w:rPr>
                <w:rFonts w:hint="eastAsia"/>
              </w:rPr>
              <w:t>23:43-00:03</w:t>
            </w:r>
          </w:p>
        </w:tc>
        <w:tc>
          <w:tcPr>
            <w:tcW w:w="396" w:type="pct"/>
            <w:vAlign w:val="center"/>
          </w:tcPr>
          <w:p w14:paraId="5C86AA23">
            <w:pPr>
              <w:pStyle w:val="1343"/>
            </w:pPr>
            <w:r>
              <w:rPr>
                <w:rFonts w:hint="eastAsia"/>
              </w:rPr>
              <w:t>44</w:t>
            </w:r>
          </w:p>
        </w:tc>
      </w:tr>
      <w:tr w14:paraId="30EE0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vAlign w:val="center"/>
          </w:tcPr>
          <w:p w14:paraId="107CA20B">
            <w:pPr>
              <w:pStyle w:val="1343"/>
            </w:pPr>
            <w:r>
              <w:t>标准值</w:t>
            </w:r>
          </w:p>
        </w:tc>
        <w:tc>
          <w:tcPr>
            <w:tcW w:w="1057" w:type="pct"/>
            <w:gridSpan w:val="2"/>
            <w:vAlign w:val="center"/>
          </w:tcPr>
          <w:p w14:paraId="5B1A4DC2">
            <w:pPr>
              <w:pStyle w:val="1343"/>
            </w:pPr>
            <w:r>
              <w:rPr>
                <w:rFonts w:hint="eastAsia"/>
              </w:rPr>
              <w:t>70</w:t>
            </w:r>
          </w:p>
        </w:tc>
        <w:tc>
          <w:tcPr>
            <w:tcW w:w="1066" w:type="pct"/>
            <w:gridSpan w:val="2"/>
            <w:vAlign w:val="center"/>
          </w:tcPr>
          <w:p w14:paraId="5D10D4F0">
            <w:pPr>
              <w:pStyle w:val="1343"/>
            </w:pPr>
            <w:r>
              <w:rPr>
                <w:rFonts w:hint="eastAsia"/>
              </w:rPr>
              <w:t>55</w:t>
            </w:r>
          </w:p>
        </w:tc>
        <w:tc>
          <w:tcPr>
            <w:tcW w:w="1060" w:type="pct"/>
            <w:gridSpan w:val="2"/>
            <w:vAlign w:val="center"/>
          </w:tcPr>
          <w:p w14:paraId="6A61EC0F">
            <w:pPr>
              <w:pStyle w:val="1343"/>
            </w:pPr>
            <w:r>
              <w:rPr>
                <w:rFonts w:hint="eastAsia"/>
              </w:rPr>
              <w:t>70</w:t>
            </w:r>
          </w:p>
        </w:tc>
        <w:tc>
          <w:tcPr>
            <w:tcW w:w="1089" w:type="pct"/>
            <w:gridSpan w:val="2"/>
            <w:vAlign w:val="center"/>
          </w:tcPr>
          <w:p w14:paraId="0F648D07">
            <w:pPr>
              <w:pStyle w:val="1343"/>
            </w:pPr>
            <w:r>
              <w:rPr>
                <w:rFonts w:hint="eastAsia"/>
              </w:rPr>
              <w:t>55</w:t>
            </w:r>
          </w:p>
        </w:tc>
      </w:tr>
      <w:bookmarkEnd w:id="179"/>
    </w:tbl>
    <w:p w14:paraId="68C5410C">
      <w:pPr>
        <w:pStyle w:val="234"/>
        <w:spacing w:before="120" w:beforeLines="50"/>
      </w:pPr>
      <w:r>
        <w:t>根据现状监测结果可知，</w:t>
      </w:r>
      <w:r>
        <w:rPr>
          <w:i/>
          <w:iCs/>
          <w:color w:val="auto"/>
          <w:u w:val="single"/>
        </w:rPr>
        <w:t>本工程沿线敏感点等位置声环境质量较好，昼间、夜间噪声均满足《声环境质量标准》(GB3096-2008)中的</w:t>
      </w:r>
      <w:r>
        <w:rPr>
          <w:rFonts w:hint="eastAsia"/>
          <w:i/>
          <w:iCs/>
          <w:color w:val="auto"/>
          <w:u w:val="single"/>
        </w:rPr>
        <w:t>2</w:t>
      </w:r>
      <w:r>
        <w:rPr>
          <w:i/>
          <w:iCs/>
          <w:color w:val="auto"/>
          <w:u w:val="single"/>
        </w:rPr>
        <w:t>类标准要求</w:t>
      </w:r>
      <w:r>
        <w:rPr>
          <w:rFonts w:hint="eastAsia"/>
        </w:rPr>
        <w:t>，近G356处敏感目标</w:t>
      </w:r>
      <w:r>
        <w:t>昼间、夜间噪声均满足《声环境质量标准》(GB3096-2008)中的</w:t>
      </w:r>
      <w:r>
        <w:rPr>
          <w:rFonts w:hint="eastAsia"/>
        </w:rPr>
        <w:t>4a</w:t>
      </w:r>
      <w:r>
        <w:t>类标准要求。</w:t>
      </w:r>
    </w:p>
    <w:p w14:paraId="15B370DE">
      <w:pPr>
        <w:pStyle w:val="4"/>
      </w:pPr>
      <w:bookmarkStart w:id="180" w:name="_Toc5866"/>
      <w:r>
        <w:t>生态环境现状调查与评价</w:t>
      </w:r>
      <w:bookmarkEnd w:id="180"/>
    </w:p>
    <w:p w14:paraId="190209BD">
      <w:pPr>
        <w:pStyle w:val="5"/>
        <w:rPr>
          <w:color w:val="auto"/>
        </w:rPr>
      </w:pPr>
      <w:bookmarkStart w:id="181" w:name="6.2.1_调查的基本方法"/>
      <w:bookmarkEnd w:id="181"/>
      <w:r>
        <w:rPr>
          <w:rFonts w:hint="eastAsia"/>
          <w:color w:val="auto"/>
        </w:rPr>
        <w:t>生态环境现状调查内容与方法</w:t>
      </w:r>
    </w:p>
    <w:p w14:paraId="5981D598">
      <w:pPr>
        <w:pStyle w:val="7"/>
        <w:ind w:left="862" w:hanging="862"/>
      </w:pPr>
      <w:r>
        <w:t>调查的基本方法</w:t>
      </w:r>
      <w:r>
        <w:rPr>
          <w:rFonts w:hint="eastAsia"/>
        </w:rPr>
        <w:t>、时间及范围</w:t>
      </w:r>
    </w:p>
    <w:p w14:paraId="02B87627">
      <w:pPr>
        <w:pStyle w:val="234"/>
      </w:pPr>
      <w:r>
        <w:t>（1）</w:t>
      </w:r>
      <w:r>
        <w:rPr>
          <w:rFonts w:hint="eastAsia"/>
        </w:rPr>
        <w:t>调查方法</w:t>
      </w:r>
    </w:p>
    <w:p w14:paraId="2ED62CC6">
      <w:pPr>
        <w:pStyle w:val="234"/>
      </w:pPr>
      <w:r>
        <w:rPr>
          <w:color w:val="000000"/>
        </w:rPr>
        <w:t>利用野外调查和收集的资料，采用生态机理分析法、景观生态方法、数学评价法等方法进行评价分析</w:t>
      </w:r>
      <w:r>
        <w:rPr>
          <w:rFonts w:hint="eastAsia"/>
          <w:color w:val="000000"/>
        </w:rPr>
        <w:t>。</w:t>
      </w:r>
      <w:r>
        <w:t>利用“3S”(GPS、RS、GIS)技术，工程生态环境现状调查采用现场踏勘，收集科研机构、政府部门等已有的规划报告、科考报告、研究论文、研究成果等资料，结合遥感、卫片分析等方法进行。重点对生态敏感地段进行详细调查</w:t>
      </w:r>
      <w:r>
        <w:rPr>
          <w:rFonts w:hint="eastAsia"/>
        </w:rPr>
        <w:t>。</w:t>
      </w:r>
    </w:p>
    <w:p w14:paraId="4B0A74C5">
      <w:pPr>
        <w:pStyle w:val="234"/>
      </w:pPr>
      <w:r>
        <w:rPr>
          <w:rFonts w:hint="eastAsia"/>
        </w:rPr>
        <w:t>（2）调查时间</w:t>
      </w:r>
    </w:p>
    <w:p w14:paraId="2FF9AEE7">
      <w:pPr>
        <w:pStyle w:val="234"/>
      </w:pPr>
      <w:r>
        <w:rPr>
          <w:color w:val="000000"/>
        </w:rPr>
        <w:t>本次生态调查贯穿整个评价过程，202</w:t>
      </w:r>
      <w:r>
        <w:rPr>
          <w:rFonts w:hint="eastAsia"/>
          <w:color w:val="000000"/>
        </w:rPr>
        <w:t>3</w:t>
      </w:r>
      <w:r>
        <w:rPr>
          <w:color w:val="000000"/>
        </w:rPr>
        <w:t>年</w:t>
      </w:r>
      <w:r>
        <w:rPr>
          <w:rFonts w:hint="eastAsia"/>
          <w:color w:val="000000"/>
        </w:rPr>
        <w:t>6</w:t>
      </w:r>
      <w:r>
        <w:rPr>
          <w:color w:val="000000"/>
        </w:rPr>
        <w:t>月</w:t>
      </w:r>
      <w:r>
        <w:rPr>
          <w:rFonts w:hint="eastAsia"/>
          <w:color w:val="000000"/>
        </w:rPr>
        <w:t>，</w:t>
      </w:r>
      <w:r>
        <w:rPr>
          <w:color w:val="000000"/>
        </w:rPr>
        <w:t>项目组对评价区进行了实地调查，</w:t>
      </w:r>
      <w:r>
        <w:rPr>
          <w:color w:val="000000"/>
          <w:lang w:bidi="ar"/>
        </w:rPr>
        <w:t>本次</w:t>
      </w:r>
      <w:r>
        <w:rPr>
          <w:color w:val="000000"/>
        </w:rPr>
        <w:t>调查内容调查方法均满足《环境影响评价技术导则 生态影响》</w:t>
      </w:r>
      <w:r>
        <w:rPr>
          <w:color w:val="000000"/>
          <w:lang w:bidi="ar"/>
        </w:rPr>
        <w:t>（HJ19-2022）</w:t>
      </w:r>
      <w:r>
        <w:rPr>
          <w:color w:val="000000"/>
        </w:rPr>
        <w:t>陆生、水生生态调查与评价技术要求</w:t>
      </w:r>
      <w:r>
        <w:rPr>
          <w:rFonts w:hint="eastAsia"/>
          <w:color w:val="000000"/>
        </w:rPr>
        <w:t>。</w:t>
      </w:r>
    </w:p>
    <w:p w14:paraId="4D9695B5">
      <w:pPr>
        <w:pStyle w:val="234"/>
      </w:pPr>
      <w:r>
        <w:rPr>
          <w:rFonts w:hint="eastAsia"/>
        </w:rPr>
        <w:t>（3）</w:t>
      </w:r>
      <w:r>
        <w:t>调查范围</w:t>
      </w:r>
    </w:p>
    <w:p w14:paraId="5EF46C25">
      <w:pPr>
        <w:pStyle w:val="234"/>
      </w:pPr>
      <w:r>
        <w:rPr>
          <w:color w:val="000000"/>
        </w:rPr>
        <w:t>根据区域生态环境特点，工程生态环境影响特征，从维护生态系统完整性出发，</w:t>
      </w:r>
      <w:r>
        <w:t>本工程生态环境评价范围</w:t>
      </w:r>
      <w:r>
        <w:rPr>
          <w:rFonts w:hint="eastAsia"/>
        </w:rPr>
        <w:t>为</w:t>
      </w:r>
      <w:r>
        <w:t>管线</w:t>
      </w:r>
      <w:r>
        <w:rPr>
          <w:rFonts w:hint="eastAsia"/>
        </w:rPr>
        <w:t>及新修进站路</w:t>
      </w:r>
      <w:r>
        <w:t>两侧各300m</w:t>
      </w:r>
      <w:r>
        <w:rPr>
          <w:rFonts w:hint="eastAsia"/>
        </w:rPr>
        <w:t>及站场阀室外300m</w:t>
      </w:r>
      <w:r>
        <w:t>范围，调查面积</w:t>
      </w:r>
      <w:r>
        <w:rPr>
          <w:rFonts w:hint="eastAsia"/>
        </w:rPr>
        <w:t>87.83h</w:t>
      </w:r>
      <w:r>
        <w:t>m</w:t>
      </w:r>
      <w:r>
        <w:rPr>
          <w:vertAlign w:val="superscript"/>
        </w:rPr>
        <w:t>2</w:t>
      </w:r>
      <w:r>
        <w:rPr>
          <w:rFonts w:hint="eastAsia"/>
        </w:rPr>
        <w:t>。</w:t>
      </w:r>
    </w:p>
    <w:p w14:paraId="6D1875FD">
      <w:pPr>
        <w:pStyle w:val="7"/>
        <w:ind w:left="862" w:hanging="862"/>
      </w:pPr>
      <w:r>
        <w:rPr>
          <w:rFonts w:hint="eastAsia"/>
        </w:rPr>
        <w:t>陆生生态及野生动植物调查</w:t>
      </w:r>
    </w:p>
    <w:p w14:paraId="30E72290">
      <w:pPr>
        <w:pStyle w:val="234"/>
      </w:pPr>
      <w:r>
        <w:rPr>
          <w:rFonts w:hint="eastAsia"/>
        </w:rPr>
        <w:t>（1）陆生生态调查</w:t>
      </w:r>
    </w:p>
    <w:p w14:paraId="4FDF0A2A">
      <w:pPr>
        <w:pStyle w:val="234"/>
      </w:pPr>
      <w:r>
        <w:rPr>
          <w:color w:val="000000"/>
        </w:rPr>
        <w:t>在卫星定位技术和样地样方现状调查的支持下，利用该区域遥感卫星影像数据及相关资料，粗略判断项目区土地利用、植被、敏感目标状况，从中找出分辨困难的点位；对现场以点带面进行现场考察，进一步明确评价区内土地利用类型、植被类型、土壤类型和敏感目标保护等生态环境质量现状，从而建立卫星数据解译的判译标志。根据室内判读的植被与土地利用类型图，现场核实判读的正误率，适当做出点位调整</w:t>
      </w:r>
      <w:r>
        <w:rPr>
          <w:rFonts w:hint="eastAsia"/>
          <w:color w:val="000000"/>
        </w:rPr>
        <w:t>。</w:t>
      </w:r>
      <w:r>
        <w:rPr>
          <w:color w:val="000000"/>
        </w:rPr>
        <w:t>结合现场调查资料，采用GPS、RS和GIS相结合的空间信息技术，进行地面类型的数字化判读，完成数字化的植被类型图和土地利用类型图，进行景观质量和生态质量的定性和定量评价</w:t>
      </w:r>
      <w:r>
        <w:rPr>
          <w:rFonts w:hint="eastAsia"/>
          <w:color w:val="000000"/>
        </w:rPr>
        <w:t>。</w:t>
      </w:r>
    </w:p>
    <w:p w14:paraId="4F85194D">
      <w:pPr>
        <w:pStyle w:val="234"/>
      </w:pPr>
      <w:r>
        <w:rPr>
          <w:rFonts w:hint="eastAsia"/>
        </w:rPr>
        <w:t>（2）植物植被调查</w:t>
      </w:r>
    </w:p>
    <w:p w14:paraId="10F445CE">
      <w:pPr>
        <w:pStyle w:val="234"/>
        <w:rPr>
          <w:i/>
          <w:iCs/>
          <w:color w:val="auto"/>
          <w:u w:val="single"/>
        </w:rPr>
      </w:pPr>
      <w:r>
        <w:rPr>
          <w:rFonts w:hint="eastAsia"/>
          <w:i/>
          <w:iCs/>
          <w:color w:val="auto"/>
          <w:u w:val="single"/>
        </w:rPr>
        <w:t>植物植被调查以收集相关文献资料为主，现场调查为辅。</w:t>
      </w:r>
    </w:p>
    <w:p w14:paraId="695F2755">
      <w:pPr>
        <w:pStyle w:val="234"/>
        <w:rPr>
          <w:i/>
          <w:iCs/>
          <w:color w:val="auto"/>
          <w:u w:val="single"/>
        </w:rPr>
      </w:pPr>
      <w:r>
        <w:rPr>
          <w:rFonts w:hint="eastAsia"/>
          <w:i/>
          <w:iCs/>
          <w:color w:val="auto"/>
          <w:u w:val="single"/>
        </w:rPr>
        <w:t>现场调查：采取路线调查的方法进行全线现场踏勘。对法定珍稀濒危保护植物、古树名木以及资源植物采取野外调查、专家咨询和民间访问相结合的方法进行。</w:t>
      </w:r>
    </w:p>
    <w:p w14:paraId="157ECA68">
      <w:pPr>
        <w:pStyle w:val="234"/>
      </w:pPr>
      <w:r>
        <w:rPr>
          <w:rFonts w:hint="eastAsia"/>
        </w:rPr>
        <w:t>文献收集：收集该地区地方志、土地利用总体规划等地方资料；同时参考《湖南植物志》《湖南植被》《湖南植被地理分布的基本规律》以及其它植物及其种群的区域性研究资料。</w:t>
      </w:r>
    </w:p>
    <w:p w14:paraId="7B4C064F">
      <w:pPr>
        <w:pStyle w:val="234"/>
      </w:pPr>
      <w:r>
        <w:rPr>
          <w:rFonts w:hint="eastAsia"/>
        </w:rPr>
        <w:t>（3）野生脊椎动物调查</w:t>
      </w:r>
    </w:p>
    <w:p w14:paraId="265F1810">
      <w:pPr>
        <w:pStyle w:val="234"/>
      </w:pPr>
      <w:r>
        <w:rPr>
          <w:rFonts w:hint="eastAsia"/>
        </w:rPr>
        <w:t>调查方式为文献资料收集分析。</w:t>
      </w:r>
    </w:p>
    <w:p w14:paraId="23DBB158">
      <w:pPr>
        <w:pStyle w:val="234"/>
      </w:pPr>
      <w:r>
        <w:rPr>
          <w:rFonts w:hint="eastAsia"/>
        </w:rPr>
        <w:t>文献收集：在文献资料的收集分析中，主要收集查阅了《中国两栖动物及其分布彩色图鉴》（费梁，2012 年）、《中国两栖、爬行动物更新名录》（王凯等，2020 年）、《中国鸟类野外手册》（约翰·马敬能，2022 年）、《长沙鸟类观察手册（2023 版）》、《中国鸟类分类与分布名录（第四版）》（郑光美主编，2023 年）、《中国兽类分类与分布》（魏辅文主编，2022 年）、《中国兽类图鉴》（刘少英等，2019 年）、《湖南鱼类志》、《湖南鱼类系统检索及手绘图鉴》和《湖南鱼类原色图谱》等文献，并对上述各种资料进行综合分析，以评估评价区及相邻地区的两栖爬行类、鸟类、兽类和鱼类现状。</w:t>
      </w:r>
    </w:p>
    <w:p w14:paraId="1FC0BFD8">
      <w:pPr>
        <w:pStyle w:val="7"/>
        <w:ind w:left="862" w:hanging="862"/>
      </w:pPr>
      <w:r>
        <w:rPr>
          <w:rFonts w:hint="eastAsia"/>
        </w:rPr>
        <w:t>生态制图</w:t>
      </w:r>
    </w:p>
    <w:p w14:paraId="193F0509">
      <w:pPr>
        <w:pStyle w:val="234"/>
      </w:pPr>
      <w:r>
        <w:rPr>
          <w:color w:val="000000"/>
        </w:rPr>
        <w:t>生态制图采用从遥感信息获取的地面覆盖类型，在地面调查和历史植被基础上进行综合判读，采用监督分类的方法最终赋予生态学的含义。选用美国国家航空航天局发射的Landsat8卫星</w:t>
      </w:r>
      <w:r>
        <w:t>在20</w:t>
      </w:r>
      <w:r>
        <w:rPr>
          <w:rFonts w:hint="eastAsia"/>
        </w:rPr>
        <w:t>19</w:t>
      </w:r>
      <w:r>
        <w:t>年8月</w:t>
      </w:r>
      <w:r>
        <w:rPr>
          <w:rFonts w:hint="eastAsia"/>
        </w:rPr>
        <w:t>17</w:t>
      </w:r>
      <w:r>
        <w:t>日的数据</w:t>
      </w:r>
      <w:r>
        <w:rPr>
          <w:color w:val="000000"/>
        </w:rPr>
        <w:t>，地面精度为15m，以反映地面植被特征合成卫星遥感影像，其中植被影像主要反映为绿色。植被类型不同，色彩和色调发生相应变化，因此可区分出植被亚型以上的植被类型以及耕地、水域及水利设施用地等地面类型。此外，植被类型的确定需结合不同植被类型分布的生态学特征，不单纯依靠色彩进行划分，对监督分类产生的植被初图，结合地面的GPS样点和等高线、坡度、坡向等信息，对植被图进行目视解译校正，得到符合精度要求的植被图</w:t>
      </w:r>
      <w:r>
        <w:rPr>
          <w:rFonts w:hint="eastAsia"/>
          <w:color w:val="000000"/>
        </w:rPr>
        <w:t>。</w:t>
      </w:r>
    </w:p>
    <w:p w14:paraId="78B2713A">
      <w:pPr>
        <w:pStyle w:val="5"/>
        <w:ind w:left="240"/>
        <w:rPr>
          <w:b/>
          <w:bCs/>
          <w:color w:val="auto"/>
        </w:rPr>
      </w:pPr>
      <w:bookmarkStart w:id="182" w:name="6.2.2_调查结果"/>
      <w:bookmarkEnd w:id="182"/>
      <w:bookmarkStart w:id="183" w:name="6.2.2.1_区域生态功能定位"/>
      <w:bookmarkEnd w:id="183"/>
      <w:r>
        <w:rPr>
          <w:color w:val="auto"/>
        </w:rPr>
        <w:t>管道沿线生态功能定位</w:t>
      </w:r>
    </w:p>
    <w:p w14:paraId="2B05D346">
      <w:pPr>
        <w:pStyle w:val="234"/>
      </w:pPr>
      <w:r>
        <w:rPr>
          <w:rFonts w:hint="eastAsia"/>
        </w:rPr>
        <w:t>（1）全国生态功能区定位</w:t>
      </w:r>
    </w:p>
    <w:p w14:paraId="5D9AF894">
      <w:pPr>
        <w:pStyle w:val="234"/>
      </w:pPr>
      <w:r>
        <w:t>生态功能区划是依据区域生态环境敏感性、生态服务功能重要性以及生态环境特征的相似性和差异性而进行的地理空间分区。</w:t>
      </w:r>
    </w:p>
    <w:p w14:paraId="14BF7F08">
      <w:pPr>
        <w:pStyle w:val="234"/>
      </w:pPr>
      <w:r>
        <w:t>根据《全国生态功能区划》(修编版，2015)，全国共划出生态功能一级区3类(即生态调节区、产品提供区和人居保障区)，生态功能二级区9类(即水源涵养、防风固沙、土壤保持、生物多样性保护、洪水调蓄、农产品提供、林产品提供、大都市群、重点城镇群)，生态功能区242个，其中生态调节功能区148个、产品提供功能区63个，人居保障功能区31个。</w:t>
      </w:r>
    </w:p>
    <w:p w14:paraId="1BD32E4E">
      <w:pPr>
        <w:pStyle w:val="234"/>
      </w:pPr>
      <w:r>
        <w:t>根据分析，评价区位于</w:t>
      </w:r>
      <w:r>
        <w:rPr>
          <w:rFonts w:hint="eastAsia"/>
        </w:rPr>
        <w:t>湖南</w:t>
      </w:r>
      <w:r>
        <w:t>省境内，属于</w:t>
      </w:r>
      <w:r>
        <w:rPr>
          <w:rFonts w:hint="eastAsia"/>
        </w:rPr>
        <w:t>湖南中部丘陵</w:t>
      </w:r>
      <w:r>
        <w:t>农产品提供功能区（II-01-</w:t>
      </w:r>
      <w:r>
        <w:rPr>
          <w:rFonts w:hint="eastAsia"/>
        </w:rPr>
        <w:t>22</w:t>
      </w:r>
      <w:r>
        <w:t>）。本工程与全国生态功能区划及生态亚区位置关系见图4.3-1和图4.3-2。</w:t>
      </w:r>
    </w:p>
    <w:p w14:paraId="54331459">
      <w:pPr>
        <w:pStyle w:val="234"/>
      </w:pPr>
      <w:r>
        <w:t>农产品提供功能区主要是指以提供粮食、肉类、蛋、奶、水产品和棉、油等农产品为主的长期从事农业生产的地区，包括全国商品粮基地和集中联片的农业用地，以及畜产品和水产品提供的区域。全国共划分农产品提供功能区58个，面积共计180.6万平方公里，占全国国土面积的18.9 %，集中分布在东北平原、华北平原、长江中下游平原、四川盆地、东南沿海平原地区、汾渭谷地、河套灌区、宁夏灌区、新疆绿洲等商品粮集中生产区，以及内蒙古东部草甸草原、青藏高原高寒草甸、新疆天山北部草原等重要畜牧业区。</w:t>
      </w:r>
    </w:p>
    <w:p w14:paraId="6D8F06A9">
      <w:pPr>
        <w:pStyle w:val="234"/>
      </w:pPr>
      <w:r>
        <w:t>该类型区的主要生态问题：农田侵占、土壤肥力下降、农业面源污染严重；在草地畜牧业区，过度放牧，草地退化沙化，抵御灾害能力低。</w:t>
      </w:r>
    </w:p>
    <w:p w14:paraId="5340CBD8">
      <w:pPr>
        <w:pStyle w:val="234"/>
      </w:pPr>
      <w:r>
        <w:t>该类型区生态保护的主要方向：</w:t>
      </w:r>
      <w:r>
        <w:fldChar w:fldCharType="begin"/>
      </w:r>
      <w:r>
        <w:instrText xml:space="preserve"> = 1 \* GB3 </w:instrText>
      </w:r>
      <w:r>
        <w:fldChar w:fldCharType="separate"/>
      </w:r>
      <w:r>
        <w:rPr>
          <w:rFonts w:hint="eastAsia" w:ascii="宋体" w:hAnsi="宋体" w:cs="宋体"/>
        </w:rPr>
        <w:t>①</w:t>
      </w:r>
      <w:r>
        <w:fldChar w:fldCharType="end"/>
      </w:r>
      <w:r>
        <w:t>严格保护基本农田，培养土壤肥力。</w:t>
      </w:r>
      <w:r>
        <w:fldChar w:fldCharType="begin"/>
      </w:r>
      <w:r>
        <w:instrText xml:space="preserve"> = 2 \* GB3 </w:instrText>
      </w:r>
      <w:r>
        <w:fldChar w:fldCharType="separate"/>
      </w:r>
      <w:r>
        <w:rPr>
          <w:rFonts w:hint="eastAsia" w:ascii="宋体" w:hAnsi="宋体" w:cs="宋体"/>
        </w:rPr>
        <w:t>②</w:t>
      </w:r>
      <w:r>
        <w:fldChar w:fldCharType="end"/>
      </w:r>
      <w:r>
        <w:t>加强农田基本建设，增强抗自然灾害的能力。</w:t>
      </w:r>
      <w:r>
        <w:fldChar w:fldCharType="begin"/>
      </w:r>
      <w:r>
        <w:instrText xml:space="preserve"> = 3 \* GB3 </w:instrText>
      </w:r>
      <w:r>
        <w:fldChar w:fldCharType="separate"/>
      </w:r>
      <w:r>
        <w:rPr>
          <w:rFonts w:hint="eastAsia" w:ascii="宋体" w:hAnsi="宋体" w:cs="宋体"/>
        </w:rPr>
        <w:t>③</w:t>
      </w:r>
      <w:r>
        <w:fldChar w:fldCharType="end"/>
      </w:r>
      <w:r>
        <w:t>加强水利建设，大力发展节水农业；种养结合，科学施肥。</w:t>
      </w:r>
      <w:r>
        <w:fldChar w:fldCharType="begin"/>
      </w:r>
      <w:r>
        <w:instrText xml:space="preserve"> = 4 \* GB3 </w:instrText>
      </w:r>
      <w:r>
        <w:fldChar w:fldCharType="separate"/>
      </w:r>
      <w:r>
        <w:rPr>
          <w:rFonts w:hint="eastAsia" w:ascii="宋体" w:hAnsi="宋体" w:cs="宋体"/>
        </w:rPr>
        <w:t>④</w:t>
      </w:r>
      <w:r>
        <w:fldChar w:fldCharType="end"/>
      </w:r>
      <w:r>
        <w:t>发展无公害农产品、绿色食品和有机食品；调整农业产业和农村经济结构，合理组织农业生产和农村经济活动。</w:t>
      </w:r>
      <w:r>
        <w:fldChar w:fldCharType="begin"/>
      </w:r>
      <w:r>
        <w:instrText xml:space="preserve"> = 5 \* GB3 </w:instrText>
      </w:r>
      <w:r>
        <w:fldChar w:fldCharType="separate"/>
      </w:r>
      <w:r>
        <w:rPr>
          <w:rFonts w:hint="eastAsia" w:ascii="宋体" w:hAnsi="宋体" w:cs="宋体"/>
        </w:rPr>
        <w:t>⑤</w:t>
      </w:r>
      <w:r>
        <w:fldChar w:fldCharType="end"/>
      </w:r>
      <w:r>
        <w:t>在草地畜牧业区，要科学确定草场载畜量，实行季节畜牧业，实现草畜平衡；草地封育改良相结合，实施大范围轮封轮牧制度</w:t>
      </w:r>
      <w:r>
        <w:rPr>
          <w:rFonts w:hint="eastAsia"/>
        </w:rPr>
        <w:t>。</w:t>
      </w:r>
    </w:p>
    <w:p w14:paraId="4EA311E0">
      <w:pPr>
        <w:pStyle w:val="234"/>
      </w:pPr>
      <w:r>
        <w:rPr>
          <w:rFonts w:hint="eastAsia"/>
        </w:rPr>
        <w:t>（2）湖南省主体功能定位</w:t>
      </w:r>
    </w:p>
    <w:p w14:paraId="691C17B8">
      <w:pPr>
        <w:pStyle w:val="234"/>
      </w:pPr>
      <w:r>
        <w:rPr>
          <w:rFonts w:hint="eastAsia"/>
        </w:rPr>
        <w:t>根据《湖南省主体功能区规划》，本工程所在地耒阳市属于“国家级农产品主产区”，功能定位为“以提供农产品为主保障农产品供给安全，发展现代农业的重要区域，重要的商品粮生产基地、绿色食品生产基地、畜牧业生产基地和农产品深加工区，农村居民安居乐业的美好家园，社会主义新农村建设的示范区”</w:t>
      </w:r>
      <w:r>
        <w:t>。</w:t>
      </w:r>
      <w:r>
        <w:rPr>
          <w:rFonts w:hint="eastAsia"/>
        </w:rPr>
        <w:t>本工程与湖南省主体功能区规划的</w:t>
      </w:r>
      <w:r>
        <w:t>位置关系见图4.3-</w:t>
      </w:r>
      <w:r>
        <w:rPr>
          <w:rFonts w:hint="eastAsia"/>
        </w:rPr>
        <w:t>3。</w:t>
      </w:r>
    </w:p>
    <w:p w14:paraId="75E97648">
      <w:pPr>
        <w:pStyle w:val="5"/>
        <w:rPr>
          <w:color w:val="auto"/>
          <w:spacing w:val="24"/>
          <w:w w:val="99"/>
        </w:rPr>
      </w:pPr>
      <w:bookmarkStart w:id="184" w:name="6.2.2.2_生态系统现状评价"/>
      <w:bookmarkEnd w:id="184"/>
      <w:r>
        <w:rPr>
          <w:color w:val="auto"/>
        </w:rPr>
        <w:t>生态系统现状评价</w:t>
      </w:r>
    </w:p>
    <w:p w14:paraId="0B3BED63">
      <w:pPr>
        <w:pStyle w:val="234"/>
      </w:pPr>
      <w:r>
        <w:t>本工程管道沿线地区大部分地形平缓，局部地区为低山丘陵，地形起伏较大。从气候区划来分，本工程沿线总体处于亚热带季风湿润气候区，属于</w:t>
      </w:r>
      <w:r>
        <w:rPr>
          <w:rFonts w:hint="eastAsia"/>
        </w:rPr>
        <w:t>南岭山地常绿阔叶林</w:t>
      </w:r>
      <w:r>
        <w:t>带。</w:t>
      </w:r>
    </w:p>
    <w:p w14:paraId="381C0BB9">
      <w:pPr>
        <w:pStyle w:val="234"/>
      </w:pPr>
      <w:r>
        <w:t>经现场调查与查阅资料，本工程所在区域人口</w:t>
      </w:r>
      <w:r>
        <w:rPr>
          <w:rFonts w:hint="eastAsia"/>
        </w:rPr>
        <w:t>较</w:t>
      </w:r>
      <w:r>
        <w:t>多，农业以及工业比较发达，绝大部分土地已被人类开发使用，形成较为稳定的人工生态系统，整个区域生态系统以</w:t>
      </w:r>
      <w:r>
        <w:rPr>
          <w:rFonts w:hint="eastAsia"/>
        </w:rPr>
        <w:t>森林</w:t>
      </w:r>
      <w:r>
        <w:t>生态系统为主，</w:t>
      </w:r>
      <w:r>
        <w:rPr>
          <w:i/>
          <w:iCs/>
          <w:color w:val="auto"/>
          <w:u w:val="single"/>
        </w:rPr>
        <w:t>其次为</w:t>
      </w:r>
      <w:r>
        <w:rPr>
          <w:rFonts w:hint="eastAsia"/>
          <w:i/>
          <w:iCs/>
          <w:color w:val="auto"/>
          <w:u w:val="single"/>
        </w:rPr>
        <w:t>农田</w:t>
      </w:r>
      <w:r>
        <w:rPr>
          <w:i/>
          <w:iCs/>
          <w:color w:val="auto"/>
          <w:u w:val="single"/>
        </w:rPr>
        <w:t>生态系统、</w:t>
      </w:r>
      <w:r>
        <w:rPr>
          <w:rFonts w:hint="eastAsia"/>
          <w:i/>
          <w:iCs/>
          <w:color w:val="auto"/>
          <w:u w:val="single"/>
        </w:rPr>
        <w:t>城镇</w:t>
      </w:r>
      <w:r>
        <w:rPr>
          <w:i/>
          <w:iCs/>
          <w:color w:val="auto"/>
          <w:u w:val="single"/>
        </w:rPr>
        <w:t>生态系统</w:t>
      </w:r>
      <w:r>
        <w:rPr>
          <w:rFonts w:hint="eastAsia"/>
          <w:i/>
          <w:iCs/>
          <w:color w:val="auto"/>
          <w:u w:val="single"/>
        </w:rPr>
        <w:t>、湿地生态系统</w:t>
      </w:r>
      <w:r>
        <w:t>。景观生态学认为区域由多个景观所构成，而整个景观是由基质、廊道、斑块组成的异质空间镶嵌体。</w:t>
      </w:r>
    </w:p>
    <w:p w14:paraId="4E3B860F">
      <w:pPr>
        <w:pStyle w:val="234"/>
      </w:pPr>
      <w:r>
        <w:t>（1）农田生态系统</w:t>
      </w:r>
    </w:p>
    <w:p w14:paraId="2046A45B">
      <w:pPr>
        <w:pStyle w:val="234"/>
      </w:pPr>
      <w:r>
        <w:t>评价区是典型的农业区，因此农田生态系统是评价区最主要的生态系统类型，以种植水稻、玉米等农作物</w:t>
      </w:r>
      <w:r>
        <w:rPr>
          <w:rFonts w:hint="eastAsia"/>
        </w:rPr>
        <w:t>为主</w:t>
      </w:r>
      <w:r>
        <w:t>。由于人类的频繁抚育及化肥等外来营养物质的输入</w:t>
      </w:r>
      <w:r>
        <w:rPr>
          <w:rFonts w:hint="eastAsia"/>
        </w:rPr>
        <w:t>，</w:t>
      </w:r>
      <w:r>
        <w:t>使得该生态系统净第一性生产力较高，对维持区域的生态环境质量，也起到非常重要的作用。</w:t>
      </w:r>
    </w:p>
    <w:p w14:paraId="666F699B">
      <w:pPr>
        <w:pStyle w:val="234"/>
      </w:pPr>
      <w:r>
        <w:rPr>
          <w:rFonts w:hint="eastAsia"/>
        </w:rPr>
        <w:t>项目所在地农田生态系统现状照片见图4.3-1。</w:t>
      </w:r>
    </w:p>
    <w:tbl>
      <w:tblPr>
        <w:tblStyle w:val="89"/>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501"/>
        <w:gridCol w:w="5085"/>
      </w:tblGrid>
      <w:tr w14:paraId="058E07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348" w:type="pct"/>
            <w:vAlign w:val="center"/>
          </w:tcPr>
          <w:p w14:paraId="1274174B">
            <w:pPr>
              <w:pStyle w:val="234"/>
              <w:snapToGrid w:val="0"/>
              <w:spacing w:line="240" w:lineRule="auto"/>
              <w:ind w:firstLine="0" w:firstLineChars="0"/>
              <w:jc w:val="center"/>
            </w:pPr>
            <w:r>
              <mc:AlternateContent>
                <mc:Choice Requires="wps">
                  <w:drawing>
                    <wp:anchor distT="0" distB="0" distL="114300" distR="114300" simplePos="0" relativeHeight="251661312" behindDoc="0" locked="0" layoutInCell="1" allowOverlap="1">
                      <wp:simplePos x="0" y="0"/>
                      <wp:positionH relativeFrom="column">
                        <wp:posOffset>19685</wp:posOffset>
                      </wp:positionH>
                      <wp:positionV relativeFrom="paragraph">
                        <wp:posOffset>1195070</wp:posOffset>
                      </wp:positionV>
                      <wp:extent cx="2754630" cy="55880"/>
                      <wp:effectExtent l="0" t="6350" r="7620" b="13970"/>
                      <wp:wrapNone/>
                      <wp:docPr id="25" name="直接连接符 25"/>
                      <wp:cNvGraphicFramePr/>
                      <a:graphic xmlns:a="http://schemas.openxmlformats.org/drawingml/2006/main">
                        <a:graphicData uri="http://schemas.microsoft.com/office/word/2010/wordprocessingShape">
                          <wps:wsp>
                            <wps:cNvCnPr/>
                            <wps:spPr>
                              <a:xfrm flipV="1">
                                <a:off x="832485" y="8465185"/>
                                <a:ext cx="2754630" cy="5588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1.55pt;margin-top:94.1pt;height:4.4pt;width:216.9pt;z-index:251661312;mso-width-relative:page;mso-height-relative:page;" filled="f" stroked="t" coordsize="21600,21600" o:gfxdata="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TjUP7YAAAACQEAAA8AAAAAAAAAAQAgAAAAIgAAAGRycy9kb3du&#10;cmV2LnhtbFBLAQIUABQAAAAIAIdO4kA2k+fY/wEAAM0DAAAOAAAAAAAAAAEAIAAAACcBAABkcnMv&#10;ZTJvRG9jLnhtbFBLBQYAAAAABgAGAFkBAACYBQAAAAA=&#10;">
                      <v:fill on="f" focussize="0,0"/>
                      <v:stroke weight="1pt" color="#FF0000 [3204]" miterlimit="8" joinstyle="miter"/>
                      <v:imagedata o:title=""/>
                      <o:lock v:ext="edit" aspectratio="f"/>
                    </v:line>
                  </w:pict>
                </mc:Fallback>
              </mc:AlternateContent>
            </w:r>
            <w:r>
              <w:rPr>
                <w:rFonts w:hint="eastAsia"/>
              </w:rPr>
              <w:drawing>
                <wp:inline distT="0" distB="0" distL="114300" distR="114300">
                  <wp:extent cx="2880360" cy="2160270"/>
                  <wp:effectExtent l="0" t="0" r="15240" b="11430"/>
                  <wp:docPr id="6" name="图片 6" descr="微信图片_2024050809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40508094547"/>
                          <pic:cNvPicPr>
                            <a:picLocks noChangeAspect="1"/>
                          </pic:cNvPicPr>
                        </pic:nvPicPr>
                        <pic:blipFill>
                          <a:blip r:embed="rId62"/>
                          <a:stretch>
                            <a:fillRect/>
                          </a:stretch>
                        </pic:blipFill>
                        <pic:spPr>
                          <a:xfrm>
                            <a:off x="0" y="0"/>
                            <a:ext cx="2880360" cy="2160270"/>
                          </a:xfrm>
                          <a:prstGeom prst="rect">
                            <a:avLst/>
                          </a:prstGeom>
                        </pic:spPr>
                      </pic:pic>
                    </a:graphicData>
                  </a:graphic>
                </wp:inline>
              </w:drawing>
            </w:r>
          </w:p>
        </w:tc>
        <w:tc>
          <w:tcPr>
            <w:tcW w:w="2651" w:type="pct"/>
            <w:vAlign w:val="center"/>
          </w:tcPr>
          <w:p w14:paraId="5DE22823">
            <w:pPr>
              <w:pStyle w:val="234"/>
              <w:snapToGrid w:val="0"/>
              <w:spacing w:line="240" w:lineRule="auto"/>
              <w:ind w:firstLine="0" w:firstLineChars="0"/>
              <w:jc w:val="center"/>
            </w:pPr>
            <w:r>
              <mc:AlternateContent>
                <mc:Choice Requires="wps">
                  <w:drawing>
                    <wp:anchor distT="0" distB="0" distL="114300" distR="114300" simplePos="0" relativeHeight="251662336" behindDoc="0" locked="0" layoutInCell="1" allowOverlap="1">
                      <wp:simplePos x="0" y="0"/>
                      <wp:positionH relativeFrom="column">
                        <wp:posOffset>113665</wp:posOffset>
                      </wp:positionH>
                      <wp:positionV relativeFrom="paragraph">
                        <wp:posOffset>1012825</wp:posOffset>
                      </wp:positionV>
                      <wp:extent cx="2738755" cy="86995"/>
                      <wp:effectExtent l="0" t="6350" r="4445" b="20955"/>
                      <wp:wrapNone/>
                      <wp:docPr id="28" name="直接连接符 28"/>
                      <wp:cNvGraphicFramePr/>
                      <a:graphic xmlns:a="http://schemas.openxmlformats.org/drawingml/2006/main">
                        <a:graphicData uri="http://schemas.microsoft.com/office/word/2010/wordprocessingShape">
                          <wps:wsp>
                            <wps:cNvCnPr/>
                            <wps:spPr>
                              <a:xfrm flipV="1">
                                <a:off x="0" y="0"/>
                                <a:ext cx="2738755" cy="86995"/>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8.95pt;margin-top:79.75pt;height:6.85pt;width:215.65pt;z-index:251662336;mso-width-relative:page;mso-height-relative:page;" filled="f" stroked="t" coordsize="21600,21600" o:gfxdata="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9Jk6DNkAAAAKAQAADwAAAAAAAAABACAAAAAiAAAAZHJzL2Rvd25yZXYueG1sUEsB&#10;AhQAFAAAAAgAh07iQNY2MoL0AQAAwgMAAA4AAAAAAAAAAQAgAAAAKAEAAGRycy9lMm9Eb2MueG1s&#10;UEsFBgAAAAAGAAYAWQEAAI4FAAAAAA==&#10;">
                      <v:fill on="f" focussize="0,0"/>
                      <v:stroke weight="1pt" color="#FF0000 [3204]" miterlimit="8" joinstyle="miter"/>
                      <v:imagedata o:title=""/>
                      <o:lock v:ext="edit" aspectratio="f"/>
                    </v:line>
                  </w:pict>
                </mc:Fallback>
              </mc:AlternateContent>
            </w:r>
            <w:r>
              <w:rPr>
                <w:rFonts w:hint="eastAsia"/>
              </w:rPr>
              <w:drawing>
                <wp:inline distT="0" distB="0" distL="114300" distR="114300">
                  <wp:extent cx="2879725" cy="2160270"/>
                  <wp:effectExtent l="0" t="0" r="15875" b="11430"/>
                  <wp:docPr id="27" name="图片 27" descr="微信图片_2024050809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图片_20240508095255"/>
                          <pic:cNvPicPr>
                            <a:picLocks noChangeAspect="1"/>
                          </pic:cNvPicPr>
                        </pic:nvPicPr>
                        <pic:blipFill>
                          <a:blip r:embed="rId63"/>
                          <a:stretch>
                            <a:fillRect/>
                          </a:stretch>
                        </pic:blipFill>
                        <pic:spPr>
                          <a:xfrm>
                            <a:off x="0" y="0"/>
                            <a:ext cx="2879725" cy="2160270"/>
                          </a:xfrm>
                          <a:prstGeom prst="rect">
                            <a:avLst/>
                          </a:prstGeom>
                        </pic:spPr>
                      </pic:pic>
                    </a:graphicData>
                  </a:graphic>
                </wp:inline>
              </w:drawing>
            </w:r>
          </w:p>
        </w:tc>
      </w:tr>
      <w:tr w14:paraId="3F69AF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000" w:type="pct"/>
            <w:gridSpan w:val="2"/>
            <w:vAlign w:val="center"/>
          </w:tcPr>
          <w:p w14:paraId="03787E9D">
            <w:pPr>
              <w:pStyle w:val="234"/>
              <w:snapToGrid w:val="0"/>
              <w:spacing w:line="240" w:lineRule="auto"/>
              <w:ind w:firstLine="0" w:firstLineChars="0"/>
              <w:jc w:val="center"/>
            </w:pPr>
            <w:r>
              <w:rPr>
                <w:rFonts w:hint="eastAsia" w:eastAsia="黑体"/>
                <w:snapToGrid w:val="0"/>
              </w:rPr>
              <w:t>图4.3-1  项目穿越基本农田现状照片</w:t>
            </w:r>
          </w:p>
        </w:tc>
      </w:tr>
    </w:tbl>
    <w:p w14:paraId="20931C59">
      <w:pPr>
        <w:pStyle w:val="234"/>
        <w:ind w:firstLine="0" w:firstLineChars="0"/>
      </w:pPr>
    </w:p>
    <w:p w14:paraId="4505A720">
      <w:pPr>
        <w:pStyle w:val="234"/>
      </w:pPr>
      <w:r>
        <w:t>（2）森林生态系统</w:t>
      </w:r>
    </w:p>
    <w:p w14:paraId="0BC172F7">
      <w:pPr>
        <w:pStyle w:val="234"/>
      </w:pPr>
      <w:r>
        <w:t>评价区林地生态系统主要为</w:t>
      </w:r>
      <w:r>
        <w:rPr>
          <w:rFonts w:hint="eastAsia"/>
        </w:rPr>
        <w:t>灌木林地和乔木林地</w:t>
      </w:r>
      <w:r>
        <w:t>，郁闭度较高，生态系统结构比较简单，林下草本层植物种类不丰富。尽管森林生态系统面积较小，但却具有非常重要的生态功能，例如涵养水源、水土保持、为野生动物提供栖息地，调节区域小气候等。</w:t>
      </w:r>
    </w:p>
    <w:p w14:paraId="2ACB9E0B">
      <w:pPr>
        <w:pStyle w:val="234"/>
      </w:pPr>
      <w:r>
        <w:rPr>
          <w:rFonts w:hint="eastAsia"/>
        </w:rPr>
        <w:t>项目耒阳分输站所在地森林生态系统现状照片见图4.3-2。</w:t>
      </w:r>
    </w:p>
    <w:tbl>
      <w:tblPr>
        <w:tblStyle w:val="89"/>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00"/>
        <w:gridCol w:w="4786"/>
      </w:tblGrid>
      <w:tr w14:paraId="7BCF5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4" w:type="pct"/>
            <w:vAlign w:val="center"/>
          </w:tcPr>
          <w:p w14:paraId="506E25F4">
            <w:pPr>
              <w:pStyle w:val="234"/>
              <w:snapToGrid w:val="0"/>
              <w:spacing w:line="240" w:lineRule="auto"/>
              <w:ind w:firstLine="0" w:firstLineChars="0"/>
              <w:jc w:val="center"/>
            </w:pPr>
            <w:r>
              <w:rPr>
                <w:rFonts w:hint="eastAsia"/>
              </w:rPr>
              <w:drawing>
                <wp:inline distT="0" distB="0" distL="114300" distR="114300">
                  <wp:extent cx="2976245" cy="2232025"/>
                  <wp:effectExtent l="0" t="0" r="14605" b="15875"/>
                  <wp:docPr id="57" name="图片 57" descr="微信图片_2024050809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微信图片_20240508094736"/>
                          <pic:cNvPicPr>
                            <a:picLocks noChangeAspect="1"/>
                          </pic:cNvPicPr>
                        </pic:nvPicPr>
                        <pic:blipFill>
                          <a:blip r:embed="rId64"/>
                          <a:stretch>
                            <a:fillRect/>
                          </a:stretch>
                        </pic:blipFill>
                        <pic:spPr>
                          <a:xfrm>
                            <a:off x="0" y="0"/>
                            <a:ext cx="2976245" cy="2232025"/>
                          </a:xfrm>
                          <a:prstGeom prst="rect">
                            <a:avLst/>
                          </a:prstGeom>
                        </pic:spPr>
                      </pic:pic>
                    </a:graphicData>
                  </a:graphic>
                </wp:inline>
              </w:drawing>
            </w:r>
          </w:p>
        </w:tc>
        <w:tc>
          <w:tcPr>
            <w:tcW w:w="2495" w:type="pct"/>
            <w:vAlign w:val="center"/>
          </w:tcPr>
          <w:p w14:paraId="702C168C">
            <w:pPr>
              <w:pStyle w:val="234"/>
              <w:snapToGrid w:val="0"/>
              <w:spacing w:line="240" w:lineRule="auto"/>
              <w:ind w:firstLine="0" w:firstLineChars="0"/>
              <w:jc w:val="center"/>
            </w:pPr>
            <w:r>
              <w:rPr>
                <w:rFonts w:hint="eastAsia"/>
              </w:rPr>
              <w:drawing>
                <wp:inline distT="0" distB="0" distL="114300" distR="114300">
                  <wp:extent cx="2975610" cy="2232025"/>
                  <wp:effectExtent l="0" t="0" r="15240" b="15875"/>
                  <wp:docPr id="64" name="图片 64" descr="微信图片_2024050809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微信图片_20240508094553"/>
                          <pic:cNvPicPr>
                            <a:picLocks noChangeAspect="1"/>
                          </pic:cNvPicPr>
                        </pic:nvPicPr>
                        <pic:blipFill>
                          <a:blip r:embed="rId65"/>
                          <a:stretch>
                            <a:fillRect/>
                          </a:stretch>
                        </pic:blipFill>
                        <pic:spPr>
                          <a:xfrm>
                            <a:off x="0" y="0"/>
                            <a:ext cx="2975610" cy="2232025"/>
                          </a:xfrm>
                          <a:prstGeom prst="rect">
                            <a:avLst/>
                          </a:prstGeom>
                        </pic:spPr>
                      </pic:pic>
                    </a:graphicData>
                  </a:graphic>
                </wp:inline>
              </w:drawing>
            </w:r>
          </w:p>
        </w:tc>
      </w:tr>
      <w:tr w14:paraId="40BB91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000" w:type="pct"/>
            <w:gridSpan w:val="2"/>
            <w:vAlign w:val="center"/>
          </w:tcPr>
          <w:p w14:paraId="4CDD63FB">
            <w:pPr>
              <w:pStyle w:val="234"/>
              <w:snapToGrid w:val="0"/>
              <w:spacing w:line="240" w:lineRule="auto"/>
              <w:ind w:firstLine="0" w:firstLineChars="0"/>
              <w:jc w:val="center"/>
            </w:pPr>
            <w:r>
              <w:rPr>
                <w:rFonts w:hint="eastAsia" w:eastAsia="黑体"/>
                <w:snapToGrid w:val="0"/>
              </w:rPr>
              <w:t>图4.3-2  项目耒阳分输站所在地公益林现状照片</w:t>
            </w:r>
          </w:p>
        </w:tc>
      </w:tr>
    </w:tbl>
    <w:p w14:paraId="5464777E">
      <w:pPr>
        <w:pStyle w:val="234"/>
        <w:spacing w:before="120" w:beforeLines="50"/>
      </w:pPr>
      <w:r>
        <w:t>（3）城镇生态系统</w:t>
      </w:r>
    </w:p>
    <w:p w14:paraId="4BE3C2E7">
      <w:pPr>
        <w:pStyle w:val="234"/>
      </w:pPr>
      <w:r>
        <w:t>评价区人类活动密集，共包括居民点、工业用地、交通用地等斑块，镶嵌分布于林地斑块及农田斑块内。该生态系统属于人类干扰最强烈的区域，植被覆盖率较低，生物多样性差，生态环境脆弱</w:t>
      </w:r>
      <w:r>
        <w:rPr>
          <w:rFonts w:hint="eastAsia"/>
        </w:rPr>
        <w:t>。</w:t>
      </w:r>
    </w:p>
    <w:p w14:paraId="1427D340">
      <w:pPr>
        <w:pStyle w:val="234"/>
        <w:rPr>
          <w:color w:val="000000"/>
        </w:rPr>
      </w:pPr>
      <w:r>
        <w:rPr>
          <w:rFonts w:hint="eastAsia"/>
          <w:color w:val="000000"/>
        </w:rPr>
        <w:t>项目所在地周边居民点现状照片见图4.3-3。</w:t>
      </w:r>
    </w:p>
    <w:tbl>
      <w:tblPr>
        <w:tblStyle w:val="89"/>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00"/>
        <w:gridCol w:w="4786"/>
      </w:tblGrid>
      <w:tr w14:paraId="2C206D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4" w:type="pct"/>
            <w:vAlign w:val="center"/>
          </w:tcPr>
          <w:p w14:paraId="32947683">
            <w:pPr>
              <w:pStyle w:val="234"/>
              <w:snapToGrid w:val="0"/>
              <w:spacing w:line="240" w:lineRule="auto"/>
              <w:ind w:firstLine="0" w:firstLineChars="0"/>
              <w:jc w:val="center"/>
            </w:pPr>
            <w:r>
              <w:rPr>
                <w:rFonts w:hint="eastAsia"/>
              </w:rPr>
              <w:drawing>
                <wp:inline distT="0" distB="0" distL="114300" distR="114300">
                  <wp:extent cx="2867660" cy="2150745"/>
                  <wp:effectExtent l="0" t="0" r="8890" b="1905"/>
                  <wp:docPr id="70" name="图片 70" descr="微信图片_2024050809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微信图片_20240508095336"/>
                          <pic:cNvPicPr>
                            <a:picLocks noChangeAspect="1"/>
                          </pic:cNvPicPr>
                        </pic:nvPicPr>
                        <pic:blipFill>
                          <a:blip r:embed="rId66"/>
                          <a:stretch>
                            <a:fillRect/>
                          </a:stretch>
                        </pic:blipFill>
                        <pic:spPr>
                          <a:xfrm>
                            <a:off x="0" y="0"/>
                            <a:ext cx="2867660" cy="2150745"/>
                          </a:xfrm>
                          <a:prstGeom prst="rect">
                            <a:avLst/>
                          </a:prstGeom>
                        </pic:spPr>
                      </pic:pic>
                    </a:graphicData>
                  </a:graphic>
                </wp:inline>
              </w:drawing>
            </w:r>
          </w:p>
        </w:tc>
        <w:tc>
          <w:tcPr>
            <w:tcW w:w="2495" w:type="pct"/>
            <w:vAlign w:val="center"/>
          </w:tcPr>
          <w:p w14:paraId="0FDED2AA">
            <w:pPr>
              <w:pStyle w:val="234"/>
              <w:snapToGrid w:val="0"/>
              <w:spacing w:line="240" w:lineRule="auto"/>
              <w:ind w:firstLine="0" w:firstLineChars="0"/>
              <w:jc w:val="center"/>
            </w:pPr>
            <w:r>
              <w:rPr>
                <w:rFonts w:hint="eastAsia"/>
              </w:rPr>
              <w:drawing>
                <wp:inline distT="0" distB="0" distL="114300" distR="114300">
                  <wp:extent cx="2867660" cy="2150745"/>
                  <wp:effectExtent l="0" t="0" r="8890" b="1905"/>
                  <wp:docPr id="71" name="图片 71" descr="微信图片_20240508095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微信图片_20240508095815"/>
                          <pic:cNvPicPr>
                            <a:picLocks noChangeAspect="1"/>
                          </pic:cNvPicPr>
                        </pic:nvPicPr>
                        <pic:blipFill>
                          <a:blip r:embed="rId67"/>
                          <a:stretch>
                            <a:fillRect/>
                          </a:stretch>
                        </pic:blipFill>
                        <pic:spPr>
                          <a:xfrm>
                            <a:off x="0" y="0"/>
                            <a:ext cx="2867660" cy="2150745"/>
                          </a:xfrm>
                          <a:prstGeom prst="rect">
                            <a:avLst/>
                          </a:prstGeom>
                        </pic:spPr>
                      </pic:pic>
                    </a:graphicData>
                  </a:graphic>
                </wp:inline>
              </w:drawing>
            </w:r>
          </w:p>
        </w:tc>
      </w:tr>
      <w:tr w14:paraId="214199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4" w:type="pct"/>
            <w:vAlign w:val="center"/>
          </w:tcPr>
          <w:p w14:paraId="3E3D8990">
            <w:pPr>
              <w:pStyle w:val="234"/>
              <w:snapToGrid w:val="0"/>
              <w:spacing w:line="240" w:lineRule="auto"/>
              <w:ind w:firstLine="0" w:firstLineChars="0"/>
              <w:jc w:val="center"/>
              <w:rPr>
                <w:sz w:val="21"/>
                <w:szCs w:val="21"/>
              </w:rPr>
            </w:pPr>
            <w:r>
              <w:rPr>
                <w:rFonts w:hint="eastAsia"/>
                <w:sz w:val="21"/>
                <w:szCs w:val="21"/>
              </w:rPr>
              <w:t>资家湾</w:t>
            </w:r>
          </w:p>
        </w:tc>
        <w:tc>
          <w:tcPr>
            <w:tcW w:w="2495" w:type="pct"/>
            <w:vAlign w:val="center"/>
          </w:tcPr>
          <w:p w14:paraId="75C83C7E">
            <w:pPr>
              <w:pStyle w:val="234"/>
              <w:snapToGrid w:val="0"/>
              <w:spacing w:line="240" w:lineRule="auto"/>
              <w:ind w:firstLine="0" w:firstLineChars="0"/>
              <w:jc w:val="center"/>
              <w:rPr>
                <w:sz w:val="21"/>
                <w:szCs w:val="21"/>
              </w:rPr>
            </w:pPr>
            <w:r>
              <w:rPr>
                <w:rFonts w:hint="eastAsia"/>
                <w:sz w:val="21"/>
                <w:szCs w:val="21"/>
              </w:rPr>
              <w:t>蒋家冲</w:t>
            </w:r>
          </w:p>
        </w:tc>
      </w:tr>
      <w:tr w14:paraId="58CE31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000" w:type="pct"/>
            <w:gridSpan w:val="2"/>
            <w:vAlign w:val="center"/>
          </w:tcPr>
          <w:p w14:paraId="6A7DCE8D">
            <w:pPr>
              <w:pStyle w:val="234"/>
              <w:snapToGrid w:val="0"/>
              <w:spacing w:line="240" w:lineRule="auto"/>
              <w:ind w:firstLine="0" w:firstLineChars="0"/>
              <w:jc w:val="center"/>
            </w:pPr>
            <w:r>
              <w:rPr>
                <w:rFonts w:hint="eastAsia" w:eastAsia="黑体"/>
                <w:snapToGrid w:val="0"/>
              </w:rPr>
              <w:t>图4.3-3  项目所在地周边居民点现状照片</w:t>
            </w:r>
          </w:p>
        </w:tc>
      </w:tr>
    </w:tbl>
    <w:p w14:paraId="7848D5BD">
      <w:pPr>
        <w:pStyle w:val="234"/>
        <w:spacing w:before="120" w:beforeLines="50"/>
        <w:rPr>
          <w:i/>
          <w:iCs/>
          <w:color w:val="auto"/>
          <w:u w:val="single"/>
        </w:rPr>
      </w:pPr>
      <w:r>
        <w:rPr>
          <w:rFonts w:hint="eastAsia"/>
          <w:i/>
          <w:iCs/>
          <w:color w:val="auto"/>
          <w:u w:val="single"/>
        </w:rPr>
        <w:t>（4）湿地生态系统</w:t>
      </w:r>
    </w:p>
    <w:p w14:paraId="7315266B">
      <w:pPr>
        <w:pStyle w:val="234"/>
        <w:spacing w:before="120" w:beforeLines="50"/>
        <w:rPr>
          <w:i/>
          <w:iCs/>
          <w:color w:val="auto"/>
          <w:u w:val="single"/>
        </w:rPr>
      </w:pPr>
      <w:r>
        <w:rPr>
          <w:rFonts w:hint="eastAsia"/>
          <w:i/>
          <w:iCs/>
          <w:color w:val="auto"/>
          <w:u w:val="single"/>
        </w:rPr>
        <w:t>评价区域内零星分布有坑塘，其功能主要为农田灌溉，属于湿地生态系统。虽然分布面积较小，但对调节评价区域小气候有重要作用。</w:t>
      </w:r>
    </w:p>
    <w:p w14:paraId="7B6E7BF3">
      <w:pPr>
        <w:pStyle w:val="234"/>
        <w:spacing w:before="120" w:beforeLines="50"/>
        <w:rPr>
          <w:i/>
          <w:iCs/>
          <w:color w:val="auto"/>
          <w:u w:val="single"/>
        </w:rPr>
      </w:pPr>
      <w:r>
        <w:rPr>
          <w:rFonts w:hint="eastAsia"/>
          <w:i/>
          <w:iCs/>
          <w:color w:val="auto"/>
          <w:u w:val="single"/>
        </w:rPr>
        <w:t>评价区域内湿地生态系统现状见图4.3-4</w:t>
      </w:r>
    </w:p>
    <w:tbl>
      <w:tblPr>
        <w:tblStyle w:val="89"/>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00"/>
        <w:gridCol w:w="4786"/>
      </w:tblGrid>
      <w:tr w14:paraId="2A44AE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4" w:type="pct"/>
            <w:vAlign w:val="center"/>
          </w:tcPr>
          <w:p w14:paraId="46F7D99C">
            <w:pPr>
              <w:pStyle w:val="234"/>
              <w:snapToGrid w:val="0"/>
              <w:spacing w:line="240" w:lineRule="auto"/>
              <w:ind w:firstLine="0" w:firstLineChars="0"/>
              <w:jc w:val="center"/>
            </w:pPr>
            <w:r>
              <w:drawing>
                <wp:inline distT="0" distB="0" distL="0" distR="0">
                  <wp:extent cx="2842260" cy="3788410"/>
                  <wp:effectExtent l="0" t="0" r="0" b="2540"/>
                  <wp:docPr id="19461047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04775" name="图片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842260" cy="3788410"/>
                          </a:xfrm>
                          <a:prstGeom prst="rect">
                            <a:avLst/>
                          </a:prstGeom>
                          <a:noFill/>
                          <a:ln>
                            <a:noFill/>
                          </a:ln>
                        </pic:spPr>
                      </pic:pic>
                    </a:graphicData>
                  </a:graphic>
                </wp:inline>
              </w:drawing>
            </w:r>
          </w:p>
        </w:tc>
        <w:tc>
          <w:tcPr>
            <w:tcW w:w="2496" w:type="pct"/>
            <w:vAlign w:val="center"/>
          </w:tcPr>
          <w:p w14:paraId="64FD1E08">
            <w:pPr>
              <w:pStyle w:val="234"/>
              <w:snapToGrid w:val="0"/>
              <w:spacing w:line="240" w:lineRule="auto"/>
              <w:ind w:firstLine="0" w:firstLineChars="0"/>
              <w:jc w:val="center"/>
            </w:pPr>
            <w:r>
              <w:drawing>
                <wp:inline distT="0" distB="0" distL="0" distR="0">
                  <wp:extent cx="2833370" cy="3776345"/>
                  <wp:effectExtent l="0" t="0" r="5080" b="0"/>
                  <wp:docPr id="11325863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86376" name="图片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2833370" cy="3776345"/>
                          </a:xfrm>
                          <a:prstGeom prst="rect">
                            <a:avLst/>
                          </a:prstGeom>
                          <a:noFill/>
                          <a:ln>
                            <a:noFill/>
                          </a:ln>
                        </pic:spPr>
                      </pic:pic>
                    </a:graphicData>
                  </a:graphic>
                </wp:inline>
              </w:drawing>
            </w:r>
          </w:p>
        </w:tc>
      </w:tr>
      <w:tr w14:paraId="36039B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000" w:type="pct"/>
            <w:gridSpan w:val="2"/>
            <w:vAlign w:val="center"/>
          </w:tcPr>
          <w:p w14:paraId="1470F219">
            <w:pPr>
              <w:pStyle w:val="234"/>
              <w:snapToGrid w:val="0"/>
              <w:spacing w:line="240" w:lineRule="auto"/>
              <w:ind w:firstLine="0" w:firstLineChars="0"/>
              <w:jc w:val="center"/>
            </w:pPr>
            <w:r>
              <w:rPr>
                <w:rFonts w:hint="eastAsia" w:eastAsia="黑体"/>
                <w:i/>
                <w:iCs/>
                <w:snapToGrid w:val="0"/>
                <w:color w:val="auto"/>
                <w:u w:val="single"/>
              </w:rPr>
              <w:t>图4.3-4  项目评价区域湿地生态系统现状照片</w:t>
            </w:r>
          </w:p>
        </w:tc>
      </w:tr>
    </w:tbl>
    <w:p w14:paraId="5FC20EF8">
      <w:pPr>
        <w:pStyle w:val="234"/>
        <w:spacing w:before="120" w:beforeLines="50"/>
      </w:pPr>
      <w:r>
        <w:rPr>
          <w:color w:val="000000"/>
        </w:rPr>
        <w:t>本项目评价区生态系统分布见表</w:t>
      </w:r>
      <w:r>
        <w:rPr>
          <w:rFonts w:hint="eastAsia"/>
          <w:color w:val="000000"/>
        </w:rPr>
        <w:t>4.3-1</w:t>
      </w:r>
      <w:r>
        <w:rPr>
          <w:color w:val="000000"/>
        </w:rPr>
        <w:t>和图</w:t>
      </w:r>
      <w:r>
        <w:rPr>
          <w:rFonts w:hint="eastAsia"/>
          <w:color w:val="000000"/>
        </w:rPr>
        <w:t>4.3-5。</w:t>
      </w:r>
    </w:p>
    <w:p w14:paraId="61E4AF6C">
      <w:pPr>
        <w:pStyle w:val="3077"/>
        <w:spacing w:line="276" w:lineRule="auto"/>
        <w:rPr>
          <w:rFonts w:eastAsia="黑体"/>
          <w:snapToGrid w:val="0"/>
          <w:sz w:val="24"/>
        </w:rPr>
      </w:pPr>
      <w:r>
        <w:rPr>
          <w:rFonts w:eastAsia="黑体"/>
          <w:snapToGrid w:val="0"/>
          <w:sz w:val="24"/>
        </w:rPr>
        <w:t>表</w:t>
      </w:r>
      <w:r>
        <w:rPr>
          <w:rFonts w:hint="eastAsia" w:eastAsia="黑体"/>
          <w:snapToGrid w:val="0"/>
          <w:sz w:val="24"/>
        </w:rPr>
        <w:t>4.3-1</w:t>
      </w:r>
      <w:r>
        <w:rPr>
          <w:rFonts w:eastAsia="黑体"/>
          <w:snapToGrid w:val="0"/>
          <w:sz w:val="24"/>
        </w:rPr>
        <w:t xml:space="preserve">  评价区生态系统类型一览表</w:t>
      </w:r>
    </w:p>
    <w:tbl>
      <w:tblPr>
        <w:tblStyle w:val="88"/>
        <w:tblW w:w="5000" w:type="pct"/>
        <w:jc w:val="center"/>
        <w:tblBorders>
          <w:top w:val="single" w:color="auto" w:sz="2" w:space="0"/>
          <w:left w:val="single" w:color="auto" w:sz="2" w:space="0"/>
          <w:bottom w:val="single" w:color="auto" w:sz="4"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4108"/>
        <w:gridCol w:w="2739"/>
        <w:gridCol w:w="2739"/>
      </w:tblGrid>
      <w:tr w14:paraId="14C89B02">
        <w:tblPrEx>
          <w:tblBorders>
            <w:top w:val="single" w:color="auto" w:sz="2" w:space="0"/>
            <w:left w:val="single" w:color="auto" w:sz="2" w:space="0"/>
            <w:bottom w:val="single" w:color="auto" w:sz="4"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142" w:type="pct"/>
            <w:vAlign w:val="center"/>
          </w:tcPr>
          <w:p w14:paraId="76FC41A8">
            <w:pPr>
              <w:pStyle w:val="1343"/>
            </w:pPr>
            <w:r>
              <w:rPr>
                <w:rFonts w:hint="eastAsia"/>
              </w:rPr>
              <w:t>生态系统类型</w:t>
            </w:r>
          </w:p>
        </w:tc>
        <w:tc>
          <w:tcPr>
            <w:tcW w:w="1428" w:type="pct"/>
            <w:vAlign w:val="center"/>
          </w:tcPr>
          <w:p w14:paraId="1D58DAE8">
            <w:pPr>
              <w:pStyle w:val="1343"/>
            </w:pPr>
            <w:r>
              <w:rPr>
                <w:rFonts w:hint="eastAsia"/>
              </w:rPr>
              <w:t>面积（hm</w:t>
            </w:r>
            <w:r>
              <w:rPr>
                <w:rFonts w:hint="eastAsia"/>
                <w:vertAlign w:val="superscript"/>
              </w:rPr>
              <w:t>2</w:t>
            </w:r>
            <w:r>
              <w:rPr>
                <w:rFonts w:hint="eastAsia"/>
              </w:rPr>
              <w:t>）</w:t>
            </w:r>
          </w:p>
        </w:tc>
        <w:tc>
          <w:tcPr>
            <w:tcW w:w="1428" w:type="pct"/>
            <w:vAlign w:val="center"/>
          </w:tcPr>
          <w:p w14:paraId="7E41D839">
            <w:pPr>
              <w:pStyle w:val="1343"/>
            </w:pPr>
            <w:r>
              <w:rPr>
                <w:rFonts w:hint="eastAsia"/>
              </w:rPr>
              <w:t>比例（%）</w:t>
            </w:r>
          </w:p>
        </w:tc>
      </w:tr>
      <w:tr w14:paraId="49E0BD85">
        <w:tblPrEx>
          <w:tblBorders>
            <w:top w:val="single" w:color="auto" w:sz="2" w:space="0"/>
            <w:left w:val="single" w:color="auto" w:sz="2" w:space="0"/>
            <w:bottom w:val="single" w:color="auto" w:sz="4"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142" w:type="pct"/>
            <w:vAlign w:val="center"/>
          </w:tcPr>
          <w:p w14:paraId="2D8135D5">
            <w:pPr>
              <w:pStyle w:val="1343"/>
            </w:pPr>
            <w:r>
              <w:rPr>
                <w:rFonts w:hint="eastAsia"/>
              </w:rPr>
              <w:t>农田生态系统</w:t>
            </w:r>
          </w:p>
        </w:tc>
        <w:tc>
          <w:tcPr>
            <w:tcW w:w="1428" w:type="pct"/>
            <w:vAlign w:val="center"/>
          </w:tcPr>
          <w:p w14:paraId="6B49AF71">
            <w:pPr>
              <w:pStyle w:val="1343"/>
              <w:rPr>
                <w:rFonts w:hint="default" w:eastAsia="宋体"/>
                <w:lang w:val="en-US" w:eastAsia="zh-CN"/>
              </w:rPr>
            </w:pPr>
            <w:r>
              <w:rPr>
                <w:rFonts w:hint="eastAsia"/>
                <w:lang w:val="en-US" w:eastAsia="zh-CN"/>
              </w:rPr>
              <w:t>30.96</w:t>
            </w:r>
          </w:p>
        </w:tc>
        <w:tc>
          <w:tcPr>
            <w:tcW w:w="1428" w:type="pct"/>
            <w:vAlign w:val="center"/>
          </w:tcPr>
          <w:p w14:paraId="5FC67C96">
            <w:pPr>
              <w:pStyle w:val="1343"/>
              <w:rPr>
                <w:rFonts w:hint="default" w:eastAsia="宋体"/>
                <w:lang w:val="en-US" w:eastAsia="zh-CN"/>
              </w:rPr>
            </w:pPr>
            <w:r>
              <w:rPr>
                <w:rFonts w:hint="eastAsia"/>
              </w:rPr>
              <w:t>3</w:t>
            </w:r>
            <w:r>
              <w:rPr>
                <w:rFonts w:hint="eastAsia"/>
                <w:lang w:val="en-US" w:eastAsia="zh-CN"/>
              </w:rPr>
              <w:t>5.25</w:t>
            </w:r>
          </w:p>
        </w:tc>
      </w:tr>
      <w:tr w14:paraId="44EFE705">
        <w:tblPrEx>
          <w:tblBorders>
            <w:top w:val="single" w:color="auto" w:sz="2" w:space="0"/>
            <w:left w:val="single" w:color="auto" w:sz="2" w:space="0"/>
            <w:bottom w:val="single" w:color="auto" w:sz="4"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142" w:type="pct"/>
            <w:vAlign w:val="center"/>
          </w:tcPr>
          <w:p w14:paraId="7DC7B697">
            <w:pPr>
              <w:pStyle w:val="1343"/>
            </w:pPr>
            <w:r>
              <w:rPr>
                <w:rFonts w:hint="eastAsia"/>
              </w:rPr>
              <w:t>森林生态系统</w:t>
            </w:r>
          </w:p>
        </w:tc>
        <w:tc>
          <w:tcPr>
            <w:tcW w:w="1428" w:type="pct"/>
            <w:vAlign w:val="center"/>
          </w:tcPr>
          <w:p w14:paraId="233F669C">
            <w:pPr>
              <w:pStyle w:val="1343"/>
            </w:pPr>
            <w:r>
              <w:rPr>
                <w:rFonts w:hint="eastAsia"/>
              </w:rPr>
              <w:t>35.87</w:t>
            </w:r>
          </w:p>
        </w:tc>
        <w:tc>
          <w:tcPr>
            <w:tcW w:w="1428" w:type="pct"/>
            <w:vAlign w:val="center"/>
          </w:tcPr>
          <w:p w14:paraId="39FA48EB">
            <w:pPr>
              <w:pStyle w:val="1343"/>
            </w:pPr>
            <w:r>
              <w:rPr>
                <w:rFonts w:hint="eastAsia"/>
              </w:rPr>
              <w:t>40.84</w:t>
            </w:r>
          </w:p>
        </w:tc>
      </w:tr>
      <w:tr w14:paraId="079A389D">
        <w:tblPrEx>
          <w:tblBorders>
            <w:top w:val="single" w:color="auto" w:sz="2" w:space="0"/>
            <w:left w:val="single" w:color="auto" w:sz="2" w:space="0"/>
            <w:bottom w:val="single" w:color="auto" w:sz="4"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142" w:type="pct"/>
            <w:vAlign w:val="center"/>
          </w:tcPr>
          <w:p w14:paraId="154A1A85">
            <w:pPr>
              <w:pStyle w:val="1343"/>
            </w:pPr>
            <w:r>
              <w:rPr>
                <w:rFonts w:hint="eastAsia"/>
              </w:rPr>
              <w:t>城镇生态系统</w:t>
            </w:r>
          </w:p>
        </w:tc>
        <w:tc>
          <w:tcPr>
            <w:tcW w:w="1428" w:type="pct"/>
            <w:vAlign w:val="center"/>
          </w:tcPr>
          <w:p w14:paraId="5E0CB963">
            <w:pPr>
              <w:pStyle w:val="1343"/>
            </w:pPr>
            <w:r>
              <w:rPr>
                <w:rFonts w:hint="eastAsia"/>
              </w:rPr>
              <w:t>19.45</w:t>
            </w:r>
          </w:p>
        </w:tc>
        <w:tc>
          <w:tcPr>
            <w:tcW w:w="1428" w:type="pct"/>
            <w:vAlign w:val="center"/>
          </w:tcPr>
          <w:p w14:paraId="2551AC9B">
            <w:pPr>
              <w:pStyle w:val="1343"/>
            </w:pPr>
            <w:r>
              <w:rPr>
                <w:rFonts w:hint="eastAsia"/>
              </w:rPr>
              <w:t>22.15</w:t>
            </w:r>
          </w:p>
        </w:tc>
      </w:tr>
      <w:tr w14:paraId="72AE5E56">
        <w:tblPrEx>
          <w:tblBorders>
            <w:top w:val="single" w:color="auto" w:sz="2" w:space="0"/>
            <w:left w:val="single" w:color="auto" w:sz="2" w:space="0"/>
            <w:bottom w:val="single" w:color="auto" w:sz="4"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142" w:type="pct"/>
            <w:vAlign w:val="center"/>
          </w:tcPr>
          <w:p w14:paraId="547E45FC">
            <w:pPr>
              <w:pStyle w:val="1343"/>
              <w:rPr>
                <w:i/>
                <w:iCs/>
                <w:color w:val="auto"/>
                <w:u w:val="single"/>
              </w:rPr>
            </w:pPr>
            <w:r>
              <w:rPr>
                <w:rFonts w:hint="eastAsia"/>
                <w:i/>
                <w:iCs/>
                <w:color w:val="auto"/>
                <w:u w:val="single"/>
              </w:rPr>
              <w:t>湿地生态系统</w:t>
            </w:r>
          </w:p>
        </w:tc>
        <w:tc>
          <w:tcPr>
            <w:tcW w:w="1428" w:type="pct"/>
            <w:vAlign w:val="center"/>
          </w:tcPr>
          <w:p w14:paraId="79B2F0F2">
            <w:pPr>
              <w:pStyle w:val="1343"/>
              <w:rPr>
                <w:rFonts w:hint="default" w:eastAsia="宋体"/>
                <w:i/>
                <w:iCs/>
                <w:color w:val="auto"/>
                <w:u w:val="single"/>
                <w:lang w:val="en-US" w:eastAsia="zh-CN"/>
              </w:rPr>
            </w:pPr>
            <w:r>
              <w:rPr>
                <w:rFonts w:hint="eastAsia"/>
                <w:i/>
                <w:iCs/>
                <w:color w:val="auto"/>
                <w:u w:val="single"/>
                <w:lang w:val="en-US" w:eastAsia="zh-CN"/>
              </w:rPr>
              <w:t>1.55</w:t>
            </w:r>
          </w:p>
        </w:tc>
        <w:tc>
          <w:tcPr>
            <w:tcW w:w="1428" w:type="pct"/>
            <w:vAlign w:val="center"/>
          </w:tcPr>
          <w:p w14:paraId="5BC03771">
            <w:pPr>
              <w:pStyle w:val="1343"/>
              <w:rPr>
                <w:rFonts w:hint="default" w:eastAsia="宋体"/>
                <w:i/>
                <w:iCs/>
                <w:color w:val="auto"/>
                <w:u w:val="single"/>
                <w:lang w:val="en-US" w:eastAsia="zh-CN"/>
              </w:rPr>
            </w:pPr>
            <w:r>
              <w:rPr>
                <w:rFonts w:hint="eastAsia"/>
                <w:i/>
                <w:iCs/>
                <w:color w:val="auto"/>
                <w:u w:val="single"/>
                <w:lang w:val="en-US" w:eastAsia="zh-CN"/>
              </w:rPr>
              <w:t>1.76</w:t>
            </w:r>
          </w:p>
        </w:tc>
      </w:tr>
      <w:tr w14:paraId="1237A8B1">
        <w:tblPrEx>
          <w:tblBorders>
            <w:top w:val="single" w:color="auto" w:sz="2" w:space="0"/>
            <w:left w:val="single" w:color="auto" w:sz="2" w:space="0"/>
            <w:bottom w:val="single" w:color="auto" w:sz="4"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142" w:type="pct"/>
            <w:vAlign w:val="center"/>
          </w:tcPr>
          <w:p w14:paraId="266CD6A4">
            <w:pPr>
              <w:pStyle w:val="1343"/>
            </w:pPr>
            <w:r>
              <w:rPr>
                <w:rFonts w:hint="eastAsia"/>
              </w:rPr>
              <w:t>合计</w:t>
            </w:r>
          </w:p>
        </w:tc>
        <w:tc>
          <w:tcPr>
            <w:tcW w:w="1428" w:type="pct"/>
            <w:vAlign w:val="center"/>
          </w:tcPr>
          <w:p w14:paraId="22376085">
            <w:pPr>
              <w:pStyle w:val="1343"/>
            </w:pPr>
            <w:r>
              <w:rPr>
                <w:rFonts w:hint="eastAsia"/>
              </w:rPr>
              <w:t>87.83</w:t>
            </w:r>
          </w:p>
        </w:tc>
        <w:tc>
          <w:tcPr>
            <w:tcW w:w="1428" w:type="pct"/>
            <w:vAlign w:val="center"/>
          </w:tcPr>
          <w:p w14:paraId="30B707A1">
            <w:pPr>
              <w:pStyle w:val="1343"/>
            </w:pPr>
            <w:r>
              <w:rPr>
                <w:rFonts w:hint="eastAsia"/>
              </w:rPr>
              <w:t>100</w:t>
            </w:r>
          </w:p>
        </w:tc>
      </w:tr>
    </w:tbl>
    <w:p w14:paraId="58E284CC">
      <w:pPr>
        <w:pStyle w:val="234"/>
        <w:spacing w:before="120" w:beforeLines="50"/>
      </w:pPr>
      <w:r>
        <w:t>综合分析，</w:t>
      </w:r>
      <w:r>
        <w:rPr>
          <w:rFonts w:hint="eastAsia"/>
        </w:rPr>
        <w:t>生态调查区内森林生态系统面积最大，为35.87hm</w:t>
      </w:r>
      <w:r>
        <w:rPr>
          <w:rFonts w:hint="eastAsia"/>
          <w:vertAlign w:val="superscript"/>
        </w:rPr>
        <w:t>2</w:t>
      </w:r>
      <w:r>
        <w:rPr>
          <w:rFonts w:hint="eastAsia"/>
        </w:rPr>
        <w:t>，占调查区面积比例为40.84％；其次为农田生态系统，面积为</w:t>
      </w:r>
      <w:r>
        <w:rPr>
          <w:rFonts w:hint="eastAsia"/>
          <w:lang w:val="en-US" w:eastAsia="zh-CN"/>
        </w:rPr>
        <w:t>30.96</w:t>
      </w:r>
      <w:r>
        <w:rPr>
          <w:rFonts w:hint="eastAsia"/>
        </w:rPr>
        <w:t>hm</w:t>
      </w:r>
      <w:r>
        <w:rPr>
          <w:rFonts w:hint="eastAsia"/>
          <w:vertAlign w:val="superscript"/>
        </w:rPr>
        <w:t>2</w:t>
      </w:r>
      <w:r>
        <w:rPr>
          <w:rFonts w:hint="eastAsia"/>
        </w:rPr>
        <w:t>，占调查区面积比例为3</w:t>
      </w:r>
      <w:r>
        <w:rPr>
          <w:rFonts w:hint="eastAsia"/>
          <w:lang w:val="en-US" w:eastAsia="zh-CN"/>
        </w:rPr>
        <w:t>5.25</w:t>
      </w:r>
      <w:r>
        <w:rPr>
          <w:rFonts w:hint="eastAsia"/>
        </w:rPr>
        <w:t>％；城镇生态系统面积为19.45hm</w:t>
      </w:r>
      <w:r>
        <w:rPr>
          <w:rFonts w:hint="eastAsia"/>
          <w:vertAlign w:val="superscript"/>
        </w:rPr>
        <w:t>2</w:t>
      </w:r>
      <w:r>
        <w:rPr>
          <w:rFonts w:hint="eastAsia"/>
        </w:rPr>
        <w:t>，占22.14％；</w:t>
      </w:r>
      <w:r>
        <w:rPr>
          <w:rFonts w:hint="eastAsia"/>
          <w:i/>
          <w:iCs/>
          <w:color w:val="auto"/>
          <w:u w:val="single"/>
        </w:rPr>
        <w:t>湿地生态系统面积为</w:t>
      </w:r>
      <w:r>
        <w:rPr>
          <w:rFonts w:hint="eastAsia"/>
          <w:i/>
          <w:iCs/>
          <w:color w:val="auto"/>
          <w:u w:val="single"/>
          <w:lang w:val="en-US" w:eastAsia="zh-CN"/>
        </w:rPr>
        <w:t>1.55</w:t>
      </w:r>
      <w:r>
        <w:rPr>
          <w:rFonts w:hint="eastAsia"/>
          <w:i/>
          <w:iCs/>
          <w:color w:val="auto"/>
          <w:u w:val="single"/>
        </w:rPr>
        <w:t xml:space="preserve"> hm</w:t>
      </w:r>
      <w:r>
        <w:rPr>
          <w:rFonts w:hint="eastAsia"/>
          <w:i/>
          <w:iCs/>
          <w:color w:val="auto"/>
          <w:u w:val="single"/>
          <w:vertAlign w:val="superscript"/>
        </w:rPr>
        <w:t>2</w:t>
      </w:r>
      <w:r>
        <w:rPr>
          <w:rFonts w:hint="eastAsia"/>
          <w:i/>
          <w:iCs/>
          <w:color w:val="auto"/>
          <w:u w:val="single"/>
        </w:rPr>
        <w:t>，占</w:t>
      </w:r>
      <w:r>
        <w:rPr>
          <w:rFonts w:hint="eastAsia"/>
          <w:i/>
          <w:iCs/>
          <w:color w:val="auto"/>
          <w:u w:val="single"/>
          <w:lang w:val="en-US" w:eastAsia="zh-CN"/>
        </w:rPr>
        <w:t>1.76</w:t>
      </w:r>
      <w:r>
        <w:rPr>
          <w:rFonts w:hint="eastAsia"/>
          <w:i/>
          <w:iCs/>
          <w:color w:val="auto"/>
          <w:u w:val="single"/>
        </w:rPr>
        <w:t>％</w:t>
      </w:r>
      <w:r>
        <w:rPr>
          <w:rFonts w:hint="eastAsia"/>
        </w:rPr>
        <w:t>。</w:t>
      </w:r>
    </w:p>
    <w:p w14:paraId="3640FFAA">
      <w:pPr>
        <w:pStyle w:val="234"/>
        <w:ind w:firstLine="0" w:firstLineChars="0"/>
        <w:jc w:val="center"/>
        <w:rPr>
          <w:i/>
          <w:iCs/>
          <w:color w:val="auto"/>
          <w:u w:val="single"/>
        </w:rPr>
      </w:pPr>
      <w:r>
        <w:rPr>
          <w:rFonts w:hint="eastAsia" w:eastAsia="黑体"/>
          <w:snapToGrid w:val="0"/>
          <w:color w:val="0000FF"/>
        </w:rPr>
        <w:drawing>
          <wp:inline distT="0" distB="0" distL="114300" distR="114300">
            <wp:extent cx="5800725" cy="6060440"/>
            <wp:effectExtent l="0" t="0" r="9525" b="16510"/>
            <wp:docPr id="8" name="图片 8" descr="270001d36bc99b05a4e7defda10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70001d36bc99b05a4e7defda100292"/>
                    <pic:cNvPicPr>
                      <a:picLocks noChangeAspect="1"/>
                    </pic:cNvPicPr>
                  </pic:nvPicPr>
                  <pic:blipFill>
                    <a:blip r:embed="rId70"/>
                    <a:stretch>
                      <a:fillRect/>
                    </a:stretch>
                  </pic:blipFill>
                  <pic:spPr>
                    <a:xfrm>
                      <a:off x="0" y="0"/>
                      <a:ext cx="5800725" cy="6060440"/>
                    </a:xfrm>
                    <a:prstGeom prst="rect">
                      <a:avLst/>
                    </a:prstGeom>
                  </pic:spPr>
                </pic:pic>
              </a:graphicData>
            </a:graphic>
          </wp:inline>
        </w:drawing>
      </w:r>
      <w:r>
        <w:rPr>
          <w:rFonts w:hint="eastAsia" w:eastAsia="黑体"/>
          <w:i/>
          <w:iCs/>
          <w:snapToGrid w:val="0"/>
          <w:color w:val="auto"/>
          <w:u w:val="single"/>
        </w:rPr>
        <w:t>图4.3-4  项目生态系统类型分布图</w:t>
      </w:r>
    </w:p>
    <w:p w14:paraId="6300D0D5">
      <w:pPr>
        <w:pStyle w:val="5"/>
        <w:rPr>
          <w:color w:val="auto"/>
        </w:rPr>
      </w:pPr>
      <w:bookmarkStart w:id="185" w:name="6.2.2.3_土地利用现状评价"/>
      <w:bookmarkEnd w:id="185"/>
      <w:r>
        <w:rPr>
          <w:color w:val="auto"/>
        </w:rPr>
        <w:t>土地利用现状调查与评价</w:t>
      </w:r>
    </w:p>
    <w:p w14:paraId="6D8B0C09">
      <w:pPr>
        <w:pStyle w:val="234"/>
      </w:pPr>
      <w:r>
        <w:t>本次评价以评价区所在区域卫星影像为基础数据，采用遥感与地理信息系统手段，对评价区的土地利用及覆盖情况进行研究。</w:t>
      </w:r>
    </w:p>
    <w:p w14:paraId="264714CC">
      <w:pPr>
        <w:pStyle w:val="234"/>
      </w:pPr>
      <w:r>
        <w:t>根据全国土地利用/覆盖分类系统，结合本工程的实际，</w:t>
      </w:r>
      <w:r>
        <w:rPr>
          <w:rFonts w:hint="eastAsia"/>
        </w:rPr>
        <w:t>本次</w:t>
      </w:r>
      <w:r>
        <w:t>确定区分出</w:t>
      </w:r>
      <w:bookmarkStart w:id="186" w:name="_Hlk120011735"/>
      <w:r>
        <w:rPr>
          <w:rFonts w:hint="eastAsia"/>
        </w:rPr>
        <w:t>《土地利用现状分类》中二级地类水田0</w:t>
      </w:r>
      <w:r>
        <w:t>10</w:t>
      </w:r>
      <w:r>
        <w:rPr>
          <w:rFonts w:hint="eastAsia"/>
        </w:rPr>
        <w:t>1</w:t>
      </w:r>
      <w:r>
        <w:t>、</w:t>
      </w:r>
      <w:r>
        <w:rPr>
          <w:rFonts w:hint="eastAsia"/>
        </w:rPr>
        <w:t>旱地0103、果园0201、其他园地0</w:t>
      </w:r>
      <w:r>
        <w:t>20</w:t>
      </w:r>
      <w:r>
        <w:rPr>
          <w:rFonts w:hint="eastAsia"/>
        </w:rPr>
        <w:t>3</w:t>
      </w:r>
      <w:r>
        <w:t>、</w:t>
      </w:r>
      <w:r>
        <w:rPr>
          <w:rFonts w:hint="eastAsia"/>
        </w:rPr>
        <w:t>乔木林地0</w:t>
      </w:r>
      <w:r>
        <w:t>301</w:t>
      </w:r>
      <w:r>
        <w:rPr>
          <w:rFonts w:hint="eastAsia"/>
        </w:rPr>
        <w:t>、灌木林地0305、其他林地0307、</w:t>
      </w:r>
      <w:r>
        <w:t>农村宅基地</w:t>
      </w:r>
      <w:r>
        <w:rPr>
          <w:rFonts w:hint="eastAsia"/>
        </w:rPr>
        <w:t>0</w:t>
      </w:r>
      <w:r>
        <w:t>702、工业用地</w:t>
      </w:r>
      <w:r>
        <w:rPr>
          <w:rFonts w:hint="eastAsia"/>
        </w:rPr>
        <w:t>0</w:t>
      </w:r>
      <w:r>
        <w:t>601、</w:t>
      </w:r>
      <w:r>
        <w:rPr>
          <w:rFonts w:hint="eastAsia"/>
        </w:rPr>
        <w:t>采矿用地0602、</w:t>
      </w:r>
      <w:r>
        <w:t>公路用地</w:t>
      </w:r>
      <w:r>
        <w:rPr>
          <w:rFonts w:hint="eastAsia"/>
        </w:rPr>
        <w:t>1</w:t>
      </w:r>
      <w:r>
        <w:t>003、</w:t>
      </w:r>
      <w:r>
        <w:rPr>
          <w:rFonts w:hint="eastAsia"/>
        </w:rPr>
        <w:t>农村道路1</w:t>
      </w:r>
      <w:r>
        <w:t>006</w:t>
      </w:r>
      <w:r>
        <w:rPr>
          <w:rFonts w:hint="eastAsia"/>
        </w:rPr>
        <w:t>、坑塘</w:t>
      </w:r>
      <w:r>
        <w:t>水面</w:t>
      </w:r>
      <w:r>
        <w:rPr>
          <w:rFonts w:hint="eastAsia"/>
        </w:rPr>
        <w:t>11</w:t>
      </w:r>
      <w:r>
        <w:t>0</w:t>
      </w:r>
      <w:r>
        <w:rPr>
          <w:rFonts w:hint="eastAsia"/>
        </w:rPr>
        <w:t>4共</w:t>
      </w:r>
      <w:r>
        <w:t>1</w:t>
      </w:r>
      <w:r>
        <w:rPr>
          <w:rFonts w:hint="eastAsia"/>
        </w:rPr>
        <w:t>3</w:t>
      </w:r>
      <w:r>
        <w:t>种土地利用和地表覆盖景观类型</w:t>
      </w:r>
      <w:bookmarkEnd w:id="186"/>
      <w:r>
        <w:t>。</w:t>
      </w:r>
    </w:p>
    <w:p w14:paraId="23C816C5">
      <w:pPr>
        <w:pStyle w:val="234"/>
      </w:pPr>
      <w:r>
        <w:t>（1）全线</w:t>
      </w:r>
    </w:p>
    <w:p w14:paraId="5A598FC4">
      <w:pPr>
        <w:pStyle w:val="234"/>
      </w:pPr>
      <w:r>
        <w:t>根据土地利用图和现场调查，以及景观单元受人类影响的程度，本工程两侧300m范围(评价区)内的土地利用统计结果见</w:t>
      </w:r>
      <w:r>
        <w:rPr>
          <w:rFonts w:hint="eastAsia"/>
        </w:rPr>
        <w:t>表4</w:t>
      </w:r>
      <w:r>
        <w:t>.3-2和图4.3-</w:t>
      </w:r>
      <w:r>
        <w:rPr>
          <w:rFonts w:hint="eastAsia"/>
        </w:rPr>
        <w:t>5</w:t>
      </w:r>
      <w:r>
        <w:t>，土地利用现状见图4.3-</w:t>
      </w:r>
      <w:r>
        <w:rPr>
          <w:rFonts w:hint="eastAsia"/>
        </w:rPr>
        <w:t>6</w:t>
      </w:r>
      <w:r>
        <w:t>。</w:t>
      </w:r>
    </w:p>
    <w:p w14:paraId="1D78E2F3">
      <w:pPr>
        <w:pStyle w:val="904"/>
        <w:rPr>
          <w:highlight w:val="yellow"/>
        </w:rPr>
      </w:pPr>
      <w:bookmarkStart w:id="187" w:name="表6.2-1__评价区土地利用现状统计"/>
      <w:bookmarkEnd w:id="187"/>
      <w:bookmarkStart w:id="188" w:name="_Ref77078978"/>
      <w:r>
        <w:t xml:space="preserve">表 </w:t>
      </w:r>
      <w:r>
        <w:fldChar w:fldCharType="begin"/>
      </w:r>
      <w:r>
        <w:instrText xml:space="preserve"> STYLEREF 2 \s </w:instrText>
      </w:r>
      <w:r>
        <w:fldChar w:fldCharType="separate"/>
      </w:r>
      <w:r>
        <w:t>4.3</w:t>
      </w:r>
      <w:r>
        <w:fldChar w:fldCharType="end"/>
      </w:r>
      <w:r>
        <w:noBreakHyphen/>
      </w:r>
      <w:bookmarkEnd w:id="188"/>
      <w:r>
        <w:t>2生态环境评价范围土地利用类型统计表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6"/>
        <w:gridCol w:w="2148"/>
        <w:gridCol w:w="1914"/>
        <w:gridCol w:w="1625"/>
        <w:gridCol w:w="2493"/>
      </w:tblGrid>
      <w:tr w14:paraId="53AD3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3" w:type="pct"/>
            <w:vMerge w:val="restart"/>
            <w:shd w:val="clear" w:color="auto" w:fill="auto"/>
            <w:vAlign w:val="center"/>
          </w:tcPr>
          <w:p w14:paraId="4956B3BB">
            <w:pPr>
              <w:pStyle w:val="1343"/>
            </w:pPr>
            <w:r>
              <w:rPr>
                <w:rFonts w:hint="eastAsia"/>
              </w:rPr>
              <w:t>序号</w:t>
            </w:r>
          </w:p>
        </w:tc>
        <w:tc>
          <w:tcPr>
            <w:tcW w:w="2118" w:type="pct"/>
            <w:gridSpan w:val="2"/>
            <w:shd w:val="clear" w:color="auto" w:fill="auto"/>
            <w:noWrap/>
            <w:vAlign w:val="center"/>
          </w:tcPr>
          <w:p w14:paraId="64C91C10">
            <w:pPr>
              <w:pStyle w:val="1343"/>
            </w:pPr>
            <w:r>
              <w:rPr>
                <w:rFonts w:hint="eastAsia"/>
              </w:rPr>
              <w:t>用地类型</w:t>
            </w:r>
          </w:p>
        </w:tc>
        <w:tc>
          <w:tcPr>
            <w:tcW w:w="847" w:type="pct"/>
            <w:vMerge w:val="restart"/>
            <w:shd w:val="clear" w:color="auto" w:fill="auto"/>
            <w:vAlign w:val="center"/>
          </w:tcPr>
          <w:p w14:paraId="7AFBE7E7">
            <w:pPr>
              <w:pStyle w:val="1343"/>
            </w:pPr>
            <w:r>
              <w:rPr>
                <w:rFonts w:hint="eastAsia"/>
              </w:rPr>
              <w:t>面积（hm</w:t>
            </w:r>
            <w:r>
              <w:rPr>
                <w:rFonts w:hint="eastAsia"/>
                <w:vertAlign w:val="superscript"/>
              </w:rPr>
              <w:t>2</w:t>
            </w:r>
            <w:r>
              <w:rPr>
                <w:rFonts w:hint="eastAsia"/>
              </w:rPr>
              <w:t>）</w:t>
            </w:r>
          </w:p>
        </w:tc>
        <w:tc>
          <w:tcPr>
            <w:tcW w:w="1300" w:type="pct"/>
            <w:vMerge w:val="restart"/>
            <w:shd w:val="clear" w:color="auto" w:fill="auto"/>
            <w:vAlign w:val="center"/>
          </w:tcPr>
          <w:p w14:paraId="2CCD91E8">
            <w:pPr>
              <w:pStyle w:val="1343"/>
            </w:pPr>
            <w:r>
              <w:rPr>
                <w:rFonts w:hint="eastAsia"/>
              </w:rPr>
              <w:t>所占比例（%）</w:t>
            </w:r>
          </w:p>
        </w:tc>
      </w:tr>
      <w:tr w14:paraId="5731E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3" w:type="pct"/>
            <w:vMerge w:val="continue"/>
            <w:shd w:val="clear" w:color="auto" w:fill="auto"/>
            <w:vAlign w:val="center"/>
          </w:tcPr>
          <w:p w14:paraId="77B2B530">
            <w:pPr>
              <w:pStyle w:val="1343"/>
            </w:pPr>
          </w:p>
        </w:tc>
        <w:tc>
          <w:tcPr>
            <w:tcW w:w="1120" w:type="pct"/>
            <w:shd w:val="clear" w:color="auto" w:fill="auto"/>
            <w:noWrap/>
            <w:vAlign w:val="center"/>
          </w:tcPr>
          <w:p w14:paraId="4AA0EF92">
            <w:pPr>
              <w:pStyle w:val="1343"/>
            </w:pPr>
            <w:r>
              <w:rPr>
                <w:rFonts w:hint="eastAsia"/>
              </w:rPr>
              <w:t>一级地类</w:t>
            </w:r>
          </w:p>
        </w:tc>
        <w:tc>
          <w:tcPr>
            <w:tcW w:w="998" w:type="pct"/>
            <w:shd w:val="clear" w:color="auto" w:fill="auto"/>
            <w:vAlign w:val="center"/>
          </w:tcPr>
          <w:p w14:paraId="5BFE5E37">
            <w:pPr>
              <w:pStyle w:val="1343"/>
            </w:pPr>
            <w:r>
              <w:rPr>
                <w:rFonts w:hint="eastAsia"/>
              </w:rPr>
              <w:t>二级地类</w:t>
            </w:r>
          </w:p>
        </w:tc>
        <w:tc>
          <w:tcPr>
            <w:tcW w:w="847" w:type="pct"/>
            <w:vMerge w:val="continue"/>
            <w:shd w:val="clear" w:color="auto" w:fill="auto"/>
            <w:vAlign w:val="center"/>
          </w:tcPr>
          <w:p w14:paraId="4E29B0F9">
            <w:pPr>
              <w:pStyle w:val="1343"/>
            </w:pPr>
          </w:p>
        </w:tc>
        <w:tc>
          <w:tcPr>
            <w:tcW w:w="1300" w:type="pct"/>
            <w:vMerge w:val="continue"/>
            <w:shd w:val="clear" w:color="auto" w:fill="auto"/>
            <w:vAlign w:val="center"/>
          </w:tcPr>
          <w:p w14:paraId="691AE7A3">
            <w:pPr>
              <w:pStyle w:val="1343"/>
            </w:pPr>
          </w:p>
        </w:tc>
      </w:tr>
      <w:tr w14:paraId="73686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733" w:type="pct"/>
            <w:shd w:val="clear" w:color="auto" w:fill="auto"/>
            <w:vAlign w:val="center"/>
          </w:tcPr>
          <w:p w14:paraId="70821B2A">
            <w:pPr>
              <w:pStyle w:val="1343"/>
            </w:pPr>
            <w:r>
              <w:rPr>
                <w:rFonts w:hint="eastAsia"/>
              </w:rPr>
              <w:t>1</w:t>
            </w:r>
          </w:p>
        </w:tc>
        <w:tc>
          <w:tcPr>
            <w:tcW w:w="1120" w:type="pct"/>
            <w:vMerge w:val="restart"/>
            <w:shd w:val="clear" w:color="auto" w:fill="auto"/>
            <w:noWrap/>
            <w:vAlign w:val="center"/>
          </w:tcPr>
          <w:p w14:paraId="5E9FAD1D">
            <w:pPr>
              <w:pStyle w:val="1343"/>
            </w:pPr>
            <w:r>
              <w:rPr>
                <w:rFonts w:hint="eastAsia"/>
              </w:rPr>
              <w:t>耕地</w:t>
            </w:r>
          </w:p>
        </w:tc>
        <w:tc>
          <w:tcPr>
            <w:tcW w:w="998" w:type="pct"/>
            <w:shd w:val="clear" w:color="auto" w:fill="auto"/>
            <w:vAlign w:val="center"/>
          </w:tcPr>
          <w:p w14:paraId="5BA95C41">
            <w:pPr>
              <w:pStyle w:val="1343"/>
            </w:pPr>
            <w:r>
              <w:rPr>
                <w:rFonts w:hint="eastAsia"/>
              </w:rPr>
              <w:t>水田</w:t>
            </w:r>
            <w:r>
              <w:t>010</w:t>
            </w:r>
            <w:r>
              <w:rPr>
                <w:rFonts w:hint="eastAsia"/>
              </w:rPr>
              <w:t>1</w:t>
            </w:r>
          </w:p>
        </w:tc>
        <w:tc>
          <w:tcPr>
            <w:tcW w:w="847" w:type="pct"/>
            <w:shd w:val="clear" w:color="auto" w:fill="auto"/>
            <w:vAlign w:val="center"/>
          </w:tcPr>
          <w:p w14:paraId="2C885820">
            <w:pPr>
              <w:pStyle w:val="1343"/>
              <w:rPr>
                <w:rFonts w:eastAsia="等线"/>
              </w:rPr>
            </w:pPr>
            <w:r>
              <w:rPr>
                <w:rFonts w:hint="eastAsia" w:eastAsia="等线"/>
              </w:rPr>
              <w:t>15.74</w:t>
            </w:r>
          </w:p>
        </w:tc>
        <w:tc>
          <w:tcPr>
            <w:tcW w:w="2493" w:type="dxa"/>
            <w:shd w:val="clear" w:color="auto" w:fill="auto"/>
            <w:vAlign w:val="center"/>
          </w:tcPr>
          <w:p w14:paraId="55DE11E2">
            <w:pPr>
              <w:pStyle w:val="1343"/>
              <w:rPr>
                <w:rFonts w:eastAsia="等线"/>
              </w:rPr>
            </w:pPr>
            <w:r>
              <w:rPr>
                <w:rFonts w:hint="eastAsia" w:eastAsia="等线"/>
              </w:rPr>
              <w:t>17.92</w:t>
            </w:r>
          </w:p>
        </w:tc>
      </w:tr>
      <w:tr w14:paraId="6B151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3" w:type="pct"/>
            <w:shd w:val="clear" w:color="auto" w:fill="auto"/>
            <w:vAlign w:val="center"/>
          </w:tcPr>
          <w:p w14:paraId="4CDE0B34">
            <w:pPr>
              <w:pStyle w:val="1343"/>
            </w:pPr>
            <w:r>
              <w:rPr>
                <w:rFonts w:hint="eastAsia"/>
              </w:rPr>
              <w:t>2</w:t>
            </w:r>
          </w:p>
        </w:tc>
        <w:tc>
          <w:tcPr>
            <w:tcW w:w="1120" w:type="pct"/>
            <w:vMerge w:val="continue"/>
            <w:shd w:val="clear" w:color="auto" w:fill="auto"/>
            <w:noWrap/>
            <w:vAlign w:val="center"/>
          </w:tcPr>
          <w:p w14:paraId="1CA2F37B">
            <w:pPr>
              <w:pStyle w:val="1343"/>
            </w:pPr>
          </w:p>
        </w:tc>
        <w:tc>
          <w:tcPr>
            <w:tcW w:w="998" w:type="pct"/>
            <w:shd w:val="clear" w:color="auto" w:fill="auto"/>
            <w:vAlign w:val="center"/>
          </w:tcPr>
          <w:p w14:paraId="5F69601A">
            <w:pPr>
              <w:pStyle w:val="1343"/>
            </w:pPr>
            <w:r>
              <w:rPr>
                <w:rFonts w:hint="eastAsia"/>
              </w:rPr>
              <w:t>旱地0103</w:t>
            </w:r>
          </w:p>
        </w:tc>
        <w:tc>
          <w:tcPr>
            <w:tcW w:w="847" w:type="pct"/>
            <w:shd w:val="clear" w:color="auto" w:fill="auto"/>
            <w:vAlign w:val="center"/>
          </w:tcPr>
          <w:p w14:paraId="5F79E45D">
            <w:pPr>
              <w:pStyle w:val="1343"/>
              <w:rPr>
                <w:rFonts w:eastAsia="等线"/>
                <w:sz w:val="22"/>
                <w:szCs w:val="22"/>
              </w:rPr>
            </w:pPr>
            <w:r>
              <w:rPr>
                <w:rFonts w:hint="eastAsia" w:eastAsia="等线"/>
                <w:sz w:val="22"/>
                <w:szCs w:val="22"/>
              </w:rPr>
              <w:t>6.20</w:t>
            </w:r>
          </w:p>
        </w:tc>
        <w:tc>
          <w:tcPr>
            <w:tcW w:w="2493" w:type="dxa"/>
            <w:shd w:val="clear" w:color="auto" w:fill="auto"/>
            <w:vAlign w:val="center"/>
          </w:tcPr>
          <w:p w14:paraId="6DC9B7BA">
            <w:pPr>
              <w:pStyle w:val="1343"/>
              <w:rPr>
                <w:rFonts w:eastAsia="等线"/>
              </w:rPr>
            </w:pPr>
            <w:r>
              <w:rPr>
                <w:rFonts w:hint="eastAsia" w:eastAsia="等线"/>
              </w:rPr>
              <w:t>7.06</w:t>
            </w:r>
          </w:p>
        </w:tc>
      </w:tr>
      <w:tr w14:paraId="6D57A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3" w:type="pct"/>
            <w:shd w:val="clear" w:color="auto" w:fill="auto"/>
            <w:vAlign w:val="center"/>
          </w:tcPr>
          <w:p w14:paraId="55366AA2">
            <w:pPr>
              <w:pStyle w:val="1343"/>
            </w:pPr>
            <w:r>
              <w:rPr>
                <w:rFonts w:hint="eastAsia"/>
              </w:rPr>
              <w:t>3</w:t>
            </w:r>
          </w:p>
        </w:tc>
        <w:tc>
          <w:tcPr>
            <w:tcW w:w="1120" w:type="pct"/>
            <w:vMerge w:val="restart"/>
            <w:shd w:val="clear" w:color="auto" w:fill="auto"/>
            <w:noWrap/>
            <w:vAlign w:val="center"/>
          </w:tcPr>
          <w:p w14:paraId="05B5BA09">
            <w:pPr>
              <w:pStyle w:val="1343"/>
            </w:pPr>
            <w:r>
              <w:rPr>
                <w:rFonts w:hint="eastAsia"/>
              </w:rPr>
              <w:t>园地</w:t>
            </w:r>
          </w:p>
        </w:tc>
        <w:tc>
          <w:tcPr>
            <w:tcW w:w="998" w:type="pct"/>
            <w:shd w:val="clear" w:color="auto" w:fill="auto"/>
            <w:vAlign w:val="center"/>
          </w:tcPr>
          <w:p w14:paraId="6EE0BD77">
            <w:pPr>
              <w:pStyle w:val="1343"/>
            </w:pPr>
            <w:r>
              <w:rPr>
                <w:rFonts w:hint="eastAsia"/>
              </w:rPr>
              <w:t>果园0201</w:t>
            </w:r>
          </w:p>
        </w:tc>
        <w:tc>
          <w:tcPr>
            <w:tcW w:w="847" w:type="pct"/>
            <w:shd w:val="clear" w:color="auto" w:fill="auto"/>
            <w:vAlign w:val="center"/>
          </w:tcPr>
          <w:p w14:paraId="54760930">
            <w:pPr>
              <w:pStyle w:val="1343"/>
              <w:rPr>
                <w:rFonts w:eastAsia="等线"/>
              </w:rPr>
            </w:pPr>
            <w:r>
              <w:rPr>
                <w:rFonts w:hint="eastAsia" w:eastAsia="等线"/>
              </w:rPr>
              <w:t>0.09</w:t>
            </w:r>
          </w:p>
        </w:tc>
        <w:tc>
          <w:tcPr>
            <w:tcW w:w="2493" w:type="dxa"/>
            <w:shd w:val="clear" w:color="auto" w:fill="auto"/>
            <w:vAlign w:val="center"/>
          </w:tcPr>
          <w:p w14:paraId="78BD9C37">
            <w:pPr>
              <w:pStyle w:val="1343"/>
              <w:rPr>
                <w:rFonts w:eastAsia="等线"/>
              </w:rPr>
            </w:pPr>
            <w:r>
              <w:rPr>
                <w:rFonts w:hint="eastAsia" w:eastAsia="等线"/>
              </w:rPr>
              <w:t>0.10</w:t>
            </w:r>
          </w:p>
        </w:tc>
      </w:tr>
      <w:tr w14:paraId="15987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3" w:type="pct"/>
            <w:shd w:val="clear" w:color="auto" w:fill="auto"/>
            <w:vAlign w:val="center"/>
          </w:tcPr>
          <w:p w14:paraId="39EBDA93">
            <w:pPr>
              <w:pStyle w:val="1343"/>
            </w:pPr>
            <w:r>
              <w:rPr>
                <w:rFonts w:hint="eastAsia"/>
              </w:rPr>
              <w:t>4</w:t>
            </w:r>
          </w:p>
        </w:tc>
        <w:tc>
          <w:tcPr>
            <w:tcW w:w="1120" w:type="pct"/>
            <w:vMerge w:val="continue"/>
            <w:shd w:val="clear" w:color="auto" w:fill="auto"/>
            <w:noWrap/>
            <w:vAlign w:val="center"/>
          </w:tcPr>
          <w:p w14:paraId="1E6778F8">
            <w:pPr>
              <w:pStyle w:val="1343"/>
            </w:pPr>
          </w:p>
        </w:tc>
        <w:tc>
          <w:tcPr>
            <w:tcW w:w="998" w:type="pct"/>
            <w:shd w:val="clear" w:color="auto" w:fill="auto"/>
            <w:vAlign w:val="center"/>
          </w:tcPr>
          <w:p w14:paraId="291AD2E1">
            <w:pPr>
              <w:pStyle w:val="1343"/>
            </w:pPr>
            <w:r>
              <w:rPr>
                <w:rFonts w:hint="eastAsia"/>
              </w:rPr>
              <w:t>其他园地0</w:t>
            </w:r>
            <w:r>
              <w:t>20</w:t>
            </w:r>
            <w:r>
              <w:rPr>
                <w:rFonts w:hint="eastAsia"/>
              </w:rPr>
              <w:t>3</w:t>
            </w:r>
          </w:p>
        </w:tc>
        <w:tc>
          <w:tcPr>
            <w:tcW w:w="847" w:type="pct"/>
            <w:shd w:val="clear" w:color="auto" w:fill="auto"/>
            <w:vAlign w:val="center"/>
          </w:tcPr>
          <w:p w14:paraId="749E78D4">
            <w:pPr>
              <w:pStyle w:val="1343"/>
              <w:rPr>
                <w:rFonts w:eastAsia="等线"/>
              </w:rPr>
            </w:pPr>
            <w:r>
              <w:rPr>
                <w:rFonts w:hint="eastAsia" w:eastAsia="等线"/>
              </w:rPr>
              <w:t>7.37</w:t>
            </w:r>
          </w:p>
        </w:tc>
        <w:tc>
          <w:tcPr>
            <w:tcW w:w="2493" w:type="dxa"/>
            <w:shd w:val="clear" w:color="auto" w:fill="auto"/>
            <w:vAlign w:val="center"/>
          </w:tcPr>
          <w:p w14:paraId="57898EF0">
            <w:pPr>
              <w:pStyle w:val="1343"/>
              <w:rPr>
                <w:rFonts w:eastAsia="等线"/>
              </w:rPr>
            </w:pPr>
            <w:r>
              <w:rPr>
                <w:rFonts w:hint="eastAsia" w:eastAsia="等线"/>
              </w:rPr>
              <w:t>8.39</w:t>
            </w:r>
          </w:p>
        </w:tc>
      </w:tr>
      <w:tr w14:paraId="544A6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3" w:type="pct"/>
            <w:shd w:val="clear" w:color="auto" w:fill="auto"/>
            <w:vAlign w:val="center"/>
          </w:tcPr>
          <w:p w14:paraId="7FAEBC9E">
            <w:pPr>
              <w:pStyle w:val="1343"/>
            </w:pPr>
            <w:r>
              <w:rPr>
                <w:rFonts w:hint="eastAsia"/>
              </w:rPr>
              <w:t>5</w:t>
            </w:r>
          </w:p>
        </w:tc>
        <w:tc>
          <w:tcPr>
            <w:tcW w:w="1120" w:type="pct"/>
            <w:vMerge w:val="restart"/>
            <w:shd w:val="clear" w:color="auto" w:fill="auto"/>
            <w:noWrap/>
            <w:vAlign w:val="center"/>
          </w:tcPr>
          <w:p w14:paraId="40A14399">
            <w:pPr>
              <w:pStyle w:val="1343"/>
            </w:pPr>
            <w:r>
              <w:rPr>
                <w:rFonts w:hint="eastAsia"/>
              </w:rPr>
              <w:t>林地</w:t>
            </w:r>
          </w:p>
        </w:tc>
        <w:tc>
          <w:tcPr>
            <w:tcW w:w="998" w:type="pct"/>
            <w:shd w:val="clear" w:color="auto" w:fill="auto"/>
            <w:vAlign w:val="center"/>
          </w:tcPr>
          <w:p w14:paraId="39C72F0F">
            <w:pPr>
              <w:pStyle w:val="1343"/>
            </w:pPr>
            <w:r>
              <w:rPr>
                <w:rFonts w:hint="eastAsia"/>
              </w:rPr>
              <w:t>乔木林地0</w:t>
            </w:r>
            <w:r>
              <w:t>301</w:t>
            </w:r>
          </w:p>
        </w:tc>
        <w:tc>
          <w:tcPr>
            <w:tcW w:w="847" w:type="pct"/>
            <w:shd w:val="clear" w:color="auto" w:fill="auto"/>
            <w:vAlign w:val="center"/>
          </w:tcPr>
          <w:p w14:paraId="074921F1">
            <w:pPr>
              <w:pStyle w:val="1343"/>
              <w:rPr>
                <w:rFonts w:eastAsia="等线"/>
              </w:rPr>
            </w:pPr>
            <w:r>
              <w:rPr>
                <w:rFonts w:hint="eastAsia" w:eastAsia="等线"/>
              </w:rPr>
              <w:t>5.51</w:t>
            </w:r>
          </w:p>
        </w:tc>
        <w:tc>
          <w:tcPr>
            <w:tcW w:w="2493" w:type="dxa"/>
            <w:shd w:val="clear" w:color="auto" w:fill="auto"/>
            <w:vAlign w:val="center"/>
          </w:tcPr>
          <w:p w14:paraId="6106136B">
            <w:pPr>
              <w:pStyle w:val="1343"/>
              <w:rPr>
                <w:rFonts w:eastAsia="等线"/>
              </w:rPr>
            </w:pPr>
            <w:r>
              <w:rPr>
                <w:rFonts w:hint="eastAsia" w:eastAsia="等线"/>
              </w:rPr>
              <w:t>6.27</w:t>
            </w:r>
          </w:p>
        </w:tc>
      </w:tr>
      <w:tr w14:paraId="0ADA3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3" w:type="pct"/>
            <w:shd w:val="clear" w:color="auto" w:fill="auto"/>
            <w:vAlign w:val="center"/>
          </w:tcPr>
          <w:p w14:paraId="502536BC">
            <w:pPr>
              <w:pStyle w:val="1343"/>
            </w:pPr>
            <w:r>
              <w:rPr>
                <w:rFonts w:hint="eastAsia"/>
              </w:rPr>
              <w:t>6</w:t>
            </w:r>
          </w:p>
        </w:tc>
        <w:tc>
          <w:tcPr>
            <w:tcW w:w="1120" w:type="pct"/>
            <w:vMerge w:val="continue"/>
            <w:shd w:val="clear" w:color="auto" w:fill="auto"/>
            <w:noWrap/>
            <w:vAlign w:val="center"/>
          </w:tcPr>
          <w:p w14:paraId="148E3EF9">
            <w:pPr>
              <w:pStyle w:val="1343"/>
            </w:pPr>
          </w:p>
        </w:tc>
        <w:tc>
          <w:tcPr>
            <w:tcW w:w="998" w:type="pct"/>
            <w:shd w:val="clear" w:color="auto" w:fill="auto"/>
            <w:vAlign w:val="center"/>
          </w:tcPr>
          <w:p w14:paraId="28CD0C25">
            <w:pPr>
              <w:pStyle w:val="1343"/>
            </w:pPr>
            <w:r>
              <w:rPr>
                <w:rFonts w:hint="eastAsia"/>
              </w:rPr>
              <w:t>灌木林地0305</w:t>
            </w:r>
          </w:p>
        </w:tc>
        <w:tc>
          <w:tcPr>
            <w:tcW w:w="847" w:type="pct"/>
            <w:shd w:val="clear" w:color="auto" w:fill="auto"/>
            <w:vAlign w:val="center"/>
          </w:tcPr>
          <w:p w14:paraId="21A286BE">
            <w:pPr>
              <w:pStyle w:val="1343"/>
              <w:rPr>
                <w:rFonts w:eastAsia="等线"/>
              </w:rPr>
            </w:pPr>
            <w:r>
              <w:rPr>
                <w:rFonts w:hint="eastAsia" w:eastAsia="等线"/>
              </w:rPr>
              <w:t>1.47</w:t>
            </w:r>
          </w:p>
        </w:tc>
        <w:tc>
          <w:tcPr>
            <w:tcW w:w="2493" w:type="dxa"/>
            <w:shd w:val="clear" w:color="auto" w:fill="auto"/>
            <w:vAlign w:val="center"/>
          </w:tcPr>
          <w:p w14:paraId="7D993D01">
            <w:pPr>
              <w:pStyle w:val="1343"/>
              <w:rPr>
                <w:rFonts w:eastAsia="等线"/>
              </w:rPr>
            </w:pPr>
            <w:r>
              <w:rPr>
                <w:rFonts w:hint="eastAsia" w:eastAsia="等线"/>
              </w:rPr>
              <w:t>1.67</w:t>
            </w:r>
          </w:p>
        </w:tc>
      </w:tr>
      <w:tr w14:paraId="7F525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3" w:type="pct"/>
            <w:shd w:val="clear" w:color="auto" w:fill="auto"/>
            <w:vAlign w:val="center"/>
          </w:tcPr>
          <w:p w14:paraId="32327A2B">
            <w:pPr>
              <w:pStyle w:val="1343"/>
            </w:pPr>
            <w:r>
              <w:rPr>
                <w:rFonts w:hint="eastAsia"/>
              </w:rPr>
              <w:t>7</w:t>
            </w:r>
          </w:p>
        </w:tc>
        <w:tc>
          <w:tcPr>
            <w:tcW w:w="1120" w:type="pct"/>
            <w:vMerge w:val="continue"/>
            <w:shd w:val="clear" w:color="auto" w:fill="auto"/>
            <w:noWrap/>
            <w:vAlign w:val="center"/>
          </w:tcPr>
          <w:p w14:paraId="0F98719F">
            <w:pPr>
              <w:pStyle w:val="1343"/>
            </w:pPr>
          </w:p>
        </w:tc>
        <w:tc>
          <w:tcPr>
            <w:tcW w:w="998" w:type="pct"/>
            <w:shd w:val="clear" w:color="auto" w:fill="auto"/>
            <w:vAlign w:val="center"/>
          </w:tcPr>
          <w:p w14:paraId="723CC213">
            <w:pPr>
              <w:pStyle w:val="1343"/>
            </w:pPr>
            <w:r>
              <w:rPr>
                <w:rFonts w:hint="eastAsia"/>
              </w:rPr>
              <w:t>其他林地0307</w:t>
            </w:r>
          </w:p>
        </w:tc>
        <w:tc>
          <w:tcPr>
            <w:tcW w:w="847" w:type="pct"/>
            <w:shd w:val="clear" w:color="auto" w:fill="auto"/>
            <w:vAlign w:val="center"/>
          </w:tcPr>
          <w:p w14:paraId="263D924C">
            <w:pPr>
              <w:pStyle w:val="1343"/>
              <w:rPr>
                <w:rFonts w:eastAsia="等线"/>
              </w:rPr>
            </w:pPr>
            <w:r>
              <w:rPr>
                <w:rFonts w:hint="eastAsia" w:eastAsia="等线"/>
              </w:rPr>
              <w:t>30.45</w:t>
            </w:r>
          </w:p>
        </w:tc>
        <w:tc>
          <w:tcPr>
            <w:tcW w:w="2493" w:type="dxa"/>
            <w:shd w:val="clear" w:color="auto" w:fill="auto"/>
            <w:vAlign w:val="center"/>
          </w:tcPr>
          <w:p w14:paraId="20D10CFF">
            <w:pPr>
              <w:pStyle w:val="1343"/>
              <w:rPr>
                <w:rFonts w:eastAsia="等线"/>
              </w:rPr>
            </w:pPr>
            <w:r>
              <w:rPr>
                <w:rFonts w:hint="eastAsia" w:eastAsia="等线"/>
              </w:rPr>
              <w:t>34.67</w:t>
            </w:r>
          </w:p>
        </w:tc>
      </w:tr>
      <w:tr w14:paraId="4ACAC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3" w:type="pct"/>
            <w:shd w:val="clear" w:color="auto" w:fill="auto"/>
            <w:vAlign w:val="center"/>
          </w:tcPr>
          <w:p w14:paraId="50B219DB">
            <w:pPr>
              <w:pStyle w:val="1343"/>
            </w:pPr>
            <w:r>
              <w:rPr>
                <w:rFonts w:hint="eastAsia"/>
              </w:rPr>
              <w:t>8</w:t>
            </w:r>
          </w:p>
        </w:tc>
        <w:tc>
          <w:tcPr>
            <w:tcW w:w="1120" w:type="pct"/>
            <w:shd w:val="clear" w:color="auto" w:fill="auto"/>
            <w:noWrap/>
            <w:vAlign w:val="center"/>
          </w:tcPr>
          <w:p w14:paraId="627DD9D1">
            <w:pPr>
              <w:pStyle w:val="1343"/>
            </w:pPr>
            <w:r>
              <w:rPr>
                <w:rFonts w:hint="eastAsia"/>
              </w:rPr>
              <w:t>住宅用地</w:t>
            </w:r>
          </w:p>
        </w:tc>
        <w:tc>
          <w:tcPr>
            <w:tcW w:w="998" w:type="pct"/>
            <w:shd w:val="clear" w:color="auto" w:fill="auto"/>
            <w:vAlign w:val="center"/>
          </w:tcPr>
          <w:p w14:paraId="143F4777">
            <w:pPr>
              <w:pStyle w:val="1343"/>
            </w:pPr>
            <w:r>
              <w:rPr>
                <w:rFonts w:hint="eastAsia"/>
              </w:rPr>
              <w:t>农村宅基地0</w:t>
            </w:r>
            <w:r>
              <w:t>702</w:t>
            </w:r>
          </w:p>
        </w:tc>
        <w:tc>
          <w:tcPr>
            <w:tcW w:w="847" w:type="pct"/>
            <w:shd w:val="clear" w:color="auto" w:fill="auto"/>
            <w:vAlign w:val="center"/>
          </w:tcPr>
          <w:p w14:paraId="44141867">
            <w:pPr>
              <w:pStyle w:val="1343"/>
              <w:rPr>
                <w:rFonts w:eastAsia="等线"/>
              </w:rPr>
            </w:pPr>
            <w:r>
              <w:rPr>
                <w:rFonts w:hint="eastAsia" w:eastAsia="等线"/>
              </w:rPr>
              <w:t>12.30</w:t>
            </w:r>
          </w:p>
        </w:tc>
        <w:tc>
          <w:tcPr>
            <w:tcW w:w="2493" w:type="dxa"/>
            <w:shd w:val="clear" w:color="auto" w:fill="auto"/>
            <w:vAlign w:val="center"/>
          </w:tcPr>
          <w:p w14:paraId="2D680D5A">
            <w:pPr>
              <w:pStyle w:val="1343"/>
              <w:rPr>
                <w:rFonts w:eastAsia="等线"/>
              </w:rPr>
            </w:pPr>
            <w:r>
              <w:rPr>
                <w:rFonts w:hint="eastAsia" w:eastAsia="等线"/>
              </w:rPr>
              <w:t>14.00</w:t>
            </w:r>
          </w:p>
        </w:tc>
      </w:tr>
      <w:tr w14:paraId="682A0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3" w:type="pct"/>
            <w:shd w:val="clear" w:color="auto" w:fill="auto"/>
            <w:vAlign w:val="center"/>
          </w:tcPr>
          <w:p w14:paraId="184E2345">
            <w:pPr>
              <w:pStyle w:val="1343"/>
            </w:pPr>
            <w:r>
              <w:rPr>
                <w:rFonts w:hint="eastAsia"/>
              </w:rPr>
              <w:t>9</w:t>
            </w:r>
          </w:p>
        </w:tc>
        <w:tc>
          <w:tcPr>
            <w:tcW w:w="1120" w:type="pct"/>
            <w:vMerge w:val="restart"/>
            <w:shd w:val="clear" w:color="auto" w:fill="auto"/>
            <w:noWrap/>
            <w:vAlign w:val="center"/>
          </w:tcPr>
          <w:p w14:paraId="0E45C125">
            <w:pPr>
              <w:pStyle w:val="1343"/>
            </w:pPr>
            <w:r>
              <w:rPr>
                <w:rFonts w:hint="eastAsia"/>
              </w:rPr>
              <w:t>工矿仓储用地</w:t>
            </w:r>
          </w:p>
        </w:tc>
        <w:tc>
          <w:tcPr>
            <w:tcW w:w="998" w:type="pct"/>
            <w:shd w:val="clear" w:color="auto" w:fill="auto"/>
            <w:vAlign w:val="center"/>
          </w:tcPr>
          <w:p w14:paraId="5DB057FD">
            <w:pPr>
              <w:pStyle w:val="1343"/>
            </w:pPr>
            <w:r>
              <w:rPr>
                <w:rFonts w:hint="eastAsia"/>
              </w:rPr>
              <w:t>工业用地0</w:t>
            </w:r>
            <w:r>
              <w:t>601</w:t>
            </w:r>
          </w:p>
        </w:tc>
        <w:tc>
          <w:tcPr>
            <w:tcW w:w="847" w:type="pct"/>
            <w:shd w:val="clear" w:color="auto" w:fill="auto"/>
            <w:vAlign w:val="center"/>
          </w:tcPr>
          <w:p w14:paraId="2D67C003">
            <w:pPr>
              <w:pStyle w:val="1343"/>
              <w:rPr>
                <w:rFonts w:eastAsia="等线"/>
              </w:rPr>
            </w:pPr>
            <w:r>
              <w:rPr>
                <w:rFonts w:hint="eastAsia" w:eastAsia="等线"/>
              </w:rPr>
              <w:t>1.04</w:t>
            </w:r>
          </w:p>
        </w:tc>
        <w:tc>
          <w:tcPr>
            <w:tcW w:w="2493" w:type="dxa"/>
            <w:shd w:val="clear" w:color="auto" w:fill="auto"/>
            <w:vAlign w:val="center"/>
          </w:tcPr>
          <w:p w14:paraId="5C75E237">
            <w:pPr>
              <w:pStyle w:val="1343"/>
              <w:rPr>
                <w:rFonts w:eastAsia="等线"/>
              </w:rPr>
            </w:pPr>
            <w:r>
              <w:rPr>
                <w:rFonts w:hint="eastAsia" w:eastAsia="等线"/>
              </w:rPr>
              <w:t>1.19</w:t>
            </w:r>
          </w:p>
        </w:tc>
      </w:tr>
      <w:tr w14:paraId="5B9F6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3" w:type="pct"/>
            <w:shd w:val="clear" w:color="auto" w:fill="auto"/>
            <w:vAlign w:val="center"/>
          </w:tcPr>
          <w:p w14:paraId="1CD962BA">
            <w:pPr>
              <w:pStyle w:val="1343"/>
            </w:pPr>
            <w:r>
              <w:rPr>
                <w:rFonts w:hint="eastAsia"/>
              </w:rPr>
              <w:t>10</w:t>
            </w:r>
          </w:p>
        </w:tc>
        <w:tc>
          <w:tcPr>
            <w:tcW w:w="1120" w:type="pct"/>
            <w:vMerge w:val="continue"/>
            <w:shd w:val="clear" w:color="auto" w:fill="auto"/>
            <w:noWrap/>
            <w:vAlign w:val="center"/>
          </w:tcPr>
          <w:p w14:paraId="4EB2E20E">
            <w:pPr>
              <w:pStyle w:val="1343"/>
            </w:pPr>
          </w:p>
        </w:tc>
        <w:tc>
          <w:tcPr>
            <w:tcW w:w="998" w:type="pct"/>
            <w:shd w:val="clear" w:color="auto" w:fill="auto"/>
            <w:vAlign w:val="center"/>
          </w:tcPr>
          <w:p w14:paraId="6E336F39">
            <w:pPr>
              <w:pStyle w:val="1343"/>
            </w:pPr>
            <w:r>
              <w:rPr>
                <w:rFonts w:hint="eastAsia"/>
              </w:rPr>
              <w:t>采矿用地0602</w:t>
            </w:r>
          </w:p>
        </w:tc>
        <w:tc>
          <w:tcPr>
            <w:tcW w:w="847" w:type="pct"/>
            <w:shd w:val="clear" w:color="auto" w:fill="auto"/>
            <w:vAlign w:val="center"/>
          </w:tcPr>
          <w:p w14:paraId="77FA72CC">
            <w:pPr>
              <w:pStyle w:val="1343"/>
              <w:rPr>
                <w:rFonts w:eastAsia="等线"/>
              </w:rPr>
            </w:pPr>
            <w:r>
              <w:rPr>
                <w:rFonts w:hint="eastAsia" w:eastAsia="等线"/>
              </w:rPr>
              <w:t>4.10</w:t>
            </w:r>
          </w:p>
        </w:tc>
        <w:tc>
          <w:tcPr>
            <w:tcW w:w="2493" w:type="dxa"/>
            <w:shd w:val="clear" w:color="auto" w:fill="auto"/>
            <w:vAlign w:val="center"/>
          </w:tcPr>
          <w:p w14:paraId="4F12DC14">
            <w:pPr>
              <w:pStyle w:val="1343"/>
              <w:rPr>
                <w:rFonts w:eastAsia="等线"/>
              </w:rPr>
            </w:pPr>
            <w:r>
              <w:rPr>
                <w:rFonts w:hint="eastAsia" w:eastAsia="等线"/>
              </w:rPr>
              <w:t>4.67</w:t>
            </w:r>
          </w:p>
        </w:tc>
      </w:tr>
      <w:tr w14:paraId="45DA7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3" w:type="pct"/>
            <w:shd w:val="clear" w:color="auto" w:fill="auto"/>
            <w:vAlign w:val="center"/>
          </w:tcPr>
          <w:p w14:paraId="01CD4BB1">
            <w:pPr>
              <w:pStyle w:val="1343"/>
            </w:pPr>
            <w:r>
              <w:rPr>
                <w:rFonts w:hint="eastAsia"/>
              </w:rPr>
              <w:t>11</w:t>
            </w:r>
          </w:p>
        </w:tc>
        <w:tc>
          <w:tcPr>
            <w:tcW w:w="1120" w:type="pct"/>
            <w:vMerge w:val="restart"/>
            <w:shd w:val="clear" w:color="auto" w:fill="auto"/>
            <w:noWrap/>
            <w:vAlign w:val="center"/>
          </w:tcPr>
          <w:p w14:paraId="034889D9">
            <w:pPr>
              <w:pStyle w:val="1343"/>
            </w:pPr>
            <w:r>
              <w:rPr>
                <w:rFonts w:hint="eastAsia"/>
              </w:rPr>
              <w:t>交通运输用地</w:t>
            </w:r>
          </w:p>
        </w:tc>
        <w:tc>
          <w:tcPr>
            <w:tcW w:w="998" w:type="pct"/>
            <w:shd w:val="clear" w:color="auto" w:fill="auto"/>
            <w:vAlign w:val="center"/>
          </w:tcPr>
          <w:p w14:paraId="76A5E2B5">
            <w:pPr>
              <w:pStyle w:val="1343"/>
            </w:pPr>
            <w:r>
              <w:rPr>
                <w:rFonts w:hint="eastAsia"/>
              </w:rPr>
              <w:t>公路用地1</w:t>
            </w:r>
            <w:r>
              <w:t>003</w:t>
            </w:r>
          </w:p>
        </w:tc>
        <w:tc>
          <w:tcPr>
            <w:tcW w:w="847" w:type="pct"/>
            <w:shd w:val="clear" w:color="auto" w:fill="auto"/>
            <w:vAlign w:val="center"/>
          </w:tcPr>
          <w:p w14:paraId="78E4D611">
            <w:pPr>
              <w:pStyle w:val="1343"/>
              <w:rPr>
                <w:rFonts w:eastAsia="等线"/>
              </w:rPr>
            </w:pPr>
            <w:r>
              <w:rPr>
                <w:rFonts w:hint="eastAsia" w:eastAsia="等线"/>
              </w:rPr>
              <w:t>0.98</w:t>
            </w:r>
          </w:p>
        </w:tc>
        <w:tc>
          <w:tcPr>
            <w:tcW w:w="2493" w:type="dxa"/>
            <w:shd w:val="clear" w:color="auto" w:fill="auto"/>
            <w:vAlign w:val="center"/>
          </w:tcPr>
          <w:p w14:paraId="5BDBE4EC">
            <w:pPr>
              <w:pStyle w:val="1343"/>
              <w:rPr>
                <w:rFonts w:eastAsia="等线"/>
              </w:rPr>
            </w:pPr>
            <w:r>
              <w:rPr>
                <w:rFonts w:hint="eastAsia" w:eastAsia="等线"/>
              </w:rPr>
              <w:t>1.12</w:t>
            </w:r>
          </w:p>
        </w:tc>
      </w:tr>
      <w:tr w14:paraId="14F2B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3" w:type="pct"/>
            <w:shd w:val="clear" w:color="auto" w:fill="auto"/>
            <w:vAlign w:val="center"/>
          </w:tcPr>
          <w:p w14:paraId="6A185031">
            <w:pPr>
              <w:pStyle w:val="1343"/>
              <w:rPr>
                <w:rFonts w:eastAsia="等线"/>
              </w:rPr>
            </w:pPr>
            <w:r>
              <w:rPr>
                <w:rFonts w:hint="eastAsia" w:eastAsia="等线"/>
              </w:rPr>
              <w:t>12</w:t>
            </w:r>
          </w:p>
        </w:tc>
        <w:tc>
          <w:tcPr>
            <w:tcW w:w="1120" w:type="pct"/>
            <w:vMerge w:val="continue"/>
            <w:vAlign w:val="center"/>
          </w:tcPr>
          <w:p w14:paraId="1E26F48E">
            <w:pPr>
              <w:pStyle w:val="1343"/>
              <w:rPr>
                <w:rFonts w:hint="eastAsia" w:ascii="等线" w:hAnsi="等线" w:eastAsia="等线"/>
              </w:rPr>
            </w:pPr>
          </w:p>
        </w:tc>
        <w:tc>
          <w:tcPr>
            <w:tcW w:w="998" w:type="pct"/>
            <w:shd w:val="clear" w:color="auto" w:fill="auto"/>
            <w:vAlign w:val="center"/>
          </w:tcPr>
          <w:p w14:paraId="027E5ADD">
            <w:pPr>
              <w:pStyle w:val="1343"/>
            </w:pPr>
            <w:r>
              <w:rPr>
                <w:rFonts w:hint="eastAsia"/>
              </w:rPr>
              <w:t>农村道路1</w:t>
            </w:r>
            <w:r>
              <w:t>006</w:t>
            </w:r>
          </w:p>
        </w:tc>
        <w:tc>
          <w:tcPr>
            <w:tcW w:w="847" w:type="pct"/>
            <w:shd w:val="clear" w:color="auto" w:fill="auto"/>
            <w:vAlign w:val="center"/>
          </w:tcPr>
          <w:p w14:paraId="3E2E8F53">
            <w:pPr>
              <w:pStyle w:val="1343"/>
              <w:rPr>
                <w:rFonts w:eastAsia="等线"/>
              </w:rPr>
            </w:pPr>
            <w:r>
              <w:rPr>
                <w:rFonts w:hint="eastAsia" w:eastAsia="等线"/>
              </w:rPr>
              <w:t>1.03</w:t>
            </w:r>
          </w:p>
        </w:tc>
        <w:tc>
          <w:tcPr>
            <w:tcW w:w="2493" w:type="dxa"/>
            <w:shd w:val="clear" w:color="auto" w:fill="auto"/>
            <w:vAlign w:val="center"/>
          </w:tcPr>
          <w:p w14:paraId="35C153AD">
            <w:pPr>
              <w:pStyle w:val="1343"/>
              <w:rPr>
                <w:rFonts w:eastAsia="等线"/>
              </w:rPr>
            </w:pPr>
            <w:r>
              <w:rPr>
                <w:rFonts w:hint="eastAsia" w:eastAsia="等线"/>
              </w:rPr>
              <w:t>1.17</w:t>
            </w:r>
          </w:p>
        </w:tc>
      </w:tr>
      <w:tr w14:paraId="6B156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3" w:type="pct"/>
            <w:shd w:val="clear" w:color="auto" w:fill="auto"/>
            <w:vAlign w:val="center"/>
          </w:tcPr>
          <w:p w14:paraId="4D7A7B0C">
            <w:pPr>
              <w:pStyle w:val="1343"/>
              <w:rPr>
                <w:rFonts w:eastAsia="等线"/>
              </w:rPr>
            </w:pPr>
            <w:r>
              <w:rPr>
                <w:rFonts w:hint="eastAsia" w:eastAsia="等线"/>
              </w:rPr>
              <w:t>13</w:t>
            </w:r>
          </w:p>
        </w:tc>
        <w:tc>
          <w:tcPr>
            <w:tcW w:w="1120" w:type="pct"/>
            <w:shd w:val="clear" w:color="auto" w:fill="auto"/>
            <w:noWrap/>
            <w:vAlign w:val="center"/>
          </w:tcPr>
          <w:p w14:paraId="4B25D67E">
            <w:pPr>
              <w:pStyle w:val="1343"/>
            </w:pPr>
            <w:r>
              <w:rPr>
                <w:rFonts w:hint="eastAsia"/>
              </w:rPr>
              <w:t>水域及水利设施用地</w:t>
            </w:r>
          </w:p>
        </w:tc>
        <w:tc>
          <w:tcPr>
            <w:tcW w:w="998" w:type="pct"/>
            <w:shd w:val="clear" w:color="auto" w:fill="auto"/>
            <w:vAlign w:val="center"/>
          </w:tcPr>
          <w:p w14:paraId="17BA1231">
            <w:pPr>
              <w:pStyle w:val="1343"/>
            </w:pPr>
            <w:r>
              <w:rPr>
                <w:rFonts w:hint="eastAsia"/>
              </w:rPr>
              <w:t>坑塘水面1</w:t>
            </w:r>
            <w:r>
              <w:t>10</w:t>
            </w:r>
            <w:r>
              <w:rPr>
                <w:rFonts w:hint="eastAsia"/>
              </w:rPr>
              <w:t>4</w:t>
            </w:r>
          </w:p>
        </w:tc>
        <w:tc>
          <w:tcPr>
            <w:tcW w:w="847" w:type="pct"/>
            <w:shd w:val="clear" w:color="auto" w:fill="auto"/>
            <w:vAlign w:val="center"/>
          </w:tcPr>
          <w:p w14:paraId="43B10DB4">
            <w:pPr>
              <w:pStyle w:val="1343"/>
              <w:rPr>
                <w:rFonts w:eastAsia="等线"/>
              </w:rPr>
            </w:pPr>
            <w:r>
              <w:rPr>
                <w:rFonts w:hint="eastAsia" w:eastAsia="等线"/>
              </w:rPr>
              <w:t>1.55</w:t>
            </w:r>
          </w:p>
        </w:tc>
        <w:tc>
          <w:tcPr>
            <w:tcW w:w="2493" w:type="dxa"/>
            <w:shd w:val="clear" w:color="auto" w:fill="auto"/>
            <w:vAlign w:val="center"/>
          </w:tcPr>
          <w:p w14:paraId="749443B5">
            <w:pPr>
              <w:pStyle w:val="1343"/>
              <w:rPr>
                <w:rFonts w:eastAsia="等线"/>
              </w:rPr>
            </w:pPr>
            <w:r>
              <w:rPr>
                <w:rFonts w:hint="eastAsia" w:eastAsia="等线"/>
              </w:rPr>
              <w:t>1.77</w:t>
            </w:r>
          </w:p>
        </w:tc>
      </w:tr>
      <w:tr w14:paraId="00382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33" w:type="pct"/>
            <w:shd w:val="clear" w:color="auto" w:fill="auto"/>
            <w:vAlign w:val="center"/>
          </w:tcPr>
          <w:p w14:paraId="0A0CAAA4">
            <w:pPr>
              <w:pStyle w:val="1343"/>
              <w:rPr>
                <w:rFonts w:eastAsia="等线"/>
              </w:rPr>
            </w:pPr>
          </w:p>
        </w:tc>
        <w:tc>
          <w:tcPr>
            <w:tcW w:w="2118" w:type="pct"/>
            <w:gridSpan w:val="2"/>
            <w:shd w:val="clear" w:color="auto" w:fill="auto"/>
            <w:noWrap/>
            <w:vAlign w:val="center"/>
          </w:tcPr>
          <w:p w14:paraId="05120255">
            <w:pPr>
              <w:pStyle w:val="1343"/>
              <w:rPr>
                <w:b/>
                <w:bCs/>
              </w:rPr>
            </w:pPr>
            <w:r>
              <w:rPr>
                <w:rFonts w:hint="eastAsia"/>
                <w:b/>
                <w:bCs/>
              </w:rPr>
              <w:t>合计</w:t>
            </w:r>
          </w:p>
        </w:tc>
        <w:tc>
          <w:tcPr>
            <w:tcW w:w="847" w:type="pct"/>
            <w:shd w:val="clear" w:color="auto" w:fill="auto"/>
            <w:vAlign w:val="center"/>
          </w:tcPr>
          <w:p w14:paraId="46A1272A">
            <w:pPr>
              <w:pStyle w:val="1343"/>
              <w:rPr>
                <w:rFonts w:eastAsia="等线"/>
                <w:b/>
                <w:bCs/>
              </w:rPr>
            </w:pPr>
            <w:r>
              <w:rPr>
                <w:rFonts w:hint="eastAsia" w:eastAsia="等线"/>
                <w:b/>
                <w:bCs/>
              </w:rPr>
              <w:t>87.83</w:t>
            </w:r>
          </w:p>
        </w:tc>
        <w:tc>
          <w:tcPr>
            <w:tcW w:w="1300" w:type="pct"/>
            <w:shd w:val="clear" w:color="auto" w:fill="auto"/>
            <w:vAlign w:val="center"/>
          </w:tcPr>
          <w:p w14:paraId="1C2F3258">
            <w:pPr>
              <w:pStyle w:val="1343"/>
              <w:rPr>
                <w:rFonts w:eastAsia="等线"/>
                <w:b/>
                <w:bCs/>
              </w:rPr>
            </w:pPr>
            <w:r>
              <w:rPr>
                <w:rFonts w:eastAsia="等线"/>
                <w:b/>
                <w:bCs/>
              </w:rPr>
              <w:t>100.0</w:t>
            </w:r>
          </w:p>
        </w:tc>
      </w:tr>
    </w:tbl>
    <w:p w14:paraId="56FE8056">
      <w:pPr>
        <w:pStyle w:val="904"/>
      </w:pPr>
      <w:bookmarkStart w:id="189" w:name="图6.2-2__评价区土地利用现状结构图（%）_"/>
      <w:bookmarkEnd w:id="189"/>
      <w:r>
        <w:drawing>
          <wp:inline distT="0" distB="0" distL="114300" distR="114300">
            <wp:extent cx="4826000" cy="2743200"/>
            <wp:effectExtent l="4445" t="4445" r="8255" b="14605"/>
            <wp:docPr id="2"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77B3C8D">
      <w:pPr>
        <w:pStyle w:val="904"/>
        <w:spacing w:before="120" w:beforeLines="50" w:line="360" w:lineRule="auto"/>
      </w:pPr>
      <w:r>
        <w:t>图4.3-</w:t>
      </w:r>
      <w:r>
        <w:rPr>
          <w:rFonts w:hint="eastAsia"/>
        </w:rPr>
        <w:t>5</w:t>
      </w:r>
      <w:r>
        <w:t>全线生态环境评价范围土地利用现状统计图</w:t>
      </w:r>
    </w:p>
    <w:p w14:paraId="4DC71849">
      <w:pPr>
        <w:pStyle w:val="234"/>
        <w:rPr>
          <w:highlight w:val="yellow"/>
        </w:rPr>
      </w:pPr>
      <w:r>
        <w:t>根据土地利用统计结果，</w:t>
      </w:r>
      <w:bookmarkStart w:id="190" w:name="_Hlk120011815"/>
      <w:r>
        <w:rPr>
          <w:rFonts w:hint="eastAsia"/>
        </w:rPr>
        <w:t>全线</w:t>
      </w:r>
      <w:r>
        <w:t>生态环境评价区范围内的</w:t>
      </w:r>
      <w:bookmarkStart w:id="191" w:name="_Hlk119137855"/>
      <w:r>
        <w:rPr>
          <w:rFonts w:hint="eastAsia"/>
        </w:rPr>
        <w:t>各类型土地占地比例依次为：其他</w:t>
      </w:r>
      <w:r>
        <w:t>林地</w:t>
      </w:r>
      <w:r>
        <w:rPr>
          <w:rFonts w:hint="eastAsia"/>
        </w:rPr>
        <w:t>34.67</w:t>
      </w:r>
      <w:r>
        <w:t>%、</w:t>
      </w:r>
      <w:r>
        <w:rPr>
          <w:rFonts w:hint="eastAsia"/>
        </w:rPr>
        <w:t>水田17.92</w:t>
      </w:r>
      <w:r>
        <w:t>%、</w:t>
      </w:r>
      <w:bookmarkEnd w:id="191"/>
      <w:r>
        <w:rPr>
          <w:rFonts w:hint="eastAsia"/>
        </w:rPr>
        <w:t>农村宅基地14.00%、其他园地8.39%、旱地7.06%、乔木林地6.27%、采矿用地4.67%、坑塘水面1.77%、灌木林地1.67%、工业用地1.19%、农村道路1.17%、公路用地1.12%、果园0.10%。</w:t>
      </w:r>
      <w:bookmarkEnd w:id="190"/>
    </w:p>
    <w:p w14:paraId="1C294C17">
      <w:pPr>
        <w:pStyle w:val="234"/>
        <w:ind w:firstLine="0" w:firstLineChars="0"/>
        <w:jc w:val="center"/>
      </w:pPr>
      <w:r>
        <w:rPr>
          <w:rFonts w:hint="eastAsia"/>
        </w:rPr>
        <w:drawing>
          <wp:inline distT="0" distB="0" distL="114300" distR="114300">
            <wp:extent cx="5944235" cy="5695950"/>
            <wp:effectExtent l="0" t="0" r="18415" b="0"/>
            <wp:docPr id="61" name="图片 61" descr="3c148f29b0647ec7dbe8813d09d4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3c148f29b0647ec7dbe8813d09d4e41"/>
                    <pic:cNvPicPr>
                      <a:picLocks noChangeAspect="1"/>
                    </pic:cNvPicPr>
                  </pic:nvPicPr>
                  <pic:blipFill>
                    <a:blip r:embed="rId72"/>
                    <a:stretch>
                      <a:fillRect/>
                    </a:stretch>
                  </pic:blipFill>
                  <pic:spPr>
                    <a:xfrm>
                      <a:off x="0" y="0"/>
                      <a:ext cx="5944235" cy="5695950"/>
                    </a:xfrm>
                    <a:prstGeom prst="rect">
                      <a:avLst/>
                    </a:prstGeom>
                  </pic:spPr>
                </pic:pic>
              </a:graphicData>
            </a:graphic>
          </wp:inline>
        </w:drawing>
      </w:r>
    </w:p>
    <w:p w14:paraId="5AF5AC17">
      <w:pPr>
        <w:pStyle w:val="234"/>
        <w:ind w:firstLine="0" w:firstLineChars="0"/>
        <w:jc w:val="center"/>
        <w:rPr>
          <w:rFonts w:eastAsia="黑体"/>
          <w:snapToGrid w:val="0"/>
        </w:rPr>
      </w:pPr>
      <w:r>
        <w:rPr>
          <w:rFonts w:hint="eastAsia" w:eastAsia="黑体"/>
          <w:snapToGrid w:val="0"/>
        </w:rPr>
        <w:t xml:space="preserve">图4.3-6 </w:t>
      </w:r>
      <w:r>
        <w:rPr>
          <w:rFonts w:eastAsia="黑体"/>
          <w:snapToGrid w:val="0"/>
        </w:rPr>
        <w:t>土地利用现状</w:t>
      </w:r>
      <w:r>
        <w:rPr>
          <w:rFonts w:hint="eastAsia" w:eastAsia="黑体"/>
          <w:snapToGrid w:val="0"/>
        </w:rPr>
        <w:t>图</w:t>
      </w:r>
    </w:p>
    <w:p w14:paraId="082E600C">
      <w:pPr>
        <w:pStyle w:val="5"/>
        <w:rPr>
          <w:b/>
          <w:bCs/>
          <w:color w:val="auto"/>
        </w:rPr>
      </w:pPr>
      <w:r>
        <w:rPr>
          <w:rFonts w:hint="eastAsia"/>
          <w:color w:val="auto"/>
        </w:rPr>
        <w:t>植被</w:t>
      </w:r>
      <w:r>
        <w:rPr>
          <w:color w:val="auto"/>
        </w:rPr>
        <w:t>现状调查与评价</w:t>
      </w:r>
    </w:p>
    <w:p w14:paraId="63A3A943">
      <w:pPr>
        <w:pStyle w:val="234"/>
        <w:ind w:firstLine="482"/>
        <w:rPr>
          <w:b/>
          <w:bCs/>
        </w:rPr>
      </w:pPr>
      <w:r>
        <w:rPr>
          <w:b/>
          <w:bCs/>
        </w:rPr>
        <w:t>（1）植被资源调查</w:t>
      </w:r>
    </w:p>
    <w:p w14:paraId="1BE50321">
      <w:pPr>
        <w:pStyle w:val="234"/>
        <w:snapToGrid w:val="0"/>
        <w:rPr>
          <w:i/>
          <w:iCs/>
          <w:color w:val="auto"/>
          <w:u w:val="single"/>
        </w:rPr>
      </w:pPr>
      <w:r>
        <w:rPr>
          <w:rFonts w:hint="eastAsia"/>
        </w:rPr>
        <w:t>评价区</w:t>
      </w:r>
      <w:r>
        <w:t>地表植被主要为</w:t>
      </w:r>
      <w:r>
        <w:rPr>
          <w:rFonts w:hint="eastAsia"/>
        </w:rPr>
        <w:t>天然林地植被和</w:t>
      </w:r>
      <w:r>
        <w:t>人工栽培植被，</w:t>
      </w:r>
      <w:r>
        <w:rPr>
          <w:rFonts w:hint="eastAsia"/>
        </w:rPr>
        <w:t>林地中植被种类主要为盐麸木、油茶、野桐和</w:t>
      </w:r>
      <w:r>
        <w:rPr>
          <w:rFonts w:hint="eastAsia"/>
          <w:szCs w:val="21"/>
        </w:rPr>
        <w:t>乌桕等，</w:t>
      </w:r>
      <w:r>
        <w:rPr>
          <w:rFonts w:hint="eastAsia"/>
        </w:rPr>
        <w:t>林下分布有杂草，如小蓬草、狗尾草和菲黄竹等。</w:t>
      </w:r>
      <w:r>
        <w:t>栽种的农作物主要为水稻、玉米、</w:t>
      </w:r>
      <w:r>
        <w:rPr>
          <w:rFonts w:hint="eastAsia"/>
        </w:rPr>
        <w:t>甘薯、油菜</w:t>
      </w:r>
      <w:r>
        <w:t>等</w:t>
      </w:r>
      <w:r>
        <w:rPr>
          <w:rFonts w:hint="eastAsia"/>
        </w:rPr>
        <w:t>；</w:t>
      </w:r>
      <w:r>
        <w:t>经济果</w:t>
      </w:r>
      <w:r>
        <w:rPr>
          <w:rFonts w:hint="eastAsia"/>
        </w:rPr>
        <w:t>园有枣树、香柚</w:t>
      </w:r>
      <w:r>
        <w:t>等。</w:t>
      </w:r>
      <w:r>
        <w:rPr>
          <w:rFonts w:hint="eastAsia"/>
        </w:rPr>
        <w:t>沿线坑塘中植被主要为近岸处的维管植物，如芦苇等，也有一定量的浮游植物，如浮游藻类。</w:t>
      </w:r>
      <w:r>
        <w:rPr>
          <w:rFonts w:hint="eastAsia"/>
          <w:i/>
          <w:iCs/>
          <w:color w:val="auto"/>
          <w:u w:val="single"/>
        </w:rPr>
        <w:t>根据现场调查，评价范围内无古树名木。</w:t>
      </w:r>
    </w:p>
    <w:p w14:paraId="36DA7B37">
      <w:pPr>
        <w:pStyle w:val="234"/>
        <w:spacing w:before="120" w:beforeLines="50"/>
        <w:ind w:firstLine="482"/>
        <w:rPr>
          <w:b/>
          <w:bCs/>
        </w:rPr>
      </w:pPr>
      <w:r>
        <w:rPr>
          <w:b/>
          <w:bCs/>
        </w:rPr>
        <w:t>（</w:t>
      </w:r>
      <w:r>
        <w:rPr>
          <w:rFonts w:hint="eastAsia"/>
          <w:b/>
          <w:bCs/>
        </w:rPr>
        <w:t>2</w:t>
      </w:r>
      <w:r>
        <w:rPr>
          <w:b/>
          <w:bCs/>
        </w:rPr>
        <w:t>）</w:t>
      </w:r>
      <w:r>
        <w:rPr>
          <w:rFonts w:hint="eastAsia"/>
          <w:b/>
          <w:bCs/>
        </w:rPr>
        <w:t>调查区</w:t>
      </w:r>
      <w:r>
        <w:rPr>
          <w:b/>
          <w:bCs/>
        </w:rPr>
        <w:t>植被</w:t>
      </w:r>
      <w:r>
        <w:rPr>
          <w:rFonts w:hint="eastAsia"/>
          <w:b/>
          <w:bCs/>
        </w:rPr>
        <w:t>类型</w:t>
      </w:r>
    </w:p>
    <w:p w14:paraId="2970CDCB">
      <w:pPr>
        <w:pStyle w:val="234"/>
      </w:pPr>
      <w:r>
        <w:rPr>
          <w:rFonts w:hint="eastAsia"/>
        </w:rPr>
        <w:t>根据《湖南植被地理分布的基本规律》知，湖南植被可分为两个植被带，两个植被带划分界限东起万洋山北端，经茶陵（南）、永兴（南）、耒阳（南）、常宁（南）、阳明山和泗洲山北缘、零陵（南）、止于都庞岭北端省界。以下简称南岭山地常绿阔叶林、湖南南部植被带。</w:t>
      </w:r>
    </w:p>
    <w:p w14:paraId="12423E45">
      <w:pPr>
        <w:pStyle w:val="234"/>
      </w:pPr>
      <w:r>
        <w:rPr>
          <w:rFonts w:hint="eastAsia"/>
        </w:rPr>
        <w:t>项目建设位于衡阳市耒阳市境内，属南岭山地常绿阔叶林。南岭山地常绿阔叶林多具有下列特征：</w:t>
      </w:r>
    </w:p>
    <w:p w14:paraId="7B6ED9B9">
      <w:pPr>
        <w:pStyle w:val="234"/>
      </w:pPr>
      <w:r>
        <w:rPr>
          <w:rFonts w:hint="eastAsia"/>
        </w:rPr>
        <w:fldChar w:fldCharType="begin"/>
      </w:r>
      <w:r>
        <w:rPr>
          <w:rFonts w:hint="eastAsia"/>
        </w:rPr>
        <w:instrText xml:space="preserve"> = 1 \* GB3 \* MERGEFORMAT </w:instrText>
      </w:r>
      <w:r>
        <w:rPr>
          <w:rFonts w:hint="eastAsia"/>
        </w:rPr>
        <w:fldChar w:fldCharType="separate"/>
      </w:r>
      <w:r>
        <w:t>①</w:t>
      </w:r>
      <w:r>
        <w:rPr>
          <w:rFonts w:hint="eastAsia"/>
        </w:rPr>
        <w:fldChar w:fldCharType="end"/>
      </w:r>
      <w:r>
        <w:rPr>
          <w:rFonts w:hint="eastAsia"/>
        </w:rPr>
        <w:t>群落上层林木及林下层种类富有热带成分，主要是印度-马来西亚区系成分，下层更丰富些；</w:t>
      </w:r>
    </w:p>
    <w:p w14:paraId="354A7C49">
      <w:pPr>
        <w:pStyle w:val="234"/>
      </w:pPr>
      <w:r>
        <w:rPr>
          <w:rFonts w:hint="eastAsia"/>
        </w:rPr>
        <w:fldChar w:fldCharType="begin"/>
      </w:r>
      <w:r>
        <w:rPr>
          <w:rFonts w:hint="eastAsia"/>
        </w:rPr>
        <w:instrText xml:space="preserve"> = 2 \* GB3 \* MERGEFORMAT </w:instrText>
      </w:r>
      <w:r>
        <w:rPr>
          <w:rFonts w:hint="eastAsia"/>
        </w:rPr>
        <w:fldChar w:fldCharType="separate"/>
      </w:r>
      <w:r>
        <w:t>②</w:t>
      </w:r>
      <w:r>
        <w:rPr>
          <w:rFonts w:hint="eastAsia"/>
        </w:rPr>
        <w:fldChar w:fldCharType="end"/>
      </w:r>
      <w:r>
        <w:rPr>
          <w:rFonts w:hint="eastAsia"/>
        </w:rPr>
        <w:t>群落种类组成复杂，为多有群落，如莽山低山常绿阔叶林，在2000平方米内由大小乔木种类计79种之多；</w:t>
      </w:r>
    </w:p>
    <w:p w14:paraId="21FC9A72">
      <w:pPr>
        <w:pStyle w:val="234"/>
      </w:pPr>
      <w:r>
        <w:rPr>
          <w:rFonts w:hint="eastAsia"/>
        </w:rPr>
        <w:fldChar w:fldCharType="begin"/>
      </w:r>
      <w:r>
        <w:rPr>
          <w:rFonts w:hint="eastAsia"/>
        </w:rPr>
        <w:instrText xml:space="preserve"> = 3 \* GB3 \* MERGEFORMAT </w:instrText>
      </w:r>
      <w:r>
        <w:rPr>
          <w:rFonts w:hint="eastAsia"/>
        </w:rPr>
        <w:fldChar w:fldCharType="separate"/>
      </w:r>
      <w:r>
        <w:t>③</w:t>
      </w:r>
      <w:r>
        <w:rPr>
          <w:rFonts w:hint="eastAsia"/>
        </w:rPr>
        <w:fldChar w:fldCharType="end"/>
      </w:r>
      <w:r>
        <w:rPr>
          <w:rFonts w:hint="eastAsia"/>
        </w:rPr>
        <w:t>层的结构复杂，及有乔木及亚乔木2层，小乔木1层，灌木1层，草木1层，苔藓地被物1层，如兼之以生活型的差别，则层片更为复杂；</w:t>
      </w:r>
    </w:p>
    <w:p w14:paraId="76ED9171">
      <w:pPr>
        <w:pStyle w:val="234"/>
      </w:pPr>
      <w:r>
        <w:rPr>
          <w:rFonts w:hint="eastAsia"/>
        </w:rPr>
        <w:fldChar w:fldCharType="begin"/>
      </w:r>
      <w:r>
        <w:rPr>
          <w:rFonts w:hint="eastAsia"/>
        </w:rPr>
        <w:instrText xml:space="preserve"> = 4 \* GB3 \* MERGEFORMAT </w:instrText>
      </w:r>
      <w:r>
        <w:rPr>
          <w:rFonts w:hint="eastAsia"/>
        </w:rPr>
        <w:fldChar w:fldCharType="separate"/>
      </w:r>
      <w:r>
        <w:t>④</w:t>
      </w:r>
      <w:r>
        <w:rPr>
          <w:rFonts w:hint="eastAsia"/>
        </w:rPr>
        <w:fldChar w:fldCharType="end"/>
      </w:r>
      <w:r>
        <w:rPr>
          <w:rFonts w:hint="eastAsia"/>
        </w:rPr>
        <w:t>树干高而光洁，树皮灰白色而平滑的种类颇多；</w:t>
      </w:r>
    </w:p>
    <w:p w14:paraId="55E36960">
      <w:pPr>
        <w:pStyle w:val="234"/>
      </w:pPr>
      <w:r>
        <w:rPr>
          <w:rFonts w:hint="eastAsia"/>
        </w:rPr>
        <w:fldChar w:fldCharType="begin"/>
      </w:r>
      <w:r>
        <w:rPr>
          <w:rFonts w:hint="eastAsia"/>
        </w:rPr>
        <w:instrText xml:space="preserve"> = 5 \* GB3 \* MERGEFORMAT </w:instrText>
      </w:r>
      <w:r>
        <w:rPr>
          <w:rFonts w:hint="eastAsia"/>
        </w:rPr>
        <w:fldChar w:fldCharType="separate"/>
      </w:r>
      <w:r>
        <w:t>⑤</w:t>
      </w:r>
      <w:r>
        <w:rPr>
          <w:rFonts w:hint="eastAsia"/>
        </w:rPr>
        <w:fldChar w:fldCharType="end"/>
      </w:r>
      <w:r>
        <w:rPr>
          <w:rFonts w:hint="eastAsia"/>
        </w:rPr>
        <w:t>林下有雨林型高大的蕨类植物；</w:t>
      </w:r>
    </w:p>
    <w:p w14:paraId="2E4FB10E">
      <w:pPr>
        <w:pStyle w:val="234"/>
      </w:pPr>
      <w:r>
        <w:rPr>
          <w:rFonts w:hint="eastAsia"/>
        </w:rPr>
        <w:fldChar w:fldCharType="begin"/>
      </w:r>
      <w:r>
        <w:rPr>
          <w:rFonts w:hint="eastAsia"/>
        </w:rPr>
        <w:instrText xml:space="preserve"> = 6 \* GB3 \* MERGEFORMAT </w:instrText>
      </w:r>
      <w:r>
        <w:rPr>
          <w:rFonts w:hint="eastAsia"/>
        </w:rPr>
        <w:fldChar w:fldCharType="separate"/>
      </w:r>
      <w:r>
        <w:t>⑥</w:t>
      </w:r>
      <w:r>
        <w:rPr>
          <w:rFonts w:hint="eastAsia"/>
        </w:rPr>
        <w:fldChar w:fldCharType="end"/>
      </w:r>
      <w:r>
        <w:rPr>
          <w:rFonts w:hint="eastAsia"/>
        </w:rPr>
        <w:t>个别地方出现板根，如江华林区和莽山林区曾见到小叶栲、刺栲、钩栗、金叶白兰花，有高达 1-1.5m 的板根，至今通道县南部山地沟谷又发现多种林木的板根；</w:t>
      </w:r>
    </w:p>
    <w:p w14:paraId="2B761228">
      <w:pPr>
        <w:pStyle w:val="234"/>
        <w:rPr>
          <w:color w:val="000000"/>
        </w:rPr>
      </w:pPr>
      <w:r>
        <w:rPr>
          <w:rFonts w:hint="eastAsia"/>
        </w:rPr>
        <w:fldChar w:fldCharType="begin"/>
      </w:r>
      <w:r>
        <w:rPr>
          <w:rFonts w:hint="eastAsia"/>
        </w:rPr>
        <w:instrText xml:space="preserve"> = 7 \* GB3 \* MERGEFORMAT </w:instrText>
      </w:r>
      <w:r>
        <w:rPr>
          <w:rFonts w:hint="eastAsia"/>
        </w:rPr>
        <w:fldChar w:fldCharType="separate"/>
      </w:r>
      <w:r>
        <w:t>⑦</w:t>
      </w:r>
      <w:r>
        <w:rPr>
          <w:rFonts w:hint="eastAsia"/>
        </w:rPr>
        <w:fldChar w:fldCharType="end"/>
      </w:r>
      <w:r>
        <w:rPr>
          <w:rFonts w:hint="eastAsia"/>
        </w:rPr>
        <w:t>某些榕树属 Ficus 树木，如贵州榕、尖叶榕可高达 4 米，有茎花现象。</w:t>
      </w:r>
    </w:p>
    <w:p w14:paraId="3B25077E">
      <w:pPr>
        <w:pStyle w:val="234"/>
        <w:rPr>
          <w:color w:val="000000"/>
        </w:rPr>
      </w:pPr>
      <w:r>
        <w:rPr>
          <w:color w:val="000000"/>
        </w:rPr>
        <w:t>根据实地调查和参考</w:t>
      </w:r>
      <w:r>
        <w:rPr>
          <w:rFonts w:hint="eastAsia"/>
          <w:color w:val="000000"/>
        </w:rPr>
        <w:t>查阅《湖南植被》《湖南植物志》等</w:t>
      </w:r>
      <w:r>
        <w:rPr>
          <w:color w:val="000000"/>
        </w:rPr>
        <w:t>相关资料，按照《中国植被》中自然植被的分类系统划分，调查区内的自然植被可划分为</w:t>
      </w:r>
      <w:r>
        <w:rPr>
          <w:rFonts w:hint="eastAsia"/>
          <w:color w:val="000000"/>
        </w:rPr>
        <w:t>6</w:t>
      </w:r>
      <w:r>
        <w:rPr>
          <w:color w:val="000000"/>
        </w:rPr>
        <w:t>个植被型组、</w:t>
      </w:r>
      <w:r>
        <w:rPr>
          <w:rFonts w:hint="eastAsia"/>
          <w:color w:val="000000"/>
        </w:rPr>
        <w:t>10</w:t>
      </w:r>
      <w:r>
        <w:rPr>
          <w:color w:val="000000"/>
        </w:rPr>
        <w:t>个植被型、1</w:t>
      </w:r>
      <w:r>
        <w:rPr>
          <w:rFonts w:hint="eastAsia"/>
          <w:color w:val="000000"/>
        </w:rPr>
        <w:t>3</w:t>
      </w:r>
      <w:r>
        <w:rPr>
          <w:color w:val="000000"/>
        </w:rPr>
        <w:t>个群系。调查区植被分类系统、主要植被情况见表</w:t>
      </w:r>
      <w:r>
        <w:rPr>
          <w:rFonts w:hint="eastAsia"/>
          <w:color w:val="000000"/>
        </w:rPr>
        <w:t>4.3-4。</w:t>
      </w:r>
    </w:p>
    <w:p w14:paraId="080DFC82">
      <w:pPr>
        <w:pStyle w:val="3077"/>
        <w:snapToGrid w:val="0"/>
        <w:spacing w:line="276" w:lineRule="auto"/>
        <w:rPr>
          <w:rFonts w:eastAsia="黑体"/>
          <w:snapToGrid w:val="0"/>
          <w:sz w:val="24"/>
        </w:rPr>
      </w:pPr>
      <w:r>
        <w:rPr>
          <w:rFonts w:eastAsia="黑体"/>
          <w:snapToGrid w:val="0"/>
          <w:sz w:val="24"/>
        </w:rPr>
        <w:t>表</w:t>
      </w:r>
      <w:r>
        <w:rPr>
          <w:rFonts w:hint="eastAsia" w:eastAsia="黑体"/>
          <w:snapToGrid w:val="0"/>
          <w:sz w:val="24"/>
        </w:rPr>
        <w:t>4.3-4</w:t>
      </w:r>
      <w:r>
        <w:rPr>
          <w:rFonts w:eastAsia="黑体"/>
          <w:snapToGrid w:val="0"/>
          <w:sz w:val="24"/>
        </w:rPr>
        <w:t xml:space="preserve">  调查区主要植被类型</w:t>
      </w:r>
    </w:p>
    <w:tbl>
      <w:tblPr>
        <w:tblStyle w:val="8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3"/>
        <w:gridCol w:w="1102"/>
        <w:gridCol w:w="1499"/>
        <w:gridCol w:w="1827"/>
        <w:gridCol w:w="1537"/>
        <w:gridCol w:w="2486"/>
      </w:tblGrid>
      <w:tr w14:paraId="0E824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1" w:type="dxa"/>
            <w:gridSpan w:val="2"/>
            <w:vAlign w:val="center"/>
          </w:tcPr>
          <w:p w14:paraId="6455378E">
            <w:pPr>
              <w:pStyle w:val="105"/>
              <w:jc w:val="center"/>
              <w:rPr>
                <w:rFonts w:ascii="Times New Roman" w:cs="Times New Roman"/>
                <w:color w:val="auto"/>
                <w:sz w:val="21"/>
                <w:szCs w:val="21"/>
              </w:rPr>
            </w:pPr>
            <w:r>
              <w:rPr>
                <w:rFonts w:ascii="Times New Roman" w:cs="Times New Roman"/>
                <w:color w:val="auto"/>
                <w:sz w:val="21"/>
                <w:szCs w:val="21"/>
              </w:rPr>
              <w:t>植被型组</w:t>
            </w:r>
          </w:p>
        </w:tc>
        <w:tc>
          <w:tcPr>
            <w:tcW w:w="1499" w:type="dxa"/>
            <w:vAlign w:val="center"/>
          </w:tcPr>
          <w:p w14:paraId="5CD966BE">
            <w:pPr>
              <w:pStyle w:val="105"/>
              <w:jc w:val="center"/>
              <w:rPr>
                <w:rFonts w:ascii="Times New Roman" w:cs="Times New Roman"/>
                <w:color w:val="auto"/>
                <w:sz w:val="21"/>
                <w:szCs w:val="21"/>
              </w:rPr>
            </w:pPr>
            <w:r>
              <w:rPr>
                <w:rFonts w:ascii="Times New Roman" w:cs="Times New Roman"/>
                <w:color w:val="auto"/>
                <w:sz w:val="21"/>
                <w:szCs w:val="21"/>
              </w:rPr>
              <w:t>植被型</w:t>
            </w:r>
          </w:p>
        </w:tc>
        <w:tc>
          <w:tcPr>
            <w:tcW w:w="1828" w:type="dxa"/>
            <w:vAlign w:val="center"/>
          </w:tcPr>
          <w:p w14:paraId="054E5B57">
            <w:pPr>
              <w:pStyle w:val="105"/>
              <w:jc w:val="center"/>
              <w:rPr>
                <w:rFonts w:ascii="Times New Roman" w:cs="Times New Roman"/>
                <w:color w:val="auto"/>
                <w:sz w:val="21"/>
                <w:szCs w:val="21"/>
              </w:rPr>
            </w:pPr>
            <w:r>
              <w:rPr>
                <w:rFonts w:ascii="Times New Roman" w:cs="Times New Roman"/>
                <w:color w:val="auto"/>
                <w:sz w:val="21"/>
                <w:szCs w:val="21"/>
              </w:rPr>
              <w:t>群系</w:t>
            </w:r>
          </w:p>
        </w:tc>
        <w:tc>
          <w:tcPr>
            <w:tcW w:w="1537" w:type="dxa"/>
            <w:vAlign w:val="center"/>
          </w:tcPr>
          <w:p w14:paraId="57F10412">
            <w:pPr>
              <w:pStyle w:val="105"/>
              <w:jc w:val="center"/>
              <w:rPr>
                <w:rFonts w:ascii="Times New Roman" w:cs="Times New Roman"/>
                <w:color w:val="auto"/>
                <w:sz w:val="21"/>
                <w:szCs w:val="21"/>
              </w:rPr>
            </w:pPr>
            <w:r>
              <w:rPr>
                <w:rFonts w:hint="eastAsia" w:ascii="Times New Roman" w:cs="Times New Roman"/>
                <w:color w:val="auto"/>
                <w:sz w:val="21"/>
                <w:szCs w:val="21"/>
              </w:rPr>
              <w:t>物种</w:t>
            </w:r>
          </w:p>
        </w:tc>
        <w:tc>
          <w:tcPr>
            <w:tcW w:w="2490" w:type="dxa"/>
            <w:vAlign w:val="center"/>
          </w:tcPr>
          <w:p w14:paraId="6914B098">
            <w:pPr>
              <w:pStyle w:val="105"/>
              <w:jc w:val="center"/>
              <w:rPr>
                <w:rFonts w:ascii="Times New Roman" w:cs="Times New Roman"/>
                <w:color w:val="auto"/>
                <w:sz w:val="21"/>
                <w:szCs w:val="21"/>
              </w:rPr>
            </w:pPr>
            <w:r>
              <w:rPr>
                <w:rFonts w:ascii="Times New Roman" w:cs="Times New Roman"/>
                <w:color w:val="auto"/>
                <w:sz w:val="21"/>
                <w:szCs w:val="21"/>
              </w:rPr>
              <w:t>拉丁名</w:t>
            </w:r>
          </w:p>
        </w:tc>
      </w:tr>
      <w:tr w14:paraId="44D38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restart"/>
            <w:vAlign w:val="center"/>
          </w:tcPr>
          <w:p w14:paraId="514C134C">
            <w:pPr>
              <w:pStyle w:val="105"/>
              <w:jc w:val="center"/>
              <w:rPr>
                <w:rFonts w:ascii="Times New Roman" w:cs="Times New Roman"/>
                <w:color w:val="auto"/>
                <w:sz w:val="21"/>
                <w:szCs w:val="21"/>
              </w:rPr>
            </w:pPr>
            <w:r>
              <w:rPr>
                <w:rFonts w:ascii="Times New Roman" w:cs="Times New Roman"/>
                <w:color w:val="auto"/>
                <w:sz w:val="21"/>
                <w:szCs w:val="21"/>
              </w:rPr>
              <w:t>自然植被</w:t>
            </w:r>
          </w:p>
        </w:tc>
        <w:tc>
          <w:tcPr>
            <w:tcW w:w="1100" w:type="dxa"/>
            <w:vMerge w:val="restart"/>
            <w:vAlign w:val="center"/>
          </w:tcPr>
          <w:p w14:paraId="5D07242B">
            <w:pPr>
              <w:pStyle w:val="105"/>
              <w:jc w:val="center"/>
              <w:rPr>
                <w:rFonts w:ascii="Times New Roman" w:cs="Times New Roman"/>
                <w:color w:val="auto"/>
                <w:sz w:val="21"/>
                <w:szCs w:val="21"/>
              </w:rPr>
            </w:pPr>
            <w:r>
              <w:rPr>
                <w:rFonts w:ascii="Times New Roman" w:cs="Times New Roman"/>
                <w:color w:val="auto"/>
                <w:sz w:val="21"/>
                <w:szCs w:val="21"/>
              </w:rPr>
              <w:t>阔叶林</w:t>
            </w:r>
          </w:p>
        </w:tc>
        <w:tc>
          <w:tcPr>
            <w:tcW w:w="1499" w:type="dxa"/>
            <w:vMerge w:val="restart"/>
            <w:vAlign w:val="center"/>
          </w:tcPr>
          <w:p w14:paraId="65465211">
            <w:pPr>
              <w:pStyle w:val="105"/>
              <w:jc w:val="center"/>
              <w:rPr>
                <w:rFonts w:ascii="Times New Roman" w:cs="Times New Roman"/>
                <w:color w:val="auto"/>
                <w:sz w:val="21"/>
                <w:szCs w:val="21"/>
              </w:rPr>
            </w:pPr>
            <w:r>
              <w:rPr>
                <w:rFonts w:hint="eastAsia" w:ascii="Times New Roman" w:cs="Times New Roman"/>
                <w:color w:val="auto"/>
                <w:sz w:val="21"/>
                <w:szCs w:val="21"/>
              </w:rPr>
              <w:t>常绿阔叶林</w:t>
            </w:r>
          </w:p>
        </w:tc>
        <w:tc>
          <w:tcPr>
            <w:tcW w:w="1828" w:type="dxa"/>
            <w:vMerge w:val="restart"/>
            <w:vAlign w:val="center"/>
          </w:tcPr>
          <w:p w14:paraId="291853F0">
            <w:pPr>
              <w:pStyle w:val="105"/>
              <w:jc w:val="center"/>
              <w:rPr>
                <w:rFonts w:ascii="Times New Roman" w:cs="Times New Roman"/>
                <w:color w:val="auto"/>
                <w:sz w:val="21"/>
                <w:szCs w:val="21"/>
              </w:rPr>
            </w:pPr>
            <w:r>
              <w:rPr>
                <w:rFonts w:hint="eastAsia" w:ascii="Times New Roman" w:cs="Times New Roman"/>
                <w:color w:val="auto"/>
                <w:sz w:val="21"/>
                <w:szCs w:val="21"/>
              </w:rPr>
              <w:t>青冈林</w:t>
            </w:r>
          </w:p>
        </w:tc>
        <w:tc>
          <w:tcPr>
            <w:tcW w:w="1537" w:type="dxa"/>
            <w:vAlign w:val="center"/>
          </w:tcPr>
          <w:p w14:paraId="7A3ECFF3">
            <w:pPr>
              <w:pStyle w:val="105"/>
              <w:jc w:val="center"/>
              <w:rPr>
                <w:rFonts w:ascii="Times New Roman" w:cs="Times New Roman"/>
                <w:color w:val="auto"/>
                <w:sz w:val="21"/>
                <w:szCs w:val="21"/>
              </w:rPr>
            </w:pPr>
            <w:r>
              <w:rPr>
                <w:rFonts w:hint="eastAsia" w:ascii="Times New Roman" w:cs="Times New Roman"/>
                <w:color w:val="auto"/>
                <w:sz w:val="21"/>
                <w:szCs w:val="21"/>
              </w:rPr>
              <w:t>青冈</w:t>
            </w:r>
          </w:p>
        </w:tc>
        <w:tc>
          <w:tcPr>
            <w:tcW w:w="2490" w:type="dxa"/>
            <w:vAlign w:val="center"/>
          </w:tcPr>
          <w:p w14:paraId="342854C7">
            <w:pPr>
              <w:widowControl/>
              <w:jc w:val="center"/>
              <w:rPr>
                <w:i/>
                <w:iCs/>
                <w:snapToGrid w:val="0"/>
                <w:kern w:val="0"/>
                <w:szCs w:val="21"/>
                <w:lang w:eastAsia="en-US"/>
              </w:rPr>
            </w:pPr>
            <w:r>
              <w:rPr>
                <w:i/>
                <w:iCs/>
                <w:snapToGrid w:val="0"/>
                <w:kern w:val="0"/>
                <w:szCs w:val="21"/>
              </w:rPr>
              <w:t>Quercus glauca</w:t>
            </w:r>
          </w:p>
        </w:tc>
      </w:tr>
      <w:tr w14:paraId="75734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01BB05B7">
            <w:pPr>
              <w:pStyle w:val="105"/>
              <w:jc w:val="center"/>
              <w:rPr>
                <w:rFonts w:ascii="Times New Roman" w:cs="Times New Roman"/>
                <w:color w:val="auto"/>
                <w:sz w:val="21"/>
                <w:szCs w:val="21"/>
              </w:rPr>
            </w:pPr>
          </w:p>
        </w:tc>
        <w:tc>
          <w:tcPr>
            <w:tcW w:w="1100" w:type="dxa"/>
            <w:vMerge w:val="continue"/>
            <w:vAlign w:val="center"/>
          </w:tcPr>
          <w:p w14:paraId="0F57E03B">
            <w:pPr>
              <w:pStyle w:val="105"/>
              <w:jc w:val="center"/>
              <w:rPr>
                <w:rFonts w:ascii="Times New Roman" w:cs="Times New Roman"/>
                <w:color w:val="auto"/>
                <w:sz w:val="21"/>
                <w:szCs w:val="21"/>
              </w:rPr>
            </w:pPr>
          </w:p>
        </w:tc>
        <w:tc>
          <w:tcPr>
            <w:tcW w:w="1499" w:type="dxa"/>
            <w:vMerge w:val="continue"/>
            <w:vAlign w:val="center"/>
          </w:tcPr>
          <w:p w14:paraId="4F944213">
            <w:pPr>
              <w:pStyle w:val="105"/>
              <w:jc w:val="center"/>
              <w:rPr>
                <w:rFonts w:ascii="Times New Roman" w:cs="Times New Roman"/>
                <w:color w:val="auto"/>
                <w:sz w:val="21"/>
                <w:szCs w:val="21"/>
              </w:rPr>
            </w:pPr>
          </w:p>
        </w:tc>
        <w:tc>
          <w:tcPr>
            <w:tcW w:w="1828" w:type="dxa"/>
            <w:vMerge w:val="continue"/>
            <w:vAlign w:val="center"/>
          </w:tcPr>
          <w:p w14:paraId="6463D6F5">
            <w:pPr>
              <w:pStyle w:val="105"/>
              <w:jc w:val="center"/>
              <w:rPr>
                <w:rFonts w:ascii="Times New Roman" w:cs="Times New Roman"/>
                <w:color w:val="auto"/>
                <w:sz w:val="21"/>
                <w:szCs w:val="21"/>
              </w:rPr>
            </w:pPr>
          </w:p>
        </w:tc>
        <w:tc>
          <w:tcPr>
            <w:tcW w:w="1537" w:type="dxa"/>
            <w:vAlign w:val="center"/>
          </w:tcPr>
          <w:p w14:paraId="7449F5B2">
            <w:pPr>
              <w:pStyle w:val="105"/>
              <w:jc w:val="center"/>
              <w:rPr>
                <w:rFonts w:ascii="Times New Roman" w:cs="Times New Roman"/>
                <w:color w:val="auto"/>
                <w:sz w:val="21"/>
                <w:szCs w:val="21"/>
                <w:lang w:eastAsia="en-US"/>
              </w:rPr>
            </w:pPr>
            <w:r>
              <w:rPr>
                <w:rFonts w:hint="eastAsia" w:ascii="Times New Roman" w:cs="Times New Roman"/>
                <w:color w:val="auto"/>
                <w:sz w:val="21"/>
                <w:szCs w:val="21"/>
                <w:lang w:eastAsia="en-US"/>
              </w:rPr>
              <w:t xml:space="preserve">苦槠 </w:t>
            </w:r>
          </w:p>
        </w:tc>
        <w:tc>
          <w:tcPr>
            <w:tcW w:w="2490" w:type="dxa"/>
            <w:vAlign w:val="center"/>
          </w:tcPr>
          <w:p w14:paraId="6E593630">
            <w:pPr>
              <w:pStyle w:val="105"/>
              <w:jc w:val="center"/>
              <w:rPr>
                <w:rFonts w:ascii="Times New Roman" w:cs="Times New Roman"/>
                <w:i/>
                <w:iCs/>
                <w:snapToGrid w:val="0"/>
                <w:color w:val="auto"/>
                <w:kern w:val="0"/>
                <w:sz w:val="21"/>
                <w:szCs w:val="21"/>
                <w:lang w:eastAsia="en-US"/>
              </w:rPr>
            </w:pPr>
            <w:r>
              <w:rPr>
                <w:rFonts w:ascii="Times New Roman" w:cs="Times New Roman"/>
                <w:i/>
                <w:iCs/>
                <w:snapToGrid w:val="0"/>
                <w:color w:val="auto"/>
                <w:kern w:val="0"/>
                <w:sz w:val="21"/>
                <w:szCs w:val="21"/>
                <w:lang w:eastAsia="en-US"/>
              </w:rPr>
              <w:t>Castanopsis sclerophylla</w:t>
            </w:r>
          </w:p>
        </w:tc>
      </w:tr>
      <w:tr w14:paraId="73B66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4EA7A38F">
            <w:pPr>
              <w:pStyle w:val="105"/>
              <w:jc w:val="center"/>
              <w:rPr>
                <w:rFonts w:ascii="Times New Roman" w:cs="Times New Roman"/>
                <w:color w:val="auto"/>
                <w:sz w:val="21"/>
                <w:szCs w:val="21"/>
              </w:rPr>
            </w:pPr>
          </w:p>
        </w:tc>
        <w:tc>
          <w:tcPr>
            <w:tcW w:w="1100" w:type="dxa"/>
            <w:vMerge w:val="continue"/>
            <w:vAlign w:val="center"/>
          </w:tcPr>
          <w:p w14:paraId="5724114E">
            <w:pPr>
              <w:pStyle w:val="105"/>
              <w:jc w:val="center"/>
              <w:rPr>
                <w:rFonts w:ascii="Times New Roman" w:cs="Times New Roman"/>
                <w:color w:val="auto"/>
                <w:sz w:val="21"/>
                <w:szCs w:val="21"/>
              </w:rPr>
            </w:pPr>
          </w:p>
        </w:tc>
        <w:tc>
          <w:tcPr>
            <w:tcW w:w="1499" w:type="dxa"/>
            <w:vMerge w:val="continue"/>
            <w:vAlign w:val="center"/>
          </w:tcPr>
          <w:p w14:paraId="3232E617">
            <w:pPr>
              <w:pStyle w:val="105"/>
              <w:jc w:val="center"/>
              <w:rPr>
                <w:rFonts w:ascii="Times New Roman" w:cs="Times New Roman"/>
                <w:color w:val="auto"/>
                <w:sz w:val="21"/>
                <w:szCs w:val="21"/>
              </w:rPr>
            </w:pPr>
          </w:p>
        </w:tc>
        <w:tc>
          <w:tcPr>
            <w:tcW w:w="1828" w:type="dxa"/>
            <w:vMerge w:val="continue"/>
            <w:vAlign w:val="center"/>
          </w:tcPr>
          <w:p w14:paraId="6617619F">
            <w:pPr>
              <w:pStyle w:val="105"/>
              <w:jc w:val="center"/>
              <w:rPr>
                <w:rFonts w:ascii="Times New Roman" w:cs="Times New Roman"/>
                <w:color w:val="auto"/>
                <w:sz w:val="21"/>
                <w:szCs w:val="21"/>
              </w:rPr>
            </w:pPr>
          </w:p>
        </w:tc>
        <w:tc>
          <w:tcPr>
            <w:tcW w:w="1537" w:type="dxa"/>
            <w:vAlign w:val="center"/>
          </w:tcPr>
          <w:p w14:paraId="37E11F61">
            <w:pPr>
              <w:pStyle w:val="105"/>
              <w:jc w:val="center"/>
              <w:rPr>
                <w:rFonts w:ascii="Times New Roman" w:cs="Times New Roman"/>
                <w:color w:val="auto"/>
                <w:sz w:val="21"/>
                <w:szCs w:val="21"/>
                <w:lang w:eastAsia="en-US"/>
              </w:rPr>
            </w:pPr>
            <w:r>
              <w:rPr>
                <w:rFonts w:hint="eastAsia" w:ascii="Times New Roman" w:cs="Times New Roman"/>
                <w:color w:val="auto"/>
                <w:sz w:val="21"/>
                <w:szCs w:val="21"/>
                <w:lang w:eastAsia="en-US"/>
              </w:rPr>
              <w:t xml:space="preserve">盐麸木 </w:t>
            </w:r>
          </w:p>
        </w:tc>
        <w:tc>
          <w:tcPr>
            <w:tcW w:w="2490" w:type="dxa"/>
            <w:vAlign w:val="center"/>
          </w:tcPr>
          <w:p w14:paraId="2B783284">
            <w:pPr>
              <w:pStyle w:val="105"/>
              <w:jc w:val="center"/>
              <w:rPr>
                <w:rFonts w:ascii="Times New Roman" w:cs="Times New Roman"/>
                <w:i/>
                <w:iCs/>
                <w:snapToGrid w:val="0"/>
                <w:color w:val="auto"/>
                <w:kern w:val="0"/>
                <w:sz w:val="21"/>
                <w:szCs w:val="21"/>
                <w:lang w:eastAsia="en-US"/>
              </w:rPr>
            </w:pPr>
            <w:r>
              <w:rPr>
                <w:rFonts w:hint="eastAsia" w:ascii="Times New Roman" w:cs="Times New Roman"/>
                <w:i/>
                <w:iCs/>
                <w:snapToGrid w:val="0"/>
                <w:color w:val="auto"/>
                <w:kern w:val="0"/>
                <w:sz w:val="21"/>
                <w:szCs w:val="21"/>
                <w:lang w:eastAsia="en-US"/>
              </w:rPr>
              <w:t>Rhus chinensis</w:t>
            </w:r>
          </w:p>
        </w:tc>
      </w:tr>
      <w:tr w14:paraId="14B07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5CEA9A08">
            <w:pPr>
              <w:pStyle w:val="105"/>
              <w:jc w:val="center"/>
              <w:rPr>
                <w:rFonts w:ascii="Times New Roman" w:cs="Times New Roman"/>
                <w:color w:val="auto"/>
                <w:sz w:val="21"/>
                <w:szCs w:val="21"/>
              </w:rPr>
            </w:pPr>
          </w:p>
        </w:tc>
        <w:tc>
          <w:tcPr>
            <w:tcW w:w="1100" w:type="dxa"/>
            <w:vMerge w:val="continue"/>
            <w:vAlign w:val="center"/>
          </w:tcPr>
          <w:p w14:paraId="5B0158F6">
            <w:pPr>
              <w:pStyle w:val="105"/>
              <w:jc w:val="center"/>
              <w:rPr>
                <w:rFonts w:ascii="Times New Roman" w:cs="Times New Roman"/>
                <w:color w:val="auto"/>
                <w:sz w:val="21"/>
                <w:szCs w:val="21"/>
              </w:rPr>
            </w:pPr>
          </w:p>
        </w:tc>
        <w:tc>
          <w:tcPr>
            <w:tcW w:w="1499" w:type="dxa"/>
            <w:vMerge w:val="continue"/>
            <w:vAlign w:val="center"/>
          </w:tcPr>
          <w:p w14:paraId="159C5A6A">
            <w:pPr>
              <w:pStyle w:val="105"/>
              <w:jc w:val="center"/>
              <w:rPr>
                <w:rFonts w:ascii="Times New Roman" w:cs="Times New Roman"/>
                <w:color w:val="auto"/>
                <w:sz w:val="21"/>
                <w:szCs w:val="21"/>
              </w:rPr>
            </w:pPr>
          </w:p>
        </w:tc>
        <w:tc>
          <w:tcPr>
            <w:tcW w:w="1828" w:type="dxa"/>
            <w:vMerge w:val="continue"/>
            <w:vAlign w:val="center"/>
          </w:tcPr>
          <w:p w14:paraId="379EE77C">
            <w:pPr>
              <w:pStyle w:val="105"/>
              <w:jc w:val="center"/>
              <w:rPr>
                <w:rFonts w:ascii="Times New Roman" w:cs="Times New Roman"/>
                <w:color w:val="auto"/>
                <w:sz w:val="21"/>
                <w:szCs w:val="21"/>
              </w:rPr>
            </w:pPr>
          </w:p>
        </w:tc>
        <w:tc>
          <w:tcPr>
            <w:tcW w:w="1537" w:type="dxa"/>
            <w:vAlign w:val="center"/>
          </w:tcPr>
          <w:p w14:paraId="13B1917B">
            <w:pPr>
              <w:pStyle w:val="105"/>
              <w:jc w:val="center"/>
              <w:rPr>
                <w:rFonts w:ascii="Times New Roman" w:cs="Times New Roman"/>
                <w:color w:val="auto"/>
                <w:sz w:val="21"/>
                <w:szCs w:val="21"/>
                <w:lang w:eastAsia="en-US"/>
              </w:rPr>
            </w:pPr>
            <w:r>
              <w:rPr>
                <w:rFonts w:hint="eastAsia" w:ascii="Times New Roman" w:cs="Times New Roman"/>
                <w:color w:val="auto"/>
                <w:sz w:val="21"/>
                <w:szCs w:val="21"/>
                <w:lang w:eastAsia="en-US"/>
              </w:rPr>
              <w:t xml:space="preserve">野桐 </w:t>
            </w:r>
          </w:p>
        </w:tc>
        <w:tc>
          <w:tcPr>
            <w:tcW w:w="2490" w:type="dxa"/>
            <w:vAlign w:val="center"/>
          </w:tcPr>
          <w:p w14:paraId="2C1B8DE4">
            <w:pPr>
              <w:pStyle w:val="105"/>
              <w:jc w:val="center"/>
              <w:rPr>
                <w:rFonts w:ascii="Times New Roman" w:cs="Times New Roman"/>
                <w:i/>
                <w:iCs/>
                <w:snapToGrid w:val="0"/>
                <w:color w:val="auto"/>
                <w:kern w:val="0"/>
                <w:sz w:val="21"/>
                <w:szCs w:val="21"/>
                <w:lang w:eastAsia="en-US"/>
              </w:rPr>
            </w:pPr>
            <w:r>
              <w:rPr>
                <w:rFonts w:hint="eastAsia" w:ascii="Times New Roman" w:cs="Times New Roman"/>
                <w:i/>
                <w:iCs/>
                <w:snapToGrid w:val="0"/>
                <w:color w:val="auto"/>
                <w:kern w:val="0"/>
                <w:sz w:val="21"/>
                <w:szCs w:val="21"/>
                <w:lang w:eastAsia="en-US"/>
              </w:rPr>
              <w:t>Mallotus tenuifolius</w:t>
            </w:r>
          </w:p>
        </w:tc>
      </w:tr>
      <w:tr w14:paraId="2662C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7A34A6FA">
            <w:pPr>
              <w:pStyle w:val="105"/>
              <w:jc w:val="center"/>
              <w:rPr>
                <w:rFonts w:ascii="Times New Roman" w:cs="Times New Roman"/>
                <w:color w:val="auto"/>
                <w:sz w:val="21"/>
                <w:szCs w:val="21"/>
              </w:rPr>
            </w:pPr>
          </w:p>
        </w:tc>
        <w:tc>
          <w:tcPr>
            <w:tcW w:w="1100" w:type="dxa"/>
            <w:vMerge w:val="continue"/>
            <w:vAlign w:val="center"/>
          </w:tcPr>
          <w:p w14:paraId="355D0291">
            <w:pPr>
              <w:pStyle w:val="105"/>
              <w:jc w:val="center"/>
              <w:rPr>
                <w:rFonts w:ascii="Times New Roman" w:cs="Times New Roman"/>
                <w:color w:val="auto"/>
                <w:sz w:val="21"/>
                <w:szCs w:val="21"/>
              </w:rPr>
            </w:pPr>
          </w:p>
        </w:tc>
        <w:tc>
          <w:tcPr>
            <w:tcW w:w="1499" w:type="dxa"/>
            <w:vMerge w:val="continue"/>
            <w:vAlign w:val="center"/>
          </w:tcPr>
          <w:p w14:paraId="0FEE7150">
            <w:pPr>
              <w:pStyle w:val="105"/>
              <w:jc w:val="center"/>
              <w:rPr>
                <w:rFonts w:ascii="Times New Roman" w:cs="Times New Roman"/>
                <w:color w:val="auto"/>
                <w:sz w:val="21"/>
                <w:szCs w:val="21"/>
              </w:rPr>
            </w:pPr>
          </w:p>
        </w:tc>
        <w:tc>
          <w:tcPr>
            <w:tcW w:w="1828" w:type="dxa"/>
            <w:vMerge w:val="continue"/>
            <w:vAlign w:val="center"/>
          </w:tcPr>
          <w:p w14:paraId="741A46F3">
            <w:pPr>
              <w:pStyle w:val="105"/>
              <w:jc w:val="center"/>
              <w:rPr>
                <w:rFonts w:ascii="Times New Roman" w:cs="Times New Roman"/>
                <w:color w:val="auto"/>
                <w:sz w:val="21"/>
                <w:szCs w:val="21"/>
              </w:rPr>
            </w:pPr>
          </w:p>
        </w:tc>
        <w:tc>
          <w:tcPr>
            <w:tcW w:w="1537" w:type="dxa"/>
            <w:vAlign w:val="center"/>
          </w:tcPr>
          <w:p w14:paraId="2524E6CF">
            <w:pPr>
              <w:pStyle w:val="105"/>
              <w:jc w:val="center"/>
              <w:rPr>
                <w:rFonts w:ascii="Times New Roman" w:cs="Times New Roman"/>
                <w:color w:val="auto"/>
                <w:sz w:val="21"/>
                <w:szCs w:val="21"/>
                <w:lang w:eastAsia="en-US"/>
              </w:rPr>
            </w:pPr>
            <w:r>
              <w:rPr>
                <w:rFonts w:hint="eastAsia" w:ascii="Times New Roman" w:cs="Times New Roman"/>
                <w:color w:val="auto"/>
                <w:sz w:val="21"/>
                <w:szCs w:val="21"/>
                <w:lang w:eastAsia="en-US"/>
              </w:rPr>
              <w:t xml:space="preserve">山鸡椒 </w:t>
            </w:r>
          </w:p>
        </w:tc>
        <w:tc>
          <w:tcPr>
            <w:tcW w:w="2490" w:type="dxa"/>
            <w:vAlign w:val="center"/>
          </w:tcPr>
          <w:p w14:paraId="4717C8CD">
            <w:pPr>
              <w:pStyle w:val="105"/>
              <w:jc w:val="center"/>
              <w:rPr>
                <w:rFonts w:ascii="Times New Roman" w:cs="Times New Roman"/>
                <w:i/>
                <w:iCs/>
                <w:snapToGrid w:val="0"/>
                <w:color w:val="auto"/>
                <w:kern w:val="0"/>
                <w:sz w:val="21"/>
                <w:szCs w:val="21"/>
                <w:lang w:eastAsia="en-US"/>
              </w:rPr>
            </w:pPr>
            <w:r>
              <w:rPr>
                <w:rFonts w:hint="eastAsia" w:ascii="Times New Roman" w:cs="Times New Roman"/>
                <w:i/>
                <w:iCs/>
                <w:snapToGrid w:val="0"/>
                <w:color w:val="auto"/>
                <w:kern w:val="0"/>
                <w:sz w:val="21"/>
                <w:szCs w:val="21"/>
                <w:lang w:eastAsia="en-US"/>
              </w:rPr>
              <w:t>Litsea cubeba</w:t>
            </w:r>
          </w:p>
        </w:tc>
      </w:tr>
      <w:tr w14:paraId="2B75B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37D5C95A">
            <w:pPr>
              <w:pStyle w:val="105"/>
              <w:jc w:val="center"/>
              <w:rPr>
                <w:rFonts w:ascii="Times New Roman" w:cs="Times New Roman"/>
                <w:color w:val="auto"/>
                <w:sz w:val="21"/>
                <w:szCs w:val="21"/>
              </w:rPr>
            </w:pPr>
          </w:p>
        </w:tc>
        <w:tc>
          <w:tcPr>
            <w:tcW w:w="1100" w:type="dxa"/>
            <w:vMerge w:val="continue"/>
            <w:vAlign w:val="center"/>
          </w:tcPr>
          <w:p w14:paraId="094D02C1">
            <w:pPr>
              <w:pStyle w:val="105"/>
              <w:jc w:val="center"/>
              <w:rPr>
                <w:rFonts w:ascii="Times New Roman" w:cs="Times New Roman"/>
                <w:color w:val="auto"/>
                <w:sz w:val="21"/>
                <w:szCs w:val="21"/>
              </w:rPr>
            </w:pPr>
          </w:p>
        </w:tc>
        <w:tc>
          <w:tcPr>
            <w:tcW w:w="1499" w:type="dxa"/>
            <w:vMerge w:val="continue"/>
            <w:vAlign w:val="center"/>
          </w:tcPr>
          <w:p w14:paraId="3BBF8EA3">
            <w:pPr>
              <w:pStyle w:val="105"/>
              <w:jc w:val="center"/>
              <w:rPr>
                <w:rFonts w:ascii="Times New Roman" w:cs="Times New Roman"/>
                <w:color w:val="auto"/>
                <w:sz w:val="21"/>
                <w:szCs w:val="21"/>
              </w:rPr>
            </w:pPr>
          </w:p>
        </w:tc>
        <w:tc>
          <w:tcPr>
            <w:tcW w:w="1828" w:type="dxa"/>
            <w:vMerge w:val="continue"/>
            <w:vAlign w:val="center"/>
          </w:tcPr>
          <w:p w14:paraId="3616ACD9">
            <w:pPr>
              <w:pStyle w:val="105"/>
              <w:jc w:val="center"/>
              <w:rPr>
                <w:rFonts w:ascii="Times New Roman" w:cs="Times New Roman"/>
                <w:color w:val="auto"/>
                <w:sz w:val="21"/>
                <w:szCs w:val="21"/>
              </w:rPr>
            </w:pPr>
          </w:p>
        </w:tc>
        <w:tc>
          <w:tcPr>
            <w:tcW w:w="1537" w:type="dxa"/>
            <w:vAlign w:val="center"/>
          </w:tcPr>
          <w:p w14:paraId="3FBD9F37">
            <w:pPr>
              <w:pStyle w:val="105"/>
              <w:jc w:val="center"/>
              <w:rPr>
                <w:rFonts w:ascii="Times New Roman" w:cs="Times New Roman"/>
                <w:color w:val="auto"/>
                <w:sz w:val="21"/>
                <w:szCs w:val="21"/>
                <w:lang w:eastAsia="en-US"/>
              </w:rPr>
            </w:pPr>
            <w:r>
              <w:rPr>
                <w:rFonts w:ascii="Times New Roman" w:cs="Times New Roman"/>
                <w:color w:val="auto"/>
                <w:sz w:val="21"/>
                <w:szCs w:val="21"/>
                <w:lang w:eastAsia="en-US"/>
              </w:rPr>
              <w:t>黄檀</w:t>
            </w:r>
          </w:p>
        </w:tc>
        <w:tc>
          <w:tcPr>
            <w:tcW w:w="2490" w:type="dxa"/>
            <w:vAlign w:val="center"/>
          </w:tcPr>
          <w:p w14:paraId="10C684B1">
            <w:pPr>
              <w:widowControl/>
              <w:jc w:val="center"/>
              <w:rPr>
                <w:i/>
                <w:iCs/>
                <w:snapToGrid w:val="0"/>
                <w:kern w:val="0"/>
                <w:szCs w:val="21"/>
                <w:lang w:eastAsia="en-US"/>
              </w:rPr>
            </w:pPr>
            <w:r>
              <w:rPr>
                <w:i/>
                <w:iCs/>
                <w:snapToGrid w:val="0"/>
                <w:kern w:val="0"/>
                <w:szCs w:val="21"/>
                <w:lang w:eastAsia="en-US"/>
              </w:rPr>
              <w:t xml:space="preserve"> Dalbergia hupeana</w:t>
            </w:r>
          </w:p>
        </w:tc>
      </w:tr>
      <w:tr w14:paraId="5B40D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6BAF8917">
            <w:pPr>
              <w:pStyle w:val="105"/>
              <w:jc w:val="center"/>
              <w:rPr>
                <w:rFonts w:ascii="Times New Roman" w:cs="Times New Roman"/>
                <w:color w:val="auto"/>
                <w:sz w:val="21"/>
                <w:szCs w:val="21"/>
              </w:rPr>
            </w:pPr>
          </w:p>
        </w:tc>
        <w:tc>
          <w:tcPr>
            <w:tcW w:w="1100" w:type="dxa"/>
            <w:vMerge w:val="continue"/>
            <w:vAlign w:val="center"/>
          </w:tcPr>
          <w:p w14:paraId="2BA46CBB">
            <w:pPr>
              <w:pStyle w:val="105"/>
              <w:jc w:val="center"/>
              <w:rPr>
                <w:rFonts w:ascii="Times New Roman" w:cs="Times New Roman"/>
                <w:color w:val="auto"/>
                <w:sz w:val="21"/>
                <w:szCs w:val="21"/>
              </w:rPr>
            </w:pPr>
          </w:p>
        </w:tc>
        <w:tc>
          <w:tcPr>
            <w:tcW w:w="1499" w:type="dxa"/>
            <w:vAlign w:val="center"/>
          </w:tcPr>
          <w:p w14:paraId="4D5062E0">
            <w:pPr>
              <w:pStyle w:val="105"/>
              <w:jc w:val="center"/>
              <w:rPr>
                <w:rFonts w:ascii="Times New Roman" w:cs="Times New Roman"/>
                <w:color w:val="auto"/>
                <w:sz w:val="21"/>
                <w:szCs w:val="21"/>
              </w:rPr>
            </w:pPr>
            <w:r>
              <w:rPr>
                <w:rFonts w:ascii="Times New Roman" w:cs="Times New Roman"/>
                <w:color w:val="auto"/>
                <w:sz w:val="21"/>
                <w:szCs w:val="21"/>
              </w:rPr>
              <w:t>落叶阔叶林</w:t>
            </w:r>
          </w:p>
        </w:tc>
        <w:tc>
          <w:tcPr>
            <w:tcW w:w="1828" w:type="dxa"/>
            <w:vAlign w:val="center"/>
          </w:tcPr>
          <w:p w14:paraId="23F68B1B">
            <w:pPr>
              <w:pStyle w:val="105"/>
              <w:jc w:val="center"/>
              <w:rPr>
                <w:rFonts w:ascii="Times New Roman" w:cs="Times New Roman"/>
                <w:color w:val="auto"/>
                <w:sz w:val="21"/>
                <w:szCs w:val="21"/>
              </w:rPr>
            </w:pPr>
            <w:r>
              <w:rPr>
                <w:rFonts w:hint="eastAsia" w:ascii="Times New Roman" w:cs="Times New Roman"/>
                <w:color w:val="auto"/>
                <w:sz w:val="21"/>
                <w:szCs w:val="21"/>
              </w:rPr>
              <w:t>白栎林</w:t>
            </w:r>
          </w:p>
        </w:tc>
        <w:tc>
          <w:tcPr>
            <w:tcW w:w="1537" w:type="dxa"/>
            <w:vAlign w:val="center"/>
          </w:tcPr>
          <w:p w14:paraId="0B02F3E2">
            <w:pPr>
              <w:pStyle w:val="105"/>
              <w:jc w:val="center"/>
              <w:rPr>
                <w:rFonts w:ascii="Times New Roman" w:cs="Times New Roman"/>
                <w:color w:val="auto"/>
                <w:sz w:val="21"/>
                <w:szCs w:val="21"/>
                <w:lang w:eastAsia="en-US"/>
              </w:rPr>
            </w:pPr>
            <w:r>
              <w:rPr>
                <w:rFonts w:hint="eastAsia" w:ascii="Times New Roman" w:cs="Times New Roman"/>
                <w:color w:val="auto"/>
                <w:sz w:val="21"/>
                <w:szCs w:val="21"/>
                <w:lang w:eastAsia="en-US"/>
              </w:rPr>
              <w:t xml:space="preserve">白栎 </w:t>
            </w:r>
          </w:p>
        </w:tc>
        <w:tc>
          <w:tcPr>
            <w:tcW w:w="2490" w:type="dxa"/>
            <w:vAlign w:val="center"/>
          </w:tcPr>
          <w:p w14:paraId="0C987E47">
            <w:pPr>
              <w:widowControl/>
              <w:jc w:val="center"/>
              <w:rPr>
                <w:i/>
                <w:iCs/>
                <w:snapToGrid w:val="0"/>
                <w:kern w:val="0"/>
                <w:szCs w:val="21"/>
                <w:lang w:eastAsia="en-US"/>
              </w:rPr>
            </w:pPr>
            <w:r>
              <w:rPr>
                <w:rFonts w:hint="eastAsia"/>
                <w:i/>
                <w:iCs/>
                <w:snapToGrid w:val="0"/>
                <w:kern w:val="0"/>
                <w:szCs w:val="21"/>
                <w:lang w:eastAsia="en-US"/>
              </w:rPr>
              <w:t>Quercus fabri</w:t>
            </w:r>
          </w:p>
        </w:tc>
      </w:tr>
      <w:tr w14:paraId="129D1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7BEEB832">
            <w:pPr>
              <w:pStyle w:val="105"/>
              <w:jc w:val="center"/>
              <w:rPr>
                <w:rFonts w:ascii="Times New Roman" w:cs="Times New Roman"/>
                <w:color w:val="auto"/>
                <w:sz w:val="21"/>
                <w:szCs w:val="21"/>
              </w:rPr>
            </w:pPr>
          </w:p>
        </w:tc>
        <w:tc>
          <w:tcPr>
            <w:tcW w:w="1100" w:type="dxa"/>
            <w:vMerge w:val="continue"/>
            <w:vAlign w:val="center"/>
          </w:tcPr>
          <w:p w14:paraId="3EA79592">
            <w:pPr>
              <w:pStyle w:val="105"/>
              <w:jc w:val="center"/>
              <w:rPr>
                <w:rFonts w:ascii="Times New Roman" w:cs="Times New Roman"/>
                <w:color w:val="auto"/>
                <w:sz w:val="21"/>
                <w:szCs w:val="21"/>
              </w:rPr>
            </w:pPr>
          </w:p>
        </w:tc>
        <w:tc>
          <w:tcPr>
            <w:tcW w:w="1499" w:type="dxa"/>
            <w:vAlign w:val="center"/>
          </w:tcPr>
          <w:p w14:paraId="02E8D9D9">
            <w:pPr>
              <w:pStyle w:val="105"/>
              <w:jc w:val="center"/>
              <w:rPr>
                <w:rFonts w:ascii="Times New Roman" w:cs="Times New Roman"/>
                <w:color w:val="auto"/>
                <w:sz w:val="21"/>
                <w:szCs w:val="21"/>
              </w:rPr>
            </w:pPr>
            <w:r>
              <w:rPr>
                <w:rFonts w:hint="eastAsia" w:ascii="Times New Roman" w:cs="Times New Roman"/>
                <w:color w:val="auto"/>
                <w:sz w:val="21"/>
                <w:szCs w:val="21"/>
              </w:rPr>
              <w:t>竹林</w:t>
            </w:r>
          </w:p>
        </w:tc>
        <w:tc>
          <w:tcPr>
            <w:tcW w:w="1828" w:type="dxa"/>
            <w:vAlign w:val="center"/>
          </w:tcPr>
          <w:p w14:paraId="21BDB095">
            <w:pPr>
              <w:pStyle w:val="105"/>
              <w:jc w:val="center"/>
              <w:rPr>
                <w:rFonts w:ascii="Times New Roman" w:cs="Times New Roman"/>
                <w:color w:val="auto"/>
                <w:sz w:val="21"/>
                <w:szCs w:val="21"/>
              </w:rPr>
            </w:pPr>
            <w:r>
              <w:rPr>
                <w:rFonts w:hint="eastAsia" w:ascii="Times New Roman" w:cs="Times New Roman"/>
                <w:color w:val="auto"/>
                <w:sz w:val="21"/>
                <w:szCs w:val="21"/>
              </w:rPr>
              <w:t>毛竹林</w:t>
            </w:r>
          </w:p>
        </w:tc>
        <w:tc>
          <w:tcPr>
            <w:tcW w:w="1537" w:type="dxa"/>
            <w:vAlign w:val="center"/>
          </w:tcPr>
          <w:p w14:paraId="16C8F49C">
            <w:pPr>
              <w:pStyle w:val="105"/>
              <w:jc w:val="center"/>
              <w:rPr>
                <w:rFonts w:ascii="Times New Roman" w:cs="Times New Roman"/>
                <w:color w:val="auto"/>
                <w:sz w:val="21"/>
                <w:szCs w:val="21"/>
                <w:lang w:eastAsia="en-US"/>
              </w:rPr>
            </w:pPr>
            <w:r>
              <w:rPr>
                <w:rFonts w:hint="eastAsia" w:ascii="Times New Roman" w:cs="Times New Roman"/>
                <w:color w:val="auto"/>
                <w:sz w:val="21"/>
                <w:szCs w:val="21"/>
                <w:lang w:eastAsia="en-US"/>
              </w:rPr>
              <w:t xml:space="preserve">毛竹 </w:t>
            </w:r>
          </w:p>
        </w:tc>
        <w:tc>
          <w:tcPr>
            <w:tcW w:w="2490" w:type="dxa"/>
            <w:vAlign w:val="center"/>
          </w:tcPr>
          <w:p w14:paraId="4E1ED168">
            <w:pPr>
              <w:widowControl/>
              <w:jc w:val="center"/>
              <w:rPr>
                <w:i/>
                <w:iCs/>
                <w:snapToGrid w:val="0"/>
                <w:kern w:val="0"/>
                <w:szCs w:val="21"/>
                <w:lang w:eastAsia="en-US"/>
              </w:rPr>
            </w:pPr>
            <w:r>
              <w:rPr>
                <w:rFonts w:hint="eastAsia"/>
                <w:i/>
                <w:iCs/>
                <w:snapToGrid w:val="0"/>
                <w:kern w:val="0"/>
                <w:szCs w:val="21"/>
                <w:lang w:eastAsia="en-US"/>
              </w:rPr>
              <w:t>Phyllostachys edulis</w:t>
            </w:r>
          </w:p>
        </w:tc>
      </w:tr>
      <w:tr w14:paraId="375F0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1CED1CBC">
            <w:pPr>
              <w:pStyle w:val="105"/>
              <w:jc w:val="center"/>
              <w:rPr>
                <w:rFonts w:ascii="Times New Roman" w:cs="Times New Roman"/>
                <w:color w:val="auto"/>
                <w:sz w:val="21"/>
                <w:szCs w:val="21"/>
              </w:rPr>
            </w:pPr>
          </w:p>
        </w:tc>
        <w:tc>
          <w:tcPr>
            <w:tcW w:w="1100" w:type="dxa"/>
            <w:vMerge w:val="restart"/>
            <w:vAlign w:val="center"/>
          </w:tcPr>
          <w:p w14:paraId="749CE450">
            <w:pPr>
              <w:pStyle w:val="105"/>
              <w:jc w:val="center"/>
              <w:rPr>
                <w:rFonts w:ascii="Times New Roman" w:cs="Times New Roman"/>
                <w:color w:val="auto"/>
                <w:sz w:val="21"/>
                <w:szCs w:val="21"/>
              </w:rPr>
            </w:pPr>
            <w:r>
              <w:rPr>
                <w:rFonts w:ascii="Times New Roman" w:cs="Times New Roman"/>
                <w:color w:val="auto"/>
                <w:sz w:val="21"/>
                <w:szCs w:val="21"/>
              </w:rPr>
              <w:t>灌丛和草丛</w:t>
            </w:r>
          </w:p>
        </w:tc>
        <w:tc>
          <w:tcPr>
            <w:tcW w:w="1499" w:type="dxa"/>
            <w:vMerge w:val="restart"/>
            <w:vAlign w:val="center"/>
          </w:tcPr>
          <w:p w14:paraId="04D71B31">
            <w:pPr>
              <w:pStyle w:val="105"/>
              <w:jc w:val="center"/>
              <w:rPr>
                <w:rFonts w:ascii="Times New Roman" w:cs="Times New Roman"/>
                <w:color w:val="auto"/>
                <w:sz w:val="21"/>
                <w:szCs w:val="21"/>
              </w:rPr>
            </w:pPr>
            <w:r>
              <w:rPr>
                <w:rFonts w:ascii="Times New Roman" w:cs="Times New Roman"/>
                <w:color w:val="auto"/>
                <w:sz w:val="21"/>
                <w:szCs w:val="21"/>
              </w:rPr>
              <w:t>灌丛</w:t>
            </w:r>
          </w:p>
        </w:tc>
        <w:tc>
          <w:tcPr>
            <w:tcW w:w="1828" w:type="dxa"/>
            <w:vMerge w:val="restart"/>
            <w:vAlign w:val="center"/>
          </w:tcPr>
          <w:p w14:paraId="711D3BC4">
            <w:pPr>
              <w:pStyle w:val="105"/>
              <w:jc w:val="center"/>
              <w:rPr>
                <w:rFonts w:ascii="Times New Roman" w:cs="Times New Roman"/>
                <w:color w:val="auto"/>
                <w:sz w:val="21"/>
                <w:szCs w:val="21"/>
              </w:rPr>
            </w:pPr>
            <w:r>
              <w:rPr>
                <w:rFonts w:hint="eastAsia" w:ascii="Times New Roman" w:cs="Times New Roman"/>
                <w:color w:val="auto"/>
                <w:sz w:val="21"/>
                <w:szCs w:val="21"/>
              </w:rPr>
              <w:t>荆条灌丛</w:t>
            </w:r>
          </w:p>
        </w:tc>
        <w:tc>
          <w:tcPr>
            <w:tcW w:w="1537" w:type="dxa"/>
            <w:vAlign w:val="center"/>
          </w:tcPr>
          <w:p w14:paraId="1A41C7C1">
            <w:pPr>
              <w:pStyle w:val="105"/>
              <w:jc w:val="center"/>
              <w:rPr>
                <w:rFonts w:ascii="Times New Roman" w:cs="Times New Roman"/>
                <w:color w:val="auto"/>
                <w:sz w:val="21"/>
                <w:szCs w:val="21"/>
                <w:lang w:eastAsia="en-US"/>
              </w:rPr>
            </w:pPr>
            <w:r>
              <w:rPr>
                <w:rFonts w:hint="eastAsia" w:ascii="Times New Roman" w:cs="Times New Roman"/>
                <w:color w:val="auto"/>
                <w:sz w:val="21"/>
                <w:szCs w:val="21"/>
                <w:lang w:eastAsia="en-US"/>
              </w:rPr>
              <w:t xml:space="preserve">荆条 </w:t>
            </w:r>
          </w:p>
        </w:tc>
        <w:tc>
          <w:tcPr>
            <w:tcW w:w="2490" w:type="dxa"/>
            <w:vAlign w:val="center"/>
          </w:tcPr>
          <w:p w14:paraId="74ECFAE1">
            <w:pPr>
              <w:widowControl/>
              <w:jc w:val="center"/>
              <w:rPr>
                <w:i/>
                <w:iCs/>
                <w:snapToGrid w:val="0"/>
                <w:kern w:val="0"/>
                <w:szCs w:val="21"/>
                <w:lang w:eastAsia="en-US"/>
              </w:rPr>
            </w:pPr>
            <w:r>
              <w:rPr>
                <w:rFonts w:hint="eastAsia"/>
                <w:i/>
                <w:iCs/>
                <w:snapToGrid w:val="0"/>
                <w:kern w:val="0"/>
                <w:szCs w:val="21"/>
                <w:lang w:eastAsia="en-US"/>
              </w:rPr>
              <w:t xml:space="preserve">Vitex negundo var. </w:t>
            </w:r>
          </w:p>
          <w:p w14:paraId="50681D3E">
            <w:pPr>
              <w:widowControl/>
              <w:jc w:val="center"/>
              <w:rPr>
                <w:i/>
                <w:iCs/>
                <w:snapToGrid w:val="0"/>
                <w:kern w:val="0"/>
                <w:szCs w:val="21"/>
                <w:lang w:eastAsia="en-US"/>
              </w:rPr>
            </w:pPr>
            <w:r>
              <w:rPr>
                <w:rFonts w:hint="eastAsia"/>
                <w:i/>
                <w:iCs/>
                <w:snapToGrid w:val="0"/>
                <w:kern w:val="0"/>
                <w:szCs w:val="21"/>
                <w:lang w:eastAsia="en-US"/>
              </w:rPr>
              <w:t>heterophylla</w:t>
            </w:r>
          </w:p>
        </w:tc>
      </w:tr>
      <w:tr w14:paraId="62061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1BAEF252">
            <w:pPr>
              <w:pStyle w:val="105"/>
              <w:jc w:val="center"/>
              <w:rPr>
                <w:rFonts w:ascii="Times New Roman" w:cs="Times New Roman"/>
                <w:color w:val="auto"/>
                <w:sz w:val="21"/>
                <w:szCs w:val="21"/>
              </w:rPr>
            </w:pPr>
          </w:p>
        </w:tc>
        <w:tc>
          <w:tcPr>
            <w:tcW w:w="1100" w:type="dxa"/>
            <w:vMerge w:val="continue"/>
            <w:vAlign w:val="center"/>
          </w:tcPr>
          <w:p w14:paraId="034FFBD5">
            <w:pPr>
              <w:pStyle w:val="105"/>
              <w:jc w:val="center"/>
              <w:rPr>
                <w:rFonts w:ascii="Times New Roman" w:cs="Times New Roman"/>
                <w:color w:val="auto"/>
                <w:sz w:val="21"/>
                <w:szCs w:val="21"/>
              </w:rPr>
            </w:pPr>
          </w:p>
        </w:tc>
        <w:tc>
          <w:tcPr>
            <w:tcW w:w="1499" w:type="dxa"/>
            <w:vMerge w:val="continue"/>
            <w:vAlign w:val="center"/>
          </w:tcPr>
          <w:p w14:paraId="117EDDB4">
            <w:pPr>
              <w:pStyle w:val="105"/>
              <w:jc w:val="center"/>
              <w:rPr>
                <w:rFonts w:ascii="Times New Roman" w:cs="Times New Roman"/>
                <w:color w:val="auto"/>
                <w:sz w:val="21"/>
                <w:szCs w:val="21"/>
              </w:rPr>
            </w:pPr>
          </w:p>
        </w:tc>
        <w:tc>
          <w:tcPr>
            <w:tcW w:w="1828" w:type="dxa"/>
            <w:vMerge w:val="continue"/>
            <w:vAlign w:val="center"/>
          </w:tcPr>
          <w:p w14:paraId="6841065E">
            <w:pPr>
              <w:pStyle w:val="105"/>
              <w:jc w:val="center"/>
              <w:rPr>
                <w:rFonts w:ascii="Times New Roman" w:cs="Times New Roman"/>
                <w:color w:val="auto"/>
                <w:sz w:val="21"/>
                <w:szCs w:val="21"/>
              </w:rPr>
            </w:pPr>
          </w:p>
        </w:tc>
        <w:tc>
          <w:tcPr>
            <w:tcW w:w="1537" w:type="dxa"/>
            <w:vAlign w:val="center"/>
          </w:tcPr>
          <w:p w14:paraId="62657EDB">
            <w:pPr>
              <w:pStyle w:val="105"/>
              <w:jc w:val="center"/>
              <w:rPr>
                <w:rFonts w:ascii="Times New Roman" w:cs="Times New Roman"/>
                <w:color w:val="auto"/>
                <w:sz w:val="21"/>
                <w:szCs w:val="21"/>
                <w:lang w:eastAsia="en-US"/>
              </w:rPr>
            </w:pPr>
            <w:r>
              <w:rPr>
                <w:rFonts w:hint="eastAsia" w:ascii="Times New Roman" w:cs="Times New Roman"/>
                <w:color w:val="auto"/>
                <w:sz w:val="21"/>
                <w:szCs w:val="21"/>
                <w:lang w:eastAsia="en-US"/>
              </w:rPr>
              <w:t xml:space="preserve">南烛 </w:t>
            </w:r>
          </w:p>
        </w:tc>
        <w:tc>
          <w:tcPr>
            <w:tcW w:w="2490" w:type="dxa"/>
            <w:vAlign w:val="center"/>
          </w:tcPr>
          <w:p w14:paraId="52AC34EF">
            <w:pPr>
              <w:widowControl/>
              <w:jc w:val="center"/>
              <w:rPr>
                <w:i/>
                <w:iCs/>
                <w:snapToGrid w:val="0"/>
                <w:kern w:val="0"/>
                <w:szCs w:val="21"/>
                <w:lang w:eastAsia="en-US"/>
              </w:rPr>
            </w:pPr>
            <w:r>
              <w:rPr>
                <w:rFonts w:hint="eastAsia"/>
                <w:i/>
                <w:iCs/>
                <w:snapToGrid w:val="0"/>
                <w:kern w:val="0"/>
                <w:szCs w:val="21"/>
                <w:lang w:eastAsia="en-US"/>
              </w:rPr>
              <w:t>Vaccinium bracteatum</w:t>
            </w:r>
          </w:p>
        </w:tc>
      </w:tr>
      <w:tr w14:paraId="74DFE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10E0E043">
            <w:pPr>
              <w:pStyle w:val="105"/>
              <w:jc w:val="center"/>
              <w:rPr>
                <w:rFonts w:ascii="Times New Roman" w:cs="Times New Roman"/>
                <w:color w:val="auto"/>
                <w:sz w:val="21"/>
                <w:szCs w:val="21"/>
              </w:rPr>
            </w:pPr>
          </w:p>
        </w:tc>
        <w:tc>
          <w:tcPr>
            <w:tcW w:w="1100" w:type="dxa"/>
            <w:vMerge w:val="continue"/>
            <w:vAlign w:val="center"/>
          </w:tcPr>
          <w:p w14:paraId="51389F45">
            <w:pPr>
              <w:pStyle w:val="105"/>
              <w:jc w:val="center"/>
              <w:rPr>
                <w:rFonts w:ascii="Times New Roman" w:cs="Times New Roman"/>
                <w:color w:val="auto"/>
                <w:sz w:val="21"/>
                <w:szCs w:val="21"/>
              </w:rPr>
            </w:pPr>
          </w:p>
        </w:tc>
        <w:tc>
          <w:tcPr>
            <w:tcW w:w="1499" w:type="dxa"/>
            <w:vMerge w:val="restart"/>
            <w:vAlign w:val="center"/>
          </w:tcPr>
          <w:p w14:paraId="323810B0">
            <w:pPr>
              <w:pStyle w:val="105"/>
              <w:jc w:val="center"/>
              <w:rPr>
                <w:rFonts w:ascii="Times New Roman" w:cs="Times New Roman"/>
                <w:color w:val="auto"/>
                <w:sz w:val="21"/>
                <w:szCs w:val="21"/>
              </w:rPr>
            </w:pPr>
            <w:r>
              <w:rPr>
                <w:rFonts w:ascii="Times New Roman" w:cs="Times New Roman"/>
                <w:color w:val="auto"/>
                <w:sz w:val="21"/>
                <w:szCs w:val="21"/>
              </w:rPr>
              <w:t>草丛</w:t>
            </w:r>
          </w:p>
        </w:tc>
        <w:tc>
          <w:tcPr>
            <w:tcW w:w="1828" w:type="dxa"/>
            <w:vMerge w:val="restart"/>
            <w:vAlign w:val="center"/>
          </w:tcPr>
          <w:p w14:paraId="6A99B7C1">
            <w:pPr>
              <w:pStyle w:val="105"/>
              <w:jc w:val="center"/>
              <w:rPr>
                <w:rFonts w:ascii="Times New Roman" w:cs="Times New Roman"/>
                <w:color w:val="auto"/>
                <w:sz w:val="21"/>
                <w:szCs w:val="21"/>
              </w:rPr>
            </w:pPr>
            <w:r>
              <w:rPr>
                <w:rFonts w:hint="eastAsia" w:ascii="Times New Roman" w:cs="Times New Roman"/>
                <w:color w:val="auto"/>
                <w:sz w:val="21"/>
                <w:szCs w:val="21"/>
              </w:rPr>
              <w:t>狗尾草草丛</w:t>
            </w:r>
          </w:p>
        </w:tc>
        <w:tc>
          <w:tcPr>
            <w:tcW w:w="1537" w:type="dxa"/>
            <w:vAlign w:val="center"/>
          </w:tcPr>
          <w:p w14:paraId="777F8C67">
            <w:pPr>
              <w:pStyle w:val="105"/>
              <w:jc w:val="center"/>
              <w:rPr>
                <w:rFonts w:ascii="Times New Roman" w:cs="Times New Roman"/>
                <w:color w:val="auto"/>
                <w:sz w:val="21"/>
                <w:szCs w:val="21"/>
                <w:lang w:eastAsia="en-US"/>
              </w:rPr>
            </w:pPr>
            <w:r>
              <w:rPr>
                <w:rFonts w:hint="eastAsia" w:ascii="Times New Roman" w:cs="Times New Roman"/>
                <w:color w:val="auto"/>
                <w:sz w:val="21"/>
                <w:szCs w:val="21"/>
                <w:lang w:eastAsia="en-US"/>
              </w:rPr>
              <w:t>狗尾草</w:t>
            </w:r>
          </w:p>
        </w:tc>
        <w:tc>
          <w:tcPr>
            <w:tcW w:w="2490" w:type="dxa"/>
            <w:vAlign w:val="center"/>
          </w:tcPr>
          <w:p w14:paraId="3DC68AFE">
            <w:pPr>
              <w:widowControl/>
              <w:jc w:val="center"/>
              <w:rPr>
                <w:i/>
                <w:iCs/>
                <w:snapToGrid w:val="0"/>
                <w:kern w:val="0"/>
                <w:szCs w:val="21"/>
                <w:lang w:eastAsia="en-US"/>
              </w:rPr>
            </w:pPr>
            <w:r>
              <w:rPr>
                <w:rFonts w:hint="eastAsia"/>
                <w:i/>
                <w:iCs/>
                <w:snapToGrid w:val="0"/>
                <w:kern w:val="0"/>
                <w:szCs w:val="21"/>
                <w:lang w:eastAsia="en-US"/>
              </w:rPr>
              <w:t xml:space="preserve"> Setaria viridis</w:t>
            </w:r>
          </w:p>
        </w:tc>
      </w:tr>
      <w:tr w14:paraId="2D9D0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5FF1D539">
            <w:pPr>
              <w:pStyle w:val="105"/>
              <w:jc w:val="center"/>
              <w:rPr>
                <w:rFonts w:ascii="Times New Roman" w:cs="Times New Roman"/>
                <w:color w:val="auto"/>
                <w:sz w:val="21"/>
                <w:szCs w:val="21"/>
              </w:rPr>
            </w:pPr>
          </w:p>
        </w:tc>
        <w:tc>
          <w:tcPr>
            <w:tcW w:w="1100" w:type="dxa"/>
            <w:vMerge w:val="continue"/>
            <w:vAlign w:val="center"/>
          </w:tcPr>
          <w:p w14:paraId="3C58696A">
            <w:pPr>
              <w:pStyle w:val="105"/>
              <w:jc w:val="center"/>
              <w:rPr>
                <w:rFonts w:ascii="Times New Roman" w:cs="Times New Roman"/>
                <w:color w:val="auto"/>
                <w:sz w:val="21"/>
                <w:szCs w:val="21"/>
              </w:rPr>
            </w:pPr>
          </w:p>
        </w:tc>
        <w:tc>
          <w:tcPr>
            <w:tcW w:w="1499" w:type="dxa"/>
            <w:vMerge w:val="continue"/>
            <w:vAlign w:val="center"/>
          </w:tcPr>
          <w:p w14:paraId="5F67BB5A">
            <w:pPr>
              <w:pStyle w:val="105"/>
              <w:jc w:val="center"/>
              <w:rPr>
                <w:rFonts w:ascii="Times New Roman" w:cs="Times New Roman"/>
                <w:color w:val="auto"/>
                <w:sz w:val="21"/>
                <w:szCs w:val="21"/>
              </w:rPr>
            </w:pPr>
          </w:p>
        </w:tc>
        <w:tc>
          <w:tcPr>
            <w:tcW w:w="1828" w:type="dxa"/>
            <w:vMerge w:val="continue"/>
            <w:vAlign w:val="center"/>
          </w:tcPr>
          <w:p w14:paraId="6AEE63C1">
            <w:pPr>
              <w:pStyle w:val="105"/>
              <w:jc w:val="center"/>
              <w:rPr>
                <w:rFonts w:ascii="Times New Roman" w:cs="Times New Roman"/>
                <w:color w:val="auto"/>
                <w:sz w:val="21"/>
                <w:szCs w:val="21"/>
              </w:rPr>
            </w:pPr>
          </w:p>
        </w:tc>
        <w:tc>
          <w:tcPr>
            <w:tcW w:w="1537" w:type="dxa"/>
            <w:vAlign w:val="center"/>
          </w:tcPr>
          <w:p w14:paraId="37C56C32">
            <w:pPr>
              <w:pStyle w:val="105"/>
              <w:jc w:val="center"/>
              <w:rPr>
                <w:rFonts w:ascii="Times New Roman" w:cs="Times New Roman"/>
                <w:color w:val="auto"/>
                <w:sz w:val="21"/>
                <w:szCs w:val="21"/>
                <w:lang w:eastAsia="en-US"/>
              </w:rPr>
            </w:pPr>
            <w:r>
              <w:rPr>
                <w:rFonts w:hint="eastAsia" w:ascii="Times New Roman" w:cs="Times New Roman"/>
                <w:color w:val="auto"/>
                <w:sz w:val="21"/>
                <w:szCs w:val="21"/>
                <w:lang w:eastAsia="en-US"/>
              </w:rPr>
              <w:t xml:space="preserve">紫马唐 </w:t>
            </w:r>
          </w:p>
        </w:tc>
        <w:tc>
          <w:tcPr>
            <w:tcW w:w="2490" w:type="dxa"/>
            <w:vAlign w:val="center"/>
          </w:tcPr>
          <w:p w14:paraId="6E560615">
            <w:pPr>
              <w:widowControl/>
              <w:jc w:val="center"/>
              <w:rPr>
                <w:i/>
                <w:iCs/>
                <w:snapToGrid w:val="0"/>
                <w:kern w:val="0"/>
                <w:szCs w:val="21"/>
                <w:lang w:eastAsia="en-US"/>
              </w:rPr>
            </w:pPr>
            <w:r>
              <w:rPr>
                <w:rFonts w:hint="eastAsia"/>
                <w:i/>
                <w:iCs/>
                <w:snapToGrid w:val="0"/>
                <w:kern w:val="0"/>
                <w:szCs w:val="21"/>
                <w:lang w:eastAsia="en-US"/>
              </w:rPr>
              <w:t>Digitaria violascens</w:t>
            </w:r>
          </w:p>
        </w:tc>
      </w:tr>
      <w:tr w14:paraId="301F9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43268153">
            <w:pPr>
              <w:pStyle w:val="105"/>
              <w:jc w:val="center"/>
              <w:rPr>
                <w:rFonts w:ascii="Times New Roman" w:cs="Times New Roman"/>
                <w:color w:val="auto"/>
                <w:sz w:val="21"/>
                <w:szCs w:val="21"/>
              </w:rPr>
            </w:pPr>
          </w:p>
        </w:tc>
        <w:tc>
          <w:tcPr>
            <w:tcW w:w="1100" w:type="dxa"/>
            <w:vMerge w:val="continue"/>
            <w:vAlign w:val="center"/>
          </w:tcPr>
          <w:p w14:paraId="09EF2BB7">
            <w:pPr>
              <w:pStyle w:val="105"/>
              <w:jc w:val="center"/>
              <w:rPr>
                <w:rFonts w:ascii="Times New Roman" w:cs="Times New Roman"/>
                <w:color w:val="auto"/>
                <w:sz w:val="21"/>
                <w:szCs w:val="21"/>
              </w:rPr>
            </w:pPr>
          </w:p>
        </w:tc>
        <w:tc>
          <w:tcPr>
            <w:tcW w:w="1499" w:type="dxa"/>
            <w:vMerge w:val="continue"/>
            <w:vAlign w:val="center"/>
          </w:tcPr>
          <w:p w14:paraId="5DD21C80">
            <w:pPr>
              <w:pStyle w:val="105"/>
              <w:jc w:val="center"/>
              <w:rPr>
                <w:rFonts w:ascii="Times New Roman" w:cs="Times New Roman"/>
                <w:color w:val="auto"/>
                <w:sz w:val="21"/>
                <w:szCs w:val="21"/>
              </w:rPr>
            </w:pPr>
          </w:p>
        </w:tc>
        <w:tc>
          <w:tcPr>
            <w:tcW w:w="1828" w:type="dxa"/>
            <w:vMerge w:val="continue"/>
            <w:vAlign w:val="center"/>
          </w:tcPr>
          <w:p w14:paraId="020FDACD">
            <w:pPr>
              <w:pStyle w:val="105"/>
              <w:jc w:val="center"/>
              <w:rPr>
                <w:rFonts w:ascii="Times New Roman" w:cs="Times New Roman"/>
                <w:color w:val="auto"/>
                <w:sz w:val="21"/>
                <w:szCs w:val="21"/>
              </w:rPr>
            </w:pPr>
          </w:p>
        </w:tc>
        <w:tc>
          <w:tcPr>
            <w:tcW w:w="1537" w:type="dxa"/>
            <w:vAlign w:val="center"/>
          </w:tcPr>
          <w:p w14:paraId="635E97F5">
            <w:pPr>
              <w:pStyle w:val="105"/>
              <w:jc w:val="center"/>
              <w:rPr>
                <w:rFonts w:ascii="Times New Roman" w:cs="Times New Roman"/>
                <w:color w:val="auto"/>
                <w:sz w:val="21"/>
                <w:szCs w:val="21"/>
                <w:lang w:eastAsia="en-US"/>
              </w:rPr>
            </w:pPr>
            <w:r>
              <w:rPr>
                <w:rFonts w:hint="eastAsia" w:ascii="Times New Roman" w:cs="Times New Roman"/>
                <w:color w:val="auto"/>
                <w:sz w:val="21"/>
                <w:szCs w:val="21"/>
                <w:lang w:eastAsia="en-US"/>
              </w:rPr>
              <w:t xml:space="preserve">小蓬草 </w:t>
            </w:r>
          </w:p>
        </w:tc>
        <w:tc>
          <w:tcPr>
            <w:tcW w:w="2490" w:type="dxa"/>
            <w:vAlign w:val="center"/>
          </w:tcPr>
          <w:p w14:paraId="36A7D7B1">
            <w:pPr>
              <w:widowControl/>
              <w:jc w:val="center"/>
              <w:rPr>
                <w:i/>
                <w:iCs/>
                <w:snapToGrid w:val="0"/>
                <w:kern w:val="0"/>
                <w:szCs w:val="21"/>
              </w:rPr>
            </w:pPr>
            <w:r>
              <w:rPr>
                <w:rFonts w:hint="eastAsia"/>
                <w:i/>
                <w:iCs/>
                <w:snapToGrid w:val="0"/>
                <w:kern w:val="0"/>
                <w:szCs w:val="21"/>
                <w:lang w:eastAsia="en-US"/>
              </w:rPr>
              <w:t>Erigeron canadensis</w:t>
            </w:r>
          </w:p>
        </w:tc>
      </w:tr>
      <w:tr w14:paraId="7A9CE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28D76620">
            <w:pPr>
              <w:pStyle w:val="105"/>
              <w:jc w:val="center"/>
              <w:rPr>
                <w:rFonts w:ascii="Times New Roman" w:cs="Times New Roman"/>
                <w:color w:val="auto"/>
                <w:sz w:val="21"/>
                <w:szCs w:val="21"/>
              </w:rPr>
            </w:pPr>
          </w:p>
        </w:tc>
        <w:tc>
          <w:tcPr>
            <w:tcW w:w="1100" w:type="dxa"/>
            <w:vAlign w:val="center"/>
          </w:tcPr>
          <w:p w14:paraId="341C9452">
            <w:pPr>
              <w:pStyle w:val="105"/>
              <w:jc w:val="center"/>
              <w:rPr>
                <w:rFonts w:ascii="Times New Roman" w:cs="Times New Roman"/>
                <w:color w:val="auto"/>
                <w:sz w:val="21"/>
                <w:szCs w:val="21"/>
              </w:rPr>
            </w:pPr>
            <w:r>
              <w:rPr>
                <w:rFonts w:hint="eastAsia" w:ascii="Times New Roman" w:cs="Times New Roman"/>
                <w:color w:val="auto"/>
                <w:sz w:val="21"/>
                <w:szCs w:val="21"/>
              </w:rPr>
              <w:t>草甸</w:t>
            </w:r>
          </w:p>
        </w:tc>
        <w:tc>
          <w:tcPr>
            <w:tcW w:w="1499" w:type="dxa"/>
            <w:vAlign w:val="center"/>
          </w:tcPr>
          <w:p w14:paraId="55854292">
            <w:pPr>
              <w:pStyle w:val="105"/>
              <w:jc w:val="center"/>
              <w:rPr>
                <w:rFonts w:ascii="Times New Roman" w:cs="Times New Roman"/>
                <w:color w:val="auto"/>
                <w:sz w:val="21"/>
                <w:szCs w:val="21"/>
              </w:rPr>
            </w:pPr>
            <w:r>
              <w:rPr>
                <w:rFonts w:hint="eastAsia" w:ascii="Times New Roman" w:cs="Times New Roman"/>
                <w:color w:val="auto"/>
                <w:sz w:val="21"/>
                <w:szCs w:val="21"/>
              </w:rPr>
              <w:t>草甸</w:t>
            </w:r>
          </w:p>
        </w:tc>
        <w:tc>
          <w:tcPr>
            <w:tcW w:w="1828" w:type="dxa"/>
            <w:vAlign w:val="center"/>
          </w:tcPr>
          <w:p w14:paraId="52FB38D5">
            <w:pPr>
              <w:pStyle w:val="105"/>
              <w:jc w:val="center"/>
              <w:rPr>
                <w:rFonts w:ascii="Times New Roman" w:cs="Times New Roman"/>
                <w:color w:val="auto"/>
                <w:sz w:val="21"/>
                <w:szCs w:val="21"/>
              </w:rPr>
            </w:pPr>
            <w:r>
              <w:rPr>
                <w:rFonts w:hint="eastAsia" w:ascii="Times New Roman" w:cs="Times New Roman"/>
                <w:color w:val="auto"/>
                <w:sz w:val="21"/>
                <w:szCs w:val="21"/>
              </w:rPr>
              <w:t>水蓼草甸</w:t>
            </w:r>
          </w:p>
        </w:tc>
        <w:tc>
          <w:tcPr>
            <w:tcW w:w="1537" w:type="dxa"/>
            <w:vAlign w:val="center"/>
          </w:tcPr>
          <w:p w14:paraId="7CDE18C5">
            <w:pPr>
              <w:pStyle w:val="105"/>
              <w:jc w:val="center"/>
              <w:rPr>
                <w:rFonts w:ascii="Times New Roman" w:cs="Times New Roman"/>
                <w:color w:val="auto"/>
                <w:sz w:val="21"/>
                <w:szCs w:val="21"/>
                <w:lang w:eastAsia="en-US"/>
              </w:rPr>
            </w:pPr>
            <w:r>
              <w:rPr>
                <w:rFonts w:hint="eastAsia" w:ascii="Times New Roman" w:cs="Times New Roman"/>
                <w:color w:val="auto"/>
                <w:sz w:val="21"/>
                <w:szCs w:val="21"/>
                <w:lang w:eastAsia="en-US"/>
              </w:rPr>
              <w:t xml:space="preserve">水蓼 </w:t>
            </w:r>
          </w:p>
        </w:tc>
        <w:tc>
          <w:tcPr>
            <w:tcW w:w="2490" w:type="dxa"/>
            <w:vAlign w:val="center"/>
          </w:tcPr>
          <w:p w14:paraId="4CF0EA7A">
            <w:pPr>
              <w:widowControl/>
              <w:jc w:val="center"/>
              <w:rPr>
                <w:i/>
                <w:iCs/>
                <w:snapToGrid w:val="0"/>
                <w:kern w:val="0"/>
                <w:szCs w:val="21"/>
              </w:rPr>
            </w:pPr>
            <w:r>
              <w:rPr>
                <w:rFonts w:hint="eastAsia"/>
                <w:i/>
                <w:iCs/>
                <w:snapToGrid w:val="0"/>
                <w:kern w:val="0"/>
                <w:szCs w:val="21"/>
                <w:lang w:eastAsia="en-US"/>
              </w:rPr>
              <w:t>Persicaria hydropiper</w:t>
            </w:r>
          </w:p>
        </w:tc>
      </w:tr>
      <w:tr w14:paraId="23F71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7AB7E401">
            <w:pPr>
              <w:pStyle w:val="105"/>
              <w:jc w:val="center"/>
              <w:rPr>
                <w:rFonts w:ascii="Times New Roman" w:cs="Times New Roman"/>
                <w:color w:val="auto"/>
                <w:sz w:val="21"/>
                <w:szCs w:val="21"/>
              </w:rPr>
            </w:pPr>
          </w:p>
        </w:tc>
        <w:tc>
          <w:tcPr>
            <w:tcW w:w="1100" w:type="dxa"/>
            <w:vMerge w:val="restart"/>
            <w:vAlign w:val="center"/>
          </w:tcPr>
          <w:p w14:paraId="14B9D13B">
            <w:pPr>
              <w:pStyle w:val="105"/>
              <w:jc w:val="center"/>
              <w:rPr>
                <w:rFonts w:ascii="Times New Roman" w:cs="Times New Roman"/>
                <w:color w:val="auto"/>
                <w:sz w:val="21"/>
                <w:szCs w:val="21"/>
              </w:rPr>
            </w:pPr>
            <w:r>
              <w:rPr>
                <w:rFonts w:hint="eastAsia" w:ascii="Times New Roman" w:cs="Times New Roman"/>
                <w:color w:val="auto"/>
                <w:sz w:val="21"/>
                <w:szCs w:val="21"/>
              </w:rPr>
              <w:t>沼泽和水生植被</w:t>
            </w:r>
          </w:p>
        </w:tc>
        <w:tc>
          <w:tcPr>
            <w:tcW w:w="1499" w:type="dxa"/>
            <w:vAlign w:val="center"/>
          </w:tcPr>
          <w:p w14:paraId="356379D6">
            <w:pPr>
              <w:pStyle w:val="105"/>
              <w:jc w:val="center"/>
              <w:rPr>
                <w:rFonts w:ascii="Times New Roman" w:cs="Times New Roman"/>
                <w:color w:val="auto"/>
                <w:sz w:val="21"/>
                <w:szCs w:val="21"/>
              </w:rPr>
            </w:pPr>
            <w:r>
              <w:rPr>
                <w:rFonts w:hint="eastAsia" w:ascii="Times New Roman" w:cs="Times New Roman"/>
                <w:color w:val="auto"/>
                <w:sz w:val="21"/>
                <w:szCs w:val="21"/>
              </w:rPr>
              <w:t>沼泽</w:t>
            </w:r>
          </w:p>
        </w:tc>
        <w:tc>
          <w:tcPr>
            <w:tcW w:w="1828" w:type="dxa"/>
            <w:vAlign w:val="center"/>
          </w:tcPr>
          <w:p w14:paraId="17AAEA9B">
            <w:pPr>
              <w:pStyle w:val="105"/>
              <w:jc w:val="center"/>
              <w:rPr>
                <w:rFonts w:ascii="Times New Roman" w:cs="Times New Roman"/>
                <w:color w:val="auto"/>
                <w:sz w:val="21"/>
                <w:szCs w:val="21"/>
              </w:rPr>
            </w:pPr>
            <w:r>
              <w:rPr>
                <w:rFonts w:hint="eastAsia" w:ascii="Times New Roman" w:cs="Times New Roman"/>
                <w:color w:val="auto"/>
                <w:sz w:val="21"/>
                <w:szCs w:val="21"/>
              </w:rPr>
              <w:t>芦苇群落</w:t>
            </w:r>
          </w:p>
        </w:tc>
        <w:tc>
          <w:tcPr>
            <w:tcW w:w="1537" w:type="dxa"/>
            <w:vAlign w:val="center"/>
          </w:tcPr>
          <w:p w14:paraId="34B73EB2">
            <w:pPr>
              <w:pStyle w:val="105"/>
              <w:jc w:val="center"/>
              <w:rPr>
                <w:rFonts w:ascii="Times New Roman" w:cs="Times New Roman"/>
                <w:color w:val="auto"/>
                <w:sz w:val="21"/>
                <w:szCs w:val="21"/>
                <w:lang w:eastAsia="en-US"/>
              </w:rPr>
            </w:pPr>
            <w:r>
              <w:rPr>
                <w:rFonts w:hint="eastAsia" w:ascii="Times New Roman" w:cs="Times New Roman"/>
                <w:color w:val="auto"/>
                <w:sz w:val="21"/>
                <w:szCs w:val="21"/>
                <w:lang w:eastAsia="en-US"/>
              </w:rPr>
              <w:t xml:space="preserve">芦苇 </w:t>
            </w:r>
          </w:p>
        </w:tc>
        <w:tc>
          <w:tcPr>
            <w:tcW w:w="2490" w:type="dxa"/>
            <w:vAlign w:val="center"/>
          </w:tcPr>
          <w:p w14:paraId="01907221">
            <w:pPr>
              <w:widowControl/>
              <w:jc w:val="center"/>
              <w:rPr>
                <w:i/>
                <w:iCs/>
                <w:snapToGrid w:val="0"/>
                <w:kern w:val="0"/>
                <w:szCs w:val="21"/>
              </w:rPr>
            </w:pPr>
            <w:r>
              <w:rPr>
                <w:rFonts w:hint="eastAsia"/>
                <w:i/>
                <w:iCs/>
                <w:snapToGrid w:val="0"/>
                <w:kern w:val="0"/>
                <w:szCs w:val="21"/>
                <w:lang w:eastAsia="en-US"/>
              </w:rPr>
              <w:t>Phragmites australis</w:t>
            </w:r>
          </w:p>
        </w:tc>
      </w:tr>
      <w:tr w14:paraId="4BBDA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3FA6927B">
            <w:pPr>
              <w:pStyle w:val="105"/>
              <w:jc w:val="center"/>
              <w:rPr>
                <w:rFonts w:ascii="Times New Roman" w:cs="Times New Roman"/>
                <w:color w:val="auto"/>
                <w:sz w:val="21"/>
                <w:szCs w:val="21"/>
              </w:rPr>
            </w:pPr>
          </w:p>
        </w:tc>
        <w:tc>
          <w:tcPr>
            <w:tcW w:w="1100" w:type="dxa"/>
            <w:vMerge w:val="continue"/>
            <w:vAlign w:val="center"/>
          </w:tcPr>
          <w:p w14:paraId="613A2A52">
            <w:pPr>
              <w:pStyle w:val="105"/>
              <w:jc w:val="center"/>
              <w:rPr>
                <w:rFonts w:ascii="Times New Roman" w:cs="Times New Roman"/>
                <w:color w:val="auto"/>
                <w:sz w:val="21"/>
                <w:szCs w:val="21"/>
              </w:rPr>
            </w:pPr>
          </w:p>
        </w:tc>
        <w:tc>
          <w:tcPr>
            <w:tcW w:w="1499" w:type="dxa"/>
            <w:vAlign w:val="center"/>
          </w:tcPr>
          <w:p w14:paraId="0244DE8C">
            <w:pPr>
              <w:pStyle w:val="105"/>
              <w:jc w:val="center"/>
              <w:rPr>
                <w:rFonts w:ascii="Times New Roman" w:cs="Times New Roman"/>
                <w:color w:val="auto"/>
                <w:sz w:val="21"/>
                <w:szCs w:val="21"/>
              </w:rPr>
            </w:pPr>
            <w:r>
              <w:rPr>
                <w:rFonts w:hint="eastAsia" w:ascii="Times New Roman" w:cs="Times New Roman"/>
                <w:color w:val="auto"/>
                <w:sz w:val="21"/>
                <w:szCs w:val="21"/>
              </w:rPr>
              <w:t>水生植被</w:t>
            </w:r>
          </w:p>
        </w:tc>
        <w:tc>
          <w:tcPr>
            <w:tcW w:w="1828" w:type="dxa"/>
            <w:vAlign w:val="center"/>
          </w:tcPr>
          <w:p w14:paraId="7A9F4483">
            <w:pPr>
              <w:pStyle w:val="105"/>
              <w:jc w:val="center"/>
              <w:rPr>
                <w:rFonts w:ascii="Times New Roman" w:cs="Times New Roman"/>
                <w:color w:val="auto"/>
                <w:sz w:val="21"/>
                <w:szCs w:val="21"/>
              </w:rPr>
            </w:pPr>
            <w:r>
              <w:rPr>
                <w:rFonts w:hint="eastAsia" w:ascii="Times New Roman" w:cs="Times New Roman"/>
                <w:color w:val="auto"/>
                <w:sz w:val="21"/>
                <w:szCs w:val="21"/>
              </w:rPr>
              <w:t>喜旱莲子草群落</w:t>
            </w:r>
          </w:p>
        </w:tc>
        <w:tc>
          <w:tcPr>
            <w:tcW w:w="1537" w:type="dxa"/>
            <w:vAlign w:val="center"/>
          </w:tcPr>
          <w:p w14:paraId="2757F0C7">
            <w:pPr>
              <w:pStyle w:val="105"/>
              <w:jc w:val="center"/>
              <w:rPr>
                <w:rFonts w:ascii="Times New Roman" w:cs="Times New Roman"/>
                <w:color w:val="auto"/>
                <w:sz w:val="21"/>
                <w:szCs w:val="21"/>
              </w:rPr>
            </w:pPr>
            <w:r>
              <w:rPr>
                <w:rFonts w:hint="eastAsia" w:ascii="Times New Roman" w:cs="Times New Roman"/>
                <w:color w:val="auto"/>
                <w:sz w:val="21"/>
                <w:szCs w:val="21"/>
              </w:rPr>
              <w:t xml:space="preserve">喜旱莲子草 </w:t>
            </w:r>
          </w:p>
        </w:tc>
        <w:tc>
          <w:tcPr>
            <w:tcW w:w="2490" w:type="dxa"/>
            <w:vAlign w:val="center"/>
          </w:tcPr>
          <w:p w14:paraId="3A02FEA5">
            <w:pPr>
              <w:widowControl/>
              <w:jc w:val="center"/>
              <w:rPr>
                <w:i/>
                <w:iCs/>
                <w:snapToGrid w:val="0"/>
                <w:kern w:val="0"/>
                <w:szCs w:val="21"/>
              </w:rPr>
            </w:pPr>
            <w:r>
              <w:rPr>
                <w:i/>
                <w:iCs/>
                <w:snapToGrid w:val="0"/>
                <w:kern w:val="0"/>
                <w:szCs w:val="21"/>
              </w:rPr>
              <w:t>Alternanthera philoxeroides</w:t>
            </w:r>
          </w:p>
        </w:tc>
      </w:tr>
      <w:tr w14:paraId="610FF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restart"/>
            <w:vAlign w:val="center"/>
          </w:tcPr>
          <w:p w14:paraId="528E12EF">
            <w:pPr>
              <w:pStyle w:val="105"/>
              <w:jc w:val="center"/>
              <w:rPr>
                <w:rFonts w:ascii="Times New Roman" w:cs="Times New Roman"/>
                <w:color w:val="auto"/>
                <w:sz w:val="21"/>
                <w:szCs w:val="21"/>
              </w:rPr>
            </w:pPr>
            <w:r>
              <w:rPr>
                <w:rFonts w:hint="eastAsia" w:ascii="Times New Roman" w:cs="Times New Roman"/>
                <w:color w:val="auto"/>
                <w:sz w:val="21"/>
                <w:szCs w:val="21"/>
              </w:rPr>
              <w:t>栽培</w:t>
            </w:r>
            <w:r>
              <w:rPr>
                <w:rFonts w:ascii="Times New Roman" w:cs="Times New Roman"/>
                <w:color w:val="auto"/>
                <w:sz w:val="21"/>
                <w:szCs w:val="21"/>
              </w:rPr>
              <w:t>植被</w:t>
            </w:r>
          </w:p>
        </w:tc>
        <w:tc>
          <w:tcPr>
            <w:tcW w:w="1100" w:type="dxa"/>
            <w:vMerge w:val="restart"/>
            <w:vAlign w:val="center"/>
          </w:tcPr>
          <w:p w14:paraId="1FB9CFF9">
            <w:pPr>
              <w:pStyle w:val="105"/>
              <w:jc w:val="center"/>
              <w:rPr>
                <w:rFonts w:ascii="Times New Roman" w:cs="Times New Roman"/>
                <w:color w:val="auto"/>
                <w:sz w:val="21"/>
                <w:szCs w:val="21"/>
              </w:rPr>
            </w:pPr>
            <w:r>
              <w:rPr>
                <w:rFonts w:hint="eastAsia" w:ascii="Times New Roman" w:cs="Times New Roman"/>
                <w:color w:val="auto"/>
                <w:sz w:val="21"/>
                <w:szCs w:val="21"/>
              </w:rPr>
              <w:t>木本类</w:t>
            </w:r>
          </w:p>
        </w:tc>
        <w:tc>
          <w:tcPr>
            <w:tcW w:w="1499" w:type="dxa"/>
            <w:vMerge w:val="restart"/>
            <w:vAlign w:val="center"/>
          </w:tcPr>
          <w:p w14:paraId="4BD058F4">
            <w:pPr>
              <w:pStyle w:val="105"/>
              <w:jc w:val="center"/>
              <w:rPr>
                <w:rFonts w:ascii="Times New Roman" w:cs="Times New Roman"/>
                <w:color w:val="auto"/>
                <w:sz w:val="21"/>
                <w:szCs w:val="21"/>
              </w:rPr>
            </w:pPr>
            <w:r>
              <w:rPr>
                <w:rFonts w:hint="eastAsia" w:ascii="Times New Roman" w:cs="Times New Roman"/>
                <w:color w:val="auto"/>
                <w:sz w:val="21"/>
                <w:szCs w:val="21"/>
              </w:rPr>
              <w:t>果木林型</w:t>
            </w:r>
          </w:p>
        </w:tc>
        <w:tc>
          <w:tcPr>
            <w:tcW w:w="1828" w:type="dxa"/>
            <w:vAlign w:val="center"/>
          </w:tcPr>
          <w:p w14:paraId="66F5CCE3">
            <w:pPr>
              <w:pStyle w:val="105"/>
              <w:jc w:val="center"/>
              <w:rPr>
                <w:rFonts w:ascii="Times New Roman" w:cs="Times New Roman"/>
                <w:color w:val="auto"/>
                <w:sz w:val="21"/>
                <w:szCs w:val="21"/>
              </w:rPr>
            </w:pPr>
            <w:r>
              <w:rPr>
                <w:rFonts w:hint="eastAsia" w:ascii="Times New Roman" w:cs="Times New Roman"/>
                <w:color w:val="auto"/>
                <w:sz w:val="21"/>
                <w:szCs w:val="21"/>
              </w:rPr>
              <w:t>枣园</w:t>
            </w:r>
          </w:p>
        </w:tc>
        <w:tc>
          <w:tcPr>
            <w:tcW w:w="1537" w:type="dxa"/>
            <w:vAlign w:val="center"/>
          </w:tcPr>
          <w:p w14:paraId="5758F55A">
            <w:pPr>
              <w:pStyle w:val="105"/>
              <w:jc w:val="center"/>
              <w:rPr>
                <w:rFonts w:ascii="Times New Roman" w:cs="Times New Roman"/>
                <w:color w:val="auto"/>
                <w:sz w:val="21"/>
                <w:szCs w:val="21"/>
                <w:lang w:eastAsia="en-US"/>
              </w:rPr>
            </w:pPr>
            <w:r>
              <w:rPr>
                <w:rFonts w:hint="eastAsia" w:ascii="Times New Roman" w:cs="Times New Roman"/>
                <w:color w:val="auto"/>
                <w:sz w:val="21"/>
                <w:szCs w:val="21"/>
              </w:rPr>
              <w:t>枣</w:t>
            </w:r>
          </w:p>
        </w:tc>
        <w:tc>
          <w:tcPr>
            <w:tcW w:w="2490" w:type="dxa"/>
            <w:vAlign w:val="center"/>
          </w:tcPr>
          <w:p w14:paraId="5F9BD4A2">
            <w:pPr>
              <w:pStyle w:val="105"/>
              <w:jc w:val="center"/>
              <w:rPr>
                <w:rFonts w:ascii="Times New Roman" w:cs="Times New Roman"/>
                <w:i/>
                <w:iCs/>
                <w:snapToGrid w:val="0"/>
                <w:color w:val="auto"/>
                <w:kern w:val="0"/>
                <w:sz w:val="21"/>
                <w:szCs w:val="21"/>
                <w:lang w:eastAsia="en-US"/>
              </w:rPr>
            </w:pPr>
            <w:r>
              <w:rPr>
                <w:rFonts w:ascii="Times New Roman" w:cs="Times New Roman"/>
                <w:i/>
                <w:iCs/>
                <w:snapToGrid w:val="0"/>
                <w:color w:val="auto"/>
                <w:kern w:val="0"/>
                <w:sz w:val="21"/>
                <w:szCs w:val="21"/>
                <w:lang w:eastAsia="en-US"/>
              </w:rPr>
              <w:t>Ziziphus jujuba Mill</w:t>
            </w:r>
          </w:p>
        </w:tc>
      </w:tr>
      <w:tr w14:paraId="2D212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7ACF46DF">
            <w:pPr>
              <w:pStyle w:val="105"/>
              <w:jc w:val="center"/>
              <w:rPr>
                <w:rFonts w:ascii="Times New Roman" w:cs="Times New Roman"/>
                <w:color w:val="auto"/>
                <w:sz w:val="21"/>
                <w:szCs w:val="21"/>
              </w:rPr>
            </w:pPr>
          </w:p>
        </w:tc>
        <w:tc>
          <w:tcPr>
            <w:tcW w:w="1100" w:type="dxa"/>
            <w:vMerge w:val="continue"/>
            <w:vAlign w:val="center"/>
          </w:tcPr>
          <w:p w14:paraId="78D14CC6">
            <w:pPr>
              <w:pStyle w:val="105"/>
              <w:jc w:val="center"/>
              <w:rPr>
                <w:rFonts w:ascii="Times New Roman" w:cs="Times New Roman"/>
                <w:color w:val="auto"/>
                <w:sz w:val="21"/>
                <w:szCs w:val="21"/>
              </w:rPr>
            </w:pPr>
          </w:p>
        </w:tc>
        <w:tc>
          <w:tcPr>
            <w:tcW w:w="1499" w:type="dxa"/>
            <w:vMerge w:val="continue"/>
            <w:vAlign w:val="center"/>
          </w:tcPr>
          <w:p w14:paraId="0120B5FC">
            <w:pPr>
              <w:pStyle w:val="105"/>
              <w:jc w:val="center"/>
              <w:rPr>
                <w:rFonts w:ascii="Times New Roman" w:cs="Times New Roman"/>
                <w:color w:val="auto"/>
                <w:sz w:val="21"/>
                <w:szCs w:val="21"/>
              </w:rPr>
            </w:pPr>
          </w:p>
        </w:tc>
        <w:tc>
          <w:tcPr>
            <w:tcW w:w="1828" w:type="dxa"/>
            <w:vAlign w:val="center"/>
          </w:tcPr>
          <w:p w14:paraId="3294A045">
            <w:pPr>
              <w:pStyle w:val="105"/>
              <w:jc w:val="center"/>
              <w:rPr>
                <w:rFonts w:ascii="Times New Roman" w:cs="Times New Roman"/>
                <w:color w:val="auto"/>
                <w:sz w:val="21"/>
                <w:szCs w:val="21"/>
              </w:rPr>
            </w:pPr>
            <w:r>
              <w:rPr>
                <w:rFonts w:hint="eastAsia" w:ascii="Times New Roman" w:cs="Times New Roman"/>
                <w:color w:val="auto"/>
                <w:sz w:val="21"/>
                <w:szCs w:val="21"/>
              </w:rPr>
              <w:t>茶园</w:t>
            </w:r>
          </w:p>
        </w:tc>
        <w:tc>
          <w:tcPr>
            <w:tcW w:w="1537" w:type="dxa"/>
            <w:vAlign w:val="center"/>
          </w:tcPr>
          <w:p w14:paraId="0CFAA130">
            <w:pPr>
              <w:pStyle w:val="105"/>
              <w:jc w:val="center"/>
              <w:rPr>
                <w:rFonts w:ascii="Times New Roman" w:cs="Times New Roman"/>
                <w:color w:val="auto"/>
                <w:sz w:val="21"/>
                <w:szCs w:val="21"/>
                <w:lang w:eastAsia="en-US"/>
              </w:rPr>
            </w:pPr>
            <w:r>
              <w:rPr>
                <w:rFonts w:hint="eastAsia" w:ascii="Times New Roman" w:cs="Times New Roman"/>
                <w:color w:val="auto"/>
                <w:sz w:val="21"/>
                <w:szCs w:val="21"/>
              </w:rPr>
              <w:t>茶</w:t>
            </w:r>
          </w:p>
        </w:tc>
        <w:tc>
          <w:tcPr>
            <w:tcW w:w="2490" w:type="dxa"/>
            <w:vAlign w:val="center"/>
          </w:tcPr>
          <w:p w14:paraId="3EBFAE04">
            <w:pPr>
              <w:pStyle w:val="105"/>
              <w:jc w:val="center"/>
              <w:rPr>
                <w:rFonts w:ascii="Times New Roman" w:cs="Times New Roman"/>
                <w:i/>
                <w:iCs/>
                <w:snapToGrid w:val="0"/>
                <w:color w:val="auto"/>
                <w:kern w:val="0"/>
                <w:sz w:val="21"/>
                <w:szCs w:val="21"/>
                <w:lang w:eastAsia="en-US"/>
              </w:rPr>
            </w:pPr>
            <w:r>
              <w:rPr>
                <w:rFonts w:ascii="Times New Roman" w:cs="Times New Roman"/>
                <w:i/>
                <w:iCs/>
                <w:snapToGrid w:val="0"/>
                <w:color w:val="auto"/>
                <w:kern w:val="0"/>
                <w:sz w:val="21"/>
                <w:szCs w:val="21"/>
                <w:lang w:eastAsia="en-US"/>
              </w:rPr>
              <w:t>Camellia sinensis</w:t>
            </w:r>
          </w:p>
        </w:tc>
      </w:tr>
      <w:tr w14:paraId="0D47F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178C28E2">
            <w:pPr>
              <w:pStyle w:val="105"/>
              <w:jc w:val="center"/>
              <w:rPr>
                <w:rFonts w:ascii="Times New Roman" w:cs="Times New Roman"/>
                <w:color w:val="auto"/>
                <w:sz w:val="21"/>
                <w:szCs w:val="21"/>
              </w:rPr>
            </w:pPr>
          </w:p>
        </w:tc>
        <w:tc>
          <w:tcPr>
            <w:tcW w:w="1100" w:type="dxa"/>
            <w:vMerge w:val="restart"/>
            <w:vAlign w:val="center"/>
          </w:tcPr>
          <w:p w14:paraId="55C17EC7">
            <w:pPr>
              <w:pStyle w:val="105"/>
              <w:jc w:val="center"/>
              <w:rPr>
                <w:rFonts w:ascii="Times New Roman" w:cs="Times New Roman"/>
                <w:color w:val="auto"/>
                <w:sz w:val="21"/>
                <w:szCs w:val="21"/>
              </w:rPr>
            </w:pPr>
            <w:r>
              <w:rPr>
                <w:rFonts w:hint="eastAsia" w:ascii="Times New Roman" w:cs="Times New Roman"/>
                <w:color w:val="auto"/>
                <w:sz w:val="21"/>
                <w:szCs w:val="21"/>
              </w:rPr>
              <w:t>草本类</w:t>
            </w:r>
          </w:p>
        </w:tc>
        <w:tc>
          <w:tcPr>
            <w:tcW w:w="1499" w:type="dxa"/>
            <w:vMerge w:val="restart"/>
            <w:vAlign w:val="center"/>
          </w:tcPr>
          <w:p w14:paraId="171214FF">
            <w:pPr>
              <w:pStyle w:val="105"/>
              <w:jc w:val="center"/>
              <w:rPr>
                <w:rFonts w:ascii="Times New Roman" w:cs="Times New Roman"/>
                <w:color w:val="auto"/>
                <w:sz w:val="21"/>
                <w:szCs w:val="21"/>
              </w:rPr>
            </w:pPr>
            <w:r>
              <w:rPr>
                <w:rFonts w:hint="eastAsia" w:ascii="Times New Roman" w:cs="Times New Roman"/>
                <w:color w:val="auto"/>
                <w:sz w:val="21"/>
                <w:szCs w:val="21"/>
              </w:rPr>
              <w:t>粮食作物型</w:t>
            </w:r>
          </w:p>
        </w:tc>
        <w:tc>
          <w:tcPr>
            <w:tcW w:w="1828" w:type="dxa"/>
            <w:vAlign w:val="center"/>
          </w:tcPr>
          <w:p w14:paraId="3EEADD6B">
            <w:pPr>
              <w:pStyle w:val="105"/>
              <w:jc w:val="center"/>
              <w:rPr>
                <w:rFonts w:ascii="Times New Roman" w:cs="Times New Roman"/>
                <w:color w:val="auto"/>
                <w:sz w:val="21"/>
                <w:szCs w:val="21"/>
              </w:rPr>
            </w:pPr>
            <w:r>
              <w:rPr>
                <w:rFonts w:hint="eastAsia" w:ascii="Times New Roman" w:cs="Times New Roman"/>
                <w:color w:val="auto"/>
                <w:sz w:val="21"/>
                <w:szCs w:val="21"/>
              </w:rPr>
              <w:t>双季稻</w:t>
            </w:r>
          </w:p>
        </w:tc>
        <w:tc>
          <w:tcPr>
            <w:tcW w:w="1537" w:type="dxa"/>
            <w:vAlign w:val="center"/>
          </w:tcPr>
          <w:p w14:paraId="67A63F5C">
            <w:pPr>
              <w:pStyle w:val="105"/>
              <w:jc w:val="center"/>
              <w:rPr>
                <w:rFonts w:ascii="Times New Roman" w:cs="Times New Roman"/>
                <w:color w:val="auto"/>
                <w:sz w:val="21"/>
                <w:szCs w:val="21"/>
                <w:lang w:eastAsia="en-US"/>
              </w:rPr>
            </w:pPr>
            <w:r>
              <w:rPr>
                <w:rFonts w:hint="eastAsia" w:ascii="Times New Roman" w:cs="Times New Roman"/>
                <w:color w:val="auto"/>
                <w:sz w:val="21"/>
                <w:szCs w:val="21"/>
              </w:rPr>
              <w:t>双季稻</w:t>
            </w:r>
          </w:p>
        </w:tc>
        <w:tc>
          <w:tcPr>
            <w:tcW w:w="2490" w:type="dxa"/>
            <w:vAlign w:val="center"/>
          </w:tcPr>
          <w:p w14:paraId="0AF2CDAB">
            <w:pPr>
              <w:pStyle w:val="105"/>
              <w:jc w:val="center"/>
              <w:rPr>
                <w:rFonts w:ascii="Times New Roman" w:cs="Times New Roman"/>
                <w:i/>
                <w:iCs/>
                <w:snapToGrid w:val="0"/>
                <w:color w:val="auto"/>
                <w:kern w:val="0"/>
                <w:sz w:val="21"/>
                <w:szCs w:val="21"/>
                <w:lang w:eastAsia="en-US"/>
              </w:rPr>
            </w:pPr>
            <w:r>
              <w:rPr>
                <w:rFonts w:ascii="Times New Roman" w:cs="Times New Roman"/>
                <w:i/>
                <w:iCs/>
                <w:snapToGrid w:val="0"/>
                <w:color w:val="auto"/>
                <w:kern w:val="0"/>
                <w:sz w:val="21"/>
                <w:szCs w:val="21"/>
                <w:lang w:eastAsia="en-US"/>
              </w:rPr>
              <w:t>Oryza sativa L.</w:t>
            </w:r>
          </w:p>
        </w:tc>
      </w:tr>
      <w:tr w14:paraId="02C7B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0EDE4462">
            <w:pPr>
              <w:pStyle w:val="105"/>
              <w:jc w:val="center"/>
              <w:rPr>
                <w:rFonts w:ascii="Times New Roman" w:cs="Times New Roman"/>
                <w:color w:val="auto"/>
                <w:sz w:val="21"/>
                <w:szCs w:val="21"/>
              </w:rPr>
            </w:pPr>
          </w:p>
        </w:tc>
        <w:tc>
          <w:tcPr>
            <w:tcW w:w="1100" w:type="dxa"/>
            <w:vMerge w:val="continue"/>
            <w:vAlign w:val="center"/>
          </w:tcPr>
          <w:p w14:paraId="1D3EF9B5">
            <w:pPr>
              <w:pStyle w:val="105"/>
              <w:jc w:val="center"/>
              <w:rPr>
                <w:rFonts w:ascii="Times New Roman" w:cs="Times New Roman"/>
                <w:color w:val="auto"/>
                <w:sz w:val="21"/>
                <w:szCs w:val="21"/>
              </w:rPr>
            </w:pPr>
          </w:p>
        </w:tc>
        <w:tc>
          <w:tcPr>
            <w:tcW w:w="1499" w:type="dxa"/>
            <w:vMerge w:val="continue"/>
            <w:vAlign w:val="center"/>
          </w:tcPr>
          <w:p w14:paraId="389CCCA1">
            <w:pPr>
              <w:pStyle w:val="105"/>
              <w:jc w:val="center"/>
              <w:rPr>
                <w:rFonts w:ascii="Times New Roman" w:cs="Times New Roman"/>
                <w:color w:val="auto"/>
                <w:sz w:val="21"/>
                <w:szCs w:val="21"/>
              </w:rPr>
            </w:pPr>
          </w:p>
        </w:tc>
        <w:tc>
          <w:tcPr>
            <w:tcW w:w="1828" w:type="dxa"/>
            <w:vAlign w:val="center"/>
          </w:tcPr>
          <w:p w14:paraId="1DB06F98">
            <w:pPr>
              <w:pStyle w:val="105"/>
              <w:jc w:val="center"/>
              <w:rPr>
                <w:rFonts w:ascii="Times New Roman" w:cs="Times New Roman"/>
                <w:color w:val="auto"/>
                <w:sz w:val="21"/>
                <w:szCs w:val="21"/>
              </w:rPr>
            </w:pPr>
            <w:r>
              <w:rPr>
                <w:rFonts w:hint="eastAsia" w:ascii="Times New Roman" w:cs="Times New Roman"/>
                <w:color w:val="auto"/>
                <w:sz w:val="21"/>
                <w:szCs w:val="21"/>
              </w:rPr>
              <w:t>甘薯</w:t>
            </w:r>
          </w:p>
        </w:tc>
        <w:tc>
          <w:tcPr>
            <w:tcW w:w="1537" w:type="dxa"/>
            <w:vAlign w:val="center"/>
          </w:tcPr>
          <w:p w14:paraId="73C2D23C">
            <w:pPr>
              <w:pStyle w:val="105"/>
              <w:jc w:val="center"/>
              <w:rPr>
                <w:rFonts w:ascii="Times New Roman" w:cs="Times New Roman"/>
                <w:color w:val="auto"/>
                <w:sz w:val="21"/>
                <w:szCs w:val="21"/>
                <w:lang w:eastAsia="en-US"/>
              </w:rPr>
            </w:pPr>
            <w:r>
              <w:rPr>
                <w:rFonts w:hint="eastAsia" w:ascii="Times New Roman" w:cs="Times New Roman"/>
                <w:color w:val="auto"/>
                <w:sz w:val="21"/>
                <w:szCs w:val="21"/>
              </w:rPr>
              <w:t>甘薯</w:t>
            </w:r>
          </w:p>
        </w:tc>
        <w:tc>
          <w:tcPr>
            <w:tcW w:w="2490" w:type="dxa"/>
            <w:vAlign w:val="center"/>
          </w:tcPr>
          <w:p w14:paraId="27F756A3">
            <w:pPr>
              <w:pStyle w:val="105"/>
              <w:jc w:val="center"/>
              <w:rPr>
                <w:rFonts w:ascii="Times New Roman" w:cs="Times New Roman"/>
                <w:i/>
                <w:iCs/>
                <w:snapToGrid w:val="0"/>
                <w:color w:val="auto"/>
                <w:kern w:val="0"/>
                <w:sz w:val="21"/>
                <w:szCs w:val="21"/>
                <w:lang w:eastAsia="en-US"/>
              </w:rPr>
            </w:pPr>
            <w:r>
              <w:rPr>
                <w:rFonts w:ascii="Times New Roman" w:cs="Times New Roman"/>
                <w:i/>
                <w:iCs/>
                <w:snapToGrid w:val="0"/>
                <w:color w:val="auto"/>
                <w:kern w:val="0"/>
                <w:sz w:val="21"/>
                <w:szCs w:val="21"/>
                <w:lang w:eastAsia="en-US"/>
              </w:rPr>
              <w:t>Dioscorea esculenta</w:t>
            </w:r>
          </w:p>
        </w:tc>
      </w:tr>
      <w:tr w14:paraId="4CB2A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vMerge w:val="continue"/>
            <w:vAlign w:val="center"/>
          </w:tcPr>
          <w:p w14:paraId="43406904">
            <w:pPr>
              <w:pStyle w:val="105"/>
              <w:jc w:val="center"/>
              <w:rPr>
                <w:rFonts w:ascii="Times New Roman" w:cs="Times New Roman"/>
                <w:color w:val="auto"/>
                <w:sz w:val="21"/>
                <w:szCs w:val="21"/>
              </w:rPr>
            </w:pPr>
          </w:p>
        </w:tc>
        <w:tc>
          <w:tcPr>
            <w:tcW w:w="1100" w:type="dxa"/>
            <w:vMerge w:val="continue"/>
            <w:vAlign w:val="center"/>
          </w:tcPr>
          <w:p w14:paraId="151813C3">
            <w:pPr>
              <w:pStyle w:val="105"/>
              <w:jc w:val="center"/>
              <w:rPr>
                <w:rFonts w:ascii="Times New Roman" w:cs="Times New Roman"/>
                <w:color w:val="auto"/>
                <w:sz w:val="21"/>
                <w:szCs w:val="21"/>
              </w:rPr>
            </w:pPr>
          </w:p>
        </w:tc>
        <w:tc>
          <w:tcPr>
            <w:tcW w:w="1499" w:type="dxa"/>
            <w:vMerge w:val="continue"/>
            <w:vAlign w:val="center"/>
          </w:tcPr>
          <w:p w14:paraId="072A1D23">
            <w:pPr>
              <w:pStyle w:val="105"/>
              <w:jc w:val="center"/>
              <w:rPr>
                <w:rFonts w:ascii="Times New Roman" w:cs="Times New Roman"/>
                <w:color w:val="auto"/>
                <w:sz w:val="21"/>
                <w:szCs w:val="21"/>
              </w:rPr>
            </w:pPr>
          </w:p>
        </w:tc>
        <w:tc>
          <w:tcPr>
            <w:tcW w:w="1828" w:type="dxa"/>
            <w:vAlign w:val="center"/>
          </w:tcPr>
          <w:p w14:paraId="3FC1EF4C">
            <w:pPr>
              <w:pStyle w:val="105"/>
              <w:jc w:val="center"/>
              <w:rPr>
                <w:rFonts w:ascii="Times New Roman" w:cs="Times New Roman"/>
                <w:color w:val="auto"/>
                <w:sz w:val="21"/>
                <w:szCs w:val="21"/>
              </w:rPr>
            </w:pPr>
            <w:r>
              <w:rPr>
                <w:rFonts w:hint="eastAsia" w:ascii="Times New Roman" w:cs="Times New Roman"/>
                <w:color w:val="auto"/>
                <w:sz w:val="21"/>
                <w:szCs w:val="21"/>
              </w:rPr>
              <w:t>玉米</w:t>
            </w:r>
          </w:p>
        </w:tc>
        <w:tc>
          <w:tcPr>
            <w:tcW w:w="1537" w:type="dxa"/>
            <w:vAlign w:val="center"/>
          </w:tcPr>
          <w:p w14:paraId="3A30D683">
            <w:pPr>
              <w:pStyle w:val="105"/>
              <w:jc w:val="center"/>
              <w:rPr>
                <w:rFonts w:ascii="Times New Roman" w:cs="Times New Roman"/>
                <w:color w:val="auto"/>
                <w:sz w:val="21"/>
                <w:szCs w:val="21"/>
                <w:lang w:eastAsia="en-US"/>
              </w:rPr>
            </w:pPr>
            <w:r>
              <w:rPr>
                <w:rFonts w:hint="eastAsia" w:ascii="Times New Roman" w:cs="Times New Roman"/>
                <w:color w:val="auto"/>
                <w:sz w:val="21"/>
                <w:szCs w:val="21"/>
              </w:rPr>
              <w:t>玉米</w:t>
            </w:r>
          </w:p>
        </w:tc>
        <w:tc>
          <w:tcPr>
            <w:tcW w:w="2490" w:type="dxa"/>
            <w:vAlign w:val="center"/>
          </w:tcPr>
          <w:p w14:paraId="6291748E">
            <w:pPr>
              <w:pStyle w:val="105"/>
              <w:jc w:val="center"/>
              <w:rPr>
                <w:rFonts w:ascii="Times New Roman" w:cs="Times New Roman"/>
                <w:i/>
                <w:iCs/>
                <w:snapToGrid w:val="0"/>
                <w:color w:val="auto"/>
                <w:kern w:val="0"/>
                <w:sz w:val="21"/>
                <w:szCs w:val="21"/>
                <w:lang w:eastAsia="en-US"/>
              </w:rPr>
            </w:pPr>
            <w:r>
              <w:rPr>
                <w:rFonts w:ascii="Times New Roman" w:cs="Times New Roman"/>
                <w:i/>
                <w:iCs/>
                <w:snapToGrid w:val="0"/>
                <w:color w:val="auto"/>
                <w:kern w:val="0"/>
                <w:sz w:val="21"/>
                <w:szCs w:val="21"/>
                <w:lang w:eastAsia="en-US"/>
              </w:rPr>
              <w:t>Zea mays L.</w:t>
            </w:r>
          </w:p>
        </w:tc>
      </w:tr>
    </w:tbl>
    <w:p w14:paraId="1A4AFE67">
      <w:pPr>
        <w:pStyle w:val="234"/>
        <w:spacing w:before="120" w:beforeLines="50"/>
        <w:ind w:firstLine="482"/>
        <w:rPr>
          <w:b/>
          <w:bCs/>
          <w:color w:val="0000FF"/>
        </w:rPr>
      </w:pPr>
      <w:r>
        <w:rPr>
          <w:b/>
          <w:bCs/>
        </w:rPr>
        <w:t>（</w:t>
      </w:r>
      <w:r>
        <w:rPr>
          <w:rFonts w:hint="eastAsia"/>
          <w:b/>
          <w:bCs/>
        </w:rPr>
        <w:t>3</w:t>
      </w:r>
      <w:r>
        <w:rPr>
          <w:b/>
          <w:bCs/>
        </w:rPr>
        <w:t>）植被</w:t>
      </w:r>
      <w:r>
        <w:rPr>
          <w:rFonts w:hint="eastAsia"/>
          <w:b/>
          <w:bCs/>
        </w:rPr>
        <w:t>分布</w:t>
      </w:r>
    </w:p>
    <w:p w14:paraId="20646EFB">
      <w:pPr>
        <w:spacing w:line="360" w:lineRule="auto"/>
        <w:ind w:firstLine="480" w:firstLineChars="200"/>
        <w:rPr>
          <w:color w:val="000000"/>
          <w:sz w:val="24"/>
        </w:rPr>
      </w:pPr>
      <w:r>
        <w:rPr>
          <w:color w:val="000000"/>
          <w:sz w:val="24"/>
        </w:rPr>
        <w:t>项目调查区植被类型所占面积及所占比例见表</w:t>
      </w:r>
      <w:r>
        <w:rPr>
          <w:rFonts w:hint="eastAsia"/>
          <w:color w:val="000000"/>
          <w:sz w:val="24"/>
        </w:rPr>
        <w:t>4.3-5</w:t>
      </w:r>
      <w:r>
        <w:rPr>
          <w:color w:val="000000"/>
          <w:sz w:val="24"/>
        </w:rPr>
        <w:t>，调查范围内植被类型现状分布见图</w:t>
      </w:r>
      <w:r>
        <w:rPr>
          <w:rFonts w:hint="eastAsia"/>
          <w:color w:val="000000"/>
          <w:sz w:val="24"/>
        </w:rPr>
        <w:t>4.3-8</w:t>
      </w:r>
      <w:r>
        <w:rPr>
          <w:color w:val="000000"/>
          <w:sz w:val="24"/>
        </w:rPr>
        <w:t>。</w:t>
      </w:r>
    </w:p>
    <w:p w14:paraId="09058394">
      <w:pPr>
        <w:pStyle w:val="3077"/>
        <w:snapToGrid w:val="0"/>
        <w:spacing w:line="276" w:lineRule="auto"/>
        <w:rPr>
          <w:rFonts w:eastAsia="黑体"/>
          <w:snapToGrid w:val="0"/>
          <w:sz w:val="24"/>
        </w:rPr>
      </w:pPr>
      <w:r>
        <w:rPr>
          <w:rFonts w:eastAsia="黑体"/>
          <w:snapToGrid w:val="0"/>
          <w:sz w:val="24"/>
        </w:rPr>
        <w:t>表</w:t>
      </w:r>
      <w:r>
        <w:rPr>
          <w:rFonts w:hint="eastAsia" w:eastAsia="黑体"/>
          <w:snapToGrid w:val="0"/>
          <w:sz w:val="24"/>
        </w:rPr>
        <w:t>4.3-5</w:t>
      </w:r>
      <w:r>
        <w:rPr>
          <w:rFonts w:eastAsia="黑体"/>
          <w:snapToGrid w:val="0"/>
          <w:sz w:val="24"/>
        </w:rPr>
        <w:t xml:space="preserve">  调查区植被类型现状一览表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32"/>
        <w:gridCol w:w="3282"/>
        <w:gridCol w:w="3172"/>
      </w:tblGrid>
      <w:tr w14:paraId="34FE7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3" w:type="pct"/>
            <w:vAlign w:val="center"/>
          </w:tcPr>
          <w:p w14:paraId="2DC7C02E">
            <w:pPr>
              <w:widowControl/>
              <w:jc w:val="center"/>
              <w:rPr>
                <w:szCs w:val="21"/>
              </w:rPr>
            </w:pPr>
            <w:r>
              <w:rPr>
                <w:szCs w:val="21"/>
              </w:rPr>
              <w:t>植被类型</w:t>
            </w:r>
          </w:p>
        </w:tc>
        <w:tc>
          <w:tcPr>
            <w:tcW w:w="1711" w:type="pct"/>
            <w:vAlign w:val="center"/>
          </w:tcPr>
          <w:p w14:paraId="68B9744B">
            <w:pPr>
              <w:widowControl/>
              <w:jc w:val="center"/>
              <w:rPr>
                <w:szCs w:val="21"/>
              </w:rPr>
            </w:pPr>
            <w:r>
              <w:rPr>
                <w:szCs w:val="21"/>
              </w:rPr>
              <w:t>面积（</w:t>
            </w:r>
            <w:r>
              <w:rPr>
                <w:rFonts w:hint="eastAsia"/>
                <w:szCs w:val="21"/>
              </w:rPr>
              <w:t>h</w:t>
            </w:r>
            <w:r>
              <w:rPr>
                <w:szCs w:val="21"/>
              </w:rPr>
              <w:t>m</w:t>
            </w:r>
            <w:r>
              <w:rPr>
                <w:szCs w:val="21"/>
                <w:vertAlign w:val="superscript"/>
              </w:rPr>
              <w:t>2</w:t>
            </w:r>
            <w:r>
              <w:rPr>
                <w:szCs w:val="21"/>
              </w:rPr>
              <w:t>）</w:t>
            </w:r>
          </w:p>
        </w:tc>
        <w:tc>
          <w:tcPr>
            <w:tcW w:w="1654" w:type="pct"/>
            <w:vAlign w:val="center"/>
          </w:tcPr>
          <w:p w14:paraId="76C1835A">
            <w:pPr>
              <w:widowControl/>
              <w:jc w:val="center"/>
              <w:rPr>
                <w:szCs w:val="21"/>
              </w:rPr>
            </w:pPr>
            <w:r>
              <w:rPr>
                <w:szCs w:val="21"/>
              </w:rPr>
              <w:t>比例（%）</w:t>
            </w:r>
          </w:p>
        </w:tc>
      </w:tr>
      <w:tr w14:paraId="36CC5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3" w:type="pct"/>
            <w:vAlign w:val="center"/>
          </w:tcPr>
          <w:p w14:paraId="4A0C3534">
            <w:pPr>
              <w:widowControl/>
              <w:jc w:val="center"/>
              <w:rPr>
                <w:szCs w:val="21"/>
              </w:rPr>
            </w:pPr>
            <w:r>
              <w:rPr>
                <w:szCs w:val="21"/>
              </w:rPr>
              <w:t>林地</w:t>
            </w:r>
          </w:p>
        </w:tc>
        <w:tc>
          <w:tcPr>
            <w:tcW w:w="1711" w:type="pct"/>
            <w:vAlign w:val="center"/>
          </w:tcPr>
          <w:p w14:paraId="371B6604">
            <w:pPr>
              <w:widowControl/>
              <w:jc w:val="center"/>
              <w:textAlignment w:val="center"/>
              <w:rPr>
                <w:rFonts w:eastAsia="等线"/>
                <w:szCs w:val="21"/>
                <w:lang w:bidi="ar"/>
              </w:rPr>
            </w:pPr>
            <w:r>
              <w:rPr>
                <w:rFonts w:hint="eastAsia" w:eastAsia="等线"/>
                <w:szCs w:val="21"/>
                <w:lang w:bidi="ar"/>
              </w:rPr>
              <w:t>37.43</w:t>
            </w:r>
          </w:p>
        </w:tc>
        <w:tc>
          <w:tcPr>
            <w:tcW w:w="1654" w:type="pct"/>
            <w:vAlign w:val="center"/>
          </w:tcPr>
          <w:p w14:paraId="07674117">
            <w:pPr>
              <w:widowControl/>
              <w:jc w:val="center"/>
              <w:textAlignment w:val="center"/>
              <w:rPr>
                <w:rFonts w:eastAsia="等线"/>
                <w:szCs w:val="21"/>
                <w:lang w:bidi="ar"/>
              </w:rPr>
            </w:pPr>
            <w:r>
              <w:rPr>
                <w:rFonts w:hint="eastAsia" w:eastAsia="等线"/>
                <w:szCs w:val="21"/>
                <w:lang w:bidi="ar"/>
              </w:rPr>
              <w:t>42.62</w:t>
            </w:r>
          </w:p>
        </w:tc>
      </w:tr>
      <w:tr w14:paraId="5E59D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3" w:type="pct"/>
            <w:vAlign w:val="center"/>
          </w:tcPr>
          <w:p w14:paraId="2E8B2097">
            <w:pPr>
              <w:widowControl/>
              <w:jc w:val="center"/>
              <w:rPr>
                <w:szCs w:val="21"/>
              </w:rPr>
            </w:pPr>
            <w:r>
              <w:rPr>
                <w:szCs w:val="21"/>
              </w:rPr>
              <w:t>栽培植被</w:t>
            </w:r>
          </w:p>
        </w:tc>
        <w:tc>
          <w:tcPr>
            <w:tcW w:w="1711" w:type="pct"/>
            <w:vAlign w:val="center"/>
          </w:tcPr>
          <w:p w14:paraId="0D0251BA">
            <w:pPr>
              <w:widowControl/>
              <w:jc w:val="center"/>
              <w:textAlignment w:val="center"/>
              <w:rPr>
                <w:rFonts w:eastAsia="等线"/>
                <w:szCs w:val="21"/>
                <w:lang w:bidi="ar"/>
              </w:rPr>
            </w:pPr>
            <w:r>
              <w:rPr>
                <w:rFonts w:hint="eastAsia" w:eastAsia="等线"/>
                <w:szCs w:val="21"/>
                <w:lang w:bidi="ar"/>
              </w:rPr>
              <w:t>29.40</w:t>
            </w:r>
          </w:p>
        </w:tc>
        <w:tc>
          <w:tcPr>
            <w:tcW w:w="1654" w:type="pct"/>
            <w:vAlign w:val="center"/>
          </w:tcPr>
          <w:p w14:paraId="4454BA17">
            <w:pPr>
              <w:widowControl/>
              <w:jc w:val="center"/>
              <w:textAlignment w:val="center"/>
              <w:rPr>
                <w:rFonts w:eastAsia="等线"/>
                <w:szCs w:val="21"/>
                <w:lang w:bidi="ar"/>
              </w:rPr>
            </w:pPr>
            <w:r>
              <w:rPr>
                <w:rFonts w:hint="eastAsia" w:eastAsia="等线"/>
                <w:szCs w:val="21"/>
                <w:lang w:bidi="ar"/>
              </w:rPr>
              <w:t>33.47</w:t>
            </w:r>
          </w:p>
        </w:tc>
      </w:tr>
      <w:tr w14:paraId="29CA3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3" w:type="pct"/>
            <w:vAlign w:val="center"/>
          </w:tcPr>
          <w:p w14:paraId="07ACD554">
            <w:pPr>
              <w:widowControl/>
              <w:jc w:val="center"/>
              <w:rPr>
                <w:szCs w:val="21"/>
              </w:rPr>
            </w:pPr>
            <w:r>
              <w:rPr>
                <w:rFonts w:hint="eastAsia"/>
                <w:szCs w:val="21"/>
              </w:rPr>
              <w:t>非</w:t>
            </w:r>
            <w:r>
              <w:rPr>
                <w:szCs w:val="21"/>
              </w:rPr>
              <w:t>植被区</w:t>
            </w:r>
          </w:p>
        </w:tc>
        <w:tc>
          <w:tcPr>
            <w:tcW w:w="1711" w:type="pct"/>
            <w:vAlign w:val="center"/>
          </w:tcPr>
          <w:p w14:paraId="24773016">
            <w:pPr>
              <w:widowControl/>
              <w:jc w:val="center"/>
              <w:textAlignment w:val="center"/>
              <w:rPr>
                <w:rFonts w:eastAsia="等线"/>
                <w:szCs w:val="21"/>
                <w:lang w:bidi="ar"/>
              </w:rPr>
            </w:pPr>
            <w:r>
              <w:rPr>
                <w:rFonts w:hint="eastAsia" w:eastAsia="等线"/>
                <w:szCs w:val="21"/>
                <w:lang w:bidi="ar"/>
              </w:rPr>
              <w:t>19.45</w:t>
            </w:r>
          </w:p>
        </w:tc>
        <w:tc>
          <w:tcPr>
            <w:tcW w:w="1654" w:type="pct"/>
            <w:vAlign w:val="center"/>
          </w:tcPr>
          <w:p w14:paraId="3690EF46">
            <w:pPr>
              <w:widowControl/>
              <w:jc w:val="center"/>
              <w:textAlignment w:val="center"/>
              <w:rPr>
                <w:rFonts w:eastAsia="等线"/>
                <w:szCs w:val="21"/>
                <w:lang w:bidi="ar"/>
              </w:rPr>
            </w:pPr>
            <w:r>
              <w:rPr>
                <w:rFonts w:hint="eastAsia" w:eastAsia="等线"/>
                <w:szCs w:val="21"/>
                <w:lang w:bidi="ar"/>
              </w:rPr>
              <w:t>22.15</w:t>
            </w:r>
          </w:p>
        </w:tc>
      </w:tr>
      <w:tr w14:paraId="77AB3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3" w:type="pct"/>
            <w:vAlign w:val="center"/>
          </w:tcPr>
          <w:p w14:paraId="3E8B46AE">
            <w:pPr>
              <w:widowControl/>
              <w:jc w:val="center"/>
              <w:rPr>
                <w:szCs w:val="21"/>
              </w:rPr>
            </w:pPr>
            <w:r>
              <w:rPr>
                <w:rFonts w:hint="eastAsia"/>
                <w:szCs w:val="21"/>
              </w:rPr>
              <w:t>水域</w:t>
            </w:r>
          </w:p>
        </w:tc>
        <w:tc>
          <w:tcPr>
            <w:tcW w:w="1711" w:type="pct"/>
            <w:vAlign w:val="center"/>
          </w:tcPr>
          <w:p w14:paraId="72C2150F">
            <w:pPr>
              <w:widowControl/>
              <w:jc w:val="center"/>
              <w:textAlignment w:val="center"/>
              <w:rPr>
                <w:rFonts w:eastAsia="等线"/>
                <w:szCs w:val="21"/>
                <w:lang w:bidi="ar"/>
              </w:rPr>
            </w:pPr>
            <w:r>
              <w:rPr>
                <w:rFonts w:hint="eastAsia" w:eastAsia="等线"/>
                <w:szCs w:val="21"/>
                <w:lang w:bidi="ar"/>
              </w:rPr>
              <w:t>1.55</w:t>
            </w:r>
          </w:p>
        </w:tc>
        <w:tc>
          <w:tcPr>
            <w:tcW w:w="1654" w:type="pct"/>
            <w:vAlign w:val="center"/>
          </w:tcPr>
          <w:p w14:paraId="3B9832D3">
            <w:pPr>
              <w:widowControl/>
              <w:jc w:val="center"/>
              <w:textAlignment w:val="center"/>
              <w:rPr>
                <w:rFonts w:eastAsia="等线"/>
                <w:szCs w:val="21"/>
                <w:lang w:bidi="ar"/>
              </w:rPr>
            </w:pPr>
            <w:r>
              <w:rPr>
                <w:rFonts w:hint="eastAsia" w:eastAsia="等线"/>
                <w:szCs w:val="21"/>
                <w:lang w:bidi="ar"/>
              </w:rPr>
              <w:t>1.76</w:t>
            </w:r>
          </w:p>
        </w:tc>
      </w:tr>
      <w:tr w14:paraId="53D05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3" w:type="pct"/>
            <w:vAlign w:val="center"/>
          </w:tcPr>
          <w:p w14:paraId="307D7173">
            <w:pPr>
              <w:widowControl/>
              <w:jc w:val="center"/>
              <w:rPr>
                <w:szCs w:val="21"/>
              </w:rPr>
            </w:pPr>
            <w:r>
              <w:rPr>
                <w:szCs w:val="21"/>
              </w:rPr>
              <w:t>合计</w:t>
            </w:r>
          </w:p>
        </w:tc>
        <w:tc>
          <w:tcPr>
            <w:tcW w:w="1711" w:type="pct"/>
            <w:vAlign w:val="center"/>
          </w:tcPr>
          <w:p w14:paraId="394A5896">
            <w:pPr>
              <w:widowControl/>
              <w:jc w:val="center"/>
              <w:textAlignment w:val="center"/>
              <w:rPr>
                <w:rFonts w:eastAsia="等线"/>
                <w:szCs w:val="21"/>
                <w:lang w:bidi="ar"/>
              </w:rPr>
            </w:pPr>
            <w:r>
              <w:rPr>
                <w:rFonts w:hint="eastAsia" w:eastAsia="等线"/>
                <w:szCs w:val="21"/>
                <w:lang w:bidi="ar"/>
              </w:rPr>
              <w:t>87.83</w:t>
            </w:r>
          </w:p>
        </w:tc>
        <w:tc>
          <w:tcPr>
            <w:tcW w:w="1654" w:type="pct"/>
            <w:vAlign w:val="center"/>
          </w:tcPr>
          <w:p w14:paraId="081B9A6D">
            <w:pPr>
              <w:widowControl/>
              <w:jc w:val="center"/>
              <w:textAlignment w:val="center"/>
              <w:rPr>
                <w:rFonts w:eastAsia="等线"/>
                <w:szCs w:val="21"/>
                <w:lang w:bidi="ar"/>
              </w:rPr>
            </w:pPr>
            <w:r>
              <w:rPr>
                <w:rFonts w:hint="eastAsia" w:eastAsia="等线"/>
                <w:szCs w:val="21"/>
                <w:lang w:bidi="ar"/>
              </w:rPr>
              <w:t>100</w:t>
            </w:r>
          </w:p>
        </w:tc>
      </w:tr>
    </w:tbl>
    <w:p w14:paraId="10031949">
      <w:pPr>
        <w:pStyle w:val="234"/>
        <w:spacing w:before="120" w:beforeLines="50"/>
      </w:pPr>
      <w:r>
        <w:t>综合分析，</w:t>
      </w:r>
      <w:r>
        <w:rPr>
          <w:rFonts w:hint="eastAsia"/>
        </w:rPr>
        <w:t>调查区内林地面积最大为37.43hm</w:t>
      </w:r>
      <w:r>
        <w:rPr>
          <w:rFonts w:hint="eastAsia"/>
          <w:vertAlign w:val="superscript"/>
        </w:rPr>
        <w:t>2</w:t>
      </w:r>
      <w:r>
        <w:rPr>
          <w:rFonts w:hint="eastAsia"/>
        </w:rPr>
        <w:t>，占生态调查区总面积的42.62％，为区域的主要植被类型，主要为盐麸木、油茶、野桐和</w:t>
      </w:r>
      <w:r>
        <w:rPr>
          <w:rFonts w:hint="eastAsia"/>
          <w:szCs w:val="21"/>
        </w:rPr>
        <w:t>乌桕等自然植被；其次为栽培植被，面积为29.40</w:t>
      </w:r>
      <w:r>
        <w:rPr>
          <w:rFonts w:hint="eastAsia"/>
        </w:rPr>
        <w:t>hm</w:t>
      </w:r>
      <w:r>
        <w:rPr>
          <w:rFonts w:hint="eastAsia"/>
          <w:vertAlign w:val="superscript"/>
        </w:rPr>
        <w:t>2</w:t>
      </w:r>
      <w:r>
        <w:rPr>
          <w:rFonts w:hint="eastAsia"/>
        </w:rPr>
        <w:t>，占生态调查区总面积的33.47％</w:t>
      </w:r>
      <w:r>
        <w:rPr>
          <w:rFonts w:hint="eastAsia"/>
          <w:szCs w:val="21"/>
        </w:rPr>
        <w:t>，主要</w:t>
      </w:r>
      <w:r>
        <w:rPr>
          <w:rFonts w:hint="eastAsia"/>
        </w:rPr>
        <w:t>种植水稻、玉米、甘薯等；非植被区面积为19.45hm</w:t>
      </w:r>
      <w:r>
        <w:rPr>
          <w:rFonts w:hint="eastAsia"/>
          <w:vertAlign w:val="superscript"/>
        </w:rPr>
        <w:t>2</w:t>
      </w:r>
      <w:r>
        <w:rPr>
          <w:rFonts w:hint="eastAsia"/>
        </w:rPr>
        <w:t>，占生态调查区总面积的22.15％；水域面积为1.55hm</w:t>
      </w:r>
      <w:r>
        <w:rPr>
          <w:rFonts w:hint="eastAsia"/>
          <w:vertAlign w:val="superscript"/>
        </w:rPr>
        <w:t>2</w:t>
      </w:r>
      <w:r>
        <w:rPr>
          <w:rFonts w:hint="eastAsia"/>
        </w:rPr>
        <w:t>，占总生态调查区面积的1.76％。</w:t>
      </w:r>
    </w:p>
    <w:p w14:paraId="322B2F80">
      <w:pPr>
        <w:pStyle w:val="234"/>
        <w:ind w:firstLine="0" w:firstLineChars="0"/>
        <w:jc w:val="center"/>
      </w:pPr>
      <w:r>
        <w:drawing>
          <wp:inline distT="0" distB="0" distL="114300" distR="114300">
            <wp:extent cx="5944870" cy="6219190"/>
            <wp:effectExtent l="0" t="0" r="17780" b="10160"/>
            <wp:docPr id="63" name="图片 63" descr="bf318d1e4497566cfc17b8a0a1237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bf318d1e4497566cfc17b8a0a1237a8"/>
                    <pic:cNvPicPr>
                      <a:picLocks noChangeAspect="1"/>
                    </pic:cNvPicPr>
                  </pic:nvPicPr>
                  <pic:blipFill>
                    <a:blip r:embed="rId73"/>
                    <a:stretch>
                      <a:fillRect/>
                    </a:stretch>
                  </pic:blipFill>
                  <pic:spPr>
                    <a:xfrm>
                      <a:off x="0" y="0"/>
                      <a:ext cx="5944870" cy="6219190"/>
                    </a:xfrm>
                    <a:prstGeom prst="rect">
                      <a:avLst/>
                    </a:prstGeom>
                  </pic:spPr>
                </pic:pic>
              </a:graphicData>
            </a:graphic>
          </wp:inline>
        </w:drawing>
      </w:r>
    </w:p>
    <w:p w14:paraId="06114539">
      <w:pPr>
        <w:pStyle w:val="234"/>
        <w:ind w:firstLine="0" w:firstLineChars="0"/>
        <w:jc w:val="center"/>
      </w:pPr>
      <w:r>
        <w:rPr>
          <w:rFonts w:hint="eastAsia" w:eastAsia="黑体"/>
          <w:snapToGrid w:val="0"/>
        </w:rPr>
        <w:t>图4.3-8  项目评价区植被分布图</w:t>
      </w:r>
    </w:p>
    <w:p w14:paraId="09BE6E2C">
      <w:pPr>
        <w:pStyle w:val="234"/>
        <w:spacing w:before="120" w:beforeLines="50"/>
        <w:ind w:firstLine="482"/>
        <w:rPr>
          <w:b/>
          <w:bCs/>
          <w:color w:val="0000FF"/>
        </w:rPr>
      </w:pPr>
      <w:r>
        <w:rPr>
          <w:b/>
          <w:bCs/>
        </w:rPr>
        <w:t>（</w:t>
      </w:r>
      <w:r>
        <w:rPr>
          <w:rFonts w:hint="eastAsia"/>
          <w:b/>
          <w:bCs/>
        </w:rPr>
        <w:t>4</w:t>
      </w:r>
      <w:r>
        <w:rPr>
          <w:b/>
          <w:bCs/>
        </w:rPr>
        <w:t>）植被</w:t>
      </w:r>
      <w:r>
        <w:rPr>
          <w:rFonts w:hint="eastAsia"/>
          <w:b/>
          <w:bCs/>
        </w:rPr>
        <w:t>生产力及生物量现状估算</w:t>
      </w:r>
    </w:p>
    <w:p w14:paraId="4BB983AD">
      <w:pPr>
        <w:pStyle w:val="234"/>
      </w:pPr>
      <w:r>
        <w:t>①</w:t>
      </w:r>
      <w:r>
        <w:rPr>
          <w:rFonts w:hint="eastAsia"/>
        </w:rPr>
        <w:t>生产力</w:t>
      </w:r>
    </w:p>
    <w:p w14:paraId="3FE732A3">
      <w:pPr>
        <w:widowControl/>
        <w:spacing w:line="360" w:lineRule="auto"/>
        <w:ind w:firstLine="480" w:firstLineChars="200"/>
        <w:rPr>
          <w:sz w:val="24"/>
        </w:rPr>
      </w:pPr>
      <w:r>
        <w:rPr>
          <w:rFonts w:hint="eastAsia"/>
          <w:sz w:val="24"/>
        </w:rPr>
        <w:t>生产力是区域生态系统类型、组成、数量的综合表现，其影响因素有太阳辐射强度，温度（热量）、水分等气候因素，土壤质地、土壤肥力、土层厚度、土壤有机质含量等土壤因素，海拔高度、地表起伏等地形地貌因素综合影响的整体表现。</w:t>
      </w:r>
    </w:p>
    <w:p w14:paraId="3DED50A6">
      <w:pPr>
        <w:widowControl/>
        <w:spacing w:line="360" w:lineRule="auto"/>
        <w:ind w:firstLine="480" w:firstLineChars="200"/>
        <w:rPr>
          <w:sz w:val="24"/>
        </w:rPr>
      </w:pPr>
      <w:r>
        <w:rPr>
          <w:rFonts w:hint="eastAsia"/>
          <w:sz w:val="24"/>
        </w:rPr>
        <w:t>对于一般的生态系统而言，生态系统生产力常指生态系统中植物的第一生产力，有关生产力计算，常用Miami模型。即：</w:t>
      </w:r>
    </w:p>
    <w:p w14:paraId="1243A387">
      <w:pPr>
        <w:widowControl/>
        <w:spacing w:line="360" w:lineRule="auto"/>
        <w:ind w:firstLine="480" w:firstLineChars="200"/>
        <w:rPr>
          <w:color w:val="000000"/>
          <w:sz w:val="24"/>
        </w:rPr>
      </w:pPr>
      <w:r>
        <w:rPr>
          <w:color w:val="000000"/>
          <w:sz w:val="24"/>
          <w:lang w:bidi="ar"/>
        </w:rPr>
        <w:t>NPP1=3000/〔1+exp（1.315-0.119T）〕   （1）</w:t>
      </w:r>
    </w:p>
    <w:p w14:paraId="2B0F28EC">
      <w:pPr>
        <w:widowControl/>
        <w:spacing w:line="360" w:lineRule="auto"/>
        <w:ind w:firstLine="480" w:firstLineChars="200"/>
        <w:rPr>
          <w:color w:val="000000"/>
          <w:sz w:val="24"/>
        </w:rPr>
      </w:pPr>
      <w:r>
        <w:rPr>
          <w:color w:val="000000"/>
          <w:sz w:val="24"/>
          <w:lang w:bidi="ar"/>
        </w:rPr>
        <w:t>NPP2=3000×〔1-exp（-0.000664P）〕   （2）</w:t>
      </w:r>
    </w:p>
    <w:p w14:paraId="2E3E06E3">
      <w:pPr>
        <w:widowControl/>
        <w:spacing w:line="360" w:lineRule="auto"/>
        <w:ind w:firstLine="480" w:firstLineChars="200"/>
        <w:rPr>
          <w:color w:val="000000"/>
          <w:sz w:val="24"/>
          <w:lang w:bidi="ar"/>
        </w:rPr>
      </w:pPr>
      <w:r>
        <w:rPr>
          <w:color w:val="000000"/>
          <w:sz w:val="24"/>
          <w:lang w:bidi="ar"/>
        </w:rPr>
        <w:t>式中：NPP1为热量生产力（g/m</w:t>
      </w:r>
      <w:r>
        <w:rPr>
          <w:color w:val="000000"/>
          <w:sz w:val="24"/>
          <w:vertAlign w:val="superscript"/>
          <w:lang w:bidi="ar"/>
        </w:rPr>
        <w:t>2</w:t>
      </w:r>
      <w:r>
        <w:rPr>
          <w:rFonts w:eastAsia="仿宋"/>
          <w:color w:val="000000"/>
          <w:sz w:val="24"/>
          <w:lang w:bidi="ar"/>
        </w:rPr>
        <w:t>·</w:t>
      </w:r>
      <w:r>
        <w:rPr>
          <w:color w:val="000000"/>
          <w:sz w:val="24"/>
          <w:lang w:bidi="ar"/>
        </w:rPr>
        <w:t>a）；</w:t>
      </w:r>
    </w:p>
    <w:p w14:paraId="54305874">
      <w:pPr>
        <w:widowControl/>
        <w:spacing w:line="360" w:lineRule="auto"/>
        <w:ind w:firstLine="1200" w:firstLineChars="500"/>
        <w:rPr>
          <w:color w:val="000000"/>
          <w:sz w:val="24"/>
          <w:lang w:bidi="ar"/>
        </w:rPr>
      </w:pPr>
      <w:r>
        <w:rPr>
          <w:color w:val="000000"/>
          <w:sz w:val="24"/>
          <w:lang w:bidi="ar"/>
        </w:rPr>
        <w:t>NPP2为水分生产力（g/m</w:t>
      </w:r>
      <w:r>
        <w:rPr>
          <w:color w:val="000000"/>
          <w:sz w:val="24"/>
          <w:vertAlign w:val="superscript"/>
          <w:lang w:bidi="ar"/>
        </w:rPr>
        <w:t>2</w:t>
      </w:r>
      <w:r>
        <w:rPr>
          <w:color w:val="000000"/>
          <w:sz w:val="24"/>
          <w:lang w:bidi="ar"/>
        </w:rPr>
        <w:t>·a）；</w:t>
      </w:r>
    </w:p>
    <w:p w14:paraId="5839E039">
      <w:pPr>
        <w:widowControl/>
        <w:spacing w:line="360" w:lineRule="auto"/>
        <w:ind w:firstLine="1200" w:firstLineChars="500"/>
        <w:rPr>
          <w:color w:val="000000"/>
          <w:sz w:val="24"/>
          <w:lang w:bidi="ar"/>
        </w:rPr>
      </w:pPr>
      <w:r>
        <w:rPr>
          <w:color w:val="000000"/>
          <w:sz w:val="24"/>
          <w:lang w:bidi="ar"/>
        </w:rPr>
        <w:t>T为年平均温度（℃）；</w:t>
      </w:r>
    </w:p>
    <w:p w14:paraId="22EE2E6C">
      <w:pPr>
        <w:widowControl/>
        <w:spacing w:line="360" w:lineRule="auto"/>
        <w:ind w:firstLine="1200" w:firstLineChars="500"/>
        <w:rPr>
          <w:color w:val="000000"/>
          <w:sz w:val="24"/>
        </w:rPr>
      </w:pPr>
      <w:r>
        <w:rPr>
          <w:color w:val="000000"/>
          <w:sz w:val="24"/>
          <w:lang w:bidi="ar"/>
        </w:rPr>
        <w:t>P为年降水量（mm）。</w:t>
      </w:r>
    </w:p>
    <w:p w14:paraId="44B630A6">
      <w:pPr>
        <w:widowControl/>
        <w:spacing w:line="360" w:lineRule="auto"/>
        <w:ind w:firstLine="480" w:firstLineChars="200"/>
        <w:rPr>
          <w:color w:val="000000"/>
          <w:sz w:val="24"/>
        </w:rPr>
      </w:pPr>
      <w:r>
        <w:rPr>
          <w:color w:val="000000"/>
          <w:sz w:val="24"/>
          <w:lang w:bidi="ar"/>
        </w:rPr>
        <w:t>根据Liebig的限制因子定律，选取二者中的最小值作为本项目生态系统生产力。</w:t>
      </w:r>
    </w:p>
    <w:p w14:paraId="7B3C6ED6">
      <w:pPr>
        <w:widowControl/>
        <w:spacing w:line="360" w:lineRule="auto"/>
        <w:ind w:firstLine="480" w:firstLineChars="200"/>
        <w:rPr>
          <w:color w:val="000000"/>
          <w:sz w:val="24"/>
          <w:lang w:bidi="ar"/>
        </w:rPr>
      </w:pPr>
      <w:r>
        <w:rPr>
          <w:color w:val="000000"/>
          <w:sz w:val="24"/>
          <w:lang w:bidi="ar"/>
        </w:rPr>
        <w:t>本项目所在区域属亚热带季风湿润气候，具有四季分明，雨量充沛，热量丰富，地带植被属于亚热带常绿阔叶林区。年平均气温</w:t>
      </w:r>
      <w:r>
        <w:rPr>
          <w:rFonts w:hint="eastAsia"/>
          <w:color w:val="000000"/>
          <w:sz w:val="24"/>
          <w:lang w:bidi="ar"/>
        </w:rPr>
        <w:t>18.4</w:t>
      </w:r>
      <w:r>
        <w:rPr>
          <w:color w:val="000000"/>
          <w:sz w:val="24"/>
          <w:lang w:bidi="ar"/>
        </w:rPr>
        <w:t>℃，</w:t>
      </w:r>
      <w:r>
        <w:rPr>
          <w:rFonts w:hint="eastAsia"/>
          <w:color w:val="000000"/>
          <w:sz w:val="24"/>
          <w:lang w:bidi="ar"/>
        </w:rPr>
        <w:t>7</w:t>
      </w:r>
      <w:r>
        <w:rPr>
          <w:color w:val="000000"/>
          <w:sz w:val="24"/>
          <w:lang w:bidi="ar"/>
        </w:rPr>
        <w:t>月份平均气温</w:t>
      </w:r>
      <w:r>
        <w:rPr>
          <w:rFonts w:hint="eastAsia"/>
          <w:color w:val="000000"/>
          <w:sz w:val="24"/>
          <w:lang w:bidi="ar"/>
        </w:rPr>
        <w:t>29.1</w:t>
      </w:r>
      <w:r>
        <w:rPr>
          <w:color w:val="000000"/>
          <w:sz w:val="24"/>
          <w:lang w:bidi="ar"/>
        </w:rPr>
        <w:t>℃，最冷为1月份，月平均气温为</w:t>
      </w:r>
      <w:r>
        <w:rPr>
          <w:rFonts w:hint="eastAsia"/>
          <w:color w:val="000000"/>
          <w:sz w:val="24"/>
          <w:lang w:bidi="ar"/>
        </w:rPr>
        <w:t>3.8</w:t>
      </w:r>
      <w:r>
        <w:rPr>
          <w:color w:val="000000"/>
          <w:sz w:val="24"/>
          <w:lang w:bidi="ar"/>
        </w:rPr>
        <w:t>℃，降雨集中在6~8月份，年平均降雨量</w:t>
      </w:r>
      <w:r>
        <w:rPr>
          <w:rFonts w:hint="eastAsia"/>
          <w:color w:val="000000"/>
          <w:sz w:val="24"/>
          <w:lang w:bidi="ar"/>
        </w:rPr>
        <w:t>1414.0</w:t>
      </w:r>
      <w:r>
        <w:rPr>
          <w:color w:val="000000"/>
          <w:sz w:val="24"/>
          <w:lang w:bidi="ar"/>
        </w:rPr>
        <w:t>mm，年最大降雨量1000mm以上。年平均无霜期</w:t>
      </w:r>
      <w:r>
        <w:rPr>
          <w:rFonts w:hint="eastAsia"/>
          <w:color w:val="000000"/>
          <w:sz w:val="24"/>
          <w:lang w:bidi="ar"/>
        </w:rPr>
        <w:t>264</w:t>
      </w:r>
      <w:r>
        <w:rPr>
          <w:color w:val="000000"/>
          <w:sz w:val="24"/>
          <w:lang w:bidi="ar"/>
        </w:rPr>
        <w:t>天。</w:t>
      </w:r>
    </w:p>
    <w:p w14:paraId="28D92461">
      <w:pPr>
        <w:widowControl/>
        <w:jc w:val="center"/>
        <w:rPr>
          <w:rFonts w:eastAsia="黑体"/>
          <w:snapToGrid w:val="0"/>
          <w:sz w:val="24"/>
        </w:rPr>
      </w:pPr>
      <w:r>
        <w:rPr>
          <w:rFonts w:hint="eastAsia" w:eastAsia="黑体"/>
          <w:snapToGrid w:val="0"/>
          <w:sz w:val="24"/>
        </w:rPr>
        <w:t>表4.3-6  评价范围植被生产力计算表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41"/>
        <w:gridCol w:w="2582"/>
        <w:gridCol w:w="2381"/>
        <w:gridCol w:w="2382"/>
      </w:tblGrid>
      <w:tr w14:paraId="1A32D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14:paraId="00C3B72B">
            <w:pPr>
              <w:jc w:val="center"/>
              <w:rPr>
                <w:color w:val="000000"/>
                <w:szCs w:val="21"/>
              </w:rPr>
            </w:pPr>
            <w:r>
              <w:rPr>
                <w:color w:val="000000"/>
                <w:szCs w:val="21"/>
              </w:rPr>
              <w:t>多年平均气温（℃）</w:t>
            </w:r>
          </w:p>
        </w:tc>
        <w:tc>
          <w:tcPr>
            <w:tcW w:w="0" w:type="auto"/>
            <w:vAlign w:val="center"/>
          </w:tcPr>
          <w:p w14:paraId="07CA4236">
            <w:pPr>
              <w:jc w:val="center"/>
              <w:rPr>
                <w:color w:val="000000"/>
                <w:szCs w:val="21"/>
              </w:rPr>
            </w:pPr>
            <w:r>
              <w:rPr>
                <w:color w:val="000000"/>
                <w:szCs w:val="21"/>
              </w:rPr>
              <w:t>多年平均降水量（mm）</w:t>
            </w:r>
          </w:p>
        </w:tc>
        <w:tc>
          <w:tcPr>
            <w:tcW w:w="0" w:type="auto"/>
            <w:vAlign w:val="center"/>
          </w:tcPr>
          <w:p w14:paraId="007AC3EA">
            <w:pPr>
              <w:jc w:val="center"/>
              <w:rPr>
                <w:color w:val="000000"/>
                <w:szCs w:val="21"/>
              </w:rPr>
            </w:pPr>
            <w:r>
              <w:rPr>
                <w:color w:val="000000"/>
                <w:szCs w:val="21"/>
              </w:rPr>
              <w:t>热量生产力（</w:t>
            </w:r>
            <w:r>
              <w:rPr>
                <w:color w:val="000000"/>
                <w:szCs w:val="21"/>
                <w:lang w:bidi="ar"/>
              </w:rPr>
              <w:t>g/m</w:t>
            </w:r>
            <w:r>
              <w:rPr>
                <w:color w:val="000000"/>
                <w:szCs w:val="21"/>
                <w:vertAlign w:val="superscript"/>
                <w:lang w:bidi="ar"/>
              </w:rPr>
              <w:t>2</w:t>
            </w:r>
            <w:r>
              <w:rPr>
                <w:color w:val="000000"/>
                <w:szCs w:val="21"/>
                <w:lang w:bidi="ar"/>
              </w:rPr>
              <w:t>·a</w:t>
            </w:r>
            <w:r>
              <w:rPr>
                <w:color w:val="000000"/>
                <w:szCs w:val="21"/>
              </w:rPr>
              <w:t>）</w:t>
            </w:r>
          </w:p>
        </w:tc>
        <w:tc>
          <w:tcPr>
            <w:tcW w:w="0" w:type="auto"/>
            <w:vAlign w:val="center"/>
          </w:tcPr>
          <w:p w14:paraId="55687F57">
            <w:pPr>
              <w:jc w:val="center"/>
              <w:rPr>
                <w:color w:val="000000"/>
                <w:szCs w:val="21"/>
              </w:rPr>
            </w:pPr>
            <w:r>
              <w:rPr>
                <w:color w:val="000000"/>
                <w:szCs w:val="21"/>
              </w:rPr>
              <w:t>水分生产力（</w:t>
            </w:r>
            <w:r>
              <w:rPr>
                <w:color w:val="000000"/>
                <w:szCs w:val="21"/>
                <w:lang w:bidi="ar"/>
              </w:rPr>
              <w:t>g/m</w:t>
            </w:r>
            <w:r>
              <w:rPr>
                <w:color w:val="000000"/>
                <w:szCs w:val="21"/>
                <w:vertAlign w:val="superscript"/>
                <w:lang w:bidi="ar"/>
              </w:rPr>
              <w:t>2</w:t>
            </w:r>
            <w:r>
              <w:rPr>
                <w:color w:val="000000"/>
                <w:szCs w:val="21"/>
                <w:lang w:bidi="ar"/>
              </w:rPr>
              <w:t>·a</w:t>
            </w:r>
            <w:r>
              <w:rPr>
                <w:color w:val="000000"/>
                <w:szCs w:val="21"/>
              </w:rPr>
              <w:t>）</w:t>
            </w:r>
          </w:p>
        </w:tc>
      </w:tr>
      <w:tr w14:paraId="7CAE6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14:paraId="5BF2F6FB">
            <w:pPr>
              <w:jc w:val="center"/>
              <w:rPr>
                <w:color w:val="000000"/>
                <w:szCs w:val="21"/>
              </w:rPr>
            </w:pPr>
            <w:r>
              <w:rPr>
                <w:rFonts w:hint="eastAsia"/>
                <w:color w:val="000000"/>
                <w:szCs w:val="21"/>
              </w:rPr>
              <w:t>18.4</w:t>
            </w:r>
          </w:p>
        </w:tc>
        <w:tc>
          <w:tcPr>
            <w:tcW w:w="0" w:type="auto"/>
            <w:vAlign w:val="center"/>
          </w:tcPr>
          <w:p w14:paraId="283A6B5F">
            <w:pPr>
              <w:jc w:val="center"/>
              <w:rPr>
                <w:color w:val="000000"/>
                <w:szCs w:val="21"/>
              </w:rPr>
            </w:pPr>
            <w:r>
              <w:rPr>
                <w:rFonts w:hint="eastAsia"/>
                <w:color w:val="000000"/>
                <w:szCs w:val="21"/>
              </w:rPr>
              <w:t>1414.0</w:t>
            </w:r>
          </w:p>
        </w:tc>
        <w:tc>
          <w:tcPr>
            <w:tcW w:w="0" w:type="auto"/>
            <w:vAlign w:val="center"/>
          </w:tcPr>
          <w:p w14:paraId="7B45F7AA">
            <w:pPr>
              <w:jc w:val="center"/>
              <w:rPr>
                <w:color w:val="000000"/>
                <w:szCs w:val="21"/>
              </w:rPr>
            </w:pPr>
            <w:r>
              <w:rPr>
                <w:rFonts w:hint="eastAsia"/>
                <w:color w:val="000000"/>
                <w:szCs w:val="21"/>
              </w:rPr>
              <w:t>2117.106</w:t>
            </w:r>
          </w:p>
        </w:tc>
        <w:tc>
          <w:tcPr>
            <w:tcW w:w="0" w:type="auto"/>
            <w:vAlign w:val="center"/>
          </w:tcPr>
          <w:p w14:paraId="7289A9E6">
            <w:pPr>
              <w:jc w:val="center"/>
              <w:rPr>
                <w:color w:val="000000"/>
                <w:szCs w:val="21"/>
              </w:rPr>
            </w:pPr>
            <w:r>
              <w:rPr>
                <w:rFonts w:hint="eastAsia"/>
                <w:color w:val="000000"/>
                <w:szCs w:val="21"/>
              </w:rPr>
              <w:t>1173.178</w:t>
            </w:r>
          </w:p>
        </w:tc>
      </w:tr>
    </w:tbl>
    <w:p w14:paraId="4A362670">
      <w:pPr>
        <w:pStyle w:val="234"/>
        <w:spacing w:before="120" w:beforeLines="50"/>
        <w:rPr>
          <w:color w:val="000000"/>
          <w:lang w:bidi="ar"/>
        </w:rPr>
      </w:pPr>
      <w:r>
        <w:rPr>
          <w:color w:val="000000"/>
          <w:lang w:bidi="ar"/>
        </w:rPr>
        <w:t>最终确定本项目评价范围生态系统生产力为1</w:t>
      </w:r>
      <w:r>
        <w:rPr>
          <w:rFonts w:hint="eastAsia"/>
          <w:color w:val="000000"/>
          <w:lang w:bidi="ar"/>
        </w:rPr>
        <w:t>173.178</w:t>
      </w:r>
      <w:r>
        <w:rPr>
          <w:color w:val="000000"/>
          <w:lang w:bidi="ar"/>
        </w:rPr>
        <w:t>g/m</w:t>
      </w:r>
      <w:r>
        <w:rPr>
          <w:color w:val="000000"/>
          <w:vertAlign w:val="superscript"/>
          <w:lang w:bidi="ar"/>
        </w:rPr>
        <w:t>2</w:t>
      </w:r>
      <w:r>
        <w:rPr>
          <w:color w:val="000000"/>
          <w:lang w:bidi="ar"/>
        </w:rPr>
        <w:t>·a</w:t>
      </w:r>
      <w:r>
        <w:rPr>
          <w:rFonts w:hint="eastAsia"/>
          <w:color w:val="000000"/>
          <w:lang w:bidi="ar"/>
        </w:rPr>
        <w:t>。</w:t>
      </w:r>
    </w:p>
    <w:p w14:paraId="79640E05">
      <w:pPr>
        <w:pStyle w:val="234"/>
      </w:pPr>
      <w:r>
        <w:rPr>
          <w:color w:val="000000"/>
          <w:lang w:bidi="ar"/>
        </w:rPr>
        <w:t>②</w:t>
      </w:r>
      <w:r>
        <w:rPr>
          <w:rFonts w:hint="eastAsia"/>
          <w:color w:val="000000"/>
          <w:lang w:bidi="ar"/>
        </w:rPr>
        <w:t>生物量</w:t>
      </w:r>
    </w:p>
    <w:p w14:paraId="153DDD46">
      <w:pPr>
        <w:widowControl/>
        <w:spacing w:line="360" w:lineRule="auto"/>
        <w:ind w:firstLine="480" w:firstLineChars="200"/>
        <w:rPr>
          <w:color w:val="000000"/>
          <w:sz w:val="24"/>
        </w:rPr>
      </w:pPr>
      <w:r>
        <w:rPr>
          <w:color w:val="000000"/>
          <w:sz w:val="24"/>
        </w:rPr>
        <w:t>植被的生物量是指一定地段面积内植物群落在某一时期生存着的活有机物质之重量。群落类型不同，其生物量测定的方法也有所不同。</w:t>
      </w:r>
      <w:r>
        <w:rPr>
          <w:color w:val="000000"/>
          <w:sz w:val="24"/>
          <w:lang w:bidi="ar"/>
        </w:rPr>
        <w:t>项目区域内生态以农业生态环境为主要特征，植被基本为栽培植被。平均生物量参考《中国区域植被地上与地下生物量模拟》中数据：农作物0.71kg/m</w:t>
      </w:r>
      <w:r>
        <w:rPr>
          <w:color w:val="000000"/>
          <w:sz w:val="24"/>
          <w:vertAlign w:val="superscript"/>
          <w:lang w:bidi="ar"/>
        </w:rPr>
        <w:t>2</w:t>
      </w:r>
      <w:r>
        <w:rPr>
          <w:color w:val="000000"/>
          <w:sz w:val="24"/>
          <w:lang w:bidi="ar"/>
        </w:rPr>
        <w:t>，</w:t>
      </w:r>
      <w:r>
        <w:rPr>
          <w:rFonts w:hint="eastAsia"/>
          <w:color w:val="000000"/>
          <w:sz w:val="24"/>
          <w:lang w:bidi="ar"/>
        </w:rPr>
        <w:t>常绿</w:t>
      </w:r>
      <w:r>
        <w:rPr>
          <w:color w:val="000000"/>
          <w:sz w:val="24"/>
          <w:lang w:bidi="ar"/>
        </w:rPr>
        <w:t>阔叶林数据：</w:t>
      </w:r>
      <w:r>
        <w:rPr>
          <w:rFonts w:hint="eastAsia"/>
          <w:color w:val="000000"/>
          <w:sz w:val="24"/>
          <w:lang w:bidi="ar"/>
        </w:rPr>
        <w:t>12.08</w:t>
      </w:r>
      <w:r>
        <w:rPr>
          <w:color w:val="000000"/>
          <w:sz w:val="24"/>
          <w:lang w:bidi="ar"/>
        </w:rPr>
        <w:t>kg/m</w:t>
      </w:r>
      <w:r>
        <w:rPr>
          <w:color w:val="000000"/>
          <w:sz w:val="24"/>
          <w:vertAlign w:val="superscript"/>
          <w:lang w:bidi="ar"/>
        </w:rPr>
        <w:t>2</w:t>
      </w:r>
      <w:r>
        <w:rPr>
          <w:color w:val="000000"/>
          <w:sz w:val="24"/>
          <w:lang w:bidi="ar"/>
        </w:rPr>
        <w:t>。</w:t>
      </w:r>
    </w:p>
    <w:p w14:paraId="23F9B976">
      <w:pPr>
        <w:spacing w:line="360" w:lineRule="auto"/>
        <w:ind w:firstLine="480" w:firstLineChars="200"/>
        <w:rPr>
          <w:color w:val="000000"/>
          <w:sz w:val="24"/>
        </w:rPr>
      </w:pPr>
      <w:r>
        <w:rPr>
          <w:color w:val="000000"/>
          <w:sz w:val="24"/>
        </w:rPr>
        <w:t>根据生态调查范围内各种植被类型（生态系统）的面积，各种植被类型的面积，以及其单位面积的生物生产量，计算得到评价区的生物量及其总和，如下表。</w:t>
      </w:r>
    </w:p>
    <w:p w14:paraId="39447FFA">
      <w:pPr>
        <w:pStyle w:val="3077"/>
        <w:spacing w:line="276" w:lineRule="auto"/>
        <w:rPr>
          <w:rFonts w:eastAsia="黑体"/>
          <w:snapToGrid w:val="0"/>
          <w:sz w:val="24"/>
        </w:rPr>
      </w:pPr>
      <w:r>
        <w:rPr>
          <w:rFonts w:hint="eastAsia" w:eastAsia="黑体"/>
          <w:snapToGrid w:val="0"/>
          <w:sz w:val="24"/>
        </w:rPr>
        <w:t>表4.3-7本项目生态调查范围不同植被类型的生物量</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4"/>
        <w:gridCol w:w="1707"/>
        <w:gridCol w:w="2165"/>
        <w:gridCol w:w="1881"/>
        <w:gridCol w:w="1509"/>
      </w:tblGrid>
      <w:tr w14:paraId="42FA7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14:paraId="45EFDE69">
            <w:pPr>
              <w:jc w:val="center"/>
              <w:rPr>
                <w:color w:val="000000"/>
                <w:szCs w:val="21"/>
              </w:rPr>
            </w:pPr>
            <w:r>
              <w:rPr>
                <w:color w:val="000000"/>
                <w:szCs w:val="21"/>
              </w:rPr>
              <w:t>植被类型</w:t>
            </w:r>
          </w:p>
        </w:tc>
        <w:tc>
          <w:tcPr>
            <w:tcW w:w="0" w:type="auto"/>
            <w:vAlign w:val="center"/>
          </w:tcPr>
          <w:p w14:paraId="20865B51">
            <w:pPr>
              <w:jc w:val="center"/>
              <w:rPr>
                <w:color w:val="000000"/>
                <w:szCs w:val="21"/>
              </w:rPr>
            </w:pPr>
            <w:r>
              <w:rPr>
                <w:color w:val="000000"/>
                <w:szCs w:val="21"/>
              </w:rPr>
              <w:t>面积（</w:t>
            </w:r>
            <w:r>
              <w:rPr>
                <w:rFonts w:hint="eastAsia"/>
                <w:color w:val="000000"/>
                <w:szCs w:val="21"/>
              </w:rPr>
              <w:t>h</w:t>
            </w:r>
            <w:r>
              <w:rPr>
                <w:color w:val="000000"/>
                <w:szCs w:val="21"/>
              </w:rPr>
              <w:t>m</w:t>
            </w:r>
            <w:r>
              <w:rPr>
                <w:color w:val="000000"/>
                <w:szCs w:val="21"/>
                <w:vertAlign w:val="superscript"/>
              </w:rPr>
              <w:t>2</w:t>
            </w:r>
            <w:r>
              <w:rPr>
                <w:color w:val="000000"/>
                <w:szCs w:val="21"/>
              </w:rPr>
              <w:t>）</w:t>
            </w:r>
          </w:p>
        </w:tc>
        <w:tc>
          <w:tcPr>
            <w:tcW w:w="0" w:type="auto"/>
            <w:vAlign w:val="center"/>
          </w:tcPr>
          <w:p w14:paraId="6ED8F9CC">
            <w:pPr>
              <w:jc w:val="center"/>
              <w:rPr>
                <w:color w:val="000000"/>
                <w:szCs w:val="21"/>
              </w:rPr>
            </w:pPr>
            <w:r>
              <w:rPr>
                <w:color w:val="000000"/>
                <w:szCs w:val="21"/>
              </w:rPr>
              <w:t>生物量（kg/m</w:t>
            </w:r>
            <w:r>
              <w:rPr>
                <w:color w:val="000000"/>
                <w:szCs w:val="21"/>
                <w:vertAlign w:val="superscript"/>
              </w:rPr>
              <w:t>2</w:t>
            </w:r>
            <w:r>
              <w:rPr>
                <w:color w:val="000000"/>
                <w:szCs w:val="21"/>
              </w:rPr>
              <w:t>）</w:t>
            </w:r>
          </w:p>
        </w:tc>
        <w:tc>
          <w:tcPr>
            <w:tcW w:w="0" w:type="auto"/>
            <w:vAlign w:val="center"/>
          </w:tcPr>
          <w:p w14:paraId="30BD593F">
            <w:pPr>
              <w:jc w:val="center"/>
              <w:rPr>
                <w:color w:val="000000"/>
                <w:szCs w:val="21"/>
              </w:rPr>
            </w:pPr>
            <w:r>
              <w:rPr>
                <w:color w:val="000000"/>
                <w:szCs w:val="21"/>
              </w:rPr>
              <w:t>总生物量（t）</w:t>
            </w:r>
          </w:p>
        </w:tc>
        <w:tc>
          <w:tcPr>
            <w:tcW w:w="0" w:type="auto"/>
            <w:vAlign w:val="center"/>
          </w:tcPr>
          <w:p w14:paraId="5BE385EB">
            <w:pPr>
              <w:jc w:val="center"/>
              <w:rPr>
                <w:color w:val="000000"/>
                <w:szCs w:val="21"/>
              </w:rPr>
            </w:pPr>
            <w:r>
              <w:rPr>
                <w:color w:val="000000"/>
                <w:szCs w:val="21"/>
              </w:rPr>
              <w:t>比例（%）</w:t>
            </w:r>
          </w:p>
        </w:tc>
      </w:tr>
      <w:tr w14:paraId="1DCC6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14:paraId="139596B5">
            <w:pPr>
              <w:jc w:val="center"/>
              <w:rPr>
                <w:color w:val="000000"/>
                <w:szCs w:val="21"/>
              </w:rPr>
            </w:pPr>
            <w:r>
              <w:rPr>
                <w:color w:val="000000"/>
                <w:szCs w:val="21"/>
              </w:rPr>
              <w:t>农田植被</w:t>
            </w:r>
          </w:p>
        </w:tc>
        <w:tc>
          <w:tcPr>
            <w:tcW w:w="0" w:type="auto"/>
            <w:vAlign w:val="center"/>
          </w:tcPr>
          <w:p w14:paraId="225C11C7">
            <w:pPr>
              <w:jc w:val="center"/>
              <w:rPr>
                <w:szCs w:val="21"/>
              </w:rPr>
            </w:pPr>
            <w:r>
              <w:rPr>
                <w:rFonts w:hint="eastAsia"/>
                <w:szCs w:val="21"/>
              </w:rPr>
              <w:t>28.15</w:t>
            </w:r>
          </w:p>
        </w:tc>
        <w:tc>
          <w:tcPr>
            <w:tcW w:w="0" w:type="auto"/>
            <w:vAlign w:val="center"/>
          </w:tcPr>
          <w:p w14:paraId="206B3A51">
            <w:pPr>
              <w:jc w:val="center"/>
              <w:rPr>
                <w:color w:val="000000"/>
                <w:szCs w:val="21"/>
              </w:rPr>
            </w:pPr>
            <w:r>
              <w:rPr>
                <w:color w:val="000000"/>
                <w:szCs w:val="21"/>
              </w:rPr>
              <w:t>0.71</w:t>
            </w:r>
          </w:p>
        </w:tc>
        <w:tc>
          <w:tcPr>
            <w:tcW w:w="0" w:type="auto"/>
            <w:vAlign w:val="center"/>
          </w:tcPr>
          <w:p w14:paraId="1A46A72F">
            <w:pPr>
              <w:jc w:val="center"/>
              <w:rPr>
                <w:szCs w:val="21"/>
              </w:rPr>
            </w:pPr>
            <w:r>
              <w:rPr>
                <w:rFonts w:hint="eastAsia"/>
                <w:szCs w:val="21"/>
              </w:rPr>
              <w:t>199.86</w:t>
            </w:r>
          </w:p>
        </w:tc>
        <w:tc>
          <w:tcPr>
            <w:tcW w:w="0" w:type="auto"/>
            <w:vAlign w:val="center"/>
          </w:tcPr>
          <w:p w14:paraId="6892BEC0">
            <w:pPr>
              <w:jc w:val="center"/>
              <w:rPr>
                <w:szCs w:val="21"/>
              </w:rPr>
            </w:pPr>
            <w:r>
              <w:rPr>
                <w:rFonts w:hint="eastAsia"/>
                <w:szCs w:val="21"/>
              </w:rPr>
              <w:t>4.41</w:t>
            </w:r>
          </w:p>
        </w:tc>
      </w:tr>
      <w:tr w14:paraId="4DF6F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14:paraId="7AA28A23">
            <w:pPr>
              <w:jc w:val="center"/>
              <w:rPr>
                <w:color w:val="000000"/>
                <w:szCs w:val="21"/>
              </w:rPr>
            </w:pPr>
            <w:r>
              <w:rPr>
                <w:color w:val="000000"/>
                <w:szCs w:val="21"/>
              </w:rPr>
              <w:t>亚热带常绿阔叶林</w:t>
            </w:r>
          </w:p>
        </w:tc>
        <w:tc>
          <w:tcPr>
            <w:tcW w:w="0" w:type="auto"/>
            <w:vAlign w:val="center"/>
          </w:tcPr>
          <w:p w14:paraId="69107965">
            <w:pPr>
              <w:jc w:val="center"/>
              <w:rPr>
                <w:szCs w:val="21"/>
              </w:rPr>
            </w:pPr>
            <w:r>
              <w:rPr>
                <w:rFonts w:hint="eastAsia"/>
                <w:szCs w:val="21"/>
              </w:rPr>
              <w:t>35.87</w:t>
            </w:r>
          </w:p>
        </w:tc>
        <w:tc>
          <w:tcPr>
            <w:tcW w:w="0" w:type="auto"/>
            <w:vAlign w:val="center"/>
          </w:tcPr>
          <w:p w14:paraId="26E1767F">
            <w:pPr>
              <w:jc w:val="center"/>
              <w:rPr>
                <w:color w:val="000000"/>
                <w:szCs w:val="21"/>
              </w:rPr>
            </w:pPr>
            <w:r>
              <w:rPr>
                <w:rFonts w:hint="eastAsia"/>
                <w:color w:val="000000"/>
                <w:szCs w:val="21"/>
              </w:rPr>
              <w:t>12.08</w:t>
            </w:r>
          </w:p>
        </w:tc>
        <w:tc>
          <w:tcPr>
            <w:tcW w:w="0" w:type="auto"/>
            <w:vAlign w:val="center"/>
          </w:tcPr>
          <w:p w14:paraId="4F0C45A0">
            <w:pPr>
              <w:jc w:val="center"/>
              <w:rPr>
                <w:szCs w:val="21"/>
              </w:rPr>
            </w:pPr>
            <w:r>
              <w:rPr>
                <w:rFonts w:hint="eastAsia"/>
                <w:szCs w:val="21"/>
              </w:rPr>
              <w:t>4333.10</w:t>
            </w:r>
          </w:p>
        </w:tc>
        <w:tc>
          <w:tcPr>
            <w:tcW w:w="0" w:type="auto"/>
            <w:vAlign w:val="center"/>
          </w:tcPr>
          <w:p w14:paraId="0E27712F">
            <w:pPr>
              <w:jc w:val="center"/>
              <w:rPr>
                <w:szCs w:val="21"/>
              </w:rPr>
            </w:pPr>
            <w:r>
              <w:rPr>
                <w:rFonts w:hint="eastAsia"/>
                <w:szCs w:val="21"/>
              </w:rPr>
              <w:t>95.59</w:t>
            </w:r>
          </w:p>
        </w:tc>
      </w:tr>
      <w:tr w14:paraId="5987E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14:paraId="2CFDC51F">
            <w:pPr>
              <w:jc w:val="center"/>
              <w:rPr>
                <w:color w:val="000000"/>
                <w:szCs w:val="21"/>
              </w:rPr>
            </w:pPr>
            <w:r>
              <w:rPr>
                <w:color w:val="000000"/>
                <w:szCs w:val="21"/>
              </w:rPr>
              <w:t>合计</w:t>
            </w:r>
          </w:p>
        </w:tc>
        <w:tc>
          <w:tcPr>
            <w:tcW w:w="0" w:type="auto"/>
            <w:vAlign w:val="center"/>
          </w:tcPr>
          <w:p w14:paraId="54701FD9">
            <w:pPr>
              <w:jc w:val="center"/>
              <w:rPr>
                <w:color w:val="000000"/>
                <w:szCs w:val="21"/>
              </w:rPr>
            </w:pPr>
            <w:r>
              <w:rPr>
                <w:rFonts w:hint="eastAsia"/>
                <w:color w:val="000000"/>
                <w:szCs w:val="21"/>
              </w:rPr>
              <w:t>64.02</w:t>
            </w:r>
          </w:p>
        </w:tc>
        <w:tc>
          <w:tcPr>
            <w:tcW w:w="0" w:type="auto"/>
            <w:vAlign w:val="center"/>
          </w:tcPr>
          <w:p w14:paraId="304DAA3C">
            <w:pPr>
              <w:jc w:val="center"/>
              <w:rPr>
                <w:color w:val="000000"/>
                <w:szCs w:val="21"/>
              </w:rPr>
            </w:pPr>
            <w:r>
              <w:rPr>
                <w:color w:val="000000"/>
                <w:szCs w:val="21"/>
              </w:rPr>
              <w:t>/</w:t>
            </w:r>
          </w:p>
        </w:tc>
        <w:tc>
          <w:tcPr>
            <w:tcW w:w="0" w:type="auto"/>
            <w:vAlign w:val="center"/>
          </w:tcPr>
          <w:p w14:paraId="4074CCF6">
            <w:pPr>
              <w:jc w:val="center"/>
              <w:rPr>
                <w:szCs w:val="21"/>
              </w:rPr>
            </w:pPr>
            <w:r>
              <w:rPr>
                <w:rFonts w:hint="eastAsia"/>
                <w:szCs w:val="21"/>
              </w:rPr>
              <w:t>4532.96</w:t>
            </w:r>
          </w:p>
        </w:tc>
        <w:tc>
          <w:tcPr>
            <w:tcW w:w="0" w:type="auto"/>
            <w:vAlign w:val="center"/>
          </w:tcPr>
          <w:p w14:paraId="1F025264">
            <w:pPr>
              <w:jc w:val="center"/>
              <w:rPr>
                <w:szCs w:val="21"/>
              </w:rPr>
            </w:pPr>
            <w:r>
              <w:rPr>
                <w:szCs w:val="21"/>
              </w:rPr>
              <w:t>100</w:t>
            </w:r>
          </w:p>
        </w:tc>
      </w:tr>
    </w:tbl>
    <w:p w14:paraId="4A28CABE">
      <w:pPr>
        <w:pStyle w:val="234"/>
        <w:spacing w:before="120" w:beforeLines="50"/>
        <w:ind w:firstLine="482"/>
        <w:rPr>
          <w:b/>
          <w:bCs/>
        </w:rPr>
      </w:pPr>
      <w:r>
        <w:rPr>
          <w:b/>
          <w:bCs/>
        </w:rPr>
        <w:t>（</w:t>
      </w:r>
      <w:r>
        <w:rPr>
          <w:rFonts w:hint="eastAsia"/>
          <w:b/>
          <w:bCs/>
        </w:rPr>
        <w:t>5</w:t>
      </w:r>
      <w:r>
        <w:rPr>
          <w:b/>
          <w:bCs/>
        </w:rPr>
        <w:t>）植被</w:t>
      </w:r>
      <w:r>
        <w:rPr>
          <w:rFonts w:hint="eastAsia"/>
          <w:b/>
          <w:bCs/>
        </w:rPr>
        <w:t>覆盖度</w:t>
      </w:r>
    </w:p>
    <w:p w14:paraId="58C48CD0">
      <w:pPr>
        <w:pStyle w:val="234"/>
        <w:rPr>
          <w:rFonts w:hint="eastAsia" w:ascii="宋体" w:hAnsi="宋体" w:cs="宋体"/>
          <w:color w:val="0000FF"/>
        </w:rPr>
      </w:pPr>
      <w:r>
        <w:rPr>
          <w:color w:val="000000"/>
        </w:rPr>
        <w:t>植被覆盖度是指植被（包括叶、茎、枝）在地面的垂直投影面积占该区域总面积的百分比，它是表征植被状况的重要指标</w:t>
      </w:r>
      <w:r>
        <w:rPr>
          <w:rFonts w:hint="eastAsia"/>
          <w:color w:val="000000"/>
        </w:rPr>
        <w:t>。</w:t>
      </w:r>
    </w:p>
    <w:p w14:paraId="667B8E64">
      <w:pPr>
        <w:pStyle w:val="234"/>
      </w:pPr>
      <w:r>
        <w:rPr>
          <w:rFonts w:hint="eastAsia" w:ascii="宋体" w:hAnsi="宋体" w:cs="宋体"/>
        </w:rPr>
        <w:t>①</w:t>
      </w:r>
      <w:r>
        <w:t>分析方法</w:t>
      </w:r>
    </w:p>
    <w:p w14:paraId="35FED7D6">
      <w:pPr>
        <w:pStyle w:val="234"/>
        <w:rPr>
          <w:szCs w:val="32"/>
        </w:rPr>
      </w:pPr>
      <w:r>
        <w:rPr>
          <w:szCs w:val="32"/>
        </w:rPr>
        <w:t>植被指数法主要是通过对各像元中植被类型及分布特征的分析，建立植被指数与植被覆盖度的转换关系。采用归一化植被指数（NDVI）估算植被覆盖度的方法如下：</w:t>
      </w:r>
    </w:p>
    <w:p w14:paraId="4EF35492">
      <w:pPr>
        <w:pStyle w:val="234"/>
        <w:jc w:val="center"/>
        <w:rPr>
          <w:i/>
          <w:iCs/>
        </w:rPr>
      </w:pPr>
      <w:r>
        <w:rPr>
          <w:i/>
          <w:iCs/>
        </w:rPr>
        <w:t>FVC=（NDVI－NDVIs）/（NDVIv－NDVIs）</w:t>
      </w:r>
    </w:p>
    <w:p w14:paraId="255AA35A">
      <w:pPr>
        <w:pStyle w:val="234"/>
      </w:pPr>
      <w:r>
        <w:t>式中：</w:t>
      </w:r>
      <w:r>
        <w:rPr>
          <w:i/>
        </w:rPr>
        <w:t>FVC</w:t>
      </w:r>
      <w:r>
        <w:t>——所计算像元的植被覆盖度；</w:t>
      </w:r>
    </w:p>
    <w:p w14:paraId="27F2E02F">
      <w:pPr>
        <w:pStyle w:val="234"/>
        <w:ind w:firstLine="1200" w:firstLineChars="500"/>
      </w:pPr>
      <w:r>
        <w:rPr>
          <w:i/>
        </w:rPr>
        <w:t>NDVI</w:t>
      </w:r>
      <w:r>
        <w:t>——所计算像元的NDVI值；</w:t>
      </w:r>
    </w:p>
    <w:p w14:paraId="6EA2C4F1">
      <w:pPr>
        <w:pStyle w:val="234"/>
        <w:ind w:firstLine="1200" w:firstLineChars="500"/>
      </w:pPr>
      <w:r>
        <w:rPr>
          <w:i/>
        </w:rPr>
        <w:t>NDVIv</w:t>
      </w:r>
      <w:r>
        <w:t>——纯植物像元的NDVI值；</w:t>
      </w:r>
    </w:p>
    <w:p w14:paraId="6E731D36">
      <w:pPr>
        <w:pStyle w:val="234"/>
        <w:ind w:firstLine="1200" w:firstLineChars="500"/>
      </w:pPr>
      <w:r>
        <w:rPr>
          <w:i/>
        </w:rPr>
        <w:t>NDVIs</w:t>
      </w:r>
      <w:r>
        <w:t>——完全无植被覆盖像元的NDVI值。</w:t>
      </w:r>
    </w:p>
    <w:p w14:paraId="150262A8">
      <w:pPr>
        <w:pStyle w:val="234"/>
        <w:spacing w:before="48" w:after="48"/>
        <w:ind w:left="420" w:leftChars="200" w:firstLine="0" w:firstLineChars="0"/>
      </w:pPr>
      <w:r>
        <w:rPr>
          <w:rFonts w:hint="eastAsia"/>
        </w:rPr>
        <w:t>②分析过程</w:t>
      </w:r>
    </w:p>
    <w:p w14:paraId="66DD6225">
      <w:pPr>
        <w:pStyle w:val="234"/>
        <w:spacing w:before="48" w:after="48"/>
      </w:pPr>
      <w:r>
        <w:rPr>
          <w:rFonts w:hint="eastAsia"/>
        </w:rPr>
        <w:t>本次采取ENVI软件NDVI指数模块对评价范围内遥感影像进行分析计算，并利用NDVI计算结果对植被覆盖度进行估算。</w:t>
      </w:r>
    </w:p>
    <w:p w14:paraId="7E527E01">
      <w:pPr>
        <w:pStyle w:val="234"/>
        <w:spacing w:before="48" w:after="48"/>
      </w:pPr>
      <w:r>
        <w:rPr>
          <w:rFonts w:hint="eastAsia"/>
        </w:rPr>
        <w:t>本次采用的遥感卫星影像来自于LandSat-8，具体信息为：</w:t>
      </w:r>
    </w:p>
    <w:p w14:paraId="379BD390">
      <w:pPr>
        <w:pStyle w:val="234"/>
        <w:spacing w:before="48" w:after="48"/>
      </w:pPr>
      <w:r>
        <w:rPr>
          <w:rFonts w:hint="eastAsia"/>
        </w:rPr>
        <w:t>--拍摄时间：2019-08-17</w:t>
      </w:r>
    </w:p>
    <w:p w14:paraId="7FC46DAD">
      <w:pPr>
        <w:pStyle w:val="234"/>
        <w:spacing w:before="48" w:after="48"/>
      </w:pPr>
      <w:r>
        <w:rPr>
          <w:rFonts w:hint="eastAsia"/>
        </w:rPr>
        <w:t>--条带号：123</w:t>
      </w:r>
    </w:p>
    <w:p w14:paraId="3F8CC088">
      <w:pPr>
        <w:pStyle w:val="234"/>
        <w:spacing w:before="48" w:after="48"/>
      </w:pPr>
      <w:r>
        <w:rPr>
          <w:rFonts w:hint="eastAsia"/>
        </w:rPr>
        <w:t>--行编号：42</w:t>
      </w:r>
    </w:p>
    <w:p w14:paraId="62880F31">
      <w:pPr>
        <w:pStyle w:val="234"/>
        <w:spacing w:before="48" w:after="48"/>
      </w:pPr>
      <w:r>
        <w:rPr>
          <w:rFonts w:hint="eastAsia"/>
        </w:rPr>
        <w:t>--云量：5％</w:t>
      </w:r>
    </w:p>
    <w:p w14:paraId="6131E31F">
      <w:pPr>
        <w:pStyle w:val="234"/>
        <w:ind w:left="480" w:firstLine="0" w:firstLineChars="0"/>
      </w:pPr>
      <w:r>
        <w:rPr>
          <w:rFonts w:hint="eastAsia"/>
        </w:rPr>
        <w:t>③</w:t>
      </w:r>
      <w:r>
        <w:t>分析结果</w:t>
      </w:r>
    </w:p>
    <w:p w14:paraId="136557C0">
      <w:pPr>
        <w:pStyle w:val="234"/>
      </w:pPr>
      <w:r>
        <w:rPr>
          <w:rFonts w:hint="eastAsia"/>
        </w:rPr>
        <w:t>项目生态评价范围内不同植被覆盖度</w:t>
      </w:r>
      <w:r>
        <w:t>详见表4.3-</w:t>
      </w:r>
      <w:r>
        <w:rPr>
          <w:rFonts w:hint="eastAsia"/>
        </w:rPr>
        <w:t>8</w:t>
      </w:r>
      <w:r>
        <w:t>。</w:t>
      </w:r>
    </w:p>
    <w:p w14:paraId="2760D371">
      <w:pPr>
        <w:adjustRightInd w:val="0"/>
        <w:snapToGrid w:val="0"/>
        <w:jc w:val="center"/>
        <w:rPr>
          <w:rFonts w:eastAsia="黑体"/>
          <w:sz w:val="22"/>
          <w:szCs w:val="22"/>
        </w:rPr>
      </w:pPr>
      <w:r>
        <w:rPr>
          <w:rFonts w:eastAsia="黑体"/>
          <w:sz w:val="22"/>
          <w:szCs w:val="22"/>
        </w:rPr>
        <w:t>表4.3-</w:t>
      </w:r>
      <w:r>
        <w:rPr>
          <w:rFonts w:hint="eastAsia" w:eastAsia="黑体"/>
          <w:sz w:val="22"/>
          <w:szCs w:val="22"/>
        </w:rPr>
        <w:t>8</w:t>
      </w:r>
      <w:r>
        <w:rPr>
          <w:rFonts w:eastAsia="黑体"/>
          <w:sz w:val="22"/>
          <w:szCs w:val="22"/>
        </w:rPr>
        <w:t xml:space="preserve">  生态评价范围不同植被覆盖度面积表</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5"/>
        <w:gridCol w:w="3095"/>
        <w:gridCol w:w="3096"/>
      </w:tblGrid>
      <w:tr w14:paraId="35F46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95" w:type="dxa"/>
            <w:shd w:val="clear" w:color="auto" w:fill="auto"/>
            <w:vAlign w:val="center"/>
          </w:tcPr>
          <w:p w14:paraId="17E9A823">
            <w:pPr>
              <w:adjustRightInd w:val="0"/>
              <w:snapToGrid w:val="0"/>
              <w:jc w:val="center"/>
              <w:rPr>
                <w:szCs w:val="21"/>
              </w:rPr>
            </w:pPr>
            <w:r>
              <w:rPr>
                <w:szCs w:val="21"/>
              </w:rPr>
              <w:t>覆盖度（%）</w:t>
            </w:r>
          </w:p>
        </w:tc>
        <w:tc>
          <w:tcPr>
            <w:tcW w:w="3095" w:type="dxa"/>
            <w:shd w:val="clear" w:color="auto" w:fill="auto"/>
            <w:vAlign w:val="center"/>
          </w:tcPr>
          <w:p w14:paraId="4FCAB20D">
            <w:pPr>
              <w:adjustRightInd w:val="0"/>
              <w:snapToGrid w:val="0"/>
              <w:jc w:val="center"/>
              <w:rPr>
                <w:szCs w:val="21"/>
              </w:rPr>
            </w:pPr>
            <w:r>
              <w:rPr>
                <w:szCs w:val="21"/>
              </w:rPr>
              <w:t>面积（</w:t>
            </w:r>
            <w:r>
              <w:rPr>
                <w:rFonts w:hint="eastAsia"/>
                <w:szCs w:val="21"/>
              </w:rPr>
              <w:t>h</w:t>
            </w:r>
            <w:r>
              <w:rPr>
                <w:szCs w:val="21"/>
              </w:rPr>
              <w:t>m</w:t>
            </w:r>
            <w:r>
              <w:rPr>
                <w:szCs w:val="21"/>
                <w:vertAlign w:val="superscript"/>
              </w:rPr>
              <w:t>2</w:t>
            </w:r>
            <w:r>
              <w:rPr>
                <w:szCs w:val="21"/>
              </w:rPr>
              <w:t>）</w:t>
            </w:r>
          </w:p>
        </w:tc>
        <w:tc>
          <w:tcPr>
            <w:tcW w:w="3096" w:type="dxa"/>
            <w:shd w:val="clear" w:color="auto" w:fill="auto"/>
            <w:vAlign w:val="center"/>
          </w:tcPr>
          <w:p w14:paraId="7CAF58A2">
            <w:pPr>
              <w:adjustRightInd w:val="0"/>
              <w:snapToGrid w:val="0"/>
              <w:jc w:val="center"/>
              <w:rPr>
                <w:szCs w:val="21"/>
              </w:rPr>
            </w:pPr>
            <w:r>
              <w:rPr>
                <w:szCs w:val="21"/>
              </w:rPr>
              <w:t>比例（%）</w:t>
            </w:r>
          </w:p>
        </w:tc>
      </w:tr>
      <w:tr w14:paraId="6181A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95" w:type="dxa"/>
            <w:shd w:val="clear" w:color="auto" w:fill="auto"/>
            <w:vAlign w:val="center"/>
          </w:tcPr>
          <w:p w14:paraId="0525F915">
            <w:pPr>
              <w:adjustRightInd w:val="0"/>
              <w:snapToGrid w:val="0"/>
              <w:jc w:val="center"/>
              <w:rPr>
                <w:szCs w:val="21"/>
              </w:rPr>
            </w:pPr>
            <w:r>
              <w:rPr>
                <w:szCs w:val="21"/>
              </w:rPr>
              <w:t>＜60</w:t>
            </w:r>
          </w:p>
        </w:tc>
        <w:tc>
          <w:tcPr>
            <w:tcW w:w="3095" w:type="dxa"/>
            <w:shd w:val="clear" w:color="auto" w:fill="auto"/>
            <w:vAlign w:val="center"/>
          </w:tcPr>
          <w:p w14:paraId="0DD09212">
            <w:pPr>
              <w:pStyle w:val="1343"/>
            </w:pPr>
            <w:r>
              <w:rPr>
                <w:rFonts w:hint="eastAsia"/>
              </w:rPr>
              <w:t>35.27</w:t>
            </w:r>
          </w:p>
        </w:tc>
        <w:tc>
          <w:tcPr>
            <w:tcW w:w="3096" w:type="dxa"/>
            <w:shd w:val="clear" w:color="auto" w:fill="auto"/>
            <w:vAlign w:val="center"/>
          </w:tcPr>
          <w:p w14:paraId="578D5CFB">
            <w:pPr>
              <w:adjustRightInd w:val="0"/>
              <w:snapToGrid w:val="0"/>
              <w:jc w:val="center"/>
              <w:rPr>
                <w:szCs w:val="21"/>
              </w:rPr>
            </w:pPr>
            <w:r>
              <w:rPr>
                <w:rFonts w:hint="eastAsia"/>
                <w:szCs w:val="21"/>
              </w:rPr>
              <w:t>40.16</w:t>
            </w:r>
          </w:p>
        </w:tc>
      </w:tr>
      <w:tr w14:paraId="077DA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95" w:type="dxa"/>
            <w:shd w:val="clear" w:color="auto" w:fill="auto"/>
            <w:vAlign w:val="center"/>
          </w:tcPr>
          <w:p w14:paraId="6433BE60">
            <w:pPr>
              <w:adjustRightInd w:val="0"/>
              <w:snapToGrid w:val="0"/>
              <w:jc w:val="center"/>
              <w:rPr>
                <w:szCs w:val="21"/>
              </w:rPr>
            </w:pPr>
            <w:r>
              <w:rPr>
                <w:szCs w:val="21"/>
              </w:rPr>
              <w:t>60~70</w:t>
            </w:r>
          </w:p>
        </w:tc>
        <w:tc>
          <w:tcPr>
            <w:tcW w:w="3095" w:type="dxa"/>
            <w:shd w:val="clear" w:color="auto" w:fill="auto"/>
            <w:vAlign w:val="center"/>
          </w:tcPr>
          <w:p w14:paraId="720EA661">
            <w:pPr>
              <w:pStyle w:val="1343"/>
            </w:pPr>
            <w:r>
              <w:rPr>
                <w:rFonts w:hint="eastAsia"/>
              </w:rPr>
              <w:t>21.94</w:t>
            </w:r>
          </w:p>
        </w:tc>
        <w:tc>
          <w:tcPr>
            <w:tcW w:w="3096" w:type="dxa"/>
            <w:shd w:val="clear" w:color="auto" w:fill="auto"/>
            <w:vAlign w:val="center"/>
          </w:tcPr>
          <w:p w14:paraId="29D5AF1E">
            <w:pPr>
              <w:adjustRightInd w:val="0"/>
              <w:snapToGrid w:val="0"/>
              <w:jc w:val="center"/>
              <w:rPr>
                <w:szCs w:val="21"/>
              </w:rPr>
            </w:pPr>
            <w:r>
              <w:rPr>
                <w:rFonts w:hint="eastAsia"/>
                <w:szCs w:val="21"/>
              </w:rPr>
              <w:t>24.98</w:t>
            </w:r>
          </w:p>
        </w:tc>
      </w:tr>
      <w:tr w14:paraId="5BE14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95" w:type="dxa"/>
            <w:shd w:val="clear" w:color="auto" w:fill="auto"/>
            <w:vAlign w:val="center"/>
          </w:tcPr>
          <w:p w14:paraId="1EED51A3">
            <w:pPr>
              <w:adjustRightInd w:val="0"/>
              <w:snapToGrid w:val="0"/>
              <w:jc w:val="center"/>
              <w:rPr>
                <w:szCs w:val="21"/>
              </w:rPr>
            </w:pPr>
            <w:r>
              <w:rPr>
                <w:szCs w:val="21"/>
              </w:rPr>
              <w:t>＞70</w:t>
            </w:r>
          </w:p>
        </w:tc>
        <w:tc>
          <w:tcPr>
            <w:tcW w:w="3095" w:type="dxa"/>
            <w:shd w:val="clear" w:color="auto" w:fill="auto"/>
            <w:vAlign w:val="center"/>
          </w:tcPr>
          <w:p w14:paraId="46BD336A">
            <w:pPr>
              <w:pStyle w:val="1343"/>
            </w:pPr>
            <w:r>
              <w:rPr>
                <w:rFonts w:hint="eastAsia"/>
              </w:rPr>
              <w:t>30.62</w:t>
            </w:r>
          </w:p>
        </w:tc>
        <w:tc>
          <w:tcPr>
            <w:tcW w:w="3096" w:type="dxa"/>
            <w:shd w:val="clear" w:color="auto" w:fill="auto"/>
            <w:vAlign w:val="center"/>
          </w:tcPr>
          <w:p w14:paraId="2B06711C">
            <w:pPr>
              <w:adjustRightInd w:val="0"/>
              <w:snapToGrid w:val="0"/>
              <w:jc w:val="center"/>
              <w:rPr>
                <w:szCs w:val="21"/>
              </w:rPr>
            </w:pPr>
            <w:r>
              <w:rPr>
                <w:rFonts w:hint="eastAsia"/>
                <w:szCs w:val="21"/>
              </w:rPr>
              <w:t>34.86</w:t>
            </w:r>
          </w:p>
        </w:tc>
      </w:tr>
      <w:tr w14:paraId="05B62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95" w:type="dxa"/>
            <w:shd w:val="clear" w:color="auto" w:fill="auto"/>
            <w:vAlign w:val="center"/>
          </w:tcPr>
          <w:p w14:paraId="6D84D791">
            <w:pPr>
              <w:adjustRightInd w:val="0"/>
              <w:snapToGrid w:val="0"/>
              <w:jc w:val="center"/>
              <w:rPr>
                <w:szCs w:val="21"/>
              </w:rPr>
            </w:pPr>
            <w:r>
              <w:rPr>
                <w:szCs w:val="21"/>
              </w:rPr>
              <w:t>合计</w:t>
            </w:r>
          </w:p>
        </w:tc>
        <w:tc>
          <w:tcPr>
            <w:tcW w:w="3095" w:type="dxa"/>
            <w:shd w:val="clear" w:color="auto" w:fill="auto"/>
            <w:vAlign w:val="center"/>
          </w:tcPr>
          <w:p w14:paraId="1CB7C323">
            <w:pPr>
              <w:adjustRightInd w:val="0"/>
              <w:snapToGrid w:val="0"/>
              <w:jc w:val="center"/>
              <w:rPr>
                <w:szCs w:val="21"/>
              </w:rPr>
            </w:pPr>
            <w:r>
              <w:rPr>
                <w:rFonts w:hint="eastAsia"/>
                <w:szCs w:val="21"/>
              </w:rPr>
              <w:t>87.83</w:t>
            </w:r>
          </w:p>
        </w:tc>
        <w:tc>
          <w:tcPr>
            <w:tcW w:w="3096" w:type="dxa"/>
            <w:shd w:val="clear" w:color="auto" w:fill="auto"/>
            <w:vAlign w:val="center"/>
          </w:tcPr>
          <w:p w14:paraId="28858A44">
            <w:pPr>
              <w:adjustRightInd w:val="0"/>
              <w:snapToGrid w:val="0"/>
              <w:jc w:val="center"/>
              <w:rPr>
                <w:szCs w:val="21"/>
              </w:rPr>
            </w:pPr>
            <w:r>
              <w:rPr>
                <w:szCs w:val="21"/>
              </w:rPr>
              <w:t>100</w:t>
            </w:r>
          </w:p>
        </w:tc>
      </w:tr>
    </w:tbl>
    <w:p w14:paraId="39EAC5F2">
      <w:pPr>
        <w:spacing w:before="120" w:beforeLines="50" w:line="360" w:lineRule="auto"/>
        <w:ind w:firstLine="480" w:firstLineChars="200"/>
        <w:jc w:val="left"/>
        <w:rPr>
          <w:color w:val="0000FF"/>
          <w:sz w:val="24"/>
        </w:rPr>
      </w:pPr>
      <w:r>
        <w:rPr>
          <w:sz w:val="24"/>
        </w:rPr>
        <w:t>由上表可知，本工程生态评价范围内的植被覆盖度最高的区间为</w:t>
      </w:r>
      <w:r>
        <w:rPr>
          <w:rFonts w:hint="eastAsia"/>
          <w:sz w:val="24"/>
        </w:rPr>
        <w:t>小于60%</w:t>
      </w:r>
      <w:r>
        <w:rPr>
          <w:sz w:val="24"/>
        </w:rPr>
        <w:t>，占比</w:t>
      </w:r>
      <w:r>
        <w:rPr>
          <w:rFonts w:hint="eastAsia"/>
          <w:sz w:val="24"/>
        </w:rPr>
        <w:t>40.16</w:t>
      </w:r>
      <w:r>
        <w:rPr>
          <w:sz w:val="24"/>
        </w:rPr>
        <w:t>%；其次为覆盖度</w:t>
      </w:r>
      <w:r>
        <w:rPr>
          <w:rFonts w:hint="eastAsia"/>
          <w:sz w:val="24"/>
        </w:rPr>
        <w:t>大于</w:t>
      </w:r>
      <w:r>
        <w:rPr>
          <w:sz w:val="24"/>
        </w:rPr>
        <w:t>70%，占比</w:t>
      </w:r>
      <w:r>
        <w:rPr>
          <w:rFonts w:hint="eastAsia"/>
          <w:sz w:val="24"/>
        </w:rPr>
        <w:t>34.86</w:t>
      </w:r>
      <w:r>
        <w:rPr>
          <w:sz w:val="24"/>
        </w:rPr>
        <w:t>%，60%</w:t>
      </w:r>
      <w:r>
        <w:rPr>
          <w:rFonts w:hint="eastAsia"/>
          <w:sz w:val="24"/>
        </w:rPr>
        <w:t>~70%区间</w:t>
      </w:r>
      <w:r>
        <w:rPr>
          <w:sz w:val="24"/>
        </w:rPr>
        <w:t>覆盖面积</w:t>
      </w:r>
      <w:r>
        <w:rPr>
          <w:rFonts w:hint="eastAsia"/>
          <w:sz w:val="24"/>
        </w:rPr>
        <w:t>最小</w:t>
      </w:r>
      <w:r>
        <w:rPr>
          <w:sz w:val="24"/>
        </w:rPr>
        <w:t>，占比</w:t>
      </w:r>
      <w:r>
        <w:rPr>
          <w:rFonts w:hint="eastAsia"/>
          <w:sz w:val="24"/>
        </w:rPr>
        <w:t>24.98</w:t>
      </w:r>
      <w:r>
        <w:rPr>
          <w:sz w:val="24"/>
        </w:rPr>
        <w:t>%。植被覆盖度空间分布见图4.3-</w:t>
      </w:r>
      <w:r>
        <w:rPr>
          <w:rFonts w:hint="eastAsia"/>
          <w:sz w:val="24"/>
        </w:rPr>
        <w:t>8</w:t>
      </w:r>
      <w:r>
        <w:rPr>
          <w:sz w:val="24"/>
        </w:rPr>
        <w:t>。根据植被覆盖图可知，工程沿线植被盖度在10%～90%之间，且相对集中于</w:t>
      </w:r>
      <w:r>
        <w:rPr>
          <w:rFonts w:hint="eastAsia"/>
          <w:sz w:val="24"/>
        </w:rPr>
        <w:t>6</w:t>
      </w:r>
      <w:r>
        <w:rPr>
          <w:sz w:val="24"/>
        </w:rPr>
        <w:t>0%～80%，这是因为管道沿线以农田</w:t>
      </w:r>
      <w:r>
        <w:rPr>
          <w:rFonts w:hint="eastAsia"/>
          <w:sz w:val="24"/>
        </w:rPr>
        <w:t>和林地</w:t>
      </w:r>
      <w:r>
        <w:rPr>
          <w:sz w:val="24"/>
        </w:rPr>
        <w:t>为主，农作物</w:t>
      </w:r>
      <w:r>
        <w:rPr>
          <w:rFonts w:hint="eastAsia"/>
          <w:sz w:val="24"/>
        </w:rPr>
        <w:t>和林木</w:t>
      </w:r>
      <w:r>
        <w:rPr>
          <w:sz w:val="24"/>
        </w:rPr>
        <w:t>生长状况良好。</w:t>
      </w:r>
    </w:p>
    <w:p w14:paraId="3D1EEEE4">
      <w:pPr>
        <w:spacing w:line="360" w:lineRule="auto"/>
        <w:jc w:val="center"/>
        <w:rPr>
          <w:color w:val="000000"/>
        </w:rPr>
      </w:pPr>
      <w:r>
        <w:rPr>
          <w:color w:val="000000"/>
        </w:rPr>
        <w:drawing>
          <wp:inline distT="0" distB="0" distL="114300" distR="114300">
            <wp:extent cx="4663440" cy="5367020"/>
            <wp:effectExtent l="9525" t="9525" r="13335" b="14605"/>
            <wp:docPr id="29" name="图片 29" descr="64272305157027e4c144639fbfb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64272305157027e4c144639fbfb0494"/>
                    <pic:cNvPicPr>
                      <a:picLocks noChangeAspect="1"/>
                    </pic:cNvPicPr>
                  </pic:nvPicPr>
                  <pic:blipFill>
                    <a:blip r:embed="rId74"/>
                    <a:stretch>
                      <a:fillRect/>
                    </a:stretch>
                  </pic:blipFill>
                  <pic:spPr>
                    <a:xfrm>
                      <a:off x="0" y="0"/>
                      <a:ext cx="4663440" cy="5367020"/>
                    </a:xfrm>
                    <a:prstGeom prst="rect">
                      <a:avLst/>
                    </a:prstGeom>
                    <a:ln>
                      <a:solidFill>
                        <a:schemeClr val="tx1"/>
                      </a:solidFill>
                    </a:ln>
                  </pic:spPr>
                </pic:pic>
              </a:graphicData>
            </a:graphic>
          </wp:inline>
        </w:drawing>
      </w:r>
    </w:p>
    <w:p w14:paraId="4B009BA9">
      <w:pPr>
        <w:pStyle w:val="234"/>
        <w:ind w:firstLine="0" w:firstLineChars="0"/>
        <w:jc w:val="center"/>
        <w:rPr>
          <w:rFonts w:eastAsia="黑体"/>
          <w:sz w:val="22"/>
          <w:szCs w:val="22"/>
        </w:rPr>
      </w:pPr>
      <w:r>
        <w:rPr>
          <w:rFonts w:hint="eastAsia" w:eastAsia="黑体"/>
          <w:sz w:val="22"/>
          <w:szCs w:val="22"/>
        </w:rPr>
        <w:t>4.3-9</w:t>
      </w:r>
      <w:r>
        <w:rPr>
          <w:rFonts w:eastAsia="黑体"/>
          <w:sz w:val="22"/>
          <w:szCs w:val="22"/>
        </w:rPr>
        <w:t xml:space="preserve">  植被覆盖度空间分布图</w:t>
      </w:r>
    </w:p>
    <w:p w14:paraId="68530889">
      <w:pPr>
        <w:pStyle w:val="5"/>
        <w:rPr>
          <w:b/>
          <w:bCs/>
          <w:color w:val="auto"/>
        </w:rPr>
      </w:pPr>
      <w:r>
        <w:rPr>
          <w:rFonts w:hint="eastAsia"/>
          <w:color w:val="auto"/>
        </w:rPr>
        <w:t>野生动物</w:t>
      </w:r>
      <w:r>
        <w:rPr>
          <w:color w:val="auto"/>
        </w:rPr>
        <w:t>现状调查与评价</w:t>
      </w:r>
    </w:p>
    <w:p w14:paraId="6D52A5EE">
      <w:pPr>
        <w:pStyle w:val="234"/>
        <w:ind w:firstLine="482"/>
        <w:rPr>
          <w:b/>
          <w:bCs/>
        </w:rPr>
      </w:pPr>
      <w:r>
        <w:rPr>
          <w:b/>
          <w:bCs/>
        </w:rPr>
        <w:t>（</w:t>
      </w:r>
      <w:r>
        <w:rPr>
          <w:rFonts w:hint="eastAsia"/>
          <w:b/>
          <w:bCs/>
        </w:rPr>
        <w:t>1</w:t>
      </w:r>
      <w:r>
        <w:rPr>
          <w:b/>
          <w:bCs/>
        </w:rPr>
        <w:t>）</w:t>
      </w:r>
      <w:r>
        <w:rPr>
          <w:rFonts w:hint="eastAsia"/>
          <w:b/>
          <w:bCs/>
        </w:rPr>
        <w:t>野生</w:t>
      </w:r>
      <w:r>
        <w:rPr>
          <w:b/>
          <w:bCs/>
        </w:rPr>
        <w:t>动物资源调查</w:t>
      </w:r>
    </w:p>
    <w:p w14:paraId="1CEB93E8">
      <w:pPr>
        <w:pStyle w:val="234"/>
      </w:pPr>
      <w:r>
        <w:rPr>
          <w:rFonts w:hint="eastAsia"/>
        </w:rPr>
        <w:t>根据《中国动物地理》（张荣祖，2011年）及《中国陆生野生动物生态地理区划研究》（何杰坤等，2018年），评价区动物区划属于东洋界—华中区—东部丘陵平原亚区—长江沿岸平原省—平原农田动物群。评价区陆生动物区系特征为广布种和东洋种占优势。</w:t>
      </w:r>
    </w:p>
    <w:p w14:paraId="4F9CBD52">
      <w:pPr>
        <w:pStyle w:val="234"/>
        <w:rPr>
          <w:color w:val="000000"/>
        </w:rPr>
      </w:pPr>
      <w:r>
        <w:rPr>
          <w:rFonts w:hint="eastAsia"/>
        </w:rPr>
        <w:t>根据实地调查及相关文献资料收集，项目区域野生动物主要有两栖类、爬行类、鸟类、兽类的常见种，无国家级、省级重点保护野生动物。</w:t>
      </w:r>
      <w:r>
        <w:rPr>
          <w:color w:val="000000"/>
        </w:rPr>
        <w:t>具体野生动物如下：</w:t>
      </w:r>
    </w:p>
    <w:p w14:paraId="471B253F">
      <w:pPr>
        <w:pStyle w:val="234"/>
      </w:pPr>
      <w:r>
        <w:t>①</w:t>
      </w:r>
      <w:r>
        <w:rPr>
          <w:rFonts w:hint="eastAsia"/>
        </w:rPr>
        <w:t>兽类</w:t>
      </w:r>
    </w:p>
    <w:p w14:paraId="46E55FD2">
      <w:pPr>
        <w:pStyle w:val="234"/>
        <w:rPr>
          <w:color w:val="000000"/>
        </w:rPr>
      </w:pPr>
      <w:r>
        <w:rPr>
          <w:rFonts w:hint="eastAsia"/>
          <w:color w:val="000000"/>
        </w:rPr>
        <w:t>根据野外调查及资料查阅分析显示，评价区共有野生兽类4目7科13种，其中以啮齿目数量最多，为3科 9种，占比69%。</w:t>
      </w:r>
    </w:p>
    <w:p w14:paraId="11B2A697">
      <w:pPr>
        <w:pStyle w:val="234"/>
        <w:rPr>
          <w:color w:val="000000"/>
        </w:rPr>
      </w:pPr>
      <w:r>
        <w:rPr>
          <w:rFonts w:hint="eastAsia"/>
          <w:color w:val="000000"/>
        </w:rPr>
        <w:t>评价区内较为常见的兽类物种主要为褐家鼠</w:t>
      </w:r>
      <w:r>
        <w:rPr>
          <w:rFonts w:hint="eastAsia"/>
          <w:i/>
          <w:iCs/>
          <w:color w:val="000000"/>
        </w:rPr>
        <w:t>Rattus norvegicus</w:t>
      </w:r>
      <w:r>
        <w:rPr>
          <w:rFonts w:hint="eastAsia"/>
          <w:color w:val="000000"/>
        </w:rPr>
        <w:t>、北社鼠</w:t>
      </w:r>
      <w:r>
        <w:rPr>
          <w:rFonts w:hint="eastAsia"/>
          <w:i/>
          <w:iCs/>
          <w:color w:val="000000"/>
        </w:rPr>
        <w:t>Niviventer confucianus</w:t>
      </w:r>
      <w:r>
        <w:rPr>
          <w:rFonts w:hint="eastAsia"/>
          <w:color w:val="000000"/>
        </w:rPr>
        <w:t>、小家鼠</w:t>
      </w:r>
      <w:r>
        <w:rPr>
          <w:rFonts w:hint="eastAsia"/>
          <w:i/>
          <w:iCs/>
          <w:color w:val="000000"/>
        </w:rPr>
        <w:t>Mus musculus</w:t>
      </w:r>
      <w:r>
        <w:rPr>
          <w:rFonts w:hint="eastAsia"/>
          <w:color w:val="000000"/>
        </w:rPr>
        <w:t>、黄胸鼠</w:t>
      </w:r>
      <w:r>
        <w:rPr>
          <w:rFonts w:hint="eastAsia"/>
          <w:i/>
          <w:iCs/>
          <w:color w:val="000000"/>
        </w:rPr>
        <w:t>Rattus tanezumi</w:t>
      </w:r>
      <w:r>
        <w:rPr>
          <w:rFonts w:hint="eastAsia"/>
          <w:color w:val="000000"/>
        </w:rPr>
        <w:t>、黑线姬鼠</w:t>
      </w:r>
      <w:r>
        <w:rPr>
          <w:rFonts w:hint="eastAsia"/>
          <w:i/>
          <w:iCs/>
          <w:color w:val="000000"/>
        </w:rPr>
        <w:t>Apodemus agrarius</w:t>
      </w:r>
      <w:r>
        <w:rPr>
          <w:rFonts w:hint="eastAsia"/>
          <w:color w:val="000000"/>
        </w:rPr>
        <w:t>、针毛鼠</w:t>
      </w:r>
      <w:r>
        <w:rPr>
          <w:rFonts w:hint="eastAsia"/>
          <w:i/>
          <w:iCs/>
          <w:color w:val="000000"/>
        </w:rPr>
        <w:t>Niviventer fulvescen</w:t>
      </w:r>
      <w:r>
        <w:rPr>
          <w:rFonts w:hint="eastAsia"/>
          <w:color w:val="000000"/>
        </w:rPr>
        <w:t>、黄毛鼠</w:t>
      </w:r>
      <w:r>
        <w:rPr>
          <w:rFonts w:hint="eastAsia"/>
          <w:i/>
          <w:iCs/>
          <w:color w:val="000000"/>
        </w:rPr>
        <w:t>Rattus losea</w:t>
      </w:r>
      <w:r>
        <w:rPr>
          <w:rFonts w:hint="eastAsia"/>
          <w:color w:val="000000"/>
        </w:rPr>
        <w:t>、东方田鼠</w:t>
      </w:r>
      <w:r>
        <w:rPr>
          <w:rFonts w:hint="eastAsia"/>
          <w:i/>
          <w:iCs/>
          <w:color w:val="000000"/>
        </w:rPr>
        <w:t>Alexandromys fortis</w:t>
      </w:r>
      <w:r>
        <w:rPr>
          <w:rFonts w:hint="eastAsia"/>
          <w:color w:val="000000"/>
        </w:rPr>
        <w:t xml:space="preserve"> 等小型啮齿兽类。</w:t>
      </w:r>
    </w:p>
    <w:p w14:paraId="1E43AF8A">
      <w:pPr>
        <w:pStyle w:val="234"/>
        <w:rPr>
          <w:color w:val="000000"/>
        </w:rPr>
      </w:pPr>
      <w:r>
        <w:t>②</w:t>
      </w:r>
      <w:r>
        <w:rPr>
          <w:rFonts w:hint="eastAsia"/>
          <w:color w:val="000000"/>
        </w:rPr>
        <w:t>鸟类</w:t>
      </w:r>
    </w:p>
    <w:p w14:paraId="01835B8D">
      <w:pPr>
        <w:pStyle w:val="234"/>
        <w:rPr>
          <w:color w:val="000000"/>
        </w:rPr>
      </w:pPr>
      <w:r>
        <w:rPr>
          <w:rFonts w:hint="eastAsia"/>
          <w:color w:val="000000"/>
        </w:rPr>
        <w:t>根据野外调查及资料查阅分析显示，评价区内约有鸟类动物17目 45科117 种。其中以雀形目为主，共计26 科59种，占比50%。</w:t>
      </w:r>
    </w:p>
    <w:p w14:paraId="67916365">
      <w:pPr>
        <w:pStyle w:val="234"/>
        <w:rPr>
          <w:color w:val="000000"/>
        </w:rPr>
      </w:pPr>
      <w:r>
        <w:rPr>
          <w:rFonts w:hint="eastAsia"/>
          <w:color w:val="000000"/>
        </w:rPr>
        <w:t>实地调查表明，评价区常见鸟类有白鹭</w:t>
      </w:r>
      <w:r>
        <w:rPr>
          <w:rFonts w:hint="eastAsia"/>
          <w:i/>
          <w:iCs/>
          <w:color w:val="000000"/>
        </w:rPr>
        <w:t>Egretta garzetta</w:t>
      </w:r>
      <w:r>
        <w:rPr>
          <w:rFonts w:hint="eastAsia"/>
          <w:color w:val="000000"/>
        </w:rPr>
        <w:t>、池鹭</w:t>
      </w:r>
      <w:r>
        <w:rPr>
          <w:rFonts w:hint="eastAsia"/>
          <w:i/>
          <w:iCs/>
          <w:color w:val="000000"/>
        </w:rPr>
        <w:t>Ardeola bacchus</w:t>
      </w:r>
      <w:r>
        <w:rPr>
          <w:rFonts w:hint="eastAsia"/>
          <w:color w:val="000000"/>
        </w:rPr>
        <w:t>、牛背鹭</w:t>
      </w:r>
      <w:r>
        <w:rPr>
          <w:rFonts w:hint="eastAsia"/>
          <w:i/>
          <w:iCs/>
          <w:color w:val="000000"/>
        </w:rPr>
        <w:t>Bubulcus coromandus</w:t>
      </w:r>
      <w:r>
        <w:rPr>
          <w:rFonts w:hint="eastAsia"/>
          <w:color w:val="000000"/>
        </w:rPr>
        <w:t>、珠颈斑鸠</w:t>
      </w:r>
      <w:r>
        <w:rPr>
          <w:rFonts w:hint="eastAsia"/>
          <w:i/>
          <w:iCs/>
          <w:color w:val="000000"/>
        </w:rPr>
        <w:t>Spilopelia chinensis</w:t>
      </w:r>
      <w:r>
        <w:rPr>
          <w:rFonts w:hint="eastAsia"/>
          <w:color w:val="000000"/>
        </w:rPr>
        <w:t>、灰翅浮鸥</w:t>
      </w:r>
      <w:r>
        <w:rPr>
          <w:rFonts w:hint="eastAsia"/>
          <w:i/>
          <w:iCs/>
          <w:color w:val="000000"/>
        </w:rPr>
        <w:t>Chlidonias hybrida</w:t>
      </w:r>
      <w:r>
        <w:rPr>
          <w:rFonts w:hint="eastAsia"/>
          <w:color w:val="000000"/>
        </w:rPr>
        <w:t>、棕背伯劳</w:t>
      </w:r>
      <w:r>
        <w:rPr>
          <w:rFonts w:hint="eastAsia"/>
          <w:i/>
          <w:iCs/>
          <w:color w:val="000000"/>
        </w:rPr>
        <w:t>Lanius schach</w:t>
      </w:r>
      <w:r>
        <w:rPr>
          <w:rFonts w:hint="eastAsia"/>
          <w:color w:val="000000"/>
        </w:rPr>
        <w:t>、白头鹎</w:t>
      </w:r>
      <w:r>
        <w:rPr>
          <w:rFonts w:hint="eastAsia"/>
          <w:i/>
          <w:iCs/>
          <w:color w:val="000000"/>
        </w:rPr>
        <w:t>Pycnonotus sinensis</w:t>
      </w:r>
      <w:r>
        <w:rPr>
          <w:rFonts w:hint="eastAsia"/>
          <w:color w:val="000000"/>
        </w:rPr>
        <w:t>、家燕Hirundo rustica、金腰燕</w:t>
      </w:r>
      <w:r>
        <w:rPr>
          <w:rFonts w:hint="eastAsia"/>
          <w:i/>
          <w:iCs/>
          <w:color w:val="000000"/>
        </w:rPr>
        <w:t>Cecropis daurica</w:t>
      </w:r>
      <w:r>
        <w:rPr>
          <w:rFonts w:hint="eastAsia"/>
          <w:color w:val="000000"/>
        </w:rPr>
        <w:t>、丝光椋鸟</w:t>
      </w:r>
      <w:r>
        <w:rPr>
          <w:rFonts w:hint="eastAsia"/>
          <w:i/>
          <w:iCs/>
          <w:color w:val="000000"/>
        </w:rPr>
        <w:t>Spodiopsar sericeus</w:t>
      </w:r>
      <w:r>
        <w:rPr>
          <w:rFonts w:hint="eastAsia"/>
          <w:color w:val="000000"/>
        </w:rPr>
        <w:t>、麻雀</w:t>
      </w:r>
      <w:r>
        <w:rPr>
          <w:rFonts w:hint="eastAsia"/>
          <w:i/>
          <w:iCs/>
          <w:color w:val="000000"/>
        </w:rPr>
        <w:t xml:space="preserve">Passer montanus </w:t>
      </w:r>
      <w:r>
        <w:rPr>
          <w:rFonts w:hint="eastAsia"/>
          <w:color w:val="000000"/>
        </w:rPr>
        <w:t>等。上述鸟类在直接影响区内广泛分布、活动，属优势物种。</w:t>
      </w:r>
    </w:p>
    <w:p w14:paraId="7F7F0A24">
      <w:pPr>
        <w:pStyle w:val="234"/>
        <w:rPr>
          <w:color w:val="000000"/>
        </w:rPr>
      </w:pPr>
      <w:r>
        <w:t>③</w:t>
      </w:r>
      <w:r>
        <w:rPr>
          <w:rFonts w:hint="eastAsia"/>
          <w:color w:val="000000"/>
        </w:rPr>
        <w:t>爬行类</w:t>
      </w:r>
    </w:p>
    <w:p w14:paraId="6C4096E4">
      <w:pPr>
        <w:pStyle w:val="234"/>
        <w:rPr>
          <w:color w:val="000000"/>
        </w:rPr>
      </w:pPr>
      <w:r>
        <w:rPr>
          <w:rFonts w:hint="eastAsia"/>
          <w:color w:val="000000"/>
        </w:rPr>
        <w:t>根据野外调查及资料查阅，评价区内共记录爬行动物1目4科11种，其中游蛇科7种，占比64%。</w:t>
      </w:r>
    </w:p>
    <w:p w14:paraId="00377010">
      <w:pPr>
        <w:pStyle w:val="234"/>
        <w:rPr>
          <w:color w:val="000000"/>
        </w:rPr>
      </w:pPr>
      <w:r>
        <w:rPr>
          <w:rFonts w:hint="eastAsia"/>
          <w:color w:val="000000"/>
        </w:rPr>
        <w:t>评价范围内常见种有粗疣壁虎</w:t>
      </w:r>
      <w:r>
        <w:rPr>
          <w:rFonts w:hint="eastAsia"/>
          <w:i/>
          <w:iCs/>
          <w:color w:val="000000"/>
        </w:rPr>
        <w:t>Gekko scabridus</w:t>
      </w:r>
      <w:r>
        <w:rPr>
          <w:rFonts w:hint="eastAsia"/>
          <w:color w:val="000000"/>
        </w:rPr>
        <w:t>、北草蜥</w:t>
      </w:r>
      <w:r>
        <w:rPr>
          <w:rFonts w:hint="eastAsia"/>
          <w:i/>
          <w:iCs/>
          <w:color w:val="000000"/>
        </w:rPr>
        <w:t>Takydromus septentrionalis</w:t>
      </w:r>
      <w:r>
        <w:rPr>
          <w:rFonts w:hint="eastAsia"/>
          <w:color w:val="000000"/>
        </w:rPr>
        <w:t>、铜蜓蜥</w:t>
      </w:r>
      <w:r>
        <w:rPr>
          <w:rFonts w:hint="eastAsia"/>
          <w:i/>
          <w:iCs/>
          <w:color w:val="000000"/>
        </w:rPr>
        <w:t>Sphenomorphus indicus</w:t>
      </w:r>
      <w:r>
        <w:rPr>
          <w:rFonts w:hint="eastAsia"/>
          <w:color w:val="000000"/>
        </w:rPr>
        <w:t>、赤链蛇</w:t>
      </w:r>
      <w:r>
        <w:rPr>
          <w:rFonts w:hint="eastAsia"/>
          <w:i/>
          <w:iCs/>
          <w:color w:val="000000"/>
        </w:rPr>
        <w:t>Lycodon rufozonatus</w:t>
      </w:r>
      <w:r>
        <w:rPr>
          <w:rFonts w:hint="eastAsia"/>
          <w:color w:val="000000"/>
        </w:rPr>
        <w:t>等。其中，蛇类主要捕食鼠类，无论是在维持生态系统稳定，还是对农业生产均发挥着重要生态功能，应加强保护。</w:t>
      </w:r>
    </w:p>
    <w:p w14:paraId="22376F5F">
      <w:pPr>
        <w:pStyle w:val="234"/>
        <w:rPr>
          <w:color w:val="000000"/>
        </w:rPr>
      </w:pPr>
      <w:r>
        <w:rPr>
          <w:rFonts w:hint="eastAsia"/>
        </w:rPr>
        <w:t>④</w:t>
      </w:r>
      <w:r>
        <w:rPr>
          <w:rFonts w:hint="eastAsia"/>
          <w:color w:val="000000"/>
        </w:rPr>
        <w:t>两栖类</w:t>
      </w:r>
    </w:p>
    <w:p w14:paraId="5ECA2BCF">
      <w:pPr>
        <w:pStyle w:val="234"/>
        <w:rPr>
          <w:color w:val="000000"/>
        </w:rPr>
      </w:pPr>
      <w:r>
        <w:rPr>
          <w:rFonts w:hint="eastAsia"/>
          <w:color w:val="000000"/>
        </w:rPr>
        <w:t>根据野外调查及资料查阅显示，评价区内两栖类动物种类和数量较少，有两栖类动物 1目4科7种，其中蛙科3种，姬蛙科2种，蟾蜍科和树蛙科各1种。</w:t>
      </w:r>
    </w:p>
    <w:p w14:paraId="1DD6649A">
      <w:pPr>
        <w:pStyle w:val="234"/>
        <w:rPr>
          <w:color w:val="000000"/>
        </w:rPr>
      </w:pPr>
      <w:r>
        <w:rPr>
          <w:rFonts w:hint="eastAsia"/>
          <w:color w:val="000000"/>
        </w:rPr>
        <w:t xml:space="preserve">两栖类作为伴水生活的动物其主要的分布区域是水塘、水田、沟渠及周边草丛、石块下和池塘内，项目区以中华蟾蜍 </w:t>
      </w:r>
      <w:r>
        <w:rPr>
          <w:rFonts w:hint="eastAsia"/>
          <w:i/>
          <w:iCs/>
          <w:color w:val="000000"/>
        </w:rPr>
        <w:t>Bufo gargarizans</w:t>
      </w:r>
      <w:r>
        <w:rPr>
          <w:rFonts w:hint="eastAsia"/>
          <w:color w:val="000000"/>
        </w:rPr>
        <w:t xml:space="preserve">、沼蛙 </w:t>
      </w:r>
      <w:r>
        <w:rPr>
          <w:rFonts w:hint="eastAsia"/>
          <w:i/>
          <w:iCs/>
          <w:color w:val="000000"/>
        </w:rPr>
        <w:t>Boulengerana guentheri</w:t>
      </w:r>
      <w:r>
        <w:rPr>
          <w:rFonts w:hint="eastAsia"/>
          <w:color w:val="000000"/>
        </w:rPr>
        <w:t xml:space="preserve">、泽陆蛙 </w:t>
      </w:r>
      <w:r>
        <w:rPr>
          <w:rFonts w:hint="eastAsia"/>
          <w:i/>
          <w:iCs/>
          <w:color w:val="000000"/>
        </w:rPr>
        <w:t>Fejervarya multistriata</w:t>
      </w:r>
      <w:r>
        <w:rPr>
          <w:rFonts w:hint="eastAsia"/>
          <w:color w:val="000000"/>
        </w:rPr>
        <w:t xml:space="preserve">、黑斑侧褶蛙 </w:t>
      </w:r>
      <w:r>
        <w:rPr>
          <w:rFonts w:hint="eastAsia"/>
          <w:i/>
          <w:iCs/>
          <w:color w:val="000000"/>
        </w:rPr>
        <w:t>Pelophylax nigromaculatus</w:t>
      </w:r>
      <w:r>
        <w:rPr>
          <w:rFonts w:hint="eastAsia"/>
          <w:color w:val="000000"/>
        </w:rPr>
        <w:t xml:space="preserve"> 较为常见。</w:t>
      </w:r>
    </w:p>
    <w:p w14:paraId="1286C7DD">
      <w:pPr>
        <w:pStyle w:val="234"/>
        <w:ind w:firstLine="482"/>
        <w:rPr>
          <w:b/>
          <w:bCs/>
          <w:i/>
          <w:iCs/>
          <w:color w:val="auto"/>
          <w:u w:val="single"/>
        </w:rPr>
      </w:pPr>
      <w:r>
        <w:rPr>
          <w:rFonts w:hint="eastAsia"/>
          <w:b/>
          <w:bCs/>
          <w:i/>
          <w:iCs/>
          <w:color w:val="auto"/>
          <w:u w:val="single"/>
        </w:rPr>
        <w:t>（2）现场调查</w:t>
      </w:r>
    </w:p>
    <w:p w14:paraId="103A1353">
      <w:pPr>
        <w:pStyle w:val="234"/>
        <w:spacing w:before="120" w:beforeLines="50"/>
        <w:rPr>
          <w:i/>
          <w:iCs/>
          <w:color w:val="auto"/>
          <w:u w:val="single"/>
        </w:rPr>
      </w:pPr>
      <w:r>
        <w:rPr>
          <w:i/>
          <w:iCs/>
          <w:color w:val="auto"/>
          <w:u w:val="single"/>
        </w:rPr>
        <w:t>根据</w:t>
      </w:r>
      <w:r>
        <w:rPr>
          <w:rFonts w:hint="eastAsia"/>
          <w:i/>
          <w:iCs/>
          <w:color w:val="auto"/>
          <w:u w:val="single"/>
        </w:rPr>
        <w:t>现场踏勘调查</w:t>
      </w:r>
      <w:r>
        <w:rPr>
          <w:i/>
          <w:iCs/>
          <w:color w:val="auto"/>
          <w:u w:val="single"/>
        </w:rPr>
        <w:t>，调查期间，项目生态调查区域常见动物种类有：麻雀、家燕、小家鼠等，未发现珍稀野生动物</w:t>
      </w:r>
      <w:r>
        <w:rPr>
          <w:rFonts w:hint="eastAsia"/>
          <w:i/>
          <w:iCs/>
          <w:color w:val="auto"/>
          <w:u w:val="single"/>
        </w:rPr>
        <w:t>。</w:t>
      </w:r>
    </w:p>
    <w:p w14:paraId="19A3AADE">
      <w:pPr>
        <w:pStyle w:val="5"/>
        <w:rPr>
          <w:color w:val="auto"/>
        </w:rPr>
      </w:pPr>
      <w:r>
        <w:rPr>
          <w:rFonts w:hint="eastAsia"/>
          <w:color w:val="auto"/>
        </w:rPr>
        <w:t>水土流失</w:t>
      </w:r>
      <w:r>
        <w:rPr>
          <w:color w:val="auto"/>
        </w:rPr>
        <w:t>现状</w:t>
      </w:r>
      <w:r>
        <w:rPr>
          <w:rFonts w:hint="eastAsia"/>
          <w:color w:val="auto"/>
        </w:rPr>
        <w:t>调查</w:t>
      </w:r>
    </w:p>
    <w:p w14:paraId="2A769854">
      <w:pPr>
        <w:adjustRightInd w:val="0"/>
        <w:spacing w:line="360" w:lineRule="auto"/>
        <w:ind w:firstLine="480" w:firstLineChars="200"/>
        <w:textAlignment w:val="baseline"/>
        <w:rPr>
          <w:color w:val="FF0000"/>
          <w:sz w:val="24"/>
        </w:rPr>
      </w:pPr>
      <w:r>
        <w:rPr>
          <w:rFonts w:hint="eastAsia"/>
          <w:sz w:val="24"/>
        </w:rPr>
        <w:t>根据《衡阳市水土保持规划（2016~2035年）》及现场勘察和调查结果，项目所在区属于以水力侵蚀为主的南方红壤丘陵区，水土流失类型主要是水力侵蚀，以大气降水产生的地表径流对土壤及其母质进行剥蚀、搬运和沉积为主，土壤颗粒被水流冲刷的同时，土壤中的有机质和矿物营养元素也随之流失，部分低山丘陵区存在着滑坡、崩塌、泥石流等重力侵蚀。耒阳市土壤侵蚀现状见表4.3-11</w:t>
      </w:r>
      <w:r>
        <w:rPr>
          <w:sz w:val="24"/>
        </w:rPr>
        <w:t>。</w:t>
      </w:r>
    </w:p>
    <w:p w14:paraId="6E6B5B66">
      <w:pPr>
        <w:pStyle w:val="3077"/>
        <w:spacing w:line="276" w:lineRule="auto"/>
        <w:rPr>
          <w:rFonts w:eastAsia="黑体"/>
          <w:snapToGrid w:val="0"/>
          <w:sz w:val="24"/>
        </w:rPr>
      </w:pPr>
      <w:r>
        <w:rPr>
          <w:rFonts w:hint="eastAsia" w:eastAsia="黑体"/>
          <w:snapToGrid w:val="0"/>
          <w:sz w:val="24"/>
        </w:rPr>
        <w:t>表4.3-11  生态调查区土壤侵蚀现状表</w:t>
      </w:r>
    </w:p>
    <w:tbl>
      <w:tblPr>
        <w:tblStyle w:val="88"/>
        <w:tblW w:w="499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973"/>
        <w:gridCol w:w="1062"/>
        <w:gridCol w:w="1052"/>
        <w:gridCol w:w="1174"/>
        <w:gridCol w:w="1065"/>
        <w:gridCol w:w="1065"/>
        <w:gridCol w:w="968"/>
        <w:gridCol w:w="1236"/>
        <w:gridCol w:w="990"/>
      </w:tblGrid>
      <w:tr w14:paraId="4B072E1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2033" w:type="dxa"/>
            <w:gridSpan w:val="2"/>
            <w:vAlign w:val="center"/>
          </w:tcPr>
          <w:p w14:paraId="3AAD8BAD">
            <w:pPr>
              <w:pStyle w:val="3081"/>
              <w:spacing w:line="240" w:lineRule="auto"/>
              <w:ind w:left="0" w:firstLine="0"/>
              <w:jc w:val="center"/>
              <w:rPr>
                <w:szCs w:val="21"/>
              </w:rPr>
            </w:pPr>
            <w:r>
              <w:rPr>
                <w:rFonts w:hint="eastAsia"/>
                <w:szCs w:val="21"/>
              </w:rPr>
              <w:t>行政区</w:t>
            </w:r>
          </w:p>
        </w:tc>
        <w:tc>
          <w:tcPr>
            <w:tcW w:w="1052" w:type="dxa"/>
            <w:vAlign w:val="center"/>
          </w:tcPr>
          <w:p w14:paraId="5DD3E506">
            <w:pPr>
              <w:pStyle w:val="3081"/>
              <w:spacing w:line="240" w:lineRule="auto"/>
              <w:ind w:left="0" w:firstLine="0"/>
              <w:jc w:val="center"/>
              <w:rPr>
                <w:szCs w:val="21"/>
              </w:rPr>
            </w:pPr>
            <w:r>
              <w:rPr>
                <w:rFonts w:hint="eastAsia"/>
                <w:szCs w:val="21"/>
              </w:rPr>
              <w:t>土地总面积</w:t>
            </w:r>
          </w:p>
        </w:tc>
        <w:tc>
          <w:tcPr>
            <w:tcW w:w="1175" w:type="dxa"/>
            <w:vAlign w:val="center"/>
          </w:tcPr>
          <w:p w14:paraId="654AE4D2">
            <w:pPr>
              <w:pStyle w:val="3081"/>
              <w:spacing w:line="240" w:lineRule="auto"/>
              <w:ind w:left="0" w:firstLine="0"/>
              <w:jc w:val="center"/>
              <w:rPr>
                <w:szCs w:val="21"/>
              </w:rPr>
            </w:pPr>
            <w:r>
              <w:rPr>
                <w:rFonts w:hint="eastAsia"/>
                <w:szCs w:val="21"/>
              </w:rPr>
              <w:t>无明显流失面积</w:t>
            </w:r>
          </w:p>
        </w:tc>
        <w:tc>
          <w:tcPr>
            <w:tcW w:w="1065" w:type="dxa"/>
            <w:vAlign w:val="center"/>
          </w:tcPr>
          <w:p w14:paraId="4230AB86">
            <w:pPr>
              <w:pStyle w:val="3081"/>
              <w:spacing w:line="240" w:lineRule="auto"/>
              <w:ind w:left="0" w:firstLine="0"/>
              <w:jc w:val="center"/>
              <w:rPr>
                <w:szCs w:val="21"/>
              </w:rPr>
            </w:pPr>
            <w:r>
              <w:rPr>
                <w:rFonts w:hint="eastAsia"/>
                <w:szCs w:val="21"/>
              </w:rPr>
              <w:t>轻度流失面积</w:t>
            </w:r>
          </w:p>
        </w:tc>
        <w:tc>
          <w:tcPr>
            <w:tcW w:w="1065" w:type="dxa"/>
            <w:vAlign w:val="center"/>
          </w:tcPr>
          <w:p w14:paraId="08F7FD4E">
            <w:pPr>
              <w:pStyle w:val="3081"/>
              <w:spacing w:line="240" w:lineRule="auto"/>
              <w:ind w:left="0" w:firstLine="0"/>
              <w:jc w:val="center"/>
              <w:rPr>
                <w:szCs w:val="21"/>
              </w:rPr>
            </w:pPr>
            <w:r>
              <w:rPr>
                <w:rFonts w:hint="eastAsia"/>
                <w:szCs w:val="21"/>
              </w:rPr>
              <w:t>中度流失面积</w:t>
            </w:r>
          </w:p>
        </w:tc>
        <w:tc>
          <w:tcPr>
            <w:tcW w:w="968" w:type="dxa"/>
            <w:vAlign w:val="center"/>
          </w:tcPr>
          <w:p w14:paraId="3AEB3510">
            <w:pPr>
              <w:pStyle w:val="3081"/>
              <w:spacing w:line="240" w:lineRule="auto"/>
              <w:ind w:left="0" w:firstLine="0"/>
              <w:jc w:val="center"/>
              <w:rPr>
                <w:szCs w:val="21"/>
              </w:rPr>
            </w:pPr>
            <w:r>
              <w:rPr>
                <w:rFonts w:hint="eastAsia"/>
                <w:szCs w:val="21"/>
              </w:rPr>
              <w:t>强烈流失面积</w:t>
            </w:r>
          </w:p>
        </w:tc>
        <w:tc>
          <w:tcPr>
            <w:tcW w:w="1237" w:type="dxa"/>
            <w:vAlign w:val="center"/>
          </w:tcPr>
          <w:p w14:paraId="0B7EB15F">
            <w:pPr>
              <w:pStyle w:val="3081"/>
              <w:spacing w:line="240" w:lineRule="auto"/>
              <w:ind w:left="0" w:firstLine="0"/>
              <w:jc w:val="center"/>
              <w:rPr>
                <w:szCs w:val="21"/>
              </w:rPr>
            </w:pPr>
            <w:r>
              <w:rPr>
                <w:rFonts w:hint="eastAsia"/>
                <w:szCs w:val="21"/>
              </w:rPr>
              <w:t>极强烈流失面积</w:t>
            </w:r>
          </w:p>
        </w:tc>
        <w:tc>
          <w:tcPr>
            <w:tcW w:w="990" w:type="dxa"/>
            <w:vAlign w:val="center"/>
          </w:tcPr>
          <w:p w14:paraId="7637F189">
            <w:pPr>
              <w:pStyle w:val="3081"/>
              <w:spacing w:line="240" w:lineRule="auto"/>
              <w:ind w:left="0" w:firstLine="0"/>
              <w:jc w:val="center"/>
              <w:rPr>
                <w:szCs w:val="21"/>
              </w:rPr>
            </w:pPr>
            <w:r>
              <w:rPr>
                <w:rFonts w:hint="eastAsia"/>
                <w:szCs w:val="21"/>
              </w:rPr>
              <w:t>剧烈流失面积</w:t>
            </w:r>
          </w:p>
        </w:tc>
      </w:tr>
      <w:tr w14:paraId="22FCFCB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71" w:type="dxa"/>
            <w:vMerge w:val="restart"/>
            <w:vAlign w:val="center"/>
          </w:tcPr>
          <w:p w14:paraId="66858BB7">
            <w:pPr>
              <w:widowControl/>
              <w:jc w:val="center"/>
              <w:rPr>
                <w:szCs w:val="21"/>
              </w:rPr>
            </w:pPr>
            <w:r>
              <w:rPr>
                <w:rFonts w:hint="eastAsia"/>
                <w:szCs w:val="21"/>
              </w:rPr>
              <w:t>耒阳市</w:t>
            </w:r>
          </w:p>
        </w:tc>
        <w:tc>
          <w:tcPr>
            <w:tcW w:w="1062" w:type="dxa"/>
            <w:vAlign w:val="center"/>
          </w:tcPr>
          <w:p w14:paraId="3428606E">
            <w:pPr>
              <w:widowControl/>
              <w:jc w:val="center"/>
              <w:rPr>
                <w:sz w:val="22"/>
              </w:rPr>
            </w:pPr>
            <w:r>
              <w:rPr>
                <w:rFonts w:hint="eastAsia"/>
                <w:sz w:val="22"/>
              </w:rPr>
              <w:t>面积</w:t>
            </w:r>
            <w:r>
              <w:rPr>
                <w:rFonts w:hint="eastAsia"/>
                <w:szCs w:val="21"/>
              </w:rPr>
              <w:t>(km</w:t>
            </w:r>
            <w:r>
              <w:rPr>
                <w:rFonts w:hint="eastAsia"/>
                <w:szCs w:val="21"/>
                <w:vertAlign w:val="superscript"/>
              </w:rPr>
              <w:t>2</w:t>
            </w:r>
            <w:r>
              <w:rPr>
                <w:rFonts w:hint="eastAsia"/>
                <w:szCs w:val="21"/>
              </w:rPr>
              <w:t>)</w:t>
            </w:r>
          </w:p>
        </w:tc>
        <w:tc>
          <w:tcPr>
            <w:tcW w:w="1052" w:type="dxa"/>
            <w:vAlign w:val="center"/>
          </w:tcPr>
          <w:p w14:paraId="2A9EEC37">
            <w:pPr>
              <w:widowControl/>
              <w:jc w:val="center"/>
              <w:rPr>
                <w:sz w:val="22"/>
              </w:rPr>
            </w:pPr>
            <w:r>
              <w:rPr>
                <w:rFonts w:hint="eastAsia"/>
                <w:sz w:val="22"/>
              </w:rPr>
              <w:t>2648.25</w:t>
            </w:r>
          </w:p>
        </w:tc>
        <w:tc>
          <w:tcPr>
            <w:tcW w:w="1175" w:type="dxa"/>
            <w:vAlign w:val="center"/>
          </w:tcPr>
          <w:p w14:paraId="11DDF285">
            <w:pPr>
              <w:widowControl/>
              <w:jc w:val="center"/>
              <w:rPr>
                <w:sz w:val="22"/>
              </w:rPr>
            </w:pPr>
            <w:r>
              <w:rPr>
                <w:rFonts w:hint="eastAsia"/>
                <w:sz w:val="22"/>
              </w:rPr>
              <w:t>2008.28</w:t>
            </w:r>
          </w:p>
        </w:tc>
        <w:tc>
          <w:tcPr>
            <w:tcW w:w="1065" w:type="dxa"/>
            <w:vAlign w:val="center"/>
          </w:tcPr>
          <w:p w14:paraId="48FAC0E7">
            <w:pPr>
              <w:widowControl/>
              <w:jc w:val="center"/>
              <w:rPr>
                <w:sz w:val="22"/>
              </w:rPr>
            </w:pPr>
            <w:r>
              <w:rPr>
                <w:rFonts w:hint="eastAsia"/>
                <w:sz w:val="22"/>
              </w:rPr>
              <w:t>513.96</w:t>
            </w:r>
          </w:p>
        </w:tc>
        <w:tc>
          <w:tcPr>
            <w:tcW w:w="1065" w:type="dxa"/>
            <w:vAlign w:val="center"/>
          </w:tcPr>
          <w:p w14:paraId="4644AC88">
            <w:pPr>
              <w:widowControl/>
              <w:jc w:val="center"/>
              <w:rPr>
                <w:sz w:val="22"/>
              </w:rPr>
            </w:pPr>
            <w:r>
              <w:rPr>
                <w:rFonts w:hint="eastAsia"/>
                <w:sz w:val="22"/>
              </w:rPr>
              <w:t>91.85</w:t>
            </w:r>
          </w:p>
        </w:tc>
        <w:tc>
          <w:tcPr>
            <w:tcW w:w="968" w:type="dxa"/>
            <w:vAlign w:val="center"/>
          </w:tcPr>
          <w:p w14:paraId="7C36A2C6">
            <w:pPr>
              <w:widowControl/>
              <w:jc w:val="center"/>
              <w:rPr>
                <w:sz w:val="22"/>
              </w:rPr>
            </w:pPr>
            <w:r>
              <w:rPr>
                <w:rFonts w:hint="eastAsia"/>
                <w:sz w:val="22"/>
              </w:rPr>
              <w:t>21.85</w:t>
            </w:r>
          </w:p>
        </w:tc>
        <w:tc>
          <w:tcPr>
            <w:tcW w:w="1237" w:type="dxa"/>
            <w:vAlign w:val="center"/>
          </w:tcPr>
          <w:p w14:paraId="67F55E5B">
            <w:pPr>
              <w:widowControl/>
              <w:jc w:val="center"/>
              <w:rPr>
                <w:sz w:val="22"/>
              </w:rPr>
            </w:pPr>
            <w:r>
              <w:rPr>
                <w:rFonts w:hint="eastAsia"/>
                <w:sz w:val="22"/>
              </w:rPr>
              <w:t>11.12</w:t>
            </w:r>
          </w:p>
        </w:tc>
        <w:tc>
          <w:tcPr>
            <w:tcW w:w="990" w:type="dxa"/>
            <w:vAlign w:val="center"/>
          </w:tcPr>
          <w:p w14:paraId="5C949616">
            <w:pPr>
              <w:widowControl/>
              <w:jc w:val="center"/>
              <w:rPr>
                <w:sz w:val="22"/>
              </w:rPr>
            </w:pPr>
            <w:r>
              <w:rPr>
                <w:rFonts w:hint="eastAsia"/>
                <w:sz w:val="22"/>
              </w:rPr>
              <w:t>1.19</w:t>
            </w:r>
          </w:p>
        </w:tc>
      </w:tr>
      <w:tr w14:paraId="44B324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971" w:type="dxa"/>
            <w:vMerge w:val="continue"/>
            <w:vAlign w:val="center"/>
          </w:tcPr>
          <w:p w14:paraId="36D209B4">
            <w:pPr>
              <w:jc w:val="center"/>
              <w:rPr>
                <w:szCs w:val="21"/>
              </w:rPr>
            </w:pPr>
          </w:p>
        </w:tc>
        <w:tc>
          <w:tcPr>
            <w:tcW w:w="1062" w:type="dxa"/>
            <w:vAlign w:val="center"/>
          </w:tcPr>
          <w:p w14:paraId="54C3032A">
            <w:pPr>
              <w:jc w:val="center"/>
              <w:rPr>
                <w:sz w:val="22"/>
              </w:rPr>
            </w:pPr>
            <w:r>
              <w:rPr>
                <w:rFonts w:hint="eastAsia"/>
                <w:sz w:val="22"/>
              </w:rPr>
              <w:t>占比（%）</w:t>
            </w:r>
          </w:p>
        </w:tc>
        <w:tc>
          <w:tcPr>
            <w:tcW w:w="1052" w:type="dxa"/>
            <w:vAlign w:val="center"/>
          </w:tcPr>
          <w:p w14:paraId="30A24CD5">
            <w:pPr>
              <w:jc w:val="center"/>
              <w:rPr>
                <w:sz w:val="22"/>
              </w:rPr>
            </w:pPr>
            <w:r>
              <w:rPr>
                <w:rFonts w:hint="eastAsia"/>
                <w:sz w:val="22"/>
              </w:rPr>
              <w:t>100</w:t>
            </w:r>
          </w:p>
        </w:tc>
        <w:tc>
          <w:tcPr>
            <w:tcW w:w="1175" w:type="dxa"/>
            <w:vAlign w:val="center"/>
          </w:tcPr>
          <w:p w14:paraId="5254B8F8">
            <w:pPr>
              <w:jc w:val="center"/>
              <w:rPr>
                <w:sz w:val="22"/>
              </w:rPr>
            </w:pPr>
            <w:r>
              <w:rPr>
                <w:rFonts w:hint="eastAsia"/>
                <w:sz w:val="22"/>
              </w:rPr>
              <w:t>75.83</w:t>
            </w:r>
          </w:p>
        </w:tc>
        <w:tc>
          <w:tcPr>
            <w:tcW w:w="1065" w:type="dxa"/>
            <w:vAlign w:val="center"/>
          </w:tcPr>
          <w:p w14:paraId="32AE9C0F">
            <w:pPr>
              <w:jc w:val="center"/>
              <w:rPr>
                <w:sz w:val="22"/>
              </w:rPr>
            </w:pPr>
            <w:r>
              <w:rPr>
                <w:rFonts w:hint="eastAsia"/>
                <w:sz w:val="22"/>
              </w:rPr>
              <w:t>19.41</w:t>
            </w:r>
          </w:p>
        </w:tc>
        <w:tc>
          <w:tcPr>
            <w:tcW w:w="1065" w:type="dxa"/>
            <w:vAlign w:val="center"/>
          </w:tcPr>
          <w:p w14:paraId="0B43B1F9">
            <w:pPr>
              <w:jc w:val="center"/>
              <w:rPr>
                <w:sz w:val="22"/>
              </w:rPr>
            </w:pPr>
            <w:r>
              <w:rPr>
                <w:rFonts w:hint="eastAsia"/>
                <w:sz w:val="22"/>
              </w:rPr>
              <w:t>3.47</w:t>
            </w:r>
          </w:p>
        </w:tc>
        <w:tc>
          <w:tcPr>
            <w:tcW w:w="968" w:type="dxa"/>
            <w:vAlign w:val="center"/>
          </w:tcPr>
          <w:p w14:paraId="2C214251">
            <w:pPr>
              <w:jc w:val="center"/>
              <w:rPr>
                <w:sz w:val="22"/>
              </w:rPr>
            </w:pPr>
            <w:r>
              <w:rPr>
                <w:rFonts w:hint="eastAsia"/>
                <w:sz w:val="22"/>
              </w:rPr>
              <w:t>0.83</w:t>
            </w:r>
          </w:p>
        </w:tc>
        <w:tc>
          <w:tcPr>
            <w:tcW w:w="1237" w:type="dxa"/>
            <w:vAlign w:val="center"/>
          </w:tcPr>
          <w:p w14:paraId="08195A68">
            <w:pPr>
              <w:jc w:val="center"/>
              <w:rPr>
                <w:sz w:val="22"/>
              </w:rPr>
            </w:pPr>
            <w:r>
              <w:rPr>
                <w:rFonts w:hint="eastAsia"/>
                <w:sz w:val="22"/>
              </w:rPr>
              <w:t>0.42</w:t>
            </w:r>
          </w:p>
        </w:tc>
        <w:tc>
          <w:tcPr>
            <w:tcW w:w="990" w:type="dxa"/>
            <w:vAlign w:val="center"/>
          </w:tcPr>
          <w:p w14:paraId="5E34ACCB">
            <w:pPr>
              <w:jc w:val="center"/>
              <w:rPr>
                <w:sz w:val="22"/>
              </w:rPr>
            </w:pPr>
            <w:r>
              <w:rPr>
                <w:rFonts w:hint="eastAsia"/>
                <w:sz w:val="22"/>
              </w:rPr>
              <w:t>0.04</w:t>
            </w:r>
          </w:p>
        </w:tc>
      </w:tr>
    </w:tbl>
    <w:p w14:paraId="1213E532">
      <w:pPr>
        <w:pStyle w:val="234"/>
        <w:spacing w:before="120" w:beforeLines="50"/>
        <w:jc w:val="left"/>
      </w:pPr>
      <w:r>
        <w:rPr>
          <w:rFonts w:hint="eastAsia"/>
        </w:rPr>
        <w:t>项目区水土流失以轻度~中度为主，根据《衡阳市水土保持规划（2016~2035年）》，耒阳市土壤侵蚀模数为367.18t/</w:t>
      </w:r>
      <w:r>
        <w:t>（</w:t>
      </w:r>
      <w:r>
        <w:rPr>
          <w:rFonts w:hint="eastAsia"/>
        </w:rPr>
        <w:t>km</w:t>
      </w:r>
      <w:r>
        <w:rPr>
          <w:rFonts w:hint="eastAsia"/>
          <w:vertAlign w:val="superscript"/>
        </w:rPr>
        <w:t>2</w:t>
      </w:r>
      <w:r>
        <w:t>·</w:t>
      </w:r>
      <w:r>
        <w:rPr>
          <w:rFonts w:hint="eastAsia"/>
        </w:rPr>
        <w:t>a</w:t>
      </w:r>
      <w:r>
        <w:t>）</w:t>
      </w:r>
      <w:r>
        <w:rPr>
          <w:rFonts w:hint="eastAsia"/>
        </w:rPr>
        <w:t>，</w:t>
      </w:r>
      <w:r>
        <w:t>依据《土壤侵蚀分类分级标准》（SL190-2007），本工程沿线容许土壤流失量为</w:t>
      </w:r>
      <w:r>
        <w:rPr>
          <w:rFonts w:hint="eastAsia"/>
        </w:rPr>
        <w:t>5</w:t>
      </w:r>
      <w:r>
        <w:t>00t/（km</w:t>
      </w:r>
      <w:r>
        <w:rPr>
          <w:vertAlign w:val="superscript"/>
        </w:rPr>
        <w:t>2</w:t>
      </w:r>
      <w:r>
        <w:t>·a）。</w:t>
      </w:r>
    </w:p>
    <w:p w14:paraId="65EA5F94">
      <w:pPr>
        <w:pStyle w:val="5"/>
        <w:rPr>
          <w:b/>
          <w:bCs/>
          <w:color w:val="auto"/>
        </w:rPr>
      </w:pPr>
      <w:r>
        <w:rPr>
          <w:color w:val="auto"/>
        </w:rPr>
        <w:t>景观生态与生态完整性评价</w:t>
      </w:r>
    </w:p>
    <w:p w14:paraId="0B7D97B4">
      <w:pPr>
        <w:pStyle w:val="234"/>
      </w:pPr>
      <w:r>
        <w:t>（</w:t>
      </w:r>
      <w:r>
        <w:rPr>
          <w:rFonts w:eastAsia="Times New Roman"/>
        </w:rPr>
        <w:t>1</w:t>
      </w:r>
      <w:r>
        <w:t>）景观生态评价</w:t>
      </w:r>
    </w:p>
    <w:p w14:paraId="4FF1773A">
      <w:pPr>
        <w:pStyle w:val="234"/>
        <w:rPr>
          <w:color w:val="0000FF"/>
        </w:rPr>
      </w:pPr>
      <w:r>
        <w:t>从评价区整体来看，平原是构成其景观格局的基质，在此基础上叠加了人为现代生产生活要素，使这一景观背景更加多样化。评价区</w:t>
      </w:r>
      <w:r>
        <w:rPr>
          <w:rFonts w:hint="eastAsia"/>
        </w:rPr>
        <w:t>森林</w:t>
      </w:r>
      <w:r>
        <w:t>景观单元广布</w:t>
      </w:r>
      <w:r>
        <w:rPr>
          <w:rFonts w:hint="eastAsia"/>
        </w:rPr>
        <w:t>，农田</w:t>
      </w:r>
      <w:r>
        <w:t>景观单元分布于</w:t>
      </w:r>
      <w:r>
        <w:rPr>
          <w:rFonts w:hint="eastAsia"/>
        </w:rPr>
        <w:t>森林</w:t>
      </w:r>
      <w:r>
        <w:t>景观周围等；村镇居民点、企业等以农田景观单元为依托，分布较为</w:t>
      </w:r>
      <w:r>
        <w:rPr>
          <w:rFonts w:hint="eastAsia"/>
        </w:rPr>
        <w:t>分散</w:t>
      </w:r>
      <w:r>
        <w:t>；各类道路网状分布于整个区域内。上述景观单元共同组成评价区景观的主体框架，呈现出比较稳定的人工生态系统状态，因此评价区内系统的完整性受人类干预影响较大。农田景观依托于自然景观而呈现出相对的一致性，村镇居民点、企业和道路等人文景观单元点缀分布于自然景观基底上，其对当今景观主体的异质性影响十分明显。</w:t>
      </w:r>
    </w:p>
    <w:p w14:paraId="06F75489">
      <w:pPr>
        <w:pStyle w:val="234"/>
      </w:pPr>
      <w:r>
        <w:t>（2）生态</w:t>
      </w:r>
      <w:r>
        <w:rPr>
          <w:rFonts w:hint="eastAsia"/>
        </w:rPr>
        <w:t>完整性</w:t>
      </w:r>
      <w:r>
        <w:t>评价</w:t>
      </w:r>
    </w:p>
    <w:p w14:paraId="5D955E26">
      <w:pPr>
        <w:pStyle w:val="234"/>
      </w:pPr>
      <w:r>
        <w:rPr>
          <w:rFonts w:hint="eastAsia"/>
        </w:rPr>
        <w:t>区域内景观生态体系的质量因区域内的自然环境、生物及人类社会之间复杂的相互作用而决定。本工程评价区森林的生态系统连通程度高，是项目沿线生态完整性构成的主体要素，总的来看，城镇、农田与水域、森林等景观共同构成了和谐的评价区景观特色。</w:t>
      </w:r>
    </w:p>
    <w:p w14:paraId="77CBAE6C">
      <w:pPr>
        <w:pStyle w:val="5"/>
        <w:rPr>
          <w:color w:val="auto"/>
        </w:rPr>
      </w:pPr>
      <w:r>
        <w:rPr>
          <w:color w:val="auto"/>
        </w:rPr>
        <w:t>生态环境现状小结</w:t>
      </w:r>
    </w:p>
    <w:p w14:paraId="4843F999">
      <w:pPr>
        <w:pStyle w:val="234"/>
        <w:rPr>
          <w:color w:val="0000FF"/>
        </w:rPr>
      </w:pPr>
      <w:r>
        <w:t>本工程管道工程总长度为</w:t>
      </w:r>
      <w:r>
        <w:rPr>
          <w:rFonts w:hint="eastAsia"/>
        </w:rPr>
        <w:t>0.</w:t>
      </w:r>
      <w:r>
        <w:rPr>
          <w:rFonts w:hint="eastAsia"/>
          <w:lang w:eastAsia="zh-CN"/>
        </w:rPr>
        <w:t>760</w:t>
      </w:r>
      <w:r>
        <w:t>km，沿线总体处于亚热带季风湿润气候区</w:t>
      </w:r>
      <w:r>
        <w:rPr>
          <w:rFonts w:hint="eastAsia"/>
        </w:rPr>
        <w:t>，</w:t>
      </w:r>
      <w:r>
        <w:t>属于</w:t>
      </w:r>
      <w:r>
        <w:rPr>
          <w:rFonts w:hint="eastAsia"/>
        </w:rPr>
        <w:t>南岭山地常绿阔叶林</w:t>
      </w:r>
      <w:r>
        <w:t>带，整个区域生态系统以</w:t>
      </w:r>
      <w:r>
        <w:rPr>
          <w:rFonts w:hint="eastAsia"/>
        </w:rPr>
        <w:t>森林</w:t>
      </w:r>
      <w:r>
        <w:t>生态系统为主，其次为</w:t>
      </w:r>
      <w:r>
        <w:rPr>
          <w:rFonts w:hint="eastAsia"/>
        </w:rPr>
        <w:t>农田</w:t>
      </w:r>
      <w:r>
        <w:t>生态系统、</w:t>
      </w:r>
      <w:r>
        <w:rPr>
          <w:rFonts w:hint="eastAsia"/>
        </w:rPr>
        <w:t>城</w:t>
      </w:r>
      <w:r>
        <w:t>镇生态系统</w:t>
      </w:r>
      <w:r>
        <w:rPr>
          <w:i/>
          <w:iCs/>
          <w:color w:val="auto"/>
          <w:u w:val="single"/>
        </w:rPr>
        <w:t>、</w:t>
      </w:r>
      <w:r>
        <w:rPr>
          <w:rFonts w:hint="eastAsia"/>
          <w:i/>
          <w:iCs/>
          <w:color w:val="auto"/>
          <w:u w:val="single"/>
        </w:rPr>
        <w:t>湿地生态系统</w:t>
      </w:r>
      <w:r>
        <w:rPr>
          <w:rFonts w:hint="eastAsia"/>
        </w:rPr>
        <w:t>等</w:t>
      </w:r>
      <w:r>
        <w:t>。</w:t>
      </w:r>
    </w:p>
    <w:p w14:paraId="282B52E0">
      <w:pPr>
        <w:pStyle w:val="234"/>
      </w:pPr>
      <w:r>
        <w:t>从管道沿线整体区域看，土地利用类型以</w:t>
      </w:r>
      <w:r>
        <w:rPr>
          <w:rFonts w:hint="eastAsia"/>
        </w:rPr>
        <w:t>林地</w:t>
      </w:r>
      <w:r>
        <w:t>为主。</w:t>
      </w:r>
      <w:r>
        <w:rPr>
          <w:rFonts w:hint="eastAsia"/>
        </w:rPr>
        <w:t>林地中植被种类主要为盐麸木、油茶、野桐和乌桕等</w:t>
      </w:r>
      <w:r>
        <w:t>。从总体上来看，沿线区域受人为干扰较强，农田生态系统中种植有</w:t>
      </w:r>
      <w:r>
        <w:rPr>
          <w:rFonts w:hint="eastAsia"/>
        </w:rPr>
        <w:t>水稻</w:t>
      </w:r>
      <w:r>
        <w:t>、玉米、</w:t>
      </w:r>
      <w:r>
        <w:rPr>
          <w:rFonts w:hint="eastAsia"/>
        </w:rPr>
        <w:t>甘薯</w:t>
      </w:r>
      <w:r>
        <w:t>等农作物，植被种类较丰富，生产力较高，故农田生态系统的恢复稳定性和阻抗稳定性都较强。在</w:t>
      </w:r>
      <w:r>
        <w:rPr>
          <w:rFonts w:hint="eastAsia"/>
        </w:rPr>
        <w:t>森林</w:t>
      </w:r>
      <w:r>
        <w:t>生态系统中还镶嵌着城镇生态系统及其他类型的生态系统，使整个评价区生态系统的结构和功能呈现出一定的多样性，并保持着动态稳定性。</w:t>
      </w:r>
    </w:p>
    <w:p w14:paraId="2B25D8CE">
      <w:pPr>
        <w:pStyle w:val="234"/>
        <w:sectPr>
          <w:pgSz w:w="11910" w:h="16850"/>
          <w:pgMar w:top="1100" w:right="1260" w:bottom="1220" w:left="1280" w:header="737" w:footer="1034" w:gutter="0"/>
          <w:cols w:space="720" w:num="1"/>
        </w:sectPr>
      </w:pPr>
      <w:r>
        <w:t>从沿线区域整体生态现状和生态功能来看，管道评价区内生态系统保持着一定的稳定性与完整性。</w:t>
      </w:r>
    </w:p>
    <w:p w14:paraId="103A93B8">
      <w:pPr>
        <w:pStyle w:val="3"/>
      </w:pPr>
      <w:bookmarkStart w:id="192" w:name="_Toc12911"/>
      <w:r>
        <w:rPr>
          <w:rFonts w:hint="eastAsia"/>
        </w:rPr>
        <w:t>管线</w:t>
      </w:r>
      <w:r>
        <w:t>路由</w:t>
      </w:r>
      <w:r>
        <w:rPr>
          <w:rFonts w:hint="eastAsia"/>
        </w:rPr>
        <w:t>选择与建设合理性分析</w:t>
      </w:r>
      <w:bookmarkEnd w:id="192"/>
    </w:p>
    <w:p w14:paraId="1587696F">
      <w:pPr>
        <w:pStyle w:val="4"/>
      </w:pPr>
      <w:bookmarkStart w:id="193" w:name="_Toc6944"/>
      <w:r>
        <w:t>路由选择</w:t>
      </w:r>
      <w:r>
        <w:rPr>
          <w:rFonts w:hint="eastAsia"/>
        </w:rPr>
        <w:t>合理性分析</w:t>
      </w:r>
      <w:bookmarkEnd w:id="193"/>
    </w:p>
    <w:p w14:paraId="767C11B8">
      <w:pPr>
        <w:pStyle w:val="5"/>
        <w:rPr>
          <w:color w:val="auto"/>
        </w:rPr>
      </w:pPr>
      <w:r>
        <w:rPr>
          <w:color w:val="auto"/>
        </w:rPr>
        <w:t>路由选择原则</w:t>
      </w:r>
    </w:p>
    <w:p w14:paraId="70AFF283">
      <w:pPr>
        <w:pStyle w:val="234"/>
        <w:spacing w:before="48" w:after="48"/>
      </w:pPr>
      <w:r>
        <w:t>建设单位对本工程路由的选定，吸取了以往的建设经验。对工程路由的确定采取了环评工作在可行性研究报告阶段介入，对拟定的比选线路进行初步评价，充分听取环境初步评价的意见，</w:t>
      </w:r>
      <w:r>
        <w:rPr>
          <w:rFonts w:hint="eastAsia"/>
        </w:rPr>
        <w:t>对可以</w:t>
      </w:r>
      <w:r>
        <w:t>避免</w:t>
      </w:r>
      <w:r>
        <w:rPr>
          <w:rFonts w:hint="eastAsia"/>
        </w:rPr>
        <w:t>的</w:t>
      </w:r>
      <w:r>
        <w:t>环境影响尽量避免，采取避绕或改线等措施，以减少对管道沿线环境敏感区域的影响。</w:t>
      </w:r>
    </w:p>
    <w:p w14:paraId="18E46244">
      <w:pPr>
        <w:pStyle w:val="234"/>
        <w:spacing w:before="48" w:after="48"/>
      </w:pPr>
      <w:r>
        <w:t>（1）符合地区管网总体规划布局，有利于完善区域管网；</w:t>
      </w:r>
    </w:p>
    <w:p w14:paraId="30B764D9">
      <w:pPr>
        <w:pStyle w:val="234"/>
        <w:spacing w:before="48" w:after="48"/>
      </w:pPr>
      <w:r>
        <w:t>（2）线路力求顺直、平缓，以缩短线路长度，</w:t>
      </w:r>
      <w:r>
        <w:rPr>
          <w:rFonts w:hint="eastAsia"/>
        </w:rPr>
        <w:t>公路</w:t>
      </w:r>
      <w:r>
        <w:t>穿跨越位置的选择应服从线路总走向，线路走向尽量避开城镇和人口稠密区；</w:t>
      </w:r>
    </w:p>
    <w:p w14:paraId="57F45EF5">
      <w:pPr>
        <w:pStyle w:val="234"/>
        <w:spacing w:before="48" w:after="48"/>
      </w:pPr>
      <w:r>
        <w:t>（3）线路在可能的情况下尽量靠近和利用现有的公路、管廊；</w:t>
      </w:r>
    </w:p>
    <w:p w14:paraId="2E981359">
      <w:pPr>
        <w:pStyle w:val="234"/>
        <w:spacing w:before="48" w:after="48"/>
      </w:pPr>
      <w:r>
        <w:t>（4）选择有利地形，尽量避开施工难度较大等不良工程地质段，以方便施工，减少线路保护工程量，确保管道长期、安全、可靠运行；</w:t>
      </w:r>
    </w:p>
    <w:p w14:paraId="1C8574D3">
      <w:pPr>
        <w:pStyle w:val="234"/>
        <w:spacing w:before="48" w:after="48"/>
      </w:pPr>
      <w:r>
        <w:t>（5）线路尽量避开重要的军事设施、易燃易爆仓库、国家重点保护单位的安全保护区；</w:t>
      </w:r>
    </w:p>
    <w:p w14:paraId="50F68778">
      <w:pPr>
        <w:pStyle w:val="234"/>
        <w:spacing w:before="48" w:after="48"/>
      </w:pPr>
      <w:r>
        <w:t>（6）线路走向应与所经地区的城市规划、水利规划、交通规划、电力能源规划等工程规划一致；</w:t>
      </w:r>
    </w:p>
    <w:p w14:paraId="32152831">
      <w:pPr>
        <w:pStyle w:val="234"/>
        <w:spacing w:before="48" w:after="48"/>
      </w:pPr>
      <w:r>
        <w:t>（7）线路尽可能避开自然保护区、水源保护区、重点文物保护区等环境敏感区，当路由受限需要通过环境敏感区时，应征得其主管部门同意并采取保护措施；</w:t>
      </w:r>
    </w:p>
    <w:p w14:paraId="13487A8A">
      <w:pPr>
        <w:pStyle w:val="234"/>
        <w:spacing w:before="48" w:after="48"/>
      </w:pPr>
      <w:r>
        <w:t>（8）应避开沿线已建和拟建的交、直流干扰源，对干扰严重区应避让。</w:t>
      </w:r>
    </w:p>
    <w:p w14:paraId="63D03BC6">
      <w:pPr>
        <w:pStyle w:val="5"/>
        <w:rPr>
          <w:color w:val="auto"/>
        </w:rPr>
      </w:pPr>
      <w:r>
        <w:rPr>
          <w:color w:val="auto"/>
        </w:rPr>
        <w:t>路由方案比选</w:t>
      </w:r>
    </w:p>
    <w:p w14:paraId="6DF071A5">
      <w:pPr>
        <w:pStyle w:val="7"/>
      </w:pPr>
      <w:r>
        <w:rPr>
          <w:rFonts w:hint="eastAsia"/>
        </w:rPr>
        <w:t>耒阳分输站选址方案比选</w:t>
      </w:r>
    </w:p>
    <w:p w14:paraId="59202F59">
      <w:pPr>
        <w:pStyle w:val="234"/>
      </w:pPr>
      <w:r>
        <w:t>根据现场踏勘成果，</w:t>
      </w:r>
      <w:r>
        <w:rPr>
          <w:rFonts w:hint="eastAsia"/>
        </w:rPr>
        <w:t>耒阳分输站拟选择2个</w:t>
      </w:r>
      <w:r>
        <w:t>方案进行比选。</w:t>
      </w:r>
    </w:p>
    <w:p w14:paraId="318BB0D0">
      <w:pPr>
        <w:pStyle w:val="234"/>
      </w:pPr>
      <w:r>
        <w:t>（1）</w:t>
      </w:r>
      <w:r>
        <w:rPr>
          <w:rFonts w:hint="eastAsia"/>
        </w:rPr>
        <w:t>方案一</w:t>
      </w:r>
    </w:p>
    <w:p w14:paraId="37E3E485">
      <w:pPr>
        <w:pStyle w:val="234"/>
      </w:pPr>
      <w:r>
        <w:rPr>
          <w:rFonts w:hint="eastAsia"/>
        </w:rPr>
        <w:t>方案一位于湖南省耒阳市竹市镇，距离耒阳市区约5.3km，拟选站址主要为林地，周边为基本农田，站址东侧有散居民房，站址距离民房最小间距190m。站址东侧为洼地，向西地势逐步升高。站址西北侧有村路，有较好的道路依托。站址整体地势由东向西逐渐升高。</w:t>
      </w:r>
    </w:p>
    <w:p w14:paraId="52F8DB2E">
      <w:pPr>
        <w:pStyle w:val="234"/>
        <w:spacing w:before="48" w:after="48" w:line="240" w:lineRule="auto"/>
      </w:pPr>
      <w:r>
        <w:rPr>
          <w:rFonts w:hint="eastAsia"/>
        </w:rPr>
        <w:t>方案一卫星图见图5.1-1。</w:t>
      </w:r>
    </w:p>
    <w:p w14:paraId="7FDA64C8">
      <w:pPr>
        <w:pStyle w:val="234"/>
        <w:spacing w:before="48" w:after="48" w:line="240" w:lineRule="auto"/>
        <w:ind w:firstLine="0" w:firstLineChars="0"/>
        <w:jc w:val="center"/>
      </w:pPr>
      <w:r>
        <w:rPr>
          <w:rFonts w:hint="eastAsia"/>
        </w:rPr>
        <w:drawing>
          <wp:inline distT="0" distB="0" distL="114300" distR="114300">
            <wp:extent cx="4787900" cy="2973070"/>
            <wp:effectExtent l="0" t="0" r="12700" b="17780"/>
            <wp:docPr id="40" name="图片 40" descr="87a2ddbe93b8b513215c124e008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87a2ddbe93b8b513215c124e0082083"/>
                    <pic:cNvPicPr>
                      <a:picLocks noChangeAspect="1"/>
                    </pic:cNvPicPr>
                  </pic:nvPicPr>
                  <pic:blipFill>
                    <a:blip r:embed="rId75"/>
                    <a:stretch>
                      <a:fillRect/>
                    </a:stretch>
                  </pic:blipFill>
                  <pic:spPr>
                    <a:xfrm>
                      <a:off x="0" y="0"/>
                      <a:ext cx="4787900" cy="2973070"/>
                    </a:xfrm>
                    <a:prstGeom prst="rect">
                      <a:avLst/>
                    </a:prstGeom>
                  </pic:spPr>
                </pic:pic>
              </a:graphicData>
            </a:graphic>
          </wp:inline>
        </w:drawing>
      </w:r>
    </w:p>
    <w:p w14:paraId="606B4DBB">
      <w:pPr>
        <w:pStyle w:val="904"/>
      </w:pPr>
      <w:r>
        <w:rPr>
          <w:rFonts w:hint="eastAsia"/>
        </w:rPr>
        <w:t>图5.1-1  耒阳分输站（方案一）区域位置卫星图</w:t>
      </w:r>
    </w:p>
    <w:p w14:paraId="23D35F4D">
      <w:pPr>
        <w:pStyle w:val="234"/>
      </w:pPr>
      <w:r>
        <w:t>（2）</w:t>
      </w:r>
      <w:r>
        <w:rPr>
          <w:rFonts w:hint="eastAsia"/>
        </w:rPr>
        <w:t>方案二</w:t>
      </w:r>
    </w:p>
    <w:p w14:paraId="72EE3221">
      <w:pPr>
        <w:pStyle w:val="234"/>
        <w:snapToGrid w:val="0"/>
      </w:pPr>
      <w:r>
        <w:rPr>
          <w:rFonts w:hint="eastAsia"/>
        </w:rPr>
        <w:t>方案二位于湖南省耒阳市竹市镇，距离耒阳市区约5.3km，拟选站址主要为林地，周边为基本农田，站址东、西、北侧均有散居民房，站址距离民房最小间距51m。站址东侧为山坡，向西地势逐步降低。站址西北侧有G365国道，但附近村路均被当地居民封堵，无可用道路，需要修建较长站区道路。站址整体地势由东向西逐渐升高</w:t>
      </w:r>
      <w:r>
        <w:t>。</w:t>
      </w:r>
    </w:p>
    <w:p w14:paraId="4832BCD1">
      <w:pPr>
        <w:snapToGrid w:val="0"/>
        <w:spacing w:line="360" w:lineRule="auto"/>
        <w:ind w:firstLine="480" w:firstLineChars="200"/>
        <w:rPr>
          <w:sz w:val="24"/>
        </w:rPr>
      </w:pPr>
      <w:r>
        <w:rPr>
          <w:rFonts w:hint="eastAsia"/>
          <w:sz w:val="24"/>
        </w:rPr>
        <w:t>方案二卫星图见图5.1-2。耒阳分输站方案对比</w:t>
      </w:r>
      <w:r>
        <w:rPr>
          <w:sz w:val="24"/>
        </w:rPr>
        <w:t>见图5.1-</w:t>
      </w:r>
      <w:r>
        <w:rPr>
          <w:rFonts w:hint="eastAsia"/>
          <w:sz w:val="24"/>
        </w:rPr>
        <w:t>3</w:t>
      </w:r>
      <w:r>
        <w:rPr>
          <w:sz w:val="24"/>
        </w:rPr>
        <w:t>。</w:t>
      </w:r>
    </w:p>
    <w:p w14:paraId="00ABE558">
      <w:pPr>
        <w:jc w:val="center"/>
        <w:rPr>
          <w:sz w:val="24"/>
        </w:rPr>
      </w:pPr>
      <w:r>
        <w:rPr>
          <w:rFonts w:hint="eastAsia"/>
          <w:sz w:val="24"/>
        </w:rPr>
        <w:drawing>
          <wp:inline distT="0" distB="0" distL="114300" distR="114300">
            <wp:extent cx="4787900" cy="3280410"/>
            <wp:effectExtent l="0" t="0" r="12700" b="15240"/>
            <wp:docPr id="20" name="图片 20" descr="a7a7912fa68910559dfc50dab7c10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a7a7912fa68910559dfc50dab7c10f1"/>
                    <pic:cNvPicPr>
                      <a:picLocks noChangeAspect="1"/>
                    </pic:cNvPicPr>
                  </pic:nvPicPr>
                  <pic:blipFill>
                    <a:blip r:embed="rId76"/>
                    <a:stretch>
                      <a:fillRect/>
                    </a:stretch>
                  </pic:blipFill>
                  <pic:spPr>
                    <a:xfrm>
                      <a:off x="0" y="0"/>
                      <a:ext cx="4787900" cy="3280410"/>
                    </a:xfrm>
                    <a:prstGeom prst="rect">
                      <a:avLst/>
                    </a:prstGeom>
                  </pic:spPr>
                </pic:pic>
              </a:graphicData>
            </a:graphic>
          </wp:inline>
        </w:drawing>
      </w:r>
    </w:p>
    <w:p w14:paraId="385DBA8C">
      <w:pPr>
        <w:pStyle w:val="904"/>
      </w:pPr>
      <w:r>
        <w:rPr>
          <w:rFonts w:hint="eastAsia"/>
        </w:rPr>
        <w:t>图5.1-2  耒阳分输站（方案二）区域位置卫星图</w:t>
      </w:r>
    </w:p>
    <w:p w14:paraId="7AD99B6D">
      <w:pPr>
        <w:jc w:val="center"/>
        <w:rPr>
          <w:sz w:val="24"/>
        </w:rPr>
      </w:pPr>
      <w:r>
        <w:rPr>
          <w:rFonts w:hint="eastAsia"/>
          <w:sz w:val="24"/>
        </w:rPr>
        <w:drawing>
          <wp:inline distT="0" distB="0" distL="114300" distR="114300">
            <wp:extent cx="5758815" cy="6715760"/>
            <wp:effectExtent l="0" t="0" r="13335" b="8890"/>
            <wp:docPr id="41" name="图片 41" descr="3ce45ab98e5e5953b1c3744b25d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3ce45ab98e5e5953b1c3744b25d2491"/>
                    <pic:cNvPicPr>
                      <a:picLocks noChangeAspect="1"/>
                    </pic:cNvPicPr>
                  </pic:nvPicPr>
                  <pic:blipFill>
                    <a:blip r:embed="rId77"/>
                    <a:stretch>
                      <a:fillRect/>
                    </a:stretch>
                  </pic:blipFill>
                  <pic:spPr>
                    <a:xfrm>
                      <a:off x="0" y="0"/>
                      <a:ext cx="5758815" cy="6715760"/>
                    </a:xfrm>
                    <a:prstGeom prst="rect">
                      <a:avLst/>
                    </a:prstGeom>
                  </pic:spPr>
                </pic:pic>
              </a:graphicData>
            </a:graphic>
          </wp:inline>
        </w:drawing>
      </w:r>
    </w:p>
    <w:p w14:paraId="20C64873">
      <w:pPr>
        <w:jc w:val="center"/>
        <w:rPr>
          <w:rFonts w:eastAsia="黑体"/>
          <w:snapToGrid w:val="0"/>
          <w:kern w:val="0"/>
          <w:sz w:val="24"/>
        </w:rPr>
        <w:sectPr>
          <w:pgSz w:w="11906" w:h="16838"/>
          <w:pgMar w:top="1440" w:right="1418" w:bottom="1440" w:left="1418" w:header="839" w:footer="850" w:gutter="0"/>
          <w:cols w:space="425" w:num="1"/>
          <w:docGrid w:linePitch="312" w:charSpace="0"/>
        </w:sectPr>
      </w:pPr>
      <w:r>
        <w:rPr>
          <w:rFonts w:hint="eastAsia" w:eastAsia="黑体"/>
          <w:snapToGrid w:val="0"/>
          <w:kern w:val="0"/>
          <w:sz w:val="24"/>
        </w:rPr>
        <w:t>图5.1-3 耒阳分输站方案对比图</w:t>
      </w:r>
    </w:p>
    <w:p w14:paraId="2A748B0E">
      <w:pPr>
        <w:spacing w:line="360" w:lineRule="auto"/>
        <w:ind w:firstLine="480" w:firstLineChars="200"/>
        <w:rPr>
          <w:sz w:val="24"/>
        </w:rPr>
      </w:pPr>
      <w:r>
        <w:rPr>
          <w:rFonts w:hint="eastAsia"/>
          <w:sz w:val="24"/>
        </w:rPr>
        <w:t>（3）比选结果</w:t>
      </w:r>
    </w:p>
    <w:p w14:paraId="5F244321">
      <w:pPr>
        <w:spacing w:line="360" w:lineRule="auto"/>
        <w:ind w:firstLine="480" w:firstLineChars="200"/>
        <w:rPr>
          <w:sz w:val="24"/>
        </w:rPr>
      </w:pPr>
      <w:r>
        <w:rPr>
          <w:rFonts w:hint="eastAsia"/>
          <w:sz w:val="24"/>
        </w:rPr>
        <w:t>耒阳分输站</w:t>
      </w:r>
      <w:r>
        <w:rPr>
          <w:sz w:val="24"/>
        </w:rPr>
        <w:t>比选方案环境敏感性、优缺点综合比较见</w:t>
      </w:r>
      <w:r>
        <w:fldChar w:fldCharType="begin"/>
      </w:r>
      <w:r>
        <w:instrText xml:space="preserve"> HYPERLINK \l "_bookmark1" </w:instrText>
      </w:r>
      <w:r>
        <w:fldChar w:fldCharType="separate"/>
      </w:r>
      <w:r>
        <w:rPr>
          <w:sz w:val="24"/>
        </w:rPr>
        <w:t>表5.1-</w:t>
      </w:r>
      <w:r>
        <w:rPr>
          <w:rFonts w:hint="eastAsia"/>
          <w:sz w:val="24"/>
        </w:rPr>
        <w:t>1</w:t>
      </w:r>
      <w:r>
        <w:rPr>
          <w:rFonts w:hint="eastAsia"/>
          <w:sz w:val="24"/>
        </w:rPr>
        <w:fldChar w:fldCharType="end"/>
      </w:r>
      <w:r>
        <w:rPr>
          <w:sz w:val="24"/>
        </w:rPr>
        <w:t>。</w:t>
      </w:r>
    </w:p>
    <w:p w14:paraId="345006C9">
      <w:pPr>
        <w:pStyle w:val="904"/>
      </w:pPr>
      <w:r>
        <w:t>表 5.1-</w:t>
      </w:r>
      <w:r>
        <w:rPr>
          <w:rFonts w:hint="eastAsia"/>
        </w:rPr>
        <w:t>1 耒阳分输站方案</w:t>
      </w:r>
      <w:r>
        <w:t>环境敏感</w:t>
      </w:r>
      <w:r>
        <w:rPr>
          <w:spacing w:val="-2"/>
        </w:rPr>
        <w:t>性比</w:t>
      </w:r>
      <w:r>
        <w:t>选对比表</w:t>
      </w:r>
    </w:p>
    <w:tbl>
      <w:tblPr>
        <w:tblStyle w:val="88"/>
        <w:tblW w:w="500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67"/>
        <w:gridCol w:w="2916"/>
        <w:gridCol w:w="2963"/>
        <w:gridCol w:w="1276"/>
        <w:gridCol w:w="1067"/>
      </w:tblGrid>
      <w:tr w14:paraId="54C27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22" w:type="pct"/>
            <w:shd w:val="clear" w:color="auto" w:fill="auto"/>
            <w:vAlign w:val="center"/>
          </w:tcPr>
          <w:p w14:paraId="09EAC17E">
            <w:pPr>
              <w:pStyle w:val="1343"/>
            </w:pPr>
            <w:r>
              <w:t>比选内容</w:t>
            </w:r>
          </w:p>
        </w:tc>
        <w:tc>
          <w:tcPr>
            <w:tcW w:w="1552" w:type="pct"/>
            <w:shd w:val="clear" w:color="auto" w:fill="auto"/>
            <w:vAlign w:val="center"/>
          </w:tcPr>
          <w:p w14:paraId="5CA1E6AA">
            <w:pPr>
              <w:pStyle w:val="1343"/>
            </w:pPr>
            <w:r>
              <w:t>方案一</w:t>
            </w:r>
          </w:p>
        </w:tc>
        <w:tc>
          <w:tcPr>
            <w:tcW w:w="1577" w:type="pct"/>
            <w:shd w:val="clear" w:color="auto" w:fill="auto"/>
            <w:vAlign w:val="center"/>
          </w:tcPr>
          <w:p w14:paraId="3A9B4283">
            <w:pPr>
              <w:pStyle w:val="1343"/>
            </w:pPr>
            <w:r>
              <w:t>方案二</w:t>
            </w:r>
          </w:p>
        </w:tc>
        <w:tc>
          <w:tcPr>
            <w:tcW w:w="679" w:type="pct"/>
            <w:shd w:val="clear" w:color="auto" w:fill="auto"/>
            <w:vAlign w:val="center"/>
          </w:tcPr>
          <w:p w14:paraId="06096B8D">
            <w:pPr>
              <w:pStyle w:val="1343"/>
            </w:pPr>
            <w:r>
              <w:rPr>
                <w:rFonts w:hint="eastAsia"/>
              </w:rPr>
              <w:t>制约因素</w:t>
            </w:r>
          </w:p>
        </w:tc>
        <w:tc>
          <w:tcPr>
            <w:tcW w:w="568" w:type="pct"/>
            <w:shd w:val="clear" w:color="auto" w:fill="auto"/>
            <w:vAlign w:val="center"/>
          </w:tcPr>
          <w:p w14:paraId="3FB533B4">
            <w:pPr>
              <w:pStyle w:val="1343"/>
            </w:pPr>
            <w:r>
              <w:t>比选结果</w:t>
            </w:r>
          </w:p>
        </w:tc>
      </w:tr>
      <w:tr w14:paraId="37446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22" w:type="pct"/>
            <w:shd w:val="clear" w:color="auto" w:fill="auto"/>
            <w:vAlign w:val="center"/>
          </w:tcPr>
          <w:p w14:paraId="5F38AAB2">
            <w:pPr>
              <w:pStyle w:val="1343"/>
            </w:pPr>
            <w:r>
              <w:t>工程量（km）</w:t>
            </w:r>
          </w:p>
        </w:tc>
        <w:tc>
          <w:tcPr>
            <w:tcW w:w="1552" w:type="pct"/>
            <w:shd w:val="clear" w:color="auto" w:fill="auto"/>
            <w:vAlign w:val="center"/>
          </w:tcPr>
          <w:p w14:paraId="13D0A3B9">
            <w:pPr>
              <w:pStyle w:val="1343"/>
              <w:jc w:val="left"/>
            </w:pPr>
            <w:r>
              <w:rPr>
                <w:rFonts w:hint="eastAsia"/>
              </w:rPr>
              <w:t>新建耒阳分输站，站场面积7998.4m</w:t>
            </w:r>
            <w:r>
              <w:rPr>
                <w:vertAlign w:val="superscript"/>
              </w:rPr>
              <w:t>2</w:t>
            </w:r>
            <w:r>
              <w:rPr>
                <w:rFonts w:hint="eastAsia"/>
              </w:rPr>
              <w:t>，占地类型为林地；</w:t>
            </w:r>
          </w:p>
          <w:p w14:paraId="064680F1">
            <w:pPr>
              <w:pStyle w:val="1343"/>
              <w:jc w:val="left"/>
            </w:pPr>
            <w:r>
              <w:t>管线长度</w:t>
            </w:r>
            <w:r>
              <w:rPr>
                <w:rFonts w:hint="eastAsia"/>
                <w:lang w:eastAsia="zh-CN"/>
              </w:rPr>
              <w:t>760</w:t>
            </w:r>
            <w:r>
              <w:t>m</w:t>
            </w:r>
            <w:r>
              <w:rPr>
                <w:rFonts w:hint="eastAsia"/>
              </w:rPr>
              <w:t>；</w:t>
            </w:r>
          </w:p>
          <w:p w14:paraId="39D412E6">
            <w:pPr>
              <w:pStyle w:val="1343"/>
              <w:jc w:val="left"/>
            </w:pPr>
            <w:r>
              <w:rPr>
                <w:rFonts w:hint="eastAsia"/>
              </w:rPr>
              <w:t>新建进站路365.6m。</w:t>
            </w:r>
          </w:p>
        </w:tc>
        <w:tc>
          <w:tcPr>
            <w:tcW w:w="1577" w:type="pct"/>
            <w:shd w:val="clear" w:color="auto" w:fill="auto"/>
            <w:vAlign w:val="center"/>
          </w:tcPr>
          <w:p w14:paraId="2BD8D43E">
            <w:pPr>
              <w:pStyle w:val="1343"/>
              <w:jc w:val="left"/>
            </w:pPr>
            <w:r>
              <w:rPr>
                <w:rFonts w:hint="eastAsia"/>
              </w:rPr>
              <w:t>新建耒阳分输站，站场面积7998.4m</w:t>
            </w:r>
            <w:r>
              <w:rPr>
                <w:vertAlign w:val="superscript"/>
              </w:rPr>
              <w:t>2</w:t>
            </w:r>
            <w:r>
              <w:rPr>
                <w:rFonts w:hint="eastAsia"/>
              </w:rPr>
              <w:t>，占地类型为林地；</w:t>
            </w:r>
          </w:p>
          <w:p w14:paraId="64A30185">
            <w:pPr>
              <w:pStyle w:val="1343"/>
              <w:jc w:val="left"/>
            </w:pPr>
            <w:r>
              <w:t>管线长度</w:t>
            </w:r>
            <w:r>
              <w:rPr>
                <w:rFonts w:hint="eastAsia"/>
              </w:rPr>
              <w:t>650</w:t>
            </w:r>
            <w:r>
              <w:t>m</w:t>
            </w:r>
            <w:r>
              <w:rPr>
                <w:rFonts w:hint="eastAsia"/>
              </w:rPr>
              <w:t>；</w:t>
            </w:r>
          </w:p>
          <w:p w14:paraId="103CEEE2">
            <w:pPr>
              <w:pStyle w:val="1343"/>
              <w:jc w:val="left"/>
            </w:pPr>
            <w:r>
              <w:rPr>
                <w:rFonts w:hint="eastAsia"/>
              </w:rPr>
              <w:t>新建进站路360m。</w:t>
            </w:r>
          </w:p>
        </w:tc>
        <w:tc>
          <w:tcPr>
            <w:tcW w:w="679" w:type="pct"/>
            <w:shd w:val="clear" w:color="auto" w:fill="auto"/>
            <w:vAlign w:val="center"/>
          </w:tcPr>
          <w:p w14:paraId="03E7D0DA">
            <w:pPr>
              <w:pStyle w:val="1343"/>
              <w:rPr>
                <w:szCs w:val="24"/>
              </w:rPr>
            </w:pPr>
            <w:r>
              <w:rPr>
                <w:rFonts w:hint="eastAsia"/>
                <w:szCs w:val="24"/>
              </w:rPr>
              <w:t>无</w:t>
            </w:r>
          </w:p>
        </w:tc>
        <w:tc>
          <w:tcPr>
            <w:tcW w:w="568" w:type="pct"/>
            <w:shd w:val="clear" w:color="auto" w:fill="auto"/>
            <w:vAlign w:val="center"/>
          </w:tcPr>
          <w:p w14:paraId="173C81A3">
            <w:pPr>
              <w:pStyle w:val="1343"/>
            </w:pPr>
            <w:r>
              <w:t>方案</w:t>
            </w:r>
            <w:r>
              <w:rPr>
                <w:rFonts w:hint="eastAsia"/>
              </w:rPr>
              <w:t>二</w:t>
            </w:r>
            <w:r>
              <w:t>优</w:t>
            </w:r>
          </w:p>
        </w:tc>
      </w:tr>
      <w:tr w14:paraId="7017E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22" w:type="pct"/>
            <w:shd w:val="clear" w:color="auto" w:fill="auto"/>
            <w:vAlign w:val="center"/>
          </w:tcPr>
          <w:p w14:paraId="11B04AAD">
            <w:pPr>
              <w:pStyle w:val="1343"/>
            </w:pPr>
            <w:r>
              <w:t>生态环境影响</w:t>
            </w:r>
          </w:p>
        </w:tc>
        <w:tc>
          <w:tcPr>
            <w:tcW w:w="1552" w:type="pct"/>
            <w:shd w:val="clear" w:color="auto" w:fill="auto"/>
            <w:vAlign w:val="center"/>
          </w:tcPr>
          <w:p w14:paraId="316B1AB1">
            <w:pPr>
              <w:pStyle w:val="1343"/>
              <w:jc w:val="left"/>
            </w:pPr>
            <w:r>
              <w:t>沿线不涉及生态敏感区，永久占地</w:t>
            </w:r>
            <w:r>
              <w:rPr>
                <w:rFonts w:hint="eastAsia"/>
              </w:rPr>
              <w:t>11294</w:t>
            </w:r>
            <w:r>
              <w:t>m</w:t>
            </w:r>
            <w:r>
              <w:rPr>
                <w:vertAlign w:val="superscript"/>
              </w:rPr>
              <w:t>2</w:t>
            </w:r>
            <w:r>
              <w:t>，临时占地</w:t>
            </w:r>
            <w:r>
              <w:rPr>
                <w:rFonts w:hint="eastAsia"/>
              </w:rPr>
              <w:t>9760</w:t>
            </w:r>
            <w:r>
              <w:t>hm</w:t>
            </w:r>
            <w:r>
              <w:rPr>
                <w:vertAlign w:val="superscript"/>
              </w:rPr>
              <w:t>2</w:t>
            </w:r>
            <w:r>
              <w:rPr>
                <w:rFonts w:hint="eastAsia"/>
              </w:rPr>
              <w:t>，</w:t>
            </w:r>
          </w:p>
        </w:tc>
        <w:tc>
          <w:tcPr>
            <w:tcW w:w="1577" w:type="pct"/>
            <w:shd w:val="clear" w:color="auto" w:fill="auto"/>
            <w:vAlign w:val="center"/>
          </w:tcPr>
          <w:p w14:paraId="04C8ACCB">
            <w:pPr>
              <w:pStyle w:val="1343"/>
              <w:jc w:val="left"/>
            </w:pPr>
            <w:r>
              <w:t>沿线不涉及生态敏感区，永久占地</w:t>
            </w:r>
            <w:r>
              <w:rPr>
                <w:rFonts w:hint="eastAsia"/>
              </w:rPr>
              <w:t>11023</w:t>
            </w:r>
            <w:r>
              <w:t>m</w:t>
            </w:r>
            <w:r>
              <w:rPr>
                <w:vertAlign w:val="superscript"/>
              </w:rPr>
              <w:t>2</w:t>
            </w:r>
            <w:r>
              <w:t>，临时占地</w:t>
            </w:r>
            <w:r>
              <w:rPr>
                <w:rFonts w:hint="eastAsia"/>
              </w:rPr>
              <w:t>9543</w:t>
            </w:r>
            <w:r>
              <w:t>hm</w:t>
            </w:r>
            <w:r>
              <w:rPr>
                <w:vertAlign w:val="superscript"/>
              </w:rPr>
              <w:t>2</w:t>
            </w:r>
          </w:p>
        </w:tc>
        <w:tc>
          <w:tcPr>
            <w:tcW w:w="679" w:type="pct"/>
            <w:shd w:val="clear" w:color="auto" w:fill="auto"/>
            <w:vAlign w:val="center"/>
          </w:tcPr>
          <w:p w14:paraId="39579021">
            <w:pPr>
              <w:pStyle w:val="1343"/>
            </w:pPr>
            <w:r>
              <w:rPr>
                <w:rFonts w:hint="eastAsia"/>
              </w:rPr>
              <w:t>无</w:t>
            </w:r>
          </w:p>
        </w:tc>
        <w:tc>
          <w:tcPr>
            <w:tcW w:w="568" w:type="pct"/>
            <w:shd w:val="clear" w:color="auto" w:fill="auto"/>
            <w:vAlign w:val="center"/>
          </w:tcPr>
          <w:p w14:paraId="0B81B1F7">
            <w:pPr>
              <w:pStyle w:val="1343"/>
            </w:pPr>
            <w:r>
              <w:rPr>
                <w:rFonts w:hint="eastAsia"/>
              </w:rPr>
              <w:t xml:space="preserve"> 方案二优</w:t>
            </w:r>
          </w:p>
        </w:tc>
      </w:tr>
      <w:tr w14:paraId="008DE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22" w:type="pct"/>
            <w:shd w:val="clear" w:color="auto" w:fill="auto"/>
            <w:vAlign w:val="center"/>
          </w:tcPr>
          <w:p w14:paraId="78CD2045">
            <w:pPr>
              <w:pStyle w:val="1343"/>
            </w:pPr>
            <w:r>
              <w:t>地下水影</w:t>
            </w:r>
          </w:p>
          <w:p w14:paraId="0A2B1031">
            <w:pPr>
              <w:pStyle w:val="1343"/>
            </w:pPr>
            <w:r>
              <w:t>响</w:t>
            </w:r>
          </w:p>
        </w:tc>
        <w:tc>
          <w:tcPr>
            <w:tcW w:w="1552" w:type="pct"/>
            <w:shd w:val="clear" w:color="auto" w:fill="auto"/>
            <w:vAlign w:val="center"/>
          </w:tcPr>
          <w:p w14:paraId="75D94A29">
            <w:pPr>
              <w:pStyle w:val="1343"/>
              <w:jc w:val="left"/>
            </w:pPr>
            <w:r>
              <w:t>沿线区域无地下水水源保护区</w:t>
            </w:r>
          </w:p>
        </w:tc>
        <w:tc>
          <w:tcPr>
            <w:tcW w:w="1577" w:type="pct"/>
            <w:shd w:val="clear" w:color="auto" w:fill="auto"/>
            <w:vAlign w:val="center"/>
          </w:tcPr>
          <w:p w14:paraId="2326F11B">
            <w:pPr>
              <w:pStyle w:val="1343"/>
              <w:jc w:val="left"/>
            </w:pPr>
            <w:r>
              <w:t>沿线区域无地下水水源保护区</w:t>
            </w:r>
          </w:p>
        </w:tc>
        <w:tc>
          <w:tcPr>
            <w:tcW w:w="679" w:type="pct"/>
            <w:shd w:val="clear" w:color="auto" w:fill="auto"/>
            <w:vAlign w:val="center"/>
          </w:tcPr>
          <w:p w14:paraId="1D82BD33">
            <w:pPr>
              <w:pStyle w:val="1343"/>
            </w:pPr>
            <w:r>
              <w:rPr>
                <w:rFonts w:hint="eastAsia"/>
                <w:szCs w:val="24"/>
              </w:rPr>
              <w:t>无</w:t>
            </w:r>
          </w:p>
        </w:tc>
        <w:tc>
          <w:tcPr>
            <w:tcW w:w="568" w:type="pct"/>
            <w:shd w:val="clear" w:color="auto" w:fill="auto"/>
            <w:vAlign w:val="center"/>
          </w:tcPr>
          <w:p w14:paraId="71899AB3">
            <w:pPr>
              <w:pStyle w:val="1343"/>
            </w:pPr>
            <w:r>
              <w:t>相当</w:t>
            </w:r>
          </w:p>
        </w:tc>
      </w:tr>
      <w:tr w14:paraId="3C6C4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22" w:type="pct"/>
            <w:shd w:val="clear" w:color="auto" w:fill="auto"/>
            <w:vAlign w:val="center"/>
          </w:tcPr>
          <w:p w14:paraId="3E743801">
            <w:pPr>
              <w:pStyle w:val="1343"/>
            </w:pPr>
            <w:r>
              <w:t>地表水影响</w:t>
            </w:r>
          </w:p>
        </w:tc>
        <w:tc>
          <w:tcPr>
            <w:tcW w:w="1552" w:type="pct"/>
            <w:shd w:val="clear" w:color="auto" w:fill="auto"/>
            <w:vAlign w:val="center"/>
          </w:tcPr>
          <w:p w14:paraId="72029425">
            <w:pPr>
              <w:pStyle w:val="1343"/>
              <w:jc w:val="left"/>
            </w:pPr>
            <w:r>
              <w:rPr>
                <w:rFonts w:hint="eastAsia"/>
              </w:rPr>
              <w:t>无地表水穿越</w:t>
            </w:r>
          </w:p>
        </w:tc>
        <w:tc>
          <w:tcPr>
            <w:tcW w:w="1577" w:type="pct"/>
            <w:shd w:val="clear" w:color="auto" w:fill="auto"/>
            <w:vAlign w:val="center"/>
          </w:tcPr>
          <w:p w14:paraId="5284B97E">
            <w:pPr>
              <w:pStyle w:val="1343"/>
              <w:jc w:val="left"/>
            </w:pPr>
            <w:r>
              <w:rPr>
                <w:rFonts w:hint="eastAsia"/>
              </w:rPr>
              <w:t>穿越一处坑塘</w:t>
            </w:r>
          </w:p>
        </w:tc>
        <w:tc>
          <w:tcPr>
            <w:tcW w:w="679" w:type="pct"/>
            <w:shd w:val="clear" w:color="auto" w:fill="auto"/>
            <w:vAlign w:val="center"/>
          </w:tcPr>
          <w:p w14:paraId="210775EE">
            <w:pPr>
              <w:pStyle w:val="1343"/>
            </w:pPr>
            <w:r>
              <w:rPr>
                <w:rFonts w:hint="eastAsia"/>
              </w:rPr>
              <w:t>无</w:t>
            </w:r>
          </w:p>
        </w:tc>
        <w:tc>
          <w:tcPr>
            <w:tcW w:w="568" w:type="pct"/>
            <w:shd w:val="clear" w:color="auto" w:fill="auto"/>
            <w:vAlign w:val="center"/>
          </w:tcPr>
          <w:p w14:paraId="485A77E1">
            <w:pPr>
              <w:pStyle w:val="1343"/>
            </w:pPr>
            <w:r>
              <w:rPr>
                <w:rFonts w:hint="eastAsia"/>
              </w:rPr>
              <w:t>方案一优</w:t>
            </w:r>
          </w:p>
        </w:tc>
      </w:tr>
      <w:tr w14:paraId="5073C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22" w:type="pct"/>
            <w:shd w:val="clear" w:color="auto" w:fill="auto"/>
            <w:vAlign w:val="center"/>
          </w:tcPr>
          <w:p w14:paraId="0881D133">
            <w:pPr>
              <w:pStyle w:val="1343"/>
            </w:pPr>
            <w:r>
              <w:t>噪声影响</w:t>
            </w:r>
          </w:p>
        </w:tc>
        <w:tc>
          <w:tcPr>
            <w:tcW w:w="1552" w:type="pct"/>
            <w:shd w:val="clear" w:color="auto" w:fill="auto"/>
            <w:vAlign w:val="center"/>
          </w:tcPr>
          <w:p w14:paraId="3B2038D9">
            <w:pPr>
              <w:pStyle w:val="1343"/>
              <w:jc w:val="left"/>
            </w:pPr>
            <w:r>
              <w:rPr>
                <w:rFonts w:hint="eastAsia"/>
              </w:rPr>
              <w:t>距离最近敏感目标为铜角湾，位于站址东侧190m</w:t>
            </w:r>
          </w:p>
        </w:tc>
        <w:tc>
          <w:tcPr>
            <w:tcW w:w="1577" w:type="pct"/>
            <w:shd w:val="clear" w:color="auto" w:fill="auto"/>
            <w:vAlign w:val="center"/>
          </w:tcPr>
          <w:p w14:paraId="3AD9F49C">
            <w:pPr>
              <w:pStyle w:val="1343"/>
              <w:jc w:val="left"/>
            </w:pPr>
            <w:r>
              <w:rPr>
                <w:rFonts w:hint="eastAsia"/>
              </w:rPr>
              <w:t>站址东、西、北侧均有居民，距离最近居民51m</w:t>
            </w:r>
          </w:p>
        </w:tc>
        <w:tc>
          <w:tcPr>
            <w:tcW w:w="679" w:type="pct"/>
            <w:shd w:val="clear" w:color="auto" w:fill="auto"/>
            <w:vAlign w:val="center"/>
          </w:tcPr>
          <w:p w14:paraId="4CC39B5D">
            <w:pPr>
              <w:pStyle w:val="1343"/>
            </w:pPr>
            <w:r>
              <w:rPr>
                <w:rFonts w:hint="eastAsia"/>
                <w:szCs w:val="24"/>
              </w:rPr>
              <w:t>无</w:t>
            </w:r>
          </w:p>
        </w:tc>
        <w:tc>
          <w:tcPr>
            <w:tcW w:w="568" w:type="pct"/>
            <w:shd w:val="clear" w:color="auto" w:fill="auto"/>
            <w:vAlign w:val="center"/>
          </w:tcPr>
          <w:p w14:paraId="08162F9C">
            <w:pPr>
              <w:pStyle w:val="1343"/>
            </w:pPr>
            <w:r>
              <w:rPr>
                <w:rFonts w:hint="eastAsia"/>
              </w:rPr>
              <w:t>方案一优</w:t>
            </w:r>
          </w:p>
        </w:tc>
      </w:tr>
      <w:tr w14:paraId="77550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22" w:type="pct"/>
            <w:shd w:val="clear" w:color="auto" w:fill="auto"/>
            <w:vAlign w:val="center"/>
          </w:tcPr>
          <w:p w14:paraId="547E59B8">
            <w:pPr>
              <w:pStyle w:val="1343"/>
            </w:pPr>
            <w:r>
              <w:t>环境风险</w:t>
            </w:r>
          </w:p>
        </w:tc>
        <w:tc>
          <w:tcPr>
            <w:tcW w:w="1552" w:type="pct"/>
            <w:shd w:val="clear" w:color="auto" w:fill="auto"/>
            <w:vAlign w:val="center"/>
          </w:tcPr>
          <w:p w14:paraId="05CE01DE">
            <w:pPr>
              <w:pStyle w:val="1343"/>
              <w:jc w:val="left"/>
            </w:pPr>
            <w:r>
              <w:rPr>
                <w:rFonts w:hint="eastAsia"/>
              </w:rPr>
              <w:t>距离最近敏感目标为铜角湾，位于站址东侧190m</w:t>
            </w:r>
          </w:p>
        </w:tc>
        <w:tc>
          <w:tcPr>
            <w:tcW w:w="1577" w:type="pct"/>
            <w:shd w:val="clear" w:color="auto" w:fill="auto"/>
            <w:vAlign w:val="center"/>
          </w:tcPr>
          <w:p w14:paraId="289318ED">
            <w:pPr>
              <w:pStyle w:val="1343"/>
              <w:jc w:val="left"/>
            </w:pPr>
            <w:r>
              <w:rPr>
                <w:rFonts w:hint="eastAsia"/>
              </w:rPr>
              <w:t>站址东、西、北侧均有居民，距离最近居民51m</w:t>
            </w:r>
          </w:p>
        </w:tc>
        <w:tc>
          <w:tcPr>
            <w:tcW w:w="679" w:type="pct"/>
            <w:shd w:val="clear" w:color="auto" w:fill="auto"/>
            <w:vAlign w:val="center"/>
          </w:tcPr>
          <w:p w14:paraId="09015633">
            <w:pPr>
              <w:pStyle w:val="1343"/>
            </w:pPr>
            <w:r>
              <w:rPr>
                <w:rFonts w:hint="eastAsia"/>
                <w:szCs w:val="24"/>
              </w:rPr>
              <w:t>无</w:t>
            </w:r>
          </w:p>
        </w:tc>
        <w:tc>
          <w:tcPr>
            <w:tcW w:w="568" w:type="pct"/>
            <w:shd w:val="clear" w:color="auto" w:fill="auto"/>
            <w:vAlign w:val="center"/>
          </w:tcPr>
          <w:p w14:paraId="41DF52D4">
            <w:pPr>
              <w:pStyle w:val="1343"/>
            </w:pPr>
            <w:r>
              <w:rPr>
                <w:rFonts w:hint="eastAsia"/>
              </w:rPr>
              <w:t>方案一优</w:t>
            </w:r>
          </w:p>
        </w:tc>
      </w:tr>
      <w:tr w14:paraId="402DC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22" w:type="pct"/>
            <w:shd w:val="clear" w:color="auto" w:fill="auto"/>
            <w:vAlign w:val="center"/>
          </w:tcPr>
          <w:p w14:paraId="56F2BCEB">
            <w:pPr>
              <w:pStyle w:val="1343"/>
            </w:pPr>
            <w:r>
              <w:t>综合比</w:t>
            </w:r>
          </w:p>
          <w:p w14:paraId="7EF4FDAD">
            <w:pPr>
              <w:pStyle w:val="1343"/>
            </w:pPr>
            <w:r>
              <w:t>选结果</w:t>
            </w:r>
          </w:p>
        </w:tc>
        <w:tc>
          <w:tcPr>
            <w:tcW w:w="1552" w:type="pct"/>
            <w:shd w:val="clear" w:color="auto" w:fill="auto"/>
            <w:vAlign w:val="center"/>
          </w:tcPr>
          <w:p w14:paraId="10F82360">
            <w:pPr>
              <w:pStyle w:val="1343"/>
              <w:rPr>
                <w:b/>
                <w:bCs/>
              </w:rPr>
            </w:pPr>
            <w:r>
              <w:rPr>
                <w:b/>
                <w:bCs/>
              </w:rPr>
              <w:t>推荐</w:t>
            </w:r>
          </w:p>
        </w:tc>
        <w:tc>
          <w:tcPr>
            <w:tcW w:w="1577" w:type="pct"/>
            <w:shd w:val="clear" w:color="auto" w:fill="auto"/>
            <w:vAlign w:val="center"/>
          </w:tcPr>
          <w:p w14:paraId="712B3C4F">
            <w:pPr>
              <w:pStyle w:val="1343"/>
              <w:jc w:val="left"/>
            </w:pPr>
          </w:p>
        </w:tc>
        <w:tc>
          <w:tcPr>
            <w:tcW w:w="679" w:type="pct"/>
            <w:shd w:val="clear" w:color="auto" w:fill="auto"/>
            <w:vAlign w:val="center"/>
          </w:tcPr>
          <w:p w14:paraId="7590EA68">
            <w:pPr>
              <w:pStyle w:val="1343"/>
              <w:jc w:val="left"/>
            </w:pPr>
          </w:p>
        </w:tc>
        <w:tc>
          <w:tcPr>
            <w:tcW w:w="568" w:type="pct"/>
            <w:shd w:val="clear" w:color="auto" w:fill="auto"/>
            <w:vAlign w:val="center"/>
          </w:tcPr>
          <w:p w14:paraId="2CF18CE7">
            <w:pPr>
              <w:pStyle w:val="1343"/>
            </w:pPr>
          </w:p>
        </w:tc>
      </w:tr>
    </w:tbl>
    <w:p w14:paraId="225AFD24">
      <w:pPr>
        <w:pStyle w:val="234"/>
        <w:spacing w:before="120" w:beforeLines="50"/>
      </w:pPr>
      <w:r>
        <w:rPr>
          <w:rFonts w:hint="eastAsia"/>
        </w:rPr>
        <w:t>根据比选结果，方案二永久占地面积较小，对生态环境影响较小，但方案一距离敏感目标较远且不穿越地表水体，对地表水环境、声环境及环境风险的影响比方案二小，因此从环境保护角度考虑选择</w:t>
      </w:r>
      <w:r>
        <w:t>方案一。</w:t>
      </w:r>
    </w:p>
    <w:p w14:paraId="23843C39">
      <w:pPr>
        <w:pStyle w:val="7"/>
      </w:pPr>
      <w:r>
        <w:rPr>
          <w:rFonts w:hint="eastAsia"/>
        </w:rPr>
        <w:t>路由方案比选</w:t>
      </w:r>
    </w:p>
    <w:p w14:paraId="733A2901">
      <w:pPr>
        <w:pStyle w:val="234"/>
        <w:spacing w:before="48" w:after="48"/>
      </w:pPr>
      <w:r>
        <w:t>根据线路起点与终点位置，结合调研和现场踏勘成果，提出</w:t>
      </w:r>
      <w:r>
        <w:rPr>
          <w:rFonts w:hint="eastAsia"/>
        </w:rPr>
        <w:t>两种</w:t>
      </w:r>
      <w:r>
        <w:t>方案进行比选。</w:t>
      </w:r>
    </w:p>
    <w:p w14:paraId="25BAAD84">
      <w:pPr>
        <w:pStyle w:val="234"/>
        <w:spacing w:before="48" w:after="48"/>
      </w:pPr>
      <w:r>
        <w:t>（1）</w:t>
      </w:r>
      <w:r>
        <w:rPr>
          <w:rFonts w:hint="eastAsia"/>
        </w:rPr>
        <w:t>方案一</w:t>
      </w:r>
    </w:p>
    <w:p w14:paraId="2510F530">
      <w:pPr>
        <w:pStyle w:val="234"/>
        <w:spacing w:before="48" w:after="48"/>
      </w:pPr>
      <w:r>
        <w:rPr>
          <w:rFonts w:hint="eastAsia"/>
        </w:rPr>
        <w:t>方案一路由出28号阀室向南敷设至G356，过G356后向东南方向经过耒阳门站至本项目新建耒阳分输站，沿途经过主要为耕地，林地，地貌为丘陵。与G356交叉一处，与潜江－韶关输气管道交叉一处，与耒阳门站出站道路交叉一处。线路全长</w:t>
      </w:r>
      <w:r>
        <w:rPr>
          <w:rFonts w:hint="eastAsia"/>
          <w:lang w:eastAsia="zh-CN"/>
        </w:rPr>
        <w:t>760</w:t>
      </w:r>
      <w:r>
        <w:rPr>
          <w:rFonts w:hint="eastAsia"/>
        </w:rPr>
        <w:t>m。</w:t>
      </w:r>
    </w:p>
    <w:p w14:paraId="09B2ECFE">
      <w:pPr>
        <w:pStyle w:val="234"/>
        <w:spacing w:before="48" w:after="48"/>
      </w:pPr>
      <w:r>
        <w:rPr>
          <w:rFonts w:hint="eastAsia"/>
        </w:rPr>
        <w:t>（</w:t>
      </w:r>
      <w:r>
        <w:t>2</w:t>
      </w:r>
      <w:r>
        <w:rPr>
          <w:rFonts w:hint="eastAsia"/>
        </w:rPr>
        <w:t>）方案二</w:t>
      </w:r>
    </w:p>
    <w:p w14:paraId="34F82DEF">
      <w:pPr>
        <w:pStyle w:val="234"/>
        <w:spacing w:before="48" w:after="48"/>
      </w:pPr>
      <w:r>
        <w:rPr>
          <w:rFonts w:hint="eastAsia"/>
        </w:rPr>
        <w:t>方案二路由东侧出 28 号阀室，向南经过鱼塘、G356，经过耒阳门站至本项目新建耒阳分输站。与鱼塘交叉一处，与 G356 交叉一处，与耒阳门站出站管道交叉一处。线路全长863m。</w:t>
      </w:r>
    </w:p>
    <w:p w14:paraId="0B0CFC80">
      <w:pPr>
        <w:spacing w:line="360" w:lineRule="auto"/>
        <w:ind w:firstLine="480" w:firstLineChars="200"/>
        <w:rPr>
          <w:sz w:val="24"/>
        </w:rPr>
      </w:pPr>
      <w:r>
        <w:rPr>
          <w:rFonts w:hint="eastAsia"/>
          <w:sz w:val="24"/>
        </w:rPr>
        <w:t>方案一及方案二</w:t>
      </w:r>
      <w:r>
        <w:rPr>
          <w:sz w:val="24"/>
        </w:rPr>
        <w:t>管线具体走向见图5.1-</w:t>
      </w:r>
      <w:r>
        <w:rPr>
          <w:rFonts w:hint="eastAsia"/>
          <w:sz w:val="24"/>
        </w:rPr>
        <w:t>4。</w:t>
      </w:r>
    </w:p>
    <w:p w14:paraId="5B1625AA">
      <w:pPr>
        <w:spacing w:line="360" w:lineRule="auto"/>
        <w:jc w:val="center"/>
        <w:rPr>
          <w:sz w:val="24"/>
        </w:rPr>
      </w:pPr>
      <w:r>
        <w:rPr>
          <w:rFonts w:hint="eastAsia"/>
          <w:sz w:val="24"/>
        </w:rPr>
        <w:drawing>
          <wp:inline distT="0" distB="0" distL="114300" distR="114300">
            <wp:extent cx="5948045" cy="7620000"/>
            <wp:effectExtent l="0" t="0" r="14605" b="0"/>
            <wp:docPr id="44" name="图片 44" descr="3e3b69c0d0b1c8e85f334be824558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3e3b69c0d0b1c8e85f334be8245588a"/>
                    <pic:cNvPicPr>
                      <a:picLocks noChangeAspect="1"/>
                    </pic:cNvPicPr>
                  </pic:nvPicPr>
                  <pic:blipFill>
                    <a:blip r:embed="rId78"/>
                    <a:stretch>
                      <a:fillRect/>
                    </a:stretch>
                  </pic:blipFill>
                  <pic:spPr>
                    <a:xfrm>
                      <a:off x="0" y="0"/>
                      <a:ext cx="5948045" cy="7620000"/>
                    </a:xfrm>
                    <a:prstGeom prst="rect">
                      <a:avLst/>
                    </a:prstGeom>
                  </pic:spPr>
                </pic:pic>
              </a:graphicData>
            </a:graphic>
          </wp:inline>
        </w:drawing>
      </w:r>
    </w:p>
    <w:p w14:paraId="4A243839">
      <w:pPr>
        <w:pStyle w:val="105"/>
        <w:jc w:val="center"/>
        <w:rPr>
          <w:rFonts w:ascii="Times New Roman" w:eastAsia="黑体" w:cs="Times New Roman"/>
          <w:snapToGrid w:val="0"/>
          <w:color w:val="auto"/>
          <w:kern w:val="0"/>
        </w:rPr>
      </w:pPr>
      <w:r>
        <w:rPr>
          <w:rFonts w:hint="eastAsia" w:ascii="Times New Roman" w:eastAsia="黑体" w:cs="Times New Roman"/>
          <w:snapToGrid w:val="0"/>
          <w:color w:val="auto"/>
          <w:kern w:val="0"/>
        </w:rPr>
        <w:t>图5.1-4  管线路由方案比选图</w:t>
      </w:r>
    </w:p>
    <w:p w14:paraId="7B842290">
      <w:pPr>
        <w:spacing w:line="360" w:lineRule="auto"/>
        <w:ind w:firstLine="480" w:firstLineChars="200"/>
        <w:rPr>
          <w:sz w:val="24"/>
        </w:rPr>
      </w:pPr>
      <w:r>
        <w:rPr>
          <w:rFonts w:hint="eastAsia"/>
          <w:sz w:val="24"/>
        </w:rPr>
        <w:t>（3）比选结果</w:t>
      </w:r>
    </w:p>
    <w:p w14:paraId="5DFE8030">
      <w:pPr>
        <w:spacing w:line="360" w:lineRule="auto"/>
        <w:ind w:firstLine="480" w:firstLineChars="200"/>
        <w:rPr>
          <w:sz w:val="24"/>
        </w:rPr>
      </w:pPr>
      <w:r>
        <w:rPr>
          <w:rFonts w:hint="eastAsia"/>
          <w:sz w:val="24"/>
        </w:rPr>
        <w:t>方案一与方案二工程量比选见表5.1-2，</w:t>
      </w:r>
      <w:r>
        <w:rPr>
          <w:sz w:val="24"/>
        </w:rPr>
        <w:t>环境敏感性、优缺点综合比较见</w:t>
      </w:r>
      <w:r>
        <w:fldChar w:fldCharType="begin"/>
      </w:r>
      <w:r>
        <w:instrText xml:space="preserve"> HYPERLINK \l "_bookmark1" </w:instrText>
      </w:r>
      <w:r>
        <w:fldChar w:fldCharType="separate"/>
      </w:r>
      <w:r>
        <w:rPr>
          <w:rFonts w:hint="eastAsia"/>
          <w:sz w:val="24"/>
        </w:rPr>
        <w:t>表5</w:t>
      </w:r>
      <w:r>
        <w:rPr>
          <w:sz w:val="24"/>
        </w:rPr>
        <w:t>.1</w:t>
      </w:r>
      <w:r>
        <w:rPr>
          <w:rFonts w:hint="eastAsia"/>
          <w:sz w:val="24"/>
        </w:rPr>
        <w:t>-</w:t>
      </w:r>
      <w:r>
        <w:rPr>
          <w:sz w:val="24"/>
        </w:rPr>
        <w:t>3</w:t>
      </w:r>
      <w:r>
        <w:rPr>
          <w:sz w:val="24"/>
        </w:rPr>
        <w:fldChar w:fldCharType="end"/>
      </w:r>
      <w:r>
        <w:rPr>
          <w:sz w:val="24"/>
        </w:rPr>
        <w:t>。</w:t>
      </w:r>
    </w:p>
    <w:p w14:paraId="6C920453">
      <w:pPr>
        <w:pStyle w:val="904"/>
      </w:pPr>
      <w:r>
        <w:t>表 5.1-</w:t>
      </w:r>
      <w:r>
        <w:rPr>
          <w:rFonts w:hint="eastAsia"/>
        </w:rPr>
        <w:t>2</w:t>
      </w:r>
      <w:r>
        <w:t xml:space="preserve"> </w:t>
      </w:r>
      <w:r>
        <w:rPr>
          <w:rFonts w:hint="eastAsia"/>
        </w:rPr>
        <w:t>管线路由方案</w:t>
      </w:r>
      <w:r>
        <w:t>工程量对比表</w:t>
      </w:r>
    </w:p>
    <w:tbl>
      <w:tblPr>
        <w:tblStyle w:val="88"/>
        <w:tblW w:w="501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00"/>
        <w:gridCol w:w="2972"/>
        <w:gridCol w:w="2050"/>
        <w:gridCol w:w="2074"/>
        <w:gridCol w:w="1312"/>
      </w:tblGrid>
      <w:tr w14:paraId="00FC3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2110" w:type="pct"/>
            <w:gridSpan w:val="2"/>
            <w:shd w:val="clear" w:color="auto" w:fill="auto"/>
            <w:vAlign w:val="center"/>
          </w:tcPr>
          <w:p w14:paraId="70B28767">
            <w:pPr>
              <w:pStyle w:val="1343"/>
            </w:pPr>
            <w:r>
              <w:t>比选内容</w:t>
            </w:r>
          </w:p>
        </w:tc>
        <w:tc>
          <w:tcPr>
            <w:tcW w:w="1089" w:type="pct"/>
            <w:shd w:val="clear" w:color="auto" w:fill="auto"/>
            <w:vAlign w:val="center"/>
          </w:tcPr>
          <w:p w14:paraId="6317A39C">
            <w:pPr>
              <w:pStyle w:val="1343"/>
            </w:pPr>
            <w:r>
              <w:t>方案一</w:t>
            </w:r>
          </w:p>
        </w:tc>
        <w:tc>
          <w:tcPr>
            <w:tcW w:w="1102" w:type="pct"/>
            <w:shd w:val="clear" w:color="auto" w:fill="auto"/>
            <w:vAlign w:val="center"/>
          </w:tcPr>
          <w:p w14:paraId="0D3853EE">
            <w:pPr>
              <w:pStyle w:val="1343"/>
            </w:pPr>
            <w:r>
              <w:t>方案二</w:t>
            </w:r>
          </w:p>
        </w:tc>
        <w:tc>
          <w:tcPr>
            <w:tcW w:w="697" w:type="pct"/>
            <w:shd w:val="clear" w:color="auto" w:fill="auto"/>
            <w:vAlign w:val="center"/>
          </w:tcPr>
          <w:p w14:paraId="2260715E">
            <w:pPr>
              <w:pStyle w:val="1343"/>
            </w:pPr>
            <w:r>
              <w:t>比选结果</w:t>
            </w:r>
          </w:p>
        </w:tc>
      </w:tr>
      <w:tr w14:paraId="1199F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531" w:type="pct"/>
            <w:shd w:val="clear" w:color="auto" w:fill="auto"/>
            <w:vAlign w:val="center"/>
          </w:tcPr>
          <w:p w14:paraId="7B8EADA1">
            <w:pPr>
              <w:pStyle w:val="1343"/>
            </w:pPr>
            <w:r>
              <w:t>管道长度（km）</w:t>
            </w:r>
          </w:p>
        </w:tc>
        <w:tc>
          <w:tcPr>
            <w:tcW w:w="1579" w:type="pct"/>
            <w:vAlign w:val="center"/>
          </w:tcPr>
          <w:p w14:paraId="005B4193">
            <w:pPr>
              <w:pStyle w:val="1343"/>
            </w:pPr>
            <w:r>
              <w:t>总长度</w:t>
            </w:r>
            <w:r>
              <w:rPr>
                <w:rFonts w:hint="eastAsia"/>
              </w:rPr>
              <w:t>（m）</w:t>
            </w:r>
          </w:p>
        </w:tc>
        <w:tc>
          <w:tcPr>
            <w:tcW w:w="1089" w:type="pct"/>
            <w:shd w:val="clear" w:color="auto" w:fill="auto"/>
            <w:vAlign w:val="center"/>
          </w:tcPr>
          <w:p w14:paraId="4746785C">
            <w:pPr>
              <w:pStyle w:val="1343"/>
              <w:rPr>
                <w:rFonts w:hint="eastAsia" w:eastAsia="宋体"/>
                <w:lang w:eastAsia="zh-CN"/>
              </w:rPr>
            </w:pPr>
            <w:r>
              <w:rPr>
                <w:rFonts w:hint="eastAsia"/>
                <w:lang w:eastAsia="zh-CN"/>
              </w:rPr>
              <w:t>760</w:t>
            </w:r>
          </w:p>
        </w:tc>
        <w:tc>
          <w:tcPr>
            <w:tcW w:w="1102" w:type="pct"/>
            <w:shd w:val="clear" w:color="auto" w:fill="auto"/>
            <w:vAlign w:val="center"/>
          </w:tcPr>
          <w:p w14:paraId="49FD5A14">
            <w:pPr>
              <w:pStyle w:val="1343"/>
            </w:pPr>
            <w:r>
              <w:rPr>
                <w:rFonts w:hint="eastAsia"/>
              </w:rPr>
              <w:t>863</w:t>
            </w:r>
          </w:p>
        </w:tc>
        <w:tc>
          <w:tcPr>
            <w:tcW w:w="697" w:type="pct"/>
            <w:shd w:val="clear" w:color="auto" w:fill="auto"/>
            <w:vAlign w:val="center"/>
          </w:tcPr>
          <w:p w14:paraId="146E9B23">
            <w:pPr>
              <w:pStyle w:val="1343"/>
            </w:pPr>
            <w:r>
              <w:t>方案</w:t>
            </w:r>
            <w:r>
              <w:rPr>
                <w:rFonts w:hint="eastAsia"/>
              </w:rPr>
              <w:t>一</w:t>
            </w:r>
            <w:r>
              <w:t>优</w:t>
            </w:r>
          </w:p>
        </w:tc>
      </w:tr>
      <w:tr w14:paraId="40B65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531" w:type="pct"/>
            <w:vMerge w:val="restart"/>
            <w:shd w:val="clear" w:color="auto" w:fill="auto"/>
            <w:vAlign w:val="center"/>
          </w:tcPr>
          <w:p w14:paraId="6AD2878B">
            <w:pPr>
              <w:pStyle w:val="1343"/>
            </w:pPr>
            <w:r>
              <w:t>管道穿越</w:t>
            </w:r>
          </w:p>
        </w:tc>
        <w:tc>
          <w:tcPr>
            <w:tcW w:w="1579" w:type="pct"/>
            <w:vAlign w:val="center"/>
          </w:tcPr>
          <w:p w14:paraId="13299D12">
            <w:pPr>
              <w:pStyle w:val="1343"/>
            </w:pPr>
            <w:r>
              <w:rPr>
                <w:rFonts w:hint="eastAsia"/>
                <w:i/>
                <w:iCs/>
                <w:color w:val="auto"/>
                <w:u w:val="single"/>
              </w:rPr>
              <w:t>国道</w:t>
            </w:r>
            <w:r>
              <w:rPr>
                <w:i/>
                <w:iCs/>
                <w:color w:val="auto"/>
                <w:u w:val="single"/>
              </w:rPr>
              <w:t>（m/处）</w:t>
            </w:r>
          </w:p>
        </w:tc>
        <w:tc>
          <w:tcPr>
            <w:tcW w:w="1089" w:type="pct"/>
            <w:shd w:val="clear" w:color="auto" w:fill="auto"/>
            <w:vAlign w:val="center"/>
          </w:tcPr>
          <w:p w14:paraId="38B1521B">
            <w:pPr>
              <w:pStyle w:val="1343"/>
            </w:pPr>
            <w:r>
              <w:rPr>
                <w:rFonts w:hint="eastAsia"/>
                <w:spacing w:val="-1"/>
              </w:rPr>
              <w:t>40/1</w:t>
            </w:r>
          </w:p>
        </w:tc>
        <w:tc>
          <w:tcPr>
            <w:tcW w:w="1102" w:type="pct"/>
            <w:shd w:val="clear" w:color="auto" w:fill="auto"/>
            <w:vAlign w:val="center"/>
          </w:tcPr>
          <w:p w14:paraId="5C75FB61">
            <w:pPr>
              <w:pStyle w:val="1343"/>
            </w:pPr>
            <w:r>
              <w:rPr>
                <w:rFonts w:hint="eastAsia"/>
              </w:rPr>
              <w:t>50/1</w:t>
            </w:r>
          </w:p>
        </w:tc>
        <w:tc>
          <w:tcPr>
            <w:tcW w:w="697" w:type="pct"/>
            <w:vMerge w:val="restart"/>
            <w:shd w:val="clear" w:color="auto" w:fill="auto"/>
            <w:vAlign w:val="center"/>
          </w:tcPr>
          <w:p w14:paraId="704B1E76">
            <w:pPr>
              <w:pStyle w:val="1343"/>
            </w:pPr>
            <w:r>
              <w:t>方案</w:t>
            </w:r>
            <w:r>
              <w:rPr>
                <w:rFonts w:hint="eastAsia"/>
              </w:rPr>
              <w:t>一</w:t>
            </w:r>
            <w:r>
              <w:t>优</w:t>
            </w:r>
          </w:p>
        </w:tc>
      </w:tr>
      <w:tr w14:paraId="5A547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531" w:type="pct"/>
            <w:vMerge w:val="continue"/>
            <w:shd w:val="clear" w:color="auto" w:fill="auto"/>
            <w:vAlign w:val="center"/>
          </w:tcPr>
          <w:p w14:paraId="7120C304">
            <w:pPr>
              <w:pStyle w:val="1343"/>
            </w:pPr>
          </w:p>
        </w:tc>
        <w:tc>
          <w:tcPr>
            <w:tcW w:w="1579" w:type="pct"/>
            <w:vAlign w:val="center"/>
          </w:tcPr>
          <w:p w14:paraId="380356B4">
            <w:pPr>
              <w:pStyle w:val="1343"/>
            </w:pPr>
            <w:r>
              <w:rPr>
                <w:rFonts w:hint="eastAsia"/>
              </w:rPr>
              <w:t>其他管道</w:t>
            </w:r>
            <w:r>
              <w:t>（m/处）</w:t>
            </w:r>
          </w:p>
        </w:tc>
        <w:tc>
          <w:tcPr>
            <w:tcW w:w="1089" w:type="pct"/>
            <w:shd w:val="clear" w:color="auto" w:fill="auto"/>
            <w:vAlign w:val="center"/>
          </w:tcPr>
          <w:p w14:paraId="3C78DEBC">
            <w:pPr>
              <w:pStyle w:val="1343"/>
            </w:pPr>
            <w:r>
              <w:rPr>
                <w:rFonts w:hint="eastAsia"/>
              </w:rPr>
              <w:t>30/1</w:t>
            </w:r>
          </w:p>
        </w:tc>
        <w:tc>
          <w:tcPr>
            <w:tcW w:w="1102" w:type="pct"/>
            <w:shd w:val="clear" w:color="auto" w:fill="auto"/>
            <w:vAlign w:val="center"/>
          </w:tcPr>
          <w:p w14:paraId="17D7065E">
            <w:pPr>
              <w:pStyle w:val="1343"/>
            </w:pPr>
            <w:r>
              <w:rPr>
                <w:rFonts w:hint="eastAsia"/>
              </w:rPr>
              <w:t>30/1</w:t>
            </w:r>
          </w:p>
        </w:tc>
        <w:tc>
          <w:tcPr>
            <w:tcW w:w="697" w:type="pct"/>
            <w:vMerge w:val="continue"/>
            <w:shd w:val="clear" w:color="auto" w:fill="auto"/>
            <w:vAlign w:val="center"/>
          </w:tcPr>
          <w:p w14:paraId="10C27470">
            <w:pPr>
              <w:pStyle w:val="1343"/>
            </w:pPr>
          </w:p>
        </w:tc>
      </w:tr>
      <w:tr w14:paraId="4FABD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531" w:type="pct"/>
            <w:vMerge w:val="continue"/>
            <w:shd w:val="clear" w:color="auto" w:fill="auto"/>
            <w:vAlign w:val="center"/>
          </w:tcPr>
          <w:p w14:paraId="08F5C504">
            <w:pPr>
              <w:pStyle w:val="1343"/>
            </w:pPr>
          </w:p>
        </w:tc>
        <w:tc>
          <w:tcPr>
            <w:tcW w:w="1579" w:type="pct"/>
            <w:vAlign w:val="center"/>
          </w:tcPr>
          <w:p w14:paraId="17883E91">
            <w:pPr>
              <w:pStyle w:val="1343"/>
            </w:pPr>
            <w:r>
              <w:rPr>
                <w:rFonts w:hint="eastAsia"/>
              </w:rPr>
              <w:t>坑塘（</w:t>
            </w:r>
            <w:r>
              <w:t>m/处</w:t>
            </w:r>
            <w:r>
              <w:rPr>
                <w:rFonts w:hint="eastAsia"/>
              </w:rPr>
              <w:t>）</w:t>
            </w:r>
          </w:p>
        </w:tc>
        <w:tc>
          <w:tcPr>
            <w:tcW w:w="1089" w:type="pct"/>
            <w:shd w:val="clear" w:color="auto" w:fill="auto"/>
            <w:vAlign w:val="center"/>
          </w:tcPr>
          <w:p w14:paraId="3B4EC2A9">
            <w:pPr>
              <w:pStyle w:val="1343"/>
            </w:pPr>
            <w:r>
              <w:rPr>
                <w:rFonts w:hint="eastAsia"/>
              </w:rPr>
              <w:t>无</w:t>
            </w:r>
          </w:p>
        </w:tc>
        <w:tc>
          <w:tcPr>
            <w:tcW w:w="1102" w:type="pct"/>
            <w:shd w:val="clear" w:color="auto" w:fill="auto"/>
            <w:vAlign w:val="center"/>
          </w:tcPr>
          <w:p w14:paraId="73683D77">
            <w:pPr>
              <w:pStyle w:val="1343"/>
            </w:pPr>
            <w:r>
              <w:rPr>
                <w:rFonts w:hint="eastAsia"/>
              </w:rPr>
              <w:t>130/1</w:t>
            </w:r>
          </w:p>
        </w:tc>
        <w:tc>
          <w:tcPr>
            <w:tcW w:w="697" w:type="pct"/>
            <w:vMerge w:val="continue"/>
            <w:shd w:val="clear" w:color="auto" w:fill="auto"/>
            <w:vAlign w:val="center"/>
          </w:tcPr>
          <w:p w14:paraId="7EF862F0">
            <w:pPr>
              <w:pStyle w:val="1343"/>
            </w:pPr>
          </w:p>
        </w:tc>
      </w:tr>
      <w:tr w14:paraId="7D151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531" w:type="pct"/>
            <w:shd w:val="clear" w:color="auto" w:fill="auto"/>
            <w:vAlign w:val="center"/>
          </w:tcPr>
          <w:p w14:paraId="45A273DA">
            <w:pPr>
              <w:pStyle w:val="1343"/>
            </w:pPr>
            <w:r>
              <w:t>道路工程</w:t>
            </w:r>
          </w:p>
        </w:tc>
        <w:tc>
          <w:tcPr>
            <w:tcW w:w="1579" w:type="pct"/>
            <w:vAlign w:val="center"/>
          </w:tcPr>
          <w:p w14:paraId="52BDDFFE">
            <w:pPr>
              <w:pStyle w:val="1343"/>
            </w:pPr>
            <w:r>
              <w:t>施工道路（km）</w:t>
            </w:r>
          </w:p>
        </w:tc>
        <w:tc>
          <w:tcPr>
            <w:tcW w:w="1089" w:type="pct"/>
            <w:shd w:val="clear" w:color="auto" w:fill="auto"/>
            <w:vAlign w:val="center"/>
          </w:tcPr>
          <w:p w14:paraId="28A53583">
            <w:pPr>
              <w:pStyle w:val="1343"/>
            </w:pPr>
            <w:r>
              <w:rPr>
                <w:rFonts w:hint="eastAsia"/>
              </w:rPr>
              <w:t>0.2</w:t>
            </w:r>
          </w:p>
        </w:tc>
        <w:tc>
          <w:tcPr>
            <w:tcW w:w="1102" w:type="pct"/>
            <w:shd w:val="clear" w:color="auto" w:fill="auto"/>
            <w:vAlign w:val="center"/>
          </w:tcPr>
          <w:p w14:paraId="433E2E2C">
            <w:pPr>
              <w:pStyle w:val="1343"/>
            </w:pPr>
            <w:r>
              <w:rPr>
                <w:rFonts w:hint="eastAsia"/>
              </w:rPr>
              <w:t>0.63</w:t>
            </w:r>
          </w:p>
        </w:tc>
        <w:tc>
          <w:tcPr>
            <w:tcW w:w="697" w:type="pct"/>
            <w:shd w:val="clear" w:color="auto" w:fill="auto"/>
            <w:vAlign w:val="center"/>
          </w:tcPr>
          <w:p w14:paraId="1398F530">
            <w:pPr>
              <w:pStyle w:val="1343"/>
            </w:pPr>
            <w:r>
              <w:t>方案</w:t>
            </w:r>
            <w:r>
              <w:rPr>
                <w:rFonts w:hint="eastAsia"/>
              </w:rPr>
              <w:t>一</w:t>
            </w:r>
            <w:r>
              <w:t>优</w:t>
            </w:r>
          </w:p>
        </w:tc>
      </w:tr>
      <w:tr w14:paraId="49363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531" w:type="pct"/>
            <w:shd w:val="clear" w:color="auto" w:fill="auto"/>
            <w:vAlign w:val="center"/>
          </w:tcPr>
          <w:p w14:paraId="5132F83F">
            <w:pPr>
              <w:pStyle w:val="1343"/>
            </w:pPr>
            <w:r>
              <w:t>土石方</w:t>
            </w:r>
          </w:p>
        </w:tc>
        <w:tc>
          <w:tcPr>
            <w:tcW w:w="1579" w:type="pct"/>
            <w:vAlign w:val="center"/>
          </w:tcPr>
          <w:p w14:paraId="690503E4">
            <w:pPr>
              <w:pStyle w:val="1343"/>
            </w:pPr>
            <w:r>
              <w:rPr>
                <w:rFonts w:hint="eastAsia"/>
              </w:rPr>
              <w:t>管道</w:t>
            </w:r>
            <w:r>
              <w:t>土方量m</w:t>
            </w:r>
            <w:r>
              <w:rPr>
                <w:vertAlign w:val="superscript"/>
              </w:rPr>
              <w:t>3</w:t>
            </w:r>
          </w:p>
        </w:tc>
        <w:tc>
          <w:tcPr>
            <w:tcW w:w="1089" w:type="pct"/>
            <w:shd w:val="clear" w:color="auto" w:fill="auto"/>
            <w:vAlign w:val="center"/>
          </w:tcPr>
          <w:p w14:paraId="785B9840">
            <w:pPr>
              <w:pStyle w:val="1343"/>
            </w:pPr>
            <w:r>
              <w:rPr>
                <w:rFonts w:hint="eastAsia"/>
              </w:rPr>
              <w:t>4000</w:t>
            </w:r>
          </w:p>
        </w:tc>
        <w:tc>
          <w:tcPr>
            <w:tcW w:w="1102" w:type="pct"/>
            <w:shd w:val="clear" w:color="auto" w:fill="auto"/>
            <w:vAlign w:val="center"/>
          </w:tcPr>
          <w:p w14:paraId="46BED525">
            <w:pPr>
              <w:pStyle w:val="1343"/>
            </w:pPr>
            <w:r>
              <w:rPr>
                <w:rFonts w:hint="eastAsia"/>
                <w:spacing w:val="-1"/>
              </w:rPr>
              <w:t>7000</w:t>
            </w:r>
          </w:p>
        </w:tc>
        <w:tc>
          <w:tcPr>
            <w:tcW w:w="697" w:type="pct"/>
            <w:shd w:val="clear" w:color="auto" w:fill="auto"/>
            <w:vAlign w:val="center"/>
          </w:tcPr>
          <w:p w14:paraId="4903E9B4">
            <w:pPr>
              <w:pStyle w:val="1343"/>
            </w:pPr>
            <w:r>
              <w:t>方案</w:t>
            </w:r>
            <w:r>
              <w:rPr>
                <w:rFonts w:hint="eastAsia"/>
              </w:rPr>
              <w:t>一</w:t>
            </w:r>
            <w:r>
              <w:t>优</w:t>
            </w:r>
          </w:p>
        </w:tc>
      </w:tr>
      <w:tr w14:paraId="4E4BB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531" w:type="pct"/>
            <w:shd w:val="clear" w:color="auto" w:fill="auto"/>
            <w:vAlign w:val="center"/>
          </w:tcPr>
          <w:p w14:paraId="37C6A7AB">
            <w:pPr>
              <w:pStyle w:val="1343"/>
            </w:pPr>
            <w:r>
              <w:t>征占地</w:t>
            </w:r>
          </w:p>
        </w:tc>
        <w:tc>
          <w:tcPr>
            <w:tcW w:w="1579" w:type="pct"/>
            <w:vAlign w:val="center"/>
          </w:tcPr>
          <w:p w14:paraId="2A4FCC26">
            <w:pPr>
              <w:pStyle w:val="1343"/>
            </w:pPr>
            <w:r>
              <w:rPr>
                <w:rFonts w:hint="eastAsia"/>
              </w:rPr>
              <w:t>管道</w:t>
            </w:r>
            <w:r>
              <w:t>临时占地（</w:t>
            </w:r>
            <w:r>
              <w:rPr>
                <w:spacing w:val="-1"/>
              </w:rPr>
              <w:t>m</w:t>
            </w:r>
            <w:r>
              <w:rPr>
                <w:vertAlign w:val="superscript"/>
              </w:rPr>
              <w:t>2</w:t>
            </w:r>
            <w:r>
              <w:t>）</w:t>
            </w:r>
          </w:p>
        </w:tc>
        <w:tc>
          <w:tcPr>
            <w:tcW w:w="1089" w:type="pct"/>
            <w:shd w:val="clear" w:color="auto" w:fill="auto"/>
            <w:vAlign w:val="center"/>
          </w:tcPr>
          <w:p w14:paraId="6BD6B301">
            <w:pPr>
              <w:pStyle w:val="1343"/>
            </w:pPr>
            <w:r>
              <w:rPr>
                <w:rFonts w:hint="eastAsia"/>
                <w:spacing w:val="1"/>
              </w:rPr>
              <w:t>9760</w:t>
            </w:r>
          </w:p>
        </w:tc>
        <w:tc>
          <w:tcPr>
            <w:tcW w:w="1102" w:type="pct"/>
            <w:shd w:val="clear" w:color="auto" w:fill="auto"/>
            <w:vAlign w:val="center"/>
          </w:tcPr>
          <w:p w14:paraId="4BF59661">
            <w:pPr>
              <w:pStyle w:val="1343"/>
            </w:pPr>
            <w:r>
              <w:rPr>
                <w:rFonts w:hint="eastAsia"/>
              </w:rPr>
              <w:t>12500</w:t>
            </w:r>
          </w:p>
        </w:tc>
        <w:tc>
          <w:tcPr>
            <w:tcW w:w="697" w:type="pct"/>
            <w:shd w:val="clear" w:color="auto" w:fill="auto"/>
            <w:vAlign w:val="center"/>
          </w:tcPr>
          <w:p w14:paraId="5448DD4E">
            <w:pPr>
              <w:pStyle w:val="1343"/>
            </w:pPr>
            <w:r>
              <w:t>方案</w:t>
            </w:r>
            <w:r>
              <w:rPr>
                <w:rFonts w:hint="eastAsia"/>
              </w:rPr>
              <w:t>一</w:t>
            </w:r>
            <w:r>
              <w:t>优</w:t>
            </w:r>
          </w:p>
        </w:tc>
      </w:tr>
    </w:tbl>
    <w:p w14:paraId="49E5BB33">
      <w:pPr>
        <w:pStyle w:val="904"/>
        <w:spacing w:before="120" w:beforeLines="50"/>
        <w:rPr>
          <w:i/>
          <w:iCs/>
          <w:color w:val="auto"/>
          <w:u w:val="single"/>
        </w:rPr>
      </w:pPr>
      <w:r>
        <w:rPr>
          <w:i/>
          <w:iCs/>
          <w:color w:val="auto"/>
          <w:u w:val="single"/>
        </w:rPr>
        <w:t xml:space="preserve">表5.1-3 </w:t>
      </w:r>
      <w:r>
        <w:rPr>
          <w:rFonts w:hint="eastAsia"/>
          <w:i/>
          <w:iCs/>
          <w:color w:val="auto"/>
          <w:u w:val="single"/>
        </w:rPr>
        <w:t>路由方案</w:t>
      </w:r>
      <w:r>
        <w:rPr>
          <w:i/>
          <w:iCs/>
          <w:color w:val="auto"/>
          <w:u w:val="single"/>
        </w:rPr>
        <w:t>环境敏感</w:t>
      </w:r>
      <w:r>
        <w:rPr>
          <w:i/>
          <w:iCs/>
          <w:color w:val="auto"/>
          <w:spacing w:val="-2"/>
          <w:u w:val="single"/>
        </w:rPr>
        <w:t>性比</w:t>
      </w:r>
      <w:r>
        <w:rPr>
          <w:i/>
          <w:iCs/>
          <w:color w:val="auto"/>
          <w:u w:val="single"/>
        </w:rPr>
        <w:t>选对比表</w:t>
      </w:r>
    </w:p>
    <w:tbl>
      <w:tblPr>
        <w:tblStyle w:val="88"/>
        <w:tblW w:w="5010" w:type="pct"/>
        <w:tblInd w:w="0" w:type="dxa"/>
        <w:tblLayout w:type="autofit"/>
        <w:tblCellMar>
          <w:top w:w="0" w:type="dxa"/>
          <w:left w:w="0" w:type="dxa"/>
          <w:bottom w:w="0" w:type="dxa"/>
          <w:right w:w="0" w:type="dxa"/>
        </w:tblCellMar>
      </w:tblPr>
      <w:tblGrid>
        <w:gridCol w:w="1165"/>
        <w:gridCol w:w="2744"/>
        <w:gridCol w:w="3180"/>
        <w:gridCol w:w="1315"/>
        <w:gridCol w:w="995"/>
      </w:tblGrid>
      <w:tr w14:paraId="47169816">
        <w:tblPrEx>
          <w:tblCellMar>
            <w:top w:w="0" w:type="dxa"/>
            <w:left w:w="0" w:type="dxa"/>
            <w:bottom w:w="0" w:type="dxa"/>
            <w:right w:w="0" w:type="dxa"/>
          </w:tblCellMar>
        </w:tblPrEx>
        <w:trPr>
          <w:trHeight w:val="340" w:hRule="atLeast"/>
        </w:trPr>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6A1896">
            <w:pPr>
              <w:pStyle w:val="1343"/>
            </w:pPr>
            <w:r>
              <w:t>比选内容</w:t>
            </w:r>
          </w:p>
        </w:tc>
        <w:tc>
          <w:tcPr>
            <w:tcW w:w="1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515AC4">
            <w:pPr>
              <w:pStyle w:val="1343"/>
            </w:pPr>
            <w:r>
              <w:rPr>
                <w:rFonts w:hint="eastAsia"/>
              </w:rPr>
              <w:t>方案一</w:t>
            </w:r>
          </w:p>
        </w:tc>
        <w:tc>
          <w:tcPr>
            <w:tcW w:w="1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7B40D3">
            <w:pPr>
              <w:pStyle w:val="1343"/>
            </w:pPr>
            <w:r>
              <w:rPr>
                <w:rFonts w:hint="eastAsia"/>
              </w:rPr>
              <w:t>方案二</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56432A">
            <w:pPr>
              <w:pStyle w:val="1343"/>
            </w:pPr>
            <w:r>
              <w:rPr>
                <w:rFonts w:hint="eastAsia"/>
              </w:rPr>
              <w:t>制约因素</w:t>
            </w:r>
          </w:p>
        </w:tc>
        <w:tc>
          <w:tcPr>
            <w:tcW w:w="5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9EB297">
            <w:pPr>
              <w:pStyle w:val="1343"/>
            </w:pPr>
            <w:r>
              <w:t>比选结果</w:t>
            </w:r>
          </w:p>
        </w:tc>
      </w:tr>
      <w:tr w14:paraId="348FE5CC">
        <w:tblPrEx>
          <w:tblCellMar>
            <w:top w:w="0" w:type="dxa"/>
            <w:left w:w="0" w:type="dxa"/>
            <w:bottom w:w="0" w:type="dxa"/>
            <w:right w:w="0" w:type="dxa"/>
          </w:tblCellMar>
        </w:tblPrEx>
        <w:trPr>
          <w:trHeight w:val="340" w:hRule="atLeast"/>
        </w:trPr>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24EF11">
            <w:pPr>
              <w:pStyle w:val="1343"/>
            </w:pPr>
            <w:r>
              <w:t>工程量（km）</w:t>
            </w:r>
          </w:p>
        </w:tc>
        <w:tc>
          <w:tcPr>
            <w:tcW w:w="1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C71966">
            <w:pPr>
              <w:pStyle w:val="1343"/>
              <w:jc w:val="left"/>
            </w:pPr>
            <w:r>
              <w:t>管线长度</w:t>
            </w:r>
            <w:r>
              <w:rPr>
                <w:rFonts w:hint="eastAsia"/>
                <w:lang w:eastAsia="zh-CN"/>
              </w:rPr>
              <w:t>760</w:t>
            </w:r>
            <w:r>
              <w:t>m，</w:t>
            </w:r>
            <w:r>
              <w:rPr>
                <w:rFonts w:hint="eastAsia"/>
              </w:rPr>
              <w:t>国道</w:t>
            </w:r>
            <w:r>
              <w:t>穿越</w:t>
            </w:r>
            <w:r>
              <w:rPr>
                <w:rFonts w:hint="eastAsia"/>
              </w:rPr>
              <w:t>1</w:t>
            </w:r>
            <w:r>
              <w:t>处，</w:t>
            </w:r>
            <w:r>
              <w:rPr>
                <w:rFonts w:hint="eastAsia"/>
              </w:rPr>
              <w:t>管道穿越1处；修整施工便道0.2km；临时占地9760</w:t>
            </w:r>
            <w:r>
              <w:rPr>
                <w:spacing w:val="-1"/>
              </w:rPr>
              <w:t>m</w:t>
            </w:r>
            <w:r>
              <w:rPr>
                <w:vertAlign w:val="superscript"/>
              </w:rPr>
              <w:t>2</w:t>
            </w:r>
          </w:p>
        </w:tc>
        <w:tc>
          <w:tcPr>
            <w:tcW w:w="1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48391C">
            <w:pPr>
              <w:pStyle w:val="1343"/>
              <w:jc w:val="left"/>
            </w:pPr>
            <w:r>
              <w:t>管线长度</w:t>
            </w:r>
            <w:r>
              <w:rPr>
                <w:rFonts w:hint="eastAsia"/>
              </w:rPr>
              <w:t>863</w:t>
            </w:r>
            <w:r>
              <w:t>m，</w:t>
            </w:r>
            <w:r>
              <w:rPr>
                <w:rFonts w:hint="eastAsia"/>
              </w:rPr>
              <w:t>国道</w:t>
            </w:r>
            <w:r>
              <w:t>穿越</w:t>
            </w:r>
            <w:r>
              <w:rPr>
                <w:rFonts w:hint="eastAsia"/>
              </w:rPr>
              <w:t>1</w:t>
            </w:r>
            <w:r>
              <w:t>处，</w:t>
            </w:r>
            <w:r>
              <w:rPr>
                <w:rFonts w:hint="eastAsia"/>
              </w:rPr>
              <w:t>管道穿越1处；新建施工便道0.63km；临时占地12500</w:t>
            </w:r>
            <w:r>
              <w:rPr>
                <w:spacing w:val="-1"/>
              </w:rPr>
              <w:t>m</w:t>
            </w:r>
            <w:r>
              <w:rPr>
                <w:vertAlign w:val="superscript"/>
              </w:rPr>
              <w:t>2</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5B4DE5">
            <w:pPr>
              <w:pStyle w:val="1343"/>
            </w:pPr>
            <w:r>
              <w:rPr>
                <w:rFonts w:hint="eastAsia"/>
              </w:rPr>
              <w:t>无</w:t>
            </w:r>
          </w:p>
        </w:tc>
        <w:tc>
          <w:tcPr>
            <w:tcW w:w="5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CD3519">
            <w:pPr>
              <w:pStyle w:val="1343"/>
            </w:pPr>
            <w:r>
              <w:rPr>
                <w:rFonts w:hint="eastAsia"/>
              </w:rPr>
              <w:t>方案一优</w:t>
            </w:r>
          </w:p>
        </w:tc>
      </w:tr>
      <w:tr w14:paraId="16FF405F">
        <w:tblPrEx>
          <w:tblCellMar>
            <w:top w:w="0" w:type="dxa"/>
            <w:left w:w="0" w:type="dxa"/>
            <w:bottom w:w="0" w:type="dxa"/>
            <w:right w:w="0" w:type="dxa"/>
          </w:tblCellMar>
        </w:tblPrEx>
        <w:trPr>
          <w:trHeight w:val="569" w:hRule="atLeast"/>
        </w:trPr>
        <w:tc>
          <w:tcPr>
            <w:tcW w:w="620" w:type="pct"/>
            <w:tcBorders>
              <w:top w:val="single" w:color="000000" w:sz="4" w:space="0"/>
              <w:left w:val="single" w:color="000000" w:sz="4" w:space="0"/>
              <w:right w:val="single" w:color="000000" w:sz="4" w:space="0"/>
            </w:tcBorders>
            <w:shd w:val="clear" w:color="auto" w:fill="auto"/>
            <w:vAlign w:val="center"/>
          </w:tcPr>
          <w:p w14:paraId="1177A91B">
            <w:pPr>
              <w:pStyle w:val="1343"/>
              <w:rPr>
                <w:highlight w:val="none"/>
              </w:rPr>
            </w:pPr>
            <w:r>
              <w:rPr>
                <w:highlight w:val="none"/>
              </w:rPr>
              <w:t>生态环境影响</w:t>
            </w:r>
          </w:p>
        </w:tc>
        <w:tc>
          <w:tcPr>
            <w:tcW w:w="1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A6B422">
            <w:pPr>
              <w:pStyle w:val="1343"/>
              <w:jc w:val="left"/>
              <w:rPr>
                <w:i/>
                <w:iCs/>
                <w:color w:val="auto"/>
                <w:highlight w:val="none"/>
                <w:u w:val="single"/>
              </w:rPr>
            </w:pPr>
            <w:r>
              <w:rPr>
                <w:i/>
                <w:iCs/>
                <w:color w:val="auto"/>
                <w:highlight w:val="none"/>
                <w:u w:val="single"/>
              </w:rPr>
              <w:t>沿线不涉及生态敏感区，</w:t>
            </w:r>
            <w:r>
              <w:rPr>
                <w:rFonts w:hint="eastAsia"/>
                <w:i/>
                <w:iCs/>
                <w:color w:val="auto"/>
                <w:highlight w:val="none"/>
                <w:u w:val="single"/>
              </w:rPr>
              <w:t>管道</w:t>
            </w:r>
            <w:r>
              <w:rPr>
                <w:i/>
                <w:iCs/>
                <w:color w:val="auto"/>
                <w:highlight w:val="none"/>
                <w:u w:val="single"/>
              </w:rPr>
              <w:t>临时占地</w:t>
            </w:r>
            <w:r>
              <w:rPr>
                <w:rFonts w:hint="eastAsia"/>
                <w:i/>
                <w:iCs/>
                <w:color w:val="auto"/>
                <w:highlight w:val="none"/>
                <w:u w:val="single"/>
              </w:rPr>
              <w:t>9760</w:t>
            </w:r>
            <w:r>
              <w:rPr>
                <w:i/>
                <w:iCs/>
                <w:color w:val="auto"/>
                <w:highlight w:val="none"/>
                <w:u w:val="single"/>
              </w:rPr>
              <w:t>m</w:t>
            </w:r>
            <w:r>
              <w:rPr>
                <w:i/>
                <w:iCs/>
                <w:color w:val="auto"/>
                <w:highlight w:val="none"/>
                <w:u w:val="single"/>
                <w:vertAlign w:val="superscript"/>
              </w:rPr>
              <w:t>2</w:t>
            </w:r>
            <w:r>
              <w:rPr>
                <w:rFonts w:hint="eastAsia"/>
                <w:i/>
                <w:iCs/>
                <w:color w:val="auto"/>
                <w:highlight w:val="none"/>
                <w:u w:val="single"/>
                <w:vertAlign w:val="baseline"/>
                <w:lang w:eastAsia="zh-CN"/>
              </w:rPr>
              <w:t>，</w:t>
            </w:r>
            <w:r>
              <w:rPr>
                <w:rFonts w:hint="eastAsia"/>
                <w:i/>
                <w:iCs/>
                <w:color w:val="auto"/>
                <w:highlight w:val="none"/>
                <w:u w:val="single"/>
                <w:lang w:val="en-US" w:eastAsia="zh-CN"/>
              </w:rPr>
              <w:t>管道长度相对方案二较短，施工便道长度较方案二较短，</w:t>
            </w:r>
            <w:r>
              <w:rPr>
                <w:rFonts w:hint="default" w:ascii="Times New Roman" w:hAnsi="Times New Roman" w:cs="Times New Roman"/>
                <w:i/>
                <w:iCs/>
                <w:color w:val="auto"/>
                <w:sz w:val="21"/>
                <w:szCs w:val="21"/>
                <w:highlight w:val="none"/>
                <w:u w:val="single"/>
              </w:rPr>
              <w:t>临时</w:t>
            </w:r>
            <w:r>
              <w:rPr>
                <w:rFonts w:hint="eastAsia" w:ascii="Times New Roman" w:hAnsi="Times New Roman" w:cs="Times New Roman"/>
                <w:i/>
                <w:iCs/>
                <w:color w:val="auto"/>
                <w:sz w:val="21"/>
                <w:szCs w:val="21"/>
                <w:highlight w:val="none"/>
                <w:u w:val="single"/>
                <w:lang w:val="en-US" w:eastAsia="zh-CN"/>
              </w:rPr>
              <w:t>占地</w:t>
            </w:r>
            <w:r>
              <w:rPr>
                <w:rFonts w:hint="default" w:ascii="Times New Roman" w:hAnsi="Times New Roman" w:cs="Times New Roman"/>
                <w:i/>
                <w:iCs/>
                <w:color w:val="auto"/>
                <w:sz w:val="21"/>
                <w:szCs w:val="21"/>
                <w:highlight w:val="none"/>
                <w:u w:val="single"/>
              </w:rPr>
              <w:t>损失相对较小，恢复期短。</w:t>
            </w:r>
          </w:p>
        </w:tc>
        <w:tc>
          <w:tcPr>
            <w:tcW w:w="1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E1CF70">
            <w:pPr>
              <w:pStyle w:val="1343"/>
              <w:jc w:val="left"/>
              <w:rPr>
                <w:rFonts w:hint="eastAsia" w:eastAsia="宋体"/>
                <w:i/>
                <w:iCs/>
                <w:color w:val="auto"/>
                <w:highlight w:val="none"/>
                <w:u w:val="single"/>
                <w:vertAlign w:val="baseline"/>
                <w:lang w:eastAsia="zh-CN"/>
              </w:rPr>
            </w:pPr>
            <w:r>
              <w:rPr>
                <w:i/>
                <w:iCs/>
                <w:color w:val="auto"/>
                <w:highlight w:val="none"/>
                <w:u w:val="single"/>
              </w:rPr>
              <w:t>沿线不涉及生态敏感区，</w:t>
            </w:r>
            <w:r>
              <w:rPr>
                <w:rFonts w:hint="eastAsia"/>
                <w:i/>
                <w:iCs/>
                <w:color w:val="auto"/>
                <w:highlight w:val="none"/>
                <w:u w:val="single"/>
              </w:rPr>
              <w:t>管道</w:t>
            </w:r>
            <w:r>
              <w:rPr>
                <w:i/>
                <w:iCs/>
                <w:color w:val="auto"/>
                <w:highlight w:val="none"/>
                <w:u w:val="single"/>
              </w:rPr>
              <w:t>临时占地</w:t>
            </w:r>
            <w:r>
              <w:rPr>
                <w:rFonts w:hint="eastAsia"/>
                <w:i/>
                <w:iCs/>
                <w:color w:val="auto"/>
                <w:highlight w:val="none"/>
                <w:u w:val="single"/>
              </w:rPr>
              <w:t>12500</w:t>
            </w:r>
            <w:r>
              <w:rPr>
                <w:i/>
                <w:iCs/>
                <w:color w:val="auto"/>
                <w:highlight w:val="none"/>
                <w:u w:val="single"/>
              </w:rPr>
              <w:t>m</w:t>
            </w:r>
            <w:r>
              <w:rPr>
                <w:i/>
                <w:iCs/>
                <w:color w:val="auto"/>
                <w:highlight w:val="none"/>
                <w:u w:val="single"/>
                <w:vertAlign w:val="superscript"/>
              </w:rPr>
              <w:t>2</w:t>
            </w:r>
            <w:r>
              <w:rPr>
                <w:rFonts w:hint="eastAsia"/>
                <w:i/>
                <w:iCs/>
                <w:color w:val="auto"/>
                <w:highlight w:val="none"/>
                <w:u w:val="single"/>
                <w:vertAlign w:val="baseline"/>
                <w:lang w:eastAsia="zh-CN"/>
              </w:rPr>
              <w:t>，</w:t>
            </w:r>
            <w:r>
              <w:rPr>
                <w:rFonts w:hint="eastAsia"/>
                <w:i/>
                <w:iCs/>
                <w:color w:val="auto"/>
                <w:highlight w:val="none"/>
                <w:u w:val="single"/>
                <w:lang w:val="en-US" w:eastAsia="zh-CN"/>
              </w:rPr>
              <w:t>管道长度相对方案一较长，施工便道长度较方案一较长，因此</w:t>
            </w:r>
            <w:r>
              <w:rPr>
                <w:rFonts w:hint="default" w:ascii="Times New Roman" w:hAnsi="Times New Roman" w:cs="Times New Roman"/>
                <w:i/>
                <w:iCs/>
                <w:color w:val="auto"/>
                <w:sz w:val="21"/>
                <w:szCs w:val="21"/>
                <w:highlight w:val="none"/>
                <w:u w:val="single"/>
              </w:rPr>
              <w:t>临时</w:t>
            </w:r>
            <w:r>
              <w:rPr>
                <w:rFonts w:hint="eastAsia" w:ascii="Times New Roman" w:hAnsi="Times New Roman" w:cs="Times New Roman"/>
                <w:i/>
                <w:iCs/>
                <w:color w:val="auto"/>
                <w:sz w:val="21"/>
                <w:szCs w:val="21"/>
                <w:highlight w:val="none"/>
                <w:u w:val="single"/>
                <w:lang w:val="en-US" w:eastAsia="zh-CN"/>
              </w:rPr>
              <w:t>占地</w:t>
            </w:r>
            <w:r>
              <w:rPr>
                <w:rFonts w:hint="default" w:ascii="Times New Roman" w:hAnsi="Times New Roman" w:cs="Times New Roman"/>
                <w:i/>
                <w:iCs/>
                <w:color w:val="auto"/>
                <w:sz w:val="21"/>
                <w:szCs w:val="21"/>
                <w:highlight w:val="none"/>
                <w:u w:val="single"/>
              </w:rPr>
              <w:t>损失相对较</w:t>
            </w:r>
            <w:r>
              <w:rPr>
                <w:rFonts w:hint="eastAsia" w:ascii="Times New Roman" w:hAnsi="Times New Roman" w:cs="Times New Roman"/>
                <w:i/>
                <w:iCs/>
                <w:color w:val="auto"/>
                <w:sz w:val="21"/>
                <w:szCs w:val="21"/>
                <w:highlight w:val="none"/>
                <w:u w:val="single"/>
                <w:lang w:val="en-US" w:eastAsia="zh-CN"/>
              </w:rPr>
              <w:t>大。</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420F2E">
            <w:pPr>
              <w:pStyle w:val="1343"/>
              <w:rPr>
                <w:highlight w:val="none"/>
              </w:rPr>
            </w:pPr>
            <w:r>
              <w:rPr>
                <w:rFonts w:hint="eastAsia"/>
                <w:highlight w:val="none"/>
              </w:rPr>
              <w:t>无</w:t>
            </w:r>
          </w:p>
        </w:tc>
        <w:tc>
          <w:tcPr>
            <w:tcW w:w="5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98252C">
            <w:pPr>
              <w:pStyle w:val="1343"/>
              <w:rPr>
                <w:highlight w:val="none"/>
              </w:rPr>
            </w:pPr>
            <w:r>
              <w:rPr>
                <w:rFonts w:hint="eastAsia"/>
                <w:highlight w:val="none"/>
              </w:rPr>
              <w:t>方案一优</w:t>
            </w:r>
          </w:p>
        </w:tc>
      </w:tr>
      <w:tr w14:paraId="1A32ACC8">
        <w:tblPrEx>
          <w:tblCellMar>
            <w:top w:w="0" w:type="dxa"/>
            <w:left w:w="0" w:type="dxa"/>
            <w:bottom w:w="0" w:type="dxa"/>
            <w:right w:w="0" w:type="dxa"/>
          </w:tblCellMar>
        </w:tblPrEx>
        <w:trPr>
          <w:trHeight w:val="569" w:hRule="atLeast"/>
        </w:trPr>
        <w:tc>
          <w:tcPr>
            <w:tcW w:w="620" w:type="pct"/>
            <w:tcBorders>
              <w:top w:val="single" w:color="000000" w:sz="4" w:space="0"/>
              <w:left w:val="single" w:color="000000" w:sz="4" w:space="0"/>
              <w:right w:val="single" w:color="000000" w:sz="4" w:space="0"/>
            </w:tcBorders>
            <w:shd w:val="clear" w:color="auto" w:fill="auto"/>
            <w:vAlign w:val="center"/>
          </w:tcPr>
          <w:p w14:paraId="3D362EDA">
            <w:pPr>
              <w:pStyle w:val="1343"/>
              <w:rPr>
                <w:rFonts w:hint="default" w:eastAsia="宋体"/>
                <w:highlight w:val="none"/>
                <w:lang w:val="en-US" w:eastAsia="zh-CN"/>
              </w:rPr>
            </w:pPr>
            <w:r>
              <w:rPr>
                <w:rFonts w:hint="eastAsia"/>
                <w:i/>
                <w:iCs/>
                <w:color w:val="auto"/>
                <w:highlight w:val="none"/>
                <w:u w:val="single"/>
                <w:lang w:val="en-US" w:eastAsia="zh-CN"/>
              </w:rPr>
              <w:t>环境空气影响</w:t>
            </w:r>
          </w:p>
        </w:tc>
        <w:tc>
          <w:tcPr>
            <w:tcW w:w="1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F8FAEC">
            <w:pPr>
              <w:pStyle w:val="1343"/>
              <w:jc w:val="left"/>
              <w:rPr>
                <w:rFonts w:ascii="Times New Roman" w:hAnsi="Times New Roman" w:eastAsia="宋体" w:cs="Times New Roman"/>
                <w:i/>
                <w:iCs/>
                <w:color w:val="auto"/>
                <w:highlight w:val="none"/>
                <w:u w:val="single"/>
              </w:rPr>
            </w:pPr>
            <w:r>
              <w:rPr>
                <w:rFonts w:hint="default" w:ascii="Times New Roman" w:hAnsi="Times New Roman" w:eastAsia="宋体" w:cs="Times New Roman"/>
                <w:i/>
                <w:iCs/>
                <w:color w:val="auto"/>
                <w:highlight w:val="none"/>
                <w:u w:val="single"/>
              </w:rPr>
              <w:t>路由相对较短，施工扬尘、施工机械及运输车辆排放的尾气相对较少，持续时间较短，对大气环境的影响程度相对较小</w:t>
            </w:r>
          </w:p>
        </w:tc>
        <w:tc>
          <w:tcPr>
            <w:tcW w:w="1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5DF0F6">
            <w:pPr>
              <w:pStyle w:val="1343"/>
              <w:jc w:val="left"/>
              <w:rPr>
                <w:rFonts w:ascii="Times New Roman" w:hAnsi="Times New Roman" w:eastAsia="宋体" w:cs="Times New Roman"/>
                <w:i/>
                <w:iCs/>
                <w:color w:val="auto"/>
                <w:highlight w:val="none"/>
                <w:u w:val="single"/>
              </w:rPr>
            </w:pPr>
            <w:r>
              <w:rPr>
                <w:rFonts w:hint="default" w:ascii="Times New Roman" w:hAnsi="Times New Roman" w:eastAsia="宋体" w:cs="Times New Roman"/>
                <w:i/>
                <w:iCs/>
                <w:color w:val="auto"/>
                <w:highlight w:val="none"/>
                <w:u w:val="single"/>
              </w:rPr>
              <w:t>路由较长，施工扬尘、施工机械及运输车辆排放的尾气相对较多，持续时间较长，因此对大气环境的影响程度相对方案一较大</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86FA60">
            <w:pPr>
              <w:pStyle w:val="1343"/>
              <w:rPr>
                <w:rFonts w:hint="eastAsia" w:eastAsia="宋体"/>
                <w:highlight w:val="none"/>
                <w:lang w:val="en-US" w:eastAsia="zh-CN"/>
              </w:rPr>
            </w:pPr>
            <w:r>
              <w:rPr>
                <w:rFonts w:hint="eastAsia"/>
                <w:highlight w:val="none"/>
                <w:lang w:val="en-US" w:eastAsia="zh-CN"/>
              </w:rPr>
              <w:t>无</w:t>
            </w:r>
          </w:p>
        </w:tc>
        <w:tc>
          <w:tcPr>
            <w:tcW w:w="5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6EEE97">
            <w:pPr>
              <w:pStyle w:val="1343"/>
              <w:rPr>
                <w:rFonts w:hint="eastAsia"/>
                <w:highlight w:val="none"/>
              </w:rPr>
            </w:pPr>
            <w:r>
              <w:rPr>
                <w:rFonts w:hint="eastAsia"/>
                <w:highlight w:val="none"/>
              </w:rPr>
              <w:t>方案一优</w:t>
            </w:r>
          </w:p>
        </w:tc>
      </w:tr>
      <w:tr w14:paraId="2A9F4F76">
        <w:tblPrEx>
          <w:tblCellMar>
            <w:top w:w="0" w:type="dxa"/>
            <w:left w:w="0" w:type="dxa"/>
            <w:bottom w:w="0" w:type="dxa"/>
            <w:right w:w="0" w:type="dxa"/>
          </w:tblCellMar>
        </w:tblPrEx>
        <w:trPr>
          <w:trHeight w:val="340" w:hRule="atLeast"/>
        </w:trPr>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F5077B">
            <w:pPr>
              <w:pStyle w:val="1343"/>
            </w:pPr>
            <w:r>
              <w:t>地下水影</w:t>
            </w:r>
          </w:p>
          <w:p w14:paraId="0AF84FEF">
            <w:pPr>
              <w:pStyle w:val="1343"/>
            </w:pPr>
            <w:r>
              <w:t>响</w:t>
            </w:r>
          </w:p>
        </w:tc>
        <w:tc>
          <w:tcPr>
            <w:tcW w:w="1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49A43C">
            <w:pPr>
              <w:pStyle w:val="1343"/>
              <w:jc w:val="left"/>
            </w:pPr>
            <w:r>
              <w:t>沿线区域无地下水水源保护区</w:t>
            </w:r>
          </w:p>
        </w:tc>
        <w:tc>
          <w:tcPr>
            <w:tcW w:w="1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E6078F">
            <w:pPr>
              <w:pStyle w:val="1343"/>
              <w:jc w:val="left"/>
            </w:pPr>
            <w:r>
              <w:t>沿线区域无地下水水源保护区</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6C95B9">
            <w:pPr>
              <w:pStyle w:val="1343"/>
            </w:pPr>
            <w:r>
              <w:rPr>
                <w:rFonts w:hint="eastAsia"/>
              </w:rPr>
              <w:t>无</w:t>
            </w:r>
          </w:p>
        </w:tc>
        <w:tc>
          <w:tcPr>
            <w:tcW w:w="5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321A60">
            <w:pPr>
              <w:pStyle w:val="1343"/>
            </w:pPr>
            <w:r>
              <w:t>相当</w:t>
            </w:r>
          </w:p>
        </w:tc>
      </w:tr>
      <w:tr w14:paraId="5C4889B4">
        <w:tblPrEx>
          <w:tblCellMar>
            <w:top w:w="0" w:type="dxa"/>
            <w:left w:w="0" w:type="dxa"/>
            <w:bottom w:w="0" w:type="dxa"/>
            <w:right w:w="0" w:type="dxa"/>
          </w:tblCellMar>
        </w:tblPrEx>
        <w:trPr>
          <w:trHeight w:val="340" w:hRule="atLeast"/>
        </w:trPr>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151D7C">
            <w:pPr>
              <w:pStyle w:val="1343"/>
              <w:rPr>
                <w:highlight w:val="none"/>
              </w:rPr>
            </w:pPr>
            <w:r>
              <w:rPr>
                <w:highlight w:val="none"/>
              </w:rPr>
              <w:t>地表水影响</w:t>
            </w:r>
          </w:p>
        </w:tc>
        <w:tc>
          <w:tcPr>
            <w:tcW w:w="1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A01CA0">
            <w:pPr>
              <w:pStyle w:val="1343"/>
              <w:jc w:val="left"/>
              <w:rPr>
                <w:i/>
                <w:iCs/>
                <w:color w:val="auto"/>
                <w:highlight w:val="none"/>
                <w:u w:val="single"/>
              </w:rPr>
            </w:pPr>
            <w:r>
              <w:rPr>
                <w:rFonts w:hint="eastAsia"/>
                <w:i/>
                <w:iCs/>
                <w:color w:val="auto"/>
                <w:highlight w:val="none"/>
                <w:u w:val="single"/>
              </w:rPr>
              <w:t>无地表水穿越</w:t>
            </w:r>
          </w:p>
        </w:tc>
        <w:tc>
          <w:tcPr>
            <w:tcW w:w="1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34C1A7">
            <w:pPr>
              <w:pStyle w:val="1343"/>
              <w:jc w:val="left"/>
              <w:rPr>
                <w:rFonts w:hint="eastAsia" w:eastAsia="宋体"/>
                <w:i/>
                <w:iCs/>
                <w:color w:val="auto"/>
                <w:highlight w:val="none"/>
                <w:u w:val="single"/>
                <w:lang w:eastAsia="zh-CN"/>
              </w:rPr>
            </w:pPr>
            <w:r>
              <w:rPr>
                <w:rFonts w:hint="eastAsia"/>
                <w:i/>
                <w:iCs/>
                <w:color w:val="auto"/>
                <w:highlight w:val="none"/>
                <w:u w:val="single"/>
              </w:rPr>
              <w:t>穿越一处坑塘</w:t>
            </w:r>
            <w:r>
              <w:rPr>
                <w:rFonts w:hint="eastAsia"/>
                <w:i/>
                <w:iCs/>
                <w:color w:val="auto"/>
                <w:highlight w:val="none"/>
                <w:u w:val="single"/>
                <w:lang w:eastAsia="zh-CN"/>
              </w:rPr>
              <w:t>，</w:t>
            </w:r>
            <w:r>
              <w:rPr>
                <w:rFonts w:hint="default" w:ascii="Times New Roman" w:hAnsi="Times New Roman" w:cs="Times New Roman"/>
                <w:i/>
                <w:iCs/>
                <w:color w:val="auto"/>
                <w:sz w:val="21"/>
                <w:szCs w:val="21"/>
                <w:highlight w:val="none"/>
                <w:u w:val="single"/>
              </w:rPr>
              <w:t>对水环境产生一定影响</w:t>
            </w:r>
            <w:r>
              <w:rPr>
                <w:rFonts w:hint="eastAsia" w:ascii="Times New Roman" w:hAnsi="Times New Roman" w:cs="Times New Roman"/>
                <w:i/>
                <w:iCs/>
                <w:color w:val="auto"/>
                <w:sz w:val="21"/>
                <w:szCs w:val="21"/>
                <w:highlight w:val="none"/>
                <w:u w:val="single"/>
                <w:lang w:eastAsia="zh-CN"/>
              </w:rPr>
              <w:t>。</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ADE25B">
            <w:pPr>
              <w:pStyle w:val="1343"/>
              <w:rPr>
                <w:highlight w:val="none"/>
              </w:rPr>
            </w:pPr>
            <w:r>
              <w:rPr>
                <w:rFonts w:hint="eastAsia"/>
                <w:highlight w:val="none"/>
              </w:rPr>
              <w:t>无</w:t>
            </w:r>
          </w:p>
        </w:tc>
        <w:tc>
          <w:tcPr>
            <w:tcW w:w="5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1C4080">
            <w:pPr>
              <w:pStyle w:val="1343"/>
              <w:rPr>
                <w:highlight w:val="none"/>
              </w:rPr>
            </w:pPr>
            <w:r>
              <w:rPr>
                <w:rFonts w:hint="eastAsia"/>
                <w:highlight w:val="none"/>
              </w:rPr>
              <w:t>方案一优</w:t>
            </w:r>
          </w:p>
        </w:tc>
      </w:tr>
      <w:tr w14:paraId="1CEB7EE5">
        <w:tblPrEx>
          <w:tblCellMar>
            <w:top w:w="0" w:type="dxa"/>
            <w:left w:w="0" w:type="dxa"/>
            <w:bottom w:w="0" w:type="dxa"/>
            <w:right w:w="0" w:type="dxa"/>
          </w:tblCellMar>
        </w:tblPrEx>
        <w:trPr>
          <w:trHeight w:val="340" w:hRule="atLeast"/>
        </w:trPr>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148790">
            <w:pPr>
              <w:pStyle w:val="1343"/>
              <w:rPr>
                <w:highlight w:val="none"/>
              </w:rPr>
            </w:pPr>
            <w:r>
              <w:rPr>
                <w:highlight w:val="none"/>
              </w:rPr>
              <w:t>噪声影响</w:t>
            </w:r>
          </w:p>
        </w:tc>
        <w:tc>
          <w:tcPr>
            <w:tcW w:w="1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5A2016">
            <w:pPr>
              <w:pStyle w:val="1343"/>
              <w:jc w:val="left"/>
              <w:rPr>
                <w:rFonts w:hint="default" w:eastAsia="宋体"/>
                <w:highlight w:val="none"/>
                <w:lang w:val="en-US" w:eastAsia="zh-CN"/>
              </w:rPr>
            </w:pPr>
            <w:r>
              <w:rPr>
                <w:rFonts w:hint="default" w:ascii="Times New Roman" w:hAnsi="Times New Roman" w:cs="Times New Roman"/>
                <w:i/>
                <w:iCs/>
                <w:color w:val="auto"/>
                <w:sz w:val="21"/>
                <w:szCs w:val="21"/>
                <w:highlight w:val="none"/>
                <w:u w:val="single"/>
              </w:rPr>
              <w:t>路由相对较短，施工持续时间较短</w:t>
            </w:r>
            <w:r>
              <w:rPr>
                <w:rFonts w:hint="eastAsia" w:ascii="Times New Roman" w:hAnsi="Times New Roman" w:cs="Times New Roman"/>
                <w:i/>
                <w:iCs/>
                <w:color w:val="auto"/>
                <w:sz w:val="21"/>
                <w:szCs w:val="21"/>
                <w:highlight w:val="none"/>
                <w:u w:val="single"/>
                <w:lang w:eastAsia="zh-CN"/>
              </w:rPr>
              <w:t>，</w:t>
            </w:r>
            <w:r>
              <w:rPr>
                <w:highlight w:val="none"/>
              </w:rPr>
              <w:t>沿线200m范围内村庄有</w:t>
            </w:r>
            <w:r>
              <w:rPr>
                <w:rFonts w:hint="eastAsia"/>
                <w:highlight w:val="none"/>
              </w:rPr>
              <w:t>资家湾和蒋家冲</w:t>
            </w:r>
            <w:r>
              <w:rPr>
                <w:highlight w:val="none"/>
              </w:rPr>
              <w:t>，</w:t>
            </w:r>
            <w:r>
              <w:rPr>
                <w:rFonts w:hint="eastAsia"/>
                <w:highlight w:val="none"/>
              </w:rPr>
              <w:t>距离村庄最近距离为40m，</w:t>
            </w:r>
            <w:r>
              <w:rPr>
                <w:highlight w:val="none"/>
              </w:rPr>
              <w:t>施工期噪声影响较小</w:t>
            </w:r>
            <w:r>
              <w:rPr>
                <w:rFonts w:hint="eastAsia"/>
                <w:highlight w:val="none"/>
                <w:lang w:eastAsia="zh-CN"/>
              </w:rPr>
              <w:t>。</w:t>
            </w:r>
          </w:p>
        </w:tc>
        <w:tc>
          <w:tcPr>
            <w:tcW w:w="1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5BD40E">
            <w:pPr>
              <w:pStyle w:val="1343"/>
              <w:jc w:val="left"/>
              <w:rPr>
                <w:rFonts w:hint="default" w:eastAsia="宋体"/>
                <w:highlight w:val="none"/>
                <w:lang w:val="en-US" w:eastAsia="zh-CN"/>
              </w:rPr>
            </w:pPr>
            <w:r>
              <w:rPr>
                <w:rFonts w:hint="default" w:ascii="Times New Roman" w:hAnsi="Times New Roman" w:cs="Times New Roman"/>
                <w:i/>
                <w:iCs/>
                <w:color w:val="auto"/>
                <w:sz w:val="21"/>
                <w:szCs w:val="21"/>
                <w:highlight w:val="none"/>
                <w:u w:val="single"/>
              </w:rPr>
              <w:t>路由较长，</w:t>
            </w:r>
            <w:r>
              <w:rPr>
                <w:rFonts w:hint="eastAsia" w:ascii="Times New Roman" w:hAnsi="Times New Roman" w:cs="Times New Roman"/>
                <w:i/>
                <w:iCs/>
                <w:color w:val="auto"/>
                <w:sz w:val="21"/>
                <w:szCs w:val="21"/>
                <w:highlight w:val="none"/>
                <w:u w:val="single"/>
                <w:lang w:val="en-US" w:eastAsia="zh-CN"/>
              </w:rPr>
              <w:t>施工持续时间较长</w:t>
            </w:r>
            <w:r>
              <w:rPr>
                <w:rFonts w:hint="eastAsia" w:ascii="Times New Roman" w:hAnsi="Times New Roman" w:cs="Times New Roman"/>
                <w:color w:val="FF0000"/>
                <w:sz w:val="21"/>
                <w:szCs w:val="21"/>
                <w:highlight w:val="none"/>
                <w:lang w:val="en-US" w:eastAsia="zh-CN"/>
              </w:rPr>
              <w:t>，</w:t>
            </w:r>
            <w:r>
              <w:rPr>
                <w:highlight w:val="none"/>
              </w:rPr>
              <w:t>沿线200m范围内村庄有</w:t>
            </w:r>
            <w:r>
              <w:rPr>
                <w:rFonts w:hint="eastAsia"/>
                <w:highlight w:val="none"/>
              </w:rPr>
              <w:t>资家湾和蒋家冲</w:t>
            </w:r>
            <w:r>
              <w:rPr>
                <w:highlight w:val="none"/>
              </w:rPr>
              <w:t>，</w:t>
            </w:r>
            <w:r>
              <w:rPr>
                <w:rFonts w:hint="eastAsia"/>
                <w:highlight w:val="none"/>
              </w:rPr>
              <w:t>距离村庄最近距离为10m，</w:t>
            </w:r>
            <w:r>
              <w:rPr>
                <w:highlight w:val="none"/>
              </w:rPr>
              <w:t>施工期噪声影响</w:t>
            </w:r>
            <w:r>
              <w:rPr>
                <w:rFonts w:hint="eastAsia"/>
                <w:i/>
                <w:iCs/>
                <w:color w:val="auto"/>
                <w:highlight w:val="none"/>
                <w:u w:val="single"/>
                <w:lang w:val="en-US" w:eastAsia="zh-CN"/>
              </w:rPr>
              <w:t>相对方案一较大</w:t>
            </w:r>
            <w:r>
              <w:rPr>
                <w:rFonts w:hint="eastAsia"/>
                <w:highlight w:val="none"/>
                <w:lang w:val="en-US" w:eastAsia="zh-CN"/>
              </w:rPr>
              <w:t>。</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AB82C6">
            <w:pPr>
              <w:pStyle w:val="1343"/>
              <w:rPr>
                <w:highlight w:val="none"/>
              </w:rPr>
            </w:pPr>
            <w:r>
              <w:rPr>
                <w:rFonts w:hint="eastAsia"/>
                <w:highlight w:val="none"/>
              </w:rPr>
              <w:t>无</w:t>
            </w:r>
          </w:p>
        </w:tc>
        <w:tc>
          <w:tcPr>
            <w:tcW w:w="5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0FC885">
            <w:pPr>
              <w:pStyle w:val="1343"/>
              <w:rPr>
                <w:highlight w:val="none"/>
              </w:rPr>
            </w:pPr>
            <w:r>
              <w:rPr>
                <w:rFonts w:hint="eastAsia"/>
                <w:highlight w:val="none"/>
              </w:rPr>
              <w:t>方案一优</w:t>
            </w:r>
          </w:p>
        </w:tc>
      </w:tr>
      <w:tr w14:paraId="2B7804EB">
        <w:tblPrEx>
          <w:tblCellMar>
            <w:top w:w="0" w:type="dxa"/>
            <w:left w:w="0" w:type="dxa"/>
            <w:bottom w:w="0" w:type="dxa"/>
            <w:right w:w="0" w:type="dxa"/>
          </w:tblCellMar>
        </w:tblPrEx>
        <w:trPr>
          <w:trHeight w:val="340" w:hRule="atLeast"/>
        </w:trPr>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778F15">
            <w:pPr>
              <w:pStyle w:val="1343"/>
              <w:rPr>
                <w:rFonts w:hint="eastAsia" w:eastAsia="宋体"/>
                <w:i/>
                <w:iCs/>
                <w:color w:val="auto"/>
                <w:highlight w:val="none"/>
                <w:u w:val="single"/>
                <w:lang w:val="en-US" w:eastAsia="zh-CN"/>
              </w:rPr>
            </w:pPr>
            <w:r>
              <w:rPr>
                <w:rFonts w:hint="eastAsia"/>
                <w:i/>
                <w:iCs/>
                <w:color w:val="auto"/>
                <w:highlight w:val="none"/>
                <w:u w:val="single"/>
                <w:lang w:val="en-US" w:eastAsia="zh-CN"/>
              </w:rPr>
              <w:t>固体废物</w:t>
            </w:r>
          </w:p>
        </w:tc>
        <w:tc>
          <w:tcPr>
            <w:tcW w:w="1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8231BD">
            <w:pPr>
              <w:pStyle w:val="1343"/>
              <w:jc w:val="left"/>
              <w:rPr>
                <w:rFonts w:hint="default" w:ascii="Times New Roman" w:hAnsi="Times New Roman" w:eastAsia="宋体" w:cs="Times New Roman"/>
                <w:i/>
                <w:iCs/>
                <w:color w:val="auto"/>
                <w:highlight w:val="none"/>
                <w:u w:val="single"/>
              </w:rPr>
            </w:pPr>
            <w:r>
              <w:rPr>
                <w:rFonts w:hint="default" w:ascii="Times New Roman" w:hAnsi="Times New Roman" w:eastAsia="宋体" w:cs="Times New Roman"/>
                <w:i/>
                <w:iCs/>
                <w:color w:val="auto"/>
                <w:highlight w:val="none"/>
                <w:u w:val="single"/>
              </w:rPr>
              <w:t>路由相对较短，施工持续时间较短，固体废物相对产生较少，但固体废物均采取妥善的处置措施，不外排，对周围环境影响较小。</w:t>
            </w:r>
          </w:p>
        </w:tc>
        <w:tc>
          <w:tcPr>
            <w:tcW w:w="1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486EE0">
            <w:pPr>
              <w:pStyle w:val="1343"/>
              <w:jc w:val="left"/>
              <w:rPr>
                <w:rFonts w:hint="default" w:ascii="Times New Roman" w:hAnsi="Times New Roman" w:eastAsia="宋体" w:cs="Times New Roman"/>
                <w:i/>
                <w:iCs/>
                <w:color w:val="auto"/>
                <w:highlight w:val="none"/>
                <w:u w:val="single"/>
              </w:rPr>
            </w:pPr>
            <w:r>
              <w:rPr>
                <w:rFonts w:hint="default" w:ascii="Times New Roman" w:hAnsi="Times New Roman" w:eastAsia="宋体" w:cs="Times New Roman"/>
                <w:i/>
                <w:iCs/>
                <w:color w:val="auto"/>
                <w:highlight w:val="none"/>
                <w:u w:val="single"/>
              </w:rPr>
              <w:t>路由相对较长，施工持续时间较长，固体废物相对产生较多，固体废物均采取妥善的处置措施，不外排，对周围环境影响较小。</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C9E1BA">
            <w:pPr>
              <w:pStyle w:val="1343"/>
              <w:rPr>
                <w:rFonts w:hint="eastAsia"/>
                <w:i/>
                <w:iCs/>
                <w:color w:val="auto"/>
                <w:highlight w:val="none"/>
                <w:u w:val="single"/>
              </w:rPr>
            </w:pPr>
            <w:r>
              <w:rPr>
                <w:rFonts w:hint="eastAsia"/>
                <w:i/>
                <w:iCs/>
                <w:color w:val="auto"/>
                <w:highlight w:val="none"/>
                <w:u w:val="single"/>
                <w:lang w:val="en-US" w:eastAsia="zh-CN"/>
              </w:rPr>
              <w:t>无</w:t>
            </w:r>
          </w:p>
        </w:tc>
        <w:tc>
          <w:tcPr>
            <w:tcW w:w="5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6AB65F">
            <w:pPr>
              <w:pStyle w:val="1343"/>
              <w:rPr>
                <w:rFonts w:hint="eastAsia"/>
                <w:i/>
                <w:iCs/>
                <w:color w:val="auto"/>
                <w:highlight w:val="none"/>
                <w:u w:val="single"/>
              </w:rPr>
            </w:pPr>
            <w:r>
              <w:rPr>
                <w:rFonts w:hint="eastAsia"/>
                <w:i/>
                <w:iCs/>
                <w:color w:val="auto"/>
                <w:highlight w:val="none"/>
                <w:u w:val="single"/>
              </w:rPr>
              <w:t>方案一优</w:t>
            </w:r>
          </w:p>
        </w:tc>
      </w:tr>
      <w:tr w14:paraId="01BC7838">
        <w:tblPrEx>
          <w:tblCellMar>
            <w:top w:w="0" w:type="dxa"/>
            <w:left w:w="0" w:type="dxa"/>
            <w:bottom w:w="0" w:type="dxa"/>
            <w:right w:w="0" w:type="dxa"/>
          </w:tblCellMar>
        </w:tblPrEx>
        <w:trPr>
          <w:trHeight w:val="340" w:hRule="atLeast"/>
        </w:trPr>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EC20DE">
            <w:pPr>
              <w:pStyle w:val="1343"/>
              <w:rPr>
                <w:highlight w:val="none"/>
              </w:rPr>
            </w:pPr>
            <w:r>
              <w:rPr>
                <w:highlight w:val="none"/>
              </w:rPr>
              <w:t>环境风险</w:t>
            </w:r>
          </w:p>
        </w:tc>
        <w:tc>
          <w:tcPr>
            <w:tcW w:w="1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A6DF9A">
            <w:pPr>
              <w:pStyle w:val="1343"/>
              <w:jc w:val="left"/>
              <w:rPr>
                <w:highlight w:val="none"/>
              </w:rPr>
            </w:pPr>
            <w:r>
              <w:rPr>
                <w:rFonts w:hint="default" w:ascii="Times New Roman" w:hAnsi="Times New Roman" w:cs="Times New Roman"/>
                <w:i/>
                <w:iCs/>
                <w:color w:val="auto"/>
                <w:sz w:val="21"/>
                <w:szCs w:val="21"/>
                <w:highlight w:val="none"/>
                <w:u w:val="single"/>
              </w:rPr>
              <w:t>路由相对较短，</w:t>
            </w:r>
            <w:r>
              <w:rPr>
                <w:highlight w:val="none"/>
              </w:rPr>
              <w:t>沿线200m范围内村庄有</w:t>
            </w:r>
            <w:r>
              <w:rPr>
                <w:rFonts w:hint="eastAsia"/>
                <w:highlight w:val="none"/>
              </w:rPr>
              <w:t>资家湾和蒋家冲</w:t>
            </w:r>
            <w:r>
              <w:rPr>
                <w:highlight w:val="none"/>
              </w:rPr>
              <w:t>，</w:t>
            </w:r>
            <w:r>
              <w:rPr>
                <w:rFonts w:hint="eastAsia"/>
                <w:highlight w:val="none"/>
              </w:rPr>
              <w:t>距离村庄最近距离为40m</w:t>
            </w:r>
            <w:r>
              <w:rPr>
                <w:highlight w:val="none"/>
              </w:rPr>
              <w:t>，环境风险小</w:t>
            </w:r>
          </w:p>
        </w:tc>
        <w:tc>
          <w:tcPr>
            <w:tcW w:w="1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64BD73">
            <w:pPr>
              <w:pStyle w:val="1343"/>
              <w:jc w:val="left"/>
              <w:rPr>
                <w:rFonts w:hint="default" w:eastAsia="宋体"/>
                <w:highlight w:val="none"/>
                <w:lang w:val="en-US" w:eastAsia="zh-CN"/>
              </w:rPr>
            </w:pPr>
            <w:r>
              <w:rPr>
                <w:rFonts w:hint="default" w:ascii="Times New Roman" w:hAnsi="Times New Roman" w:cs="Times New Roman"/>
                <w:color w:val="auto"/>
                <w:sz w:val="21"/>
                <w:szCs w:val="21"/>
                <w:highlight w:val="none"/>
              </w:rPr>
              <w:t>路</w:t>
            </w:r>
            <w:r>
              <w:rPr>
                <w:rFonts w:hint="default" w:ascii="Times New Roman" w:hAnsi="Times New Roman" w:cs="Times New Roman"/>
                <w:i/>
                <w:iCs/>
                <w:color w:val="auto"/>
                <w:sz w:val="21"/>
                <w:szCs w:val="21"/>
                <w:highlight w:val="none"/>
                <w:u w:val="single"/>
              </w:rPr>
              <w:t>由相对较</w:t>
            </w:r>
            <w:r>
              <w:rPr>
                <w:rFonts w:hint="eastAsia" w:ascii="Times New Roman" w:hAnsi="Times New Roman" w:cs="Times New Roman"/>
                <w:i/>
                <w:iCs/>
                <w:color w:val="auto"/>
                <w:sz w:val="21"/>
                <w:szCs w:val="21"/>
                <w:highlight w:val="none"/>
                <w:u w:val="single"/>
                <w:lang w:val="en-US" w:eastAsia="zh-CN"/>
              </w:rPr>
              <w:t>长，</w:t>
            </w:r>
            <w:r>
              <w:rPr>
                <w:highlight w:val="none"/>
              </w:rPr>
              <w:t>沿线200m范围内村庄有</w:t>
            </w:r>
            <w:r>
              <w:rPr>
                <w:rFonts w:hint="eastAsia"/>
                <w:highlight w:val="none"/>
              </w:rPr>
              <w:t>资家湾和蒋家冲</w:t>
            </w:r>
            <w:r>
              <w:rPr>
                <w:highlight w:val="none"/>
              </w:rPr>
              <w:t>，</w:t>
            </w:r>
            <w:r>
              <w:rPr>
                <w:rFonts w:hint="eastAsia"/>
                <w:highlight w:val="none"/>
              </w:rPr>
              <w:t>距离村庄最近距离为10m</w:t>
            </w:r>
            <w:r>
              <w:rPr>
                <w:i/>
                <w:iCs/>
                <w:color w:val="auto"/>
                <w:highlight w:val="none"/>
                <w:u w:val="single"/>
              </w:rPr>
              <w:t>，环境风险</w:t>
            </w:r>
            <w:r>
              <w:rPr>
                <w:rFonts w:hint="eastAsia"/>
                <w:i/>
                <w:iCs/>
                <w:color w:val="auto"/>
                <w:highlight w:val="none"/>
                <w:u w:val="single"/>
                <w:lang w:val="en-US" w:eastAsia="zh-CN"/>
              </w:rPr>
              <w:t>相对方案一较大。</w:t>
            </w: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8F36A3">
            <w:pPr>
              <w:pStyle w:val="1343"/>
              <w:rPr>
                <w:highlight w:val="none"/>
              </w:rPr>
            </w:pPr>
            <w:r>
              <w:rPr>
                <w:rFonts w:hint="eastAsia"/>
                <w:highlight w:val="none"/>
              </w:rPr>
              <w:t>无</w:t>
            </w:r>
          </w:p>
        </w:tc>
        <w:tc>
          <w:tcPr>
            <w:tcW w:w="5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754265">
            <w:pPr>
              <w:pStyle w:val="1343"/>
              <w:rPr>
                <w:highlight w:val="none"/>
              </w:rPr>
            </w:pPr>
            <w:r>
              <w:rPr>
                <w:rFonts w:hint="eastAsia"/>
                <w:highlight w:val="none"/>
              </w:rPr>
              <w:t>方案一优</w:t>
            </w:r>
          </w:p>
        </w:tc>
      </w:tr>
      <w:tr w14:paraId="796F7E05">
        <w:tblPrEx>
          <w:tblCellMar>
            <w:top w:w="0" w:type="dxa"/>
            <w:left w:w="0" w:type="dxa"/>
            <w:bottom w:w="0" w:type="dxa"/>
            <w:right w:w="0" w:type="dxa"/>
          </w:tblCellMar>
        </w:tblPrEx>
        <w:trPr>
          <w:trHeight w:val="340" w:hRule="atLeast"/>
        </w:trPr>
        <w:tc>
          <w:tcPr>
            <w:tcW w:w="6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5315F6">
            <w:pPr>
              <w:pStyle w:val="1343"/>
            </w:pPr>
            <w:r>
              <w:t>综合比</w:t>
            </w:r>
          </w:p>
          <w:p w14:paraId="33E63E67">
            <w:pPr>
              <w:pStyle w:val="1343"/>
            </w:pPr>
            <w:r>
              <w:t>选结果</w:t>
            </w:r>
          </w:p>
        </w:tc>
        <w:tc>
          <w:tcPr>
            <w:tcW w:w="14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30E7FC">
            <w:pPr>
              <w:pStyle w:val="1343"/>
              <w:rPr>
                <w:b/>
                <w:bCs/>
              </w:rPr>
            </w:pPr>
            <w:r>
              <w:rPr>
                <w:b/>
                <w:bCs/>
              </w:rPr>
              <w:t>推荐</w:t>
            </w:r>
          </w:p>
        </w:tc>
        <w:tc>
          <w:tcPr>
            <w:tcW w:w="16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C7AD72">
            <w:pPr>
              <w:pStyle w:val="1343"/>
              <w:jc w:val="left"/>
            </w:pPr>
          </w:p>
        </w:tc>
        <w:tc>
          <w:tcPr>
            <w:tcW w:w="6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52C5EA">
            <w:pPr>
              <w:pStyle w:val="1343"/>
            </w:pPr>
          </w:p>
        </w:tc>
        <w:tc>
          <w:tcPr>
            <w:tcW w:w="52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0E5E8C">
            <w:pPr>
              <w:pStyle w:val="1343"/>
            </w:pPr>
          </w:p>
        </w:tc>
      </w:tr>
    </w:tbl>
    <w:p w14:paraId="35792956">
      <w:pPr>
        <w:spacing w:before="120" w:beforeLines="50" w:line="360" w:lineRule="auto"/>
        <w:ind w:firstLine="480" w:firstLineChars="200"/>
        <w:rPr>
          <w:i/>
          <w:iCs/>
          <w:color w:val="auto"/>
          <w:sz w:val="24"/>
          <w:highlight w:val="none"/>
          <w:u w:val="single"/>
        </w:rPr>
      </w:pPr>
      <w:r>
        <w:rPr>
          <w:rFonts w:hint="eastAsia"/>
          <w:i/>
          <w:iCs/>
          <w:color w:val="auto"/>
          <w:sz w:val="24"/>
          <w:highlight w:val="none"/>
          <w:u w:val="single"/>
        </w:rPr>
        <w:t>通过比选，方案一工程量小，对生态环境、</w:t>
      </w:r>
      <w:r>
        <w:rPr>
          <w:rFonts w:hint="eastAsia"/>
          <w:i/>
          <w:iCs/>
          <w:color w:val="auto"/>
          <w:sz w:val="24"/>
          <w:highlight w:val="none"/>
          <w:u w:val="single"/>
          <w:lang w:val="en-US" w:eastAsia="zh-CN"/>
        </w:rPr>
        <w:t>环境空气、水环境</w:t>
      </w:r>
      <w:r>
        <w:rPr>
          <w:rFonts w:hint="eastAsia"/>
          <w:i/>
          <w:iCs/>
          <w:color w:val="auto"/>
          <w:sz w:val="24"/>
          <w:highlight w:val="none"/>
          <w:u w:val="single"/>
        </w:rPr>
        <w:t>声环境及环境风险的影响较小，因此从环境角度选择方案一。</w:t>
      </w:r>
    </w:p>
    <w:p w14:paraId="60716D44">
      <w:pPr>
        <w:pStyle w:val="5"/>
        <w:rPr>
          <w:color w:val="auto"/>
        </w:rPr>
      </w:pPr>
      <w:r>
        <w:rPr>
          <w:rFonts w:hint="eastAsia"/>
          <w:color w:val="auto"/>
        </w:rPr>
        <w:t>选址选线合理性分析</w:t>
      </w:r>
    </w:p>
    <w:p w14:paraId="46647E4E">
      <w:pPr>
        <w:pStyle w:val="3078"/>
        <w:rPr>
          <w:color w:val="auto"/>
        </w:rPr>
      </w:pPr>
      <w:r>
        <w:rPr>
          <w:color w:val="auto"/>
        </w:rPr>
        <w:t>本项目新建天然气输气管线</w:t>
      </w:r>
      <w:r>
        <w:rPr>
          <w:rFonts w:hint="eastAsia"/>
          <w:color w:val="auto"/>
        </w:rPr>
        <w:t>0.</w:t>
      </w:r>
      <w:r>
        <w:rPr>
          <w:rFonts w:hint="eastAsia"/>
          <w:color w:val="auto"/>
          <w:lang w:eastAsia="zh-CN"/>
        </w:rPr>
        <w:t>760</w:t>
      </w:r>
      <w:r>
        <w:rPr>
          <w:color w:val="auto"/>
        </w:rPr>
        <w:t>km，线路走向遵循《输气管道工程设计规范》(GB 50251</w:t>
      </w:r>
      <w:r>
        <w:rPr>
          <w:rFonts w:hint="eastAsia"/>
          <w:color w:val="auto"/>
        </w:rPr>
        <w:t>-</w:t>
      </w:r>
      <w:r>
        <w:rPr>
          <w:color w:val="auto"/>
        </w:rPr>
        <w:t>2015)中相关的选线要求，以“高度安全标准、最低社会风险”为原则，线路力求顺直、平缓，以缩短线路长度；结合所经地区农田、</w:t>
      </w:r>
      <w:r>
        <w:rPr>
          <w:rFonts w:hint="eastAsia"/>
          <w:color w:val="auto"/>
        </w:rPr>
        <w:t>村镇</w:t>
      </w:r>
      <w:r>
        <w:rPr>
          <w:color w:val="auto"/>
        </w:rPr>
        <w:t>、道路的规划，尽量避让</w:t>
      </w:r>
      <w:r>
        <w:rPr>
          <w:rFonts w:hint="eastAsia"/>
          <w:color w:val="auto"/>
        </w:rPr>
        <w:t>村镇</w:t>
      </w:r>
      <w:r>
        <w:rPr>
          <w:color w:val="auto"/>
        </w:rPr>
        <w:t>等人口密集居民区，本项目不涉及拆迁安置工程，</w:t>
      </w:r>
      <w:r>
        <w:rPr>
          <w:rFonts w:hint="eastAsia"/>
          <w:color w:val="auto"/>
        </w:rPr>
        <w:t>尽量</w:t>
      </w:r>
      <w:r>
        <w:rPr>
          <w:color w:val="auto"/>
        </w:rPr>
        <w:t>少占用农地，减少管道与可能涉及的天然和人工障碍物、埋地管道、光缆等埋地设施的交叉，既便于施工和运营期影响管道安全管理，又减少临时征用地。</w:t>
      </w:r>
    </w:p>
    <w:p w14:paraId="16D64B04">
      <w:pPr>
        <w:pStyle w:val="3078"/>
        <w:rPr>
          <w:color w:val="auto"/>
        </w:rPr>
      </w:pPr>
      <w:r>
        <w:rPr>
          <w:color w:val="auto"/>
        </w:rPr>
        <w:t>天然气管道线路与所经地区的土地利用、</w:t>
      </w:r>
      <w:r>
        <w:rPr>
          <w:rFonts w:hint="eastAsia"/>
          <w:color w:val="auto"/>
        </w:rPr>
        <w:t>村镇</w:t>
      </w:r>
      <w:r>
        <w:rPr>
          <w:color w:val="auto"/>
        </w:rPr>
        <w:t>、公路等规划无矛盾，本项目</w:t>
      </w:r>
      <w:r>
        <w:rPr>
          <w:rFonts w:hint="eastAsia"/>
          <w:color w:val="auto"/>
        </w:rPr>
        <w:t>“路由及站场选址”已取得耒阳市自然资源局、耒阳市林业局、耒阳市交通局等部门</w:t>
      </w:r>
      <w:r>
        <w:rPr>
          <w:color w:val="auto"/>
        </w:rPr>
        <w:t>许可（见附件</w:t>
      </w:r>
      <w:r>
        <w:rPr>
          <w:rFonts w:hint="eastAsia"/>
          <w:color w:val="auto"/>
        </w:rPr>
        <w:t>3、附件6、附件7</w:t>
      </w:r>
      <w:r>
        <w:rPr>
          <w:color w:val="auto"/>
        </w:rPr>
        <w:t>）</w:t>
      </w:r>
      <w:r>
        <w:rPr>
          <w:rFonts w:hint="eastAsia"/>
          <w:color w:val="auto"/>
        </w:rPr>
        <w:t>。</w:t>
      </w:r>
    </w:p>
    <w:p w14:paraId="4DB9575B">
      <w:pPr>
        <w:pStyle w:val="3078"/>
        <w:rPr>
          <w:color w:val="auto"/>
        </w:rPr>
      </w:pPr>
      <w:r>
        <w:rPr>
          <w:color w:val="auto"/>
        </w:rPr>
        <w:t>本输气管线路由不经泥石流易发区、崩塌滑坡危险区以及易引起严重水土流失和生态恶化的地区，不经生态脆弱区、国家级水土流失重点预防保护区和重点治理成果区，不涉及水源保护区等敏感区域；通过采用先进的施工工艺，采取工程、植物和临时保护措施，减小工程施工对地表的扰动，植被的破坏，可以有效防止或减缓对地表水体、水土流失的影响。</w:t>
      </w:r>
    </w:p>
    <w:p w14:paraId="3DE690C3">
      <w:pPr>
        <w:pStyle w:val="3078"/>
        <w:rPr>
          <w:color w:val="auto"/>
        </w:rPr>
      </w:pPr>
      <w:r>
        <w:rPr>
          <w:color w:val="auto"/>
        </w:rPr>
        <w:t>综合考虑以上因素，本项目不存在不可恢复生态环境重大影响因素，天然气输气管线路由方案是基本合理、可行的。</w:t>
      </w:r>
    </w:p>
    <w:p w14:paraId="231534AF">
      <w:pPr>
        <w:pStyle w:val="4"/>
      </w:pPr>
      <w:bookmarkStart w:id="194" w:name="_Toc30145"/>
      <w:r>
        <w:rPr>
          <w:rFonts w:hint="eastAsia"/>
        </w:rPr>
        <w:t>产业政策及选址可行性分析</w:t>
      </w:r>
      <w:bookmarkEnd w:id="194"/>
    </w:p>
    <w:p w14:paraId="3298F02E">
      <w:pPr>
        <w:pStyle w:val="5"/>
        <w:rPr>
          <w:color w:val="auto"/>
        </w:rPr>
      </w:pPr>
      <w:r>
        <w:rPr>
          <w:color w:val="auto"/>
        </w:rPr>
        <w:t>政策相符性</w:t>
      </w:r>
      <w:r>
        <w:rPr>
          <w:rFonts w:hint="eastAsia"/>
          <w:color w:val="auto"/>
        </w:rPr>
        <w:t>分析</w:t>
      </w:r>
    </w:p>
    <w:p w14:paraId="63C800C7">
      <w:pPr>
        <w:pStyle w:val="234"/>
        <w:spacing w:before="62" w:after="62"/>
        <w:ind w:firstLine="482"/>
        <w:rPr>
          <w:b/>
          <w:bCs/>
        </w:rPr>
      </w:pPr>
      <w:r>
        <w:rPr>
          <w:b/>
          <w:bCs/>
        </w:rPr>
        <w:t>（1）相关产业政策符合性</w:t>
      </w:r>
    </w:p>
    <w:p w14:paraId="11D83F77">
      <w:pPr>
        <w:pStyle w:val="234"/>
      </w:pPr>
      <w:r>
        <w:t>本工程属于《产业结构调整指导目录（20</w:t>
      </w:r>
      <w:r>
        <w:rPr>
          <w:rFonts w:hint="eastAsia"/>
        </w:rPr>
        <w:t>24</w:t>
      </w:r>
      <w:r>
        <w:t>年本）》中鼓励类“七、石油天然气</w:t>
      </w:r>
      <w:r>
        <w:rPr>
          <w:rFonts w:hint="eastAsia"/>
        </w:rPr>
        <w:t>—2油气管网</w:t>
      </w:r>
      <w:r>
        <w:t>建设”范畴，符合国家产业政策要求。</w:t>
      </w:r>
    </w:p>
    <w:p w14:paraId="067F1430">
      <w:pPr>
        <w:pStyle w:val="234"/>
      </w:pPr>
      <w:r>
        <w:t>对照</w:t>
      </w:r>
      <w:r>
        <w:rPr>
          <w:rFonts w:hint="eastAsia"/>
        </w:rPr>
        <w:t>《“十四五”现代能源体系规划》（发改能源〔2022〕210号）</w:t>
      </w:r>
      <w:r>
        <w:t>，该文件提出：“</w:t>
      </w:r>
      <w:r>
        <w:rPr>
          <w:rFonts w:ascii="宋体" w:hAnsi="宋体" w:cs="宋体"/>
        </w:rPr>
        <w:t>普遍服务水平持续提升</w:t>
      </w:r>
      <w:r>
        <w:rPr>
          <w:rFonts w:hint="eastAsia" w:ascii="宋体" w:hAnsi="宋体" w:cs="宋体"/>
        </w:rPr>
        <w:t>：</w:t>
      </w:r>
      <w:r>
        <w:rPr>
          <w:rFonts w:ascii="宋体" w:hAnsi="宋体" w:cs="宋体"/>
        </w:rPr>
        <w:t>人民生产生活用能便利度和保障能力进一步增强，电、气、冷、热等多样化清洁能源可获得率显著提升，人均年生活用电量达到</w:t>
      </w:r>
      <w:r>
        <w:t>1000</w:t>
      </w:r>
      <w:r>
        <w:rPr>
          <w:rFonts w:ascii="宋体" w:hAnsi="宋体" w:cs="宋体"/>
        </w:rPr>
        <w:t>千瓦时左右，天然气管网覆盖范围进一步扩大</w:t>
      </w:r>
      <w:r>
        <w:t>。”本工程属于天然气管道输配工程，符合政策要求。</w:t>
      </w:r>
    </w:p>
    <w:p w14:paraId="711FFE65">
      <w:pPr>
        <w:pStyle w:val="234"/>
      </w:pPr>
      <w:r>
        <w:t>因此，本工程建设符合当前国家和地方产业政策。</w:t>
      </w:r>
    </w:p>
    <w:p w14:paraId="08905D61">
      <w:pPr>
        <w:pStyle w:val="234"/>
        <w:spacing w:before="62" w:after="62"/>
        <w:ind w:firstLine="482"/>
        <w:rPr>
          <w:b/>
          <w:bCs/>
        </w:rPr>
      </w:pPr>
      <w:r>
        <w:rPr>
          <w:b/>
          <w:bCs/>
        </w:rPr>
        <w:t>（</w:t>
      </w:r>
      <w:r>
        <w:rPr>
          <w:rFonts w:hint="eastAsia"/>
          <w:b/>
          <w:bCs/>
        </w:rPr>
        <w:t>2</w:t>
      </w:r>
      <w:r>
        <w:rPr>
          <w:b/>
          <w:bCs/>
        </w:rPr>
        <w:t>）与《生态环境部关于生态环境领域进一步深化“放管服”改革推动经济高质量发展的指导意见》的符合性</w:t>
      </w:r>
    </w:p>
    <w:p w14:paraId="0C5AD4D9">
      <w:pPr>
        <w:pStyle w:val="234"/>
      </w:pPr>
      <w:r>
        <w:t>《生态环境部关于生态环境领域进一步深化“放管服”改革推动经济高质量发展的指导意见》（环规财〔2018〕86号）中指出“对审批中发现涉及生态保护红线和相关法定保护区的输气管线、铁路等线性项目，指导督促项目优化调整选线、主动避让；确实无法避让的，要求建设单位采取无害化穿（跨）越方式，或依法依规向有关行政主管部门履行穿越法定保护区的行政许可手续、强化减缓和补偿措施。”</w:t>
      </w:r>
    </w:p>
    <w:p w14:paraId="0D69A79A">
      <w:pPr>
        <w:pStyle w:val="234"/>
      </w:pPr>
      <w:r>
        <w:t>本工程不穿越、占用生态保护红线，因此，本工程符合《生态环境部关于生态环境领域进一步深化“放管服”改革推动经济高质量发展的指导意见》的要求。</w:t>
      </w:r>
    </w:p>
    <w:p w14:paraId="4DD40C6B">
      <w:pPr>
        <w:pStyle w:val="234"/>
        <w:spacing w:before="62" w:after="62"/>
        <w:ind w:firstLine="482"/>
        <w:rPr>
          <w:b/>
          <w:bCs/>
        </w:rPr>
      </w:pPr>
      <w:r>
        <w:rPr>
          <w:b/>
          <w:bCs/>
        </w:rPr>
        <w:t>（</w:t>
      </w:r>
      <w:r>
        <w:rPr>
          <w:rFonts w:hint="eastAsia"/>
          <w:b/>
          <w:bCs/>
        </w:rPr>
        <w:t>3</w:t>
      </w:r>
      <w:r>
        <w:rPr>
          <w:b/>
          <w:bCs/>
        </w:rPr>
        <w:t>）与《关于进一步加强石油天然气行业环境影响评价管理的通知》（环办环评函〔2019〕910号）的符合性</w:t>
      </w:r>
    </w:p>
    <w:p w14:paraId="36989943">
      <w:pPr>
        <w:pStyle w:val="234"/>
      </w:pPr>
      <w:r>
        <w:t>通知要求：（十二）陆地油气长输管道项目，原则上应当单独编制环评文件。油气长输管道及油气田内部集输管道应当优先避让环境敏感区，并从穿越位置、穿越方式、施工场地设置、管线工艺设计、环境风险防范等方面进行深入论证。高度关注项目安全事故带来的环境风险，尽量远离沿线居民。</w:t>
      </w:r>
    </w:p>
    <w:p w14:paraId="49028CAD">
      <w:pPr>
        <w:pStyle w:val="234"/>
      </w:pPr>
      <w:r>
        <w:t>本工程在选址初期即将避让环境敏感区和远离居民区列入工作的重点内容，环评单位提前介入，对管道沿线附近敏感点资料进行收集。设计结合环境敏感点资料、管道所经地区规划、卫星解译图片和实地踏勘资料，对管道整体路由进行定位，对具体路由进行比选，结合各项因素最大限度避让环境敏感区，尽量远离居民区。</w:t>
      </w:r>
    </w:p>
    <w:p w14:paraId="64C58602">
      <w:pPr>
        <w:pStyle w:val="234"/>
      </w:pPr>
      <w:r>
        <w:t>本工程不穿越、占用生态保护红线，对</w:t>
      </w:r>
      <w:r>
        <w:rPr>
          <w:rFonts w:hint="eastAsia"/>
        </w:rPr>
        <w:t>G356国道穿越</w:t>
      </w:r>
      <w:r>
        <w:t>采用施工影响</w:t>
      </w:r>
      <w:r>
        <w:rPr>
          <w:rFonts w:hint="eastAsia"/>
        </w:rPr>
        <w:t>较</w:t>
      </w:r>
      <w:r>
        <w:t>小的</w:t>
      </w:r>
      <w:r>
        <w:rPr>
          <w:rFonts w:hint="eastAsia"/>
        </w:rPr>
        <w:t>顶管</w:t>
      </w:r>
      <w:r>
        <w:t>穿越方式施工，一般地区开挖采取分层开挖、分层堆放、分层回填的方式，将施工影响降到最低。</w:t>
      </w:r>
    </w:p>
    <w:p w14:paraId="1336DA58">
      <w:pPr>
        <w:pStyle w:val="234"/>
      </w:pPr>
      <w:r>
        <w:t>本工程属于输气管道工程，报告书对管道最大可信事故进行了预测，并提出了环境风险防范措施，本工程风险可防可控。综上所述，本工程符合《关于进一步加强石油天然气行业环境影响评价管理的通知》(环办环评函〔2019〕910号)的要求。</w:t>
      </w:r>
    </w:p>
    <w:p w14:paraId="636962A7">
      <w:pPr>
        <w:pStyle w:val="234"/>
        <w:spacing w:before="62" w:after="62"/>
        <w:ind w:firstLine="482"/>
        <w:rPr>
          <w:b/>
          <w:bCs/>
        </w:rPr>
      </w:pPr>
      <w:r>
        <w:rPr>
          <w:b/>
          <w:bCs/>
        </w:rPr>
        <w:t>（</w:t>
      </w:r>
      <w:r>
        <w:rPr>
          <w:rFonts w:hint="eastAsia"/>
          <w:b/>
          <w:bCs/>
        </w:rPr>
        <w:t>4</w:t>
      </w:r>
      <w:r>
        <w:rPr>
          <w:b/>
          <w:bCs/>
        </w:rPr>
        <w:t>）与《关于进一步加强环境影响评价管理防范环境风险的通知》(环发〔2012〕77号）的符合性</w:t>
      </w:r>
    </w:p>
    <w:p w14:paraId="508B927B">
      <w:pPr>
        <w:pStyle w:val="234"/>
      </w:pPr>
      <w:r>
        <w:t>本工程与《关于进一步加强环境影响评价管理防范环境风险的通知》（环发〔2012〕77号）符合情况见表5.2-1。</w:t>
      </w:r>
    </w:p>
    <w:p w14:paraId="4C3A07D6">
      <w:pPr>
        <w:pStyle w:val="904"/>
      </w:pPr>
      <w:r>
        <w:t>表5.2-1  本工程与环发〔2012〕77号文相关要求符合情况</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0"/>
        <w:gridCol w:w="5148"/>
        <w:gridCol w:w="2370"/>
        <w:gridCol w:w="968"/>
      </w:tblGrid>
      <w:tr w14:paraId="06AA3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8" w:type="dxa"/>
            <w:vAlign w:val="center"/>
          </w:tcPr>
          <w:p w14:paraId="2A83245E">
            <w:pPr>
              <w:pStyle w:val="1343"/>
            </w:pPr>
            <w:r>
              <w:t>分类</w:t>
            </w:r>
          </w:p>
        </w:tc>
        <w:tc>
          <w:tcPr>
            <w:tcW w:w="4622" w:type="dxa"/>
            <w:vAlign w:val="center"/>
          </w:tcPr>
          <w:p w14:paraId="6BD0A185">
            <w:pPr>
              <w:pStyle w:val="1343"/>
            </w:pPr>
            <w:r>
              <w:t>环发〔2012〕77号</w:t>
            </w:r>
          </w:p>
        </w:tc>
        <w:tc>
          <w:tcPr>
            <w:tcW w:w="2128" w:type="dxa"/>
            <w:vAlign w:val="center"/>
          </w:tcPr>
          <w:p w14:paraId="2F954DF8">
            <w:pPr>
              <w:pStyle w:val="1343"/>
            </w:pPr>
            <w:r>
              <w:t>本工程情况</w:t>
            </w:r>
          </w:p>
        </w:tc>
        <w:tc>
          <w:tcPr>
            <w:tcW w:w="869" w:type="dxa"/>
            <w:vAlign w:val="center"/>
          </w:tcPr>
          <w:p w14:paraId="1C2A34F5">
            <w:pPr>
              <w:pStyle w:val="1343"/>
            </w:pPr>
            <w:r>
              <w:t>符合性</w:t>
            </w:r>
          </w:p>
        </w:tc>
      </w:tr>
      <w:tr w14:paraId="249B9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8" w:type="dxa"/>
            <w:vMerge w:val="restart"/>
            <w:vAlign w:val="center"/>
          </w:tcPr>
          <w:p w14:paraId="5282B94B">
            <w:pPr>
              <w:pStyle w:val="1343"/>
            </w:pPr>
            <w:r>
              <w:t>三、严格建设项目环境影响评价管理，强化环境风险评价</w:t>
            </w:r>
          </w:p>
        </w:tc>
        <w:tc>
          <w:tcPr>
            <w:tcW w:w="4622" w:type="dxa"/>
            <w:vAlign w:val="center"/>
          </w:tcPr>
          <w:p w14:paraId="0728B86F">
            <w:pPr>
              <w:pStyle w:val="1343"/>
            </w:pPr>
            <w:r>
              <w:t>从环境风险源、扩散途径、保护目标三方面识别环境风险。环境风险识别应包括生产设施和危险物质的识别，有毒有害物质扩散途径的识别（如大气环境、水环境、土壤等）以及可能受影响的环境保护目标的识别。</w:t>
            </w:r>
          </w:p>
        </w:tc>
        <w:tc>
          <w:tcPr>
            <w:tcW w:w="2128" w:type="dxa"/>
            <w:vAlign w:val="center"/>
          </w:tcPr>
          <w:p w14:paraId="7B5DB116">
            <w:pPr>
              <w:pStyle w:val="1343"/>
            </w:pPr>
            <w:r>
              <w:t>本</w:t>
            </w:r>
            <w:r>
              <w:rPr>
                <w:rFonts w:hint="eastAsia"/>
              </w:rPr>
              <w:t>次环评</w:t>
            </w:r>
            <w:r>
              <w:t>已按照要求进行环境风险识别</w:t>
            </w:r>
          </w:p>
        </w:tc>
        <w:tc>
          <w:tcPr>
            <w:tcW w:w="869" w:type="dxa"/>
            <w:vAlign w:val="center"/>
          </w:tcPr>
          <w:p w14:paraId="5F738821">
            <w:pPr>
              <w:pStyle w:val="1343"/>
            </w:pPr>
            <w:r>
              <w:t>符合</w:t>
            </w:r>
          </w:p>
        </w:tc>
      </w:tr>
      <w:tr w14:paraId="43E14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8" w:type="dxa"/>
            <w:vMerge w:val="continue"/>
            <w:vAlign w:val="center"/>
          </w:tcPr>
          <w:p w14:paraId="4B49D62F">
            <w:pPr>
              <w:pStyle w:val="1343"/>
            </w:pPr>
          </w:p>
        </w:tc>
        <w:tc>
          <w:tcPr>
            <w:tcW w:w="4622" w:type="dxa"/>
            <w:vAlign w:val="center"/>
          </w:tcPr>
          <w:p w14:paraId="1F9A587B">
            <w:pPr>
              <w:pStyle w:val="1343"/>
            </w:pPr>
            <w:r>
              <w:t>科学开展环境风险预测。环境风险预测设定的最大可信事故应包括项目施工、运营等过程中生产设施发生火灾、爆炸，危险物质发生泄漏等事故，并充分考虑伴生/次生的危险物质等，从大气、地表水、海洋、地下水、土壤等环境方面考虑并预测评价突发环境事件对环境的影响范围和程度。</w:t>
            </w:r>
          </w:p>
        </w:tc>
        <w:tc>
          <w:tcPr>
            <w:tcW w:w="2128" w:type="dxa"/>
            <w:vAlign w:val="center"/>
          </w:tcPr>
          <w:p w14:paraId="27BC9378">
            <w:pPr>
              <w:pStyle w:val="1343"/>
            </w:pPr>
            <w:r>
              <w:t>本</w:t>
            </w:r>
            <w:r>
              <w:rPr>
                <w:rFonts w:hint="eastAsia"/>
              </w:rPr>
              <w:t>次环评</w:t>
            </w:r>
            <w:r>
              <w:t>开展了环境风险预测，最大可信事故设定满足文件要求</w:t>
            </w:r>
          </w:p>
        </w:tc>
        <w:tc>
          <w:tcPr>
            <w:tcW w:w="869" w:type="dxa"/>
            <w:vAlign w:val="center"/>
          </w:tcPr>
          <w:p w14:paraId="76504865">
            <w:pPr>
              <w:pStyle w:val="1343"/>
            </w:pPr>
            <w:r>
              <w:t>符合</w:t>
            </w:r>
          </w:p>
        </w:tc>
      </w:tr>
      <w:tr w14:paraId="6C879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8" w:type="dxa"/>
            <w:vMerge w:val="continue"/>
            <w:vAlign w:val="center"/>
          </w:tcPr>
          <w:p w14:paraId="46078829">
            <w:pPr>
              <w:pStyle w:val="1343"/>
            </w:pPr>
          </w:p>
        </w:tc>
        <w:tc>
          <w:tcPr>
            <w:tcW w:w="4622" w:type="dxa"/>
            <w:vAlign w:val="center"/>
          </w:tcPr>
          <w:p w14:paraId="44EA9046">
            <w:pPr>
              <w:pStyle w:val="1343"/>
            </w:pPr>
            <w:r>
              <w:t>提出合理有效的环境风险防范和应急措施。结合风险预测结论，有针对性地提出环境风险防范和应急措施，并对措施的合理性和有效性进行充分论证。</w:t>
            </w:r>
          </w:p>
        </w:tc>
        <w:tc>
          <w:tcPr>
            <w:tcW w:w="2128" w:type="dxa"/>
            <w:vAlign w:val="center"/>
          </w:tcPr>
          <w:p w14:paraId="172F3C27">
            <w:pPr>
              <w:pStyle w:val="1343"/>
            </w:pPr>
            <w:r>
              <w:rPr>
                <w:rFonts w:hint="eastAsia"/>
              </w:rPr>
              <w:t>环境影响报告书</w:t>
            </w:r>
            <w:r>
              <w:t>风险评价章节提出了合理有效的环境风险防范和应急措施，并进行了充分的论证</w:t>
            </w:r>
          </w:p>
        </w:tc>
        <w:tc>
          <w:tcPr>
            <w:tcW w:w="869" w:type="dxa"/>
            <w:vAlign w:val="center"/>
          </w:tcPr>
          <w:p w14:paraId="0ABDB9A9">
            <w:pPr>
              <w:pStyle w:val="1343"/>
            </w:pPr>
            <w:r>
              <w:t>符合</w:t>
            </w:r>
          </w:p>
        </w:tc>
      </w:tr>
      <w:tr w14:paraId="71647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8" w:type="dxa"/>
            <w:vMerge w:val="continue"/>
            <w:vAlign w:val="center"/>
          </w:tcPr>
          <w:p w14:paraId="432FA678">
            <w:pPr>
              <w:pStyle w:val="1343"/>
            </w:pPr>
          </w:p>
        </w:tc>
        <w:tc>
          <w:tcPr>
            <w:tcW w:w="4622" w:type="dxa"/>
            <w:vAlign w:val="center"/>
          </w:tcPr>
          <w:p w14:paraId="06CEFDEA">
            <w:pPr>
              <w:pStyle w:val="1343"/>
            </w:pPr>
            <w:r>
              <w:t>改、扩建相关建设项目应按照现行环境风险防范和管理要求，对现有工程的环境风险进行全面梳理和评价，针对可能存在的环境风险隐患，提出相应的补救或完善措施，并纳入改、扩建项目“三同时”验收内容。</w:t>
            </w:r>
          </w:p>
        </w:tc>
        <w:tc>
          <w:tcPr>
            <w:tcW w:w="2128" w:type="dxa"/>
            <w:vAlign w:val="center"/>
          </w:tcPr>
          <w:p w14:paraId="6C01600D">
            <w:pPr>
              <w:pStyle w:val="1343"/>
            </w:pPr>
            <w:r>
              <w:t>本工程为</w:t>
            </w:r>
            <w:r>
              <w:rPr>
                <w:rFonts w:hint="eastAsia"/>
              </w:rPr>
              <w:t>改扩建</w:t>
            </w:r>
            <w:r>
              <w:t>项目</w:t>
            </w:r>
            <w:r>
              <w:rPr>
                <w:rFonts w:hint="eastAsia"/>
              </w:rPr>
              <w:t>，根据对现有工程环境风险的调查，工程已采取的风险防范措施较为完善，风险可控</w:t>
            </w:r>
          </w:p>
        </w:tc>
        <w:tc>
          <w:tcPr>
            <w:tcW w:w="869" w:type="dxa"/>
            <w:vAlign w:val="center"/>
          </w:tcPr>
          <w:p w14:paraId="2370C5B6">
            <w:pPr>
              <w:pStyle w:val="1343"/>
            </w:pPr>
            <w:r>
              <w:t>符合</w:t>
            </w:r>
          </w:p>
        </w:tc>
      </w:tr>
      <w:tr w14:paraId="23F27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8" w:type="dxa"/>
            <w:vMerge w:val="continue"/>
            <w:vAlign w:val="center"/>
          </w:tcPr>
          <w:p w14:paraId="752DBBEF">
            <w:pPr>
              <w:pStyle w:val="1343"/>
            </w:pPr>
          </w:p>
        </w:tc>
        <w:tc>
          <w:tcPr>
            <w:tcW w:w="4622" w:type="dxa"/>
            <w:vAlign w:val="center"/>
          </w:tcPr>
          <w:p w14:paraId="477BF8E5">
            <w:pPr>
              <w:pStyle w:val="1343"/>
            </w:pPr>
            <w:r>
              <w:t>环境风险评价结论应作为相关建设项目环境影响评价文件结论的主要内容之一。无环境风险评价专章的相关建设项目环境影响评价文件不予受理;经论证，环境风险评价内容不完善的相关建设项目环境影响评价文件不予审批。</w:t>
            </w:r>
          </w:p>
        </w:tc>
        <w:tc>
          <w:tcPr>
            <w:tcW w:w="2128" w:type="dxa"/>
            <w:vAlign w:val="center"/>
          </w:tcPr>
          <w:p w14:paraId="2FF4C97E">
            <w:pPr>
              <w:pStyle w:val="1343"/>
            </w:pPr>
            <w:r>
              <w:rPr>
                <w:rFonts w:hint="eastAsia"/>
              </w:rPr>
              <w:t>环境影响报告书</w:t>
            </w:r>
            <w:r>
              <w:t>已设置环境风险评价章节</w:t>
            </w:r>
          </w:p>
        </w:tc>
        <w:tc>
          <w:tcPr>
            <w:tcW w:w="869" w:type="dxa"/>
            <w:vAlign w:val="center"/>
          </w:tcPr>
          <w:p w14:paraId="25EDF152">
            <w:pPr>
              <w:pStyle w:val="1343"/>
            </w:pPr>
            <w:r>
              <w:t>符合</w:t>
            </w:r>
          </w:p>
        </w:tc>
      </w:tr>
    </w:tbl>
    <w:p w14:paraId="1F141BD8">
      <w:pPr>
        <w:pStyle w:val="234"/>
        <w:spacing w:before="62" w:after="62"/>
        <w:ind w:firstLine="482"/>
        <w:rPr>
          <w:b/>
          <w:bCs/>
        </w:rPr>
      </w:pPr>
      <w:r>
        <w:rPr>
          <w:b/>
          <w:bCs/>
        </w:rPr>
        <w:t>（</w:t>
      </w:r>
      <w:r>
        <w:rPr>
          <w:rFonts w:hint="eastAsia"/>
          <w:b/>
          <w:bCs/>
        </w:rPr>
        <w:t>5</w:t>
      </w:r>
      <w:r>
        <w:rPr>
          <w:b/>
          <w:bCs/>
        </w:rPr>
        <w:t>）与《关于切实加强风险防范严格环境影响评价管理的通知》(环发〔2012〕98号）的符合性</w:t>
      </w:r>
    </w:p>
    <w:p w14:paraId="7221C28A">
      <w:pPr>
        <w:pStyle w:val="234"/>
        <w:spacing w:before="62" w:after="62"/>
      </w:pPr>
      <w:r>
        <w:t>本工程与《关于切实加强风险防范严格环境影响评价管理的通知》(环发〔2012〕98号）符合情况见表5.2-2。</w:t>
      </w:r>
    </w:p>
    <w:p w14:paraId="7FFBF3AA">
      <w:pPr>
        <w:pStyle w:val="904"/>
      </w:pPr>
      <w:r>
        <w:t>表5.2-2  本工程与环发〔2012〕98号文相关要求符合情况</w:t>
      </w:r>
    </w:p>
    <w:tbl>
      <w:tblPr>
        <w:tblStyle w:val="139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0"/>
        <w:gridCol w:w="4736"/>
        <w:gridCol w:w="2684"/>
        <w:gridCol w:w="1066"/>
      </w:tblGrid>
      <w:tr w14:paraId="3D4FD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dxa"/>
            <w:vAlign w:val="center"/>
          </w:tcPr>
          <w:p w14:paraId="4CCB0E6A">
            <w:pPr>
              <w:pStyle w:val="1343"/>
            </w:pPr>
            <w:r>
              <w:t>分类</w:t>
            </w:r>
          </w:p>
        </w:tc>
        <w:tc>
          <w:tcPr>
            <w:tcW w:w="4252" w:type="dxa"/>
            <w:vAlign w:val="center"/>
          </w:tcPr>
          <w:p w14:paraId="20535DCD">
            <w:pPr>
              <w:pStyle w:val="1343"/>
            </w:pPr>
            <w:r>
              <w:t>环发〔2012〕</w:t>
            </w:r>
            <w:r>
              <w:rPr>
                <w:rFonts w:hint="eastAsia"/>
              </w:rPr>
              <w:t>98</w:t>
            </w:r>
            <w:r>
              <w:t>号</w:t>
            </w:r>
          </w:p>
        </w:tc>
        <w:tc>
          <w:tcPr>
            <w:tcW w:w="2410" w:type="dxa"/>
            <w:vAlign w:val="center"/>
          </w:tcPr>
          <w:p w14:paraId="471A20A3">
            <w:pPr>
              <w:pStyle w:val="1343"/>
            </w:pPr>
            <w:r>
              <w:t>本工程情况</w:t>
            </w:r>
          </w:p>
        </w:tc>
        <w:tc>
          <w:tcPr>
            <w:tcW w:w="957" w:type="dxa"/>
            <w:vAlign w:val="center"/>
          </w:tcPr>
          <w:p w14:paraId="6363AA9C">
            <w:pPr>
              <w:pStyle w:val="1343"/>
            </w:pPr>
            <w:r>
              <w:t>符合性</w:t>
            </w:r>
          </w:p>
        </w:tc>
      </w:tr>
      <w:tr w14:paraId="5E55F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dxa"/>
            <w:vMerge w:val="restart"/>
            <w:vAlign w:val="center"/>
          </w:tcPr>
          <w:p w14:paraId="679F41C2">
            <w:pPr>
              <w:pStyle w:val="1343"/>
            </w:pPr>
            <w:r>
              <w:t>进一步强化环境影响评价全过程监管</w:t>
            </w:r>
          </w:p>
        </w:tc>
        <w:tc>
          <w:tcPr>
            <w:tcW w:w="4252" w:type="dxa"/>
            <w:vAlign w:val="center"/>
          </w:tcPr>
          <w:p w14:paraId="321DA051">
            <w:pPr>
              <w:pStyle w:val="1343"/>
              <w:jc w:val="left"/>
            </w:pPr>
            <w:r>
              <w:t>化工石化、有色冶炼、制浆造纸等可能引发环境风险的项目，在符合国家产业政策和清洁生产水平要求、满足污染物排放标准以及污染物排放总量控制指标的前提下，必须在依法设立、环境保护基础设施齐全经规划环评的产业园区内布设。在环境风险防控重点区域如居民集中区、医院和学校附近、重要水源涵养生态功能区等，已经因环境污染导致环境质量不能稳定达标的区域内，禁止新建或扩建可能引发环境风险的项目。</w:t>
            </w:r>
          </w:p>
        </w:tc>
        <w:tc>
          <w:tcPr>
            <w:tcW w:w="2410" w:type="dxa"/>
            <w:vAlign w:val="center"/>
          </w:tcPr>
          <w:p w14:paraId="5CA1D83B">
            <w:pPr>
              <w:pStyle w:val="1343"/>
            </w:pPr>
            <w:r>
              <w:t>本工程不属于化工石化、有色冶炼、制浆造纸项目，</w:t>
            </w:r>
            <w:r>
              <w:rPr>
                <w:rFonts w:hint="eastAsia"/>
              </w:rPr>
              <w:t>本工程</w:t>
            </w:r>
            <w:r>
              <w:t>管线</w:t>
            </w:r>
            <w:r>
              <w:rPr>
                <w:rFonts w:hint="eastAsia"/>
              </w:rPr>
              <w:t>已最大限度避让村庄、学校和医院等敏感目标，</w:t>
            </w:r>
            <w:r>
              <w:t>周边200范围内</w:t>
            </w:r>
            <w:r>
              <w:rPr>
                <w:rFonts w:hint="eastAsia"/>
              </w:rPr>
              <w:t>居民较少，</w:t>
            </w:r>
            <w:r>
              <w:t>无医院和学校、重要水源涵养生态功能区等</w:t>
            </w:r>
            <w:r>
              <w:rPr>
                <w:rFonts w:hint="eastAsia"/>
              </w:rPr>
              <w:t>敏感目标</w:t>
            </w:r>
            <w:r>
              <w:t>，并且采取环境风险防范措施并计划编制完善的</w:t>
            </w:r>
            <w:r>
              <w:rPr>
                <w:rFonts w:hint="eastAsia"/>
              </w:rPr>
              <w:t>突发环境事件应急预案</w:t>
            </w:r>
            <w:r>
              <w:t>，环境风险可接受。</w:t>
            </w:r>
          </w:p>
        </w:tc>
        <w:tc>
          <w:tcPr>
            <w:tcW w:w="957" w:type="dxa"/>
            <w:vAlign w:val="center"/>
          </w:tcPr>
          <w:p w14:paraId="54123FB4">
            <w:pPr>
              <w:pStyle w:val="1343"/>
            </w:pPr>
            <w:r>
              <w:t>符合</w:t>
            </w:r>
          </w:p>
        </w:tc>
      </w:tr>
      <w:tr w14:paraId="33703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dxa"/>
            <w:vMerge w:val="continue"/>
            <w:vAlign w:val="center"/>
          </w:tcPr>
          <w:p w14:paraId="51967C68">
            <w:pPr>
              <w:pStyle w:val="1343"/>
            </w:pPr>
          </w:p>
        </w:tc>
        <w:tc>
          <w:tcPr>
            <w:tcW w:w="4252" w:type="dxa"/>
            <w:vAlign w:val="center"/>
          </w:tcPr>
          <w:p w14:paraId="1F8B7D8F">
            <w:pPr>
              <w:pStyle w:val="1343"/>
              <w:jc w:val="left"/>
            </w:pPr>
            <w:r>
              <w:t>重点关注环境敏感目标保护、所涉及环境敏感区的主管部门相关意见、规划调整控制、防护距离内的居民搬迁安置方案和项目依托的公用环保设施或工程是否可行、是否存在环评违法行为。</w:t>
            </w:r>
          </w:p>
        </w:tc>
        <w:tc>
          <w:tcPr>
            <w:tcW w:w="2410" w:type="dxa"/>
            <w:vAlign w:val="center"/>
          </w:tcPr>
          <w:p w14:paraId="22180EED">
            <w:pPr>
              <w:pStyle w:val="1343"/>
              <w:jc w:val="left"/>
            </w:pPr>
            <w:r>
              <w:t>本工程</w:t>
            </w:r>
            <w:r>
              <w:rPr>
                <w:rFonts w:hint="eastAsia"/>
              </w:rPr>
              <w:t>占用公益林已获得耒阳市林业局复函</w:t>
            </w:r>
            <w:r>
              <w:t>（附件</w:t>
            </w:r>
            <w:r>
              <w:rPr>
                <w:rFonts w:hint="eastAsia"/>
              </w:rPr>
              <w:t>6</w:t>
            </w:r>
            <w:r>
              <w:t>）</w:t>
            </w:r>
            <w:r>
              <w:rPr>
                <w:rFonts w:hint="eastAsia"/>
              </w:rPr>
              <w:t>；</w:t>
            </w:r>
            <w:r>
              <w:t>根据公众参与调查结果，周边公众对本工程建设持支持态度。</w:t>
            </w:r>
          </w:p>
        </w:tc>
        <w:tc>
          <w:tcPr>
            <w:tcW w:w="957" w:type="dxa"/>
            <w:vAlign w:val="center"/>
          </w:tcPr>
          <w:p w14:paraId="6EBD56FE">
            <w:pPr>
              <w:pStyle w:val="1343"/>
            </w:pPr>
            <w:r>
              <w:t>符合</w:t>
            </w:r>
          </w:p>
        </w:tc>
      </w:tr>
      <w:tr w14:paraId="1D4DD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8" w:type="dxa"/>
            <w:vMerge w:val="continue"/>
            <w:vAlign w:val="center"/>
          </w:tcPr>
          <w:p w14:paraId="699C2E7C">
            <w:pPr>
              <w:pStyle w:val="1343"/>
            </w:pPr>
          </w:p>
        </w:tc>
        <w:tc>
          <w:tcPr>
            <w:tcW w:w="4252" w:type="dxa"/>
            <w:vAlign w:val="center"/>
          </w:tcPr>
          <w:p w14:paraId="6D889DF4">
            <w:pPr>
              <w:pStyle w:val="1343"/>
              <w:jc w:val="left"/>
            </w:pPr>
            <w:r>
              <w:t>对可能引发环境风险的项目，还要重点关注环境风险评价专章和环境风险防范措施。</w:t>
            </w:r>
          </w:p>
        </w:tc>
        <w:tc>
          <w:tcPr>
            <w:tcW w:w="2410" w:type="dxa"/>
            <w:vAlign w:val="center"/>
          </w:tcPr>
          <w:p w14:paraId="1445822F">
            <w:pPr>
              <w:pStyle w:val="1343"/>
            </w:pPr>
            <w:r>
              <w:t>本报告书设置了环境风险评价章节，提出了合理有效的环境风险防范和应急措施，并进行了充分的论证。</w:t>
            </w:r>
          </w:p>
        </w:tc>
        <w:tc>
          <w:tcPr>
            <w:tcW w:w="957" w:type="dxa"/>
            <w:vAlign w:val="center"/>
          </w:tcPr>
          <w:p w14:paraId="5B3FDFD7">
            <w:pPr>
              <w:pStyle w:val="1343"/>
            </w:pPr>
            <w:r>
              <w:t>符合</w:t>
            </w:r>
          </w:p>
        </w:tc>
      </w:tr>
    </w:tbl>
    <w:p w14:paraId="192F5654">
      <w:pPr>
        <w:pStyle w:val="234"/>
        <w:spacing w:before="62" w:after="62"/>
        <w:ind w:firstLine="482"/>
        <w:rPr>
          <w:b/>
          <w:bCs/>
        </w:rPr>
      </w:pPr>
      <w:r>
        <w:rPr>
          <w:rFonts w:hint="eastAsia"/>
          <w:b/>
          <w:bCs/>
        </w:rPr>
        <w:t>（6）《自然资源部 关于规范临时用地管理的通知》（自然资规〔2021〕2号）符合性分析</w:t>
      </w:r>
    </w:p>
    <w:p w14:paraId="35CA74D5">
      <w:pPr>
        <w:pStyle w:val="234"/>
      </w:pPr>
      <w:r>
        <w:rPr>
          <w:rFonts w:hint="eastAsia"/>
        </w:rPr>
        <w:t>根据《自然资源部 关于规范临时用地管理的通知》（自然资规〔2021〕2号）：“建设项目施工、地质勘查使用临时用地时应坚持“用多少、批多少、占多少、恢复多少”，尽量不占或者少占耕地。使用后土地复垦难度较大的临时用地，要严格控制占用耕地。铁路、公路等单独选址建设项目，应科学组织施工，节约集约使用临时用地。制梁场、拌合站等难以恢复原种植条件的不得以临时用地方式占用耕地和永久基本农田，可以建设用地方式或者临时占用未利用地方式使用土地。临时用地确需占用永久基本农田的，必须能够恢复原种植条件，并符合《自然资源部 农业农村部关于加强和改进永久基本农田保护工作的通知》（自然资规〔2019〕1号）中申请条件、土壤剥离、复垦验收等有关规定。</w:t>
      </w:r>
    </w:p>
    <w:p w14:paraId="2CD80FE2">
      <w:pPr>
        <w:pStyle w:val="234"/>
      </w:pPr>
      <w:r>
        <w:rPr>
          <w:rFonts w:hint="eastAsia"/>
        </w:rPr>
        <w:t>临时用地使用期限一般不超过两年。建设周期较长的能源、交通、水利等基础设施建设项目施工使用的临时用地，期限不超过四年。城镇开发边界内临时建设用地规划许可、临时建设工程规划许可的期限应当与临时用地期限相衔接。临时用地使用期限，从批准之日起算。”</w:t>
      </w:r>
    </w:p>
    <w:p w14:paraId="0D6B7341">
      <w:pPr>
        <w:pStyle w:val="234"/>
      </w:pPr>
      <w:r>
        <w:rPr>
          <w:rFonts w:hint="eastAsia"/>
        </w:rPr>
        <w:t>本工程临时占地无法避让基本农田，不涉及制梁场、拌合站等难以恢复原种植条件的占地，符合《自然资源部 农业农村部关于加强和改进永久基本农田保护工作的通知》（自然资规〔2019〕1号）中申请条件、土壤剥离、复垦验收等有关规定，因此本工程临时占用基本农田符合《自然资源部 关于规范临时用地管理的通知》（自然资规〔2021〕2号）文件要求。</w:t>
      </w:r>
    </w:p>
    <w:p w14:paraId="1851FD37">
      <w:pPr>
        <w:pStyle w:val="234"/>
        <w:spacing w:before="120" w:beforeLines="50"/>
        <w:ind w:firstLine="482"/>
        <w:rPr>
          <w:b/>
          <w:bCs/>
        </w:rPr>
      </w:pPr>
      <w:r>
        <w:rPr>
          <w:rFonts w:hint="eastAsia"/>
          <w:b/>
          <w:bCs/>
        </w:rPr>
        <w:t>（7）与《基本农田保护条例》（2011年1月8日修订）的符合性</w:t>
      </w:r>
    </w:p>
    <w:p w14:paraId="7BB75047">
      <w:pPr>
        <w:tabs>
          <w:tab w:val="left" w:pos="759"/>
        </w:tabs>
        <w:adjustRightInd w:val="0"/>
        <w:snapToGrid w:val="0"/>
        <w:spacing w:line="360" w:lineRule="auto"/>
        <w:ind w:firstLine="480" w:firstLineChars="200"/>
        <w:rPr>
          <w:sz w:val="24"/>
        </w:rPr>
      </w:pPr>
      <w:r>
        <w:rPr>
          <w:sz w:val="24"/>
        </w:rPr>
        <w:t>根据《基本农田保护条例（2011修订）》，第十五条：“国家能源、交通、水利、军事设施等重点建设项目选址确实无法避开基本农田保护区，需要占用基本农田，涉及农用地转用或者征收土地的，必须经国务院批准。”；第十六条：“经国务院批准占用基本农田的，当地人民政府应当按照国务院的批准文件修改土地利用总体规划，并补充划入数量和质量相当的基本农田。占用单位应当按照占多少、垦多少的原则，负责开垦与所占基本农田的数量与质量相当的耕地；没有条件开垦或者开垦的耕地不符合要求的，应当按照省、自治区、直辖市的规定缴纳耕地开垦费，专款用于开垦新的耕地。占用基本农田的单位应当按照县级以上地方人民政府的要求，将所占用基本农田耕作层的土壤用于新开垦耕地、劣质地或者其他耕地的土壤改良。”</w:t>
      </w:r>
    </w:p>
    <w:p w14:paraId="3C529868">
      <w:pPr>
        <w:tabs>
          <w:tab w:val="left" w:pos="759"/>
        </w:tabs>
        <w:adjustRightInd w:val="0"/>
        <w:snapToGrid w:val="0"/>
        <w:spacing w:line="360" w:lineRule="auto"/>
        <w:ind w:firstLine="480" w:firstLineChars="200"/>
        <w:rPr>
          <w:rStyle w:val="238"/>
        </w:rPr>
      </w:pPr>
      <w:r>
        <w:rPr>
          <w:rFonts w:hint="eastAsia"/>
          <w:sz w:val="24"/>
        </w:rPr>
        <w:t>本项目属于能源建设项目，根据工程地质勘查，选址确实难以避让基本农田，工程临时占用基本农田面积为7627m</w:t>
      </w:r>
      <w:r>
        <w:rPr>
          <w:rFonts w:hint="eastAsia"/>
          <w:sz w:val="24"/>
          <w:vertAlign w:val="superscript"/>
        </w:rPr>
        <w:t>2</w:t>
      </w:r>
      <w:r>
        <w:rPr>
          <w:rFonts w:hint="eastAsia"/>
          <w:sz w:val="24"/>
        </w:rPr>
        <w:t>，仅标志桩永久占用少量基本农田（18m</w:t>
      </w:r>
      <w:r>
        <w:rPr>
          <w:rFonts w:hint="eastAsia"/>
          <w:sz w:val="24"/>
          <w:vertAlign w:val="superscript"/>
        </w:rPr>
        <w:t>2</w:t>
      </w:r>
      <w:r>
        <w:rPr>
          <w:rFonts w:hint="eastAsia"/>
          <w:sz w:val="24"/>
        </w:rPr>
        <w:t>）。</w:t>
      </w:r>
      <w:r>
        <w:rPr>
          <w:sz w:val="24"/>
        </w:rPr>
        <w:t>对施工期</w:t>
      </w:r>
      <w:r>
        <w:rPr>
          <w:rFonts w:hint="eastAsia"/>
          <w:sz w:val="24"/>
        </w:rPr>
        <w:t>临时占用的</w:t>
      </w:r>
      <w:r>
        <w:rPr>
          <w:sz w:val="24"/>
        </w:rPr>
        <w:t>永久基本农田内土壤进行分层开挖、分层堆放、分层回填，施工结束后及时进行复垦，且</w:t>
      </w:r>
      <w:r>
        <w:rPr>
          <w:rFonts w:hint="eastAsia"/>
          <w:sz w:val="24"/>
        </w:rPr>
        <w:t>本工程</w:t>
      </w:r>
      <w:r>
        <w:rPr>
          <w:sz w:val="24"/>
        </w:rPr>
        <w:t>施工时间较短</w:t>
      </w:r>
      <w:r>
        <w:rPr>
          <w:rFonts w:hint="eastAsia"/>
          <w:sz w:val="24"/>
        </w:rPr>
        <w:t>（6个月），永久占用的基本农田应规定缴纳耕地开垦费，专款用于开垦新的耕地</w:t>
      </w:r>
      <w:r>
        <w:rPr>
          <w:sz w:val="24"/>
        </w:rPr>
        <w:t>。</w:t>
      </w:r>
      <w:r>
        <w:rPr>
          <w:rFonts w:hint="eastAsia"/>
          <w:sz w:val="24"/>
        </w:rPr>
        <w:t>因此本工程</w:t>
      </w:r>
      <w:r>
        <w:rPr>
          <w:rStyle w:val="238"/>
        </w:rPr>
        <w:t>符合《基本农田保护条例》</w:t>
      </w:r>
      <w:r>
        <w:rPr>
          <w:rStyle w:val="238"/>
          <w:rFonts w:hint="eastAsia"/>
        </w:rPr>
        <w:t>（2011年1月8日修订）</w:t>
      </w:r>
      <w:r>
        <w:rPr>
          <w:rStyle w:val="238"/>
        </w:rPr>
        <w:t>要求。</w:t>
      </w:r>
    </w:p>
    <w:p w14:paraId="458EED11">
      <w:pPr>
        <w:pStyle w:val="234"/>
        <w:spacing w:before="62" w:after="62"/>
        <w:ind w:firstLine="482"/>
        <w:rPr>
          <w:b/>
          <w:bCs/>
        </w:rPr>
      </w:pPr>
      <w:r>
        <w:rPr>
          <w:rFonts w:hint="eastAsia"/>
          <w:b/>
          <w:bCs/>
        </w:rPr>
        <w:t>（8）《自然资源部 农业农村部关于加强和改进永久基本农田保护工作的通知》（自然资规〔2019〕1号）符合性分析</w:t>
      </w:r>
    </w:p>
    <w:p w14:paraId="6E321489">
      <w:pPr>
        <w:pStyle w:val="234"/>
        <w:spacing w:before="62" w:after="62"/>
      </w:pPr>
      <w:r>
        <w:rPr>
          <w:rFonts w:hint="eastAsia"/>
        </w:rPr>
        <w:t>根据《自然资源部 农业农村部关于加强和改进永久基本农田保护工作的通知》（自然资规〔2019〕1号），“（七）严格占用和补划审查论证。一般建设项目不得占用永久基本农田；重大建设项目选址确实难以避让永久基本农田的，在可行性研究阶段，省级自然资源主管部门负责组织对占用的必要性、合理性和补划方案的可行性进行严格论证，报自然资源部用地预审；农用地转用和土地征收依法报批。深度贫困地区、集中连片特困地区、国家扶贫开发工作重点县省级以下基础设施、易地扶贫搬迁、民生发展等建设项目，确实难以避让永久基本农田的，可以纳入重大建设项目范围，由省级自然资源主管部门办理用地预审，并按照规定办理农用地转用和土地征收。严禁通过擅自调整县乡土地利用总体规划，规避占用永久基本农田的审批。</w:t>
      </w:r>
    </w:p>
    <w:p w14:paraId="0CCE9FEE">
      <w:pPr>
        <w:pStyle w:val="234"/>
        <w:spacing w:before="62" w:after="62"/>
      </w:pPr>
      <w:r>
        <w:rPr>
          <w:rFonts w:hint="eastAsia"/>
        </w:rPr>
        <w:t>重大建设项目占用永久基本农田的，按照“数量不减、质量不降、布局稳定”的要求进行补划，并按照法定程序修改相应的土地利用总体规划。补划的永久基本农田必须是坡度小于25度的耕地，原则上与现有永久基本农田集中连片。占用城市周边永久基本农田的，原则上在城市周边范围内补划，经实地踏勘论证确实难以在城市周边补划的，按照空间由近及远、质量由高到低的要求进行补划。重大建设项目用地预审和审查中要严格把关，切实落实最严格的节约集约用地制度，尽量不占或少占永久基本农田；重大建设项目在用地预审时不占永久基本农田、用地审批时占用的，按有关要求报自然资源部用地预审。线性重大建设项目占用永久基本农田用地预审通过后，选址发生局部调整、占用永久基本农田规模和区位发生变化的，由省级自然资源主管部门论证审核后完善补划方案，在用地审查报批时详细说明调整和补划情况。非线性重大建设项目占用永久基本农田用地预审通过后，所占规模和区位原则上不予调整。</w:t>
      </w:r>
    </w:p>
    <w:p w14:paraId="0FCD3595">
      <w:pPr>
        <w:pStyle w:val="234"/>
        <w:spacing w:before="62" w:after="62"/>
      </w:pPr>
      <w:r>
        <w:rPr>
          <w:rFonts w:hint="eastAsia"/>
        </w:rPr>
        <w:t>临时用地一般不得占用永久基本农田，建设项目施工和地质勘查需要临时用地、选址确实难以避让永久基本农田的，在不修建永久性建（构）筑物、经复垦能恢复原种植条件的前提下，土地使用者按法定程序申请临时用地并编制土地复垦方案，经县级自然资源主管部门批准可临时占用，并在市级自然资源主管部门备案，一般不超过两年，同时，通过耕地耕作层土壤剥离再利用等工程技术措施，减少对耕作层的破坏。临时用地到期后土地使用者应及时复垦恢复原种植条件，县级自然资源主管部门会同农业农村等相关主管部门开展土地复垦验收，验收合格的，继续按照永久基本农田保护和管理；验收不合格的，责令土地使用者进行整改，经整改仍不合格的，按照《土地复垦条例》规定由县级自然资源主管部门使用缴纳的土地复垦费代为组织复垦，并由县级自然资源主管部门会同农业农村等相关主管部门开展土地复垦验收。县级自然资源主管部门要切实履行职责，对在临时用地上修建永久性建（构）筑物或其他造成无法恢复原种植条件的行为依法进行处理；市级自然资源主管部门负责临时用地使用情况的监督管理，通过日常检查、年度卫片执法检查等，及时发现并纠正临时用地中存在的问题。</w:t>
      </w:r>
      <w:r>
        <w:t>”</w:t>
      </w:r>
    </w:p>
    <w:p w14:paraId="3F30676D">
      <w:pPr>
        <w:pStyle w:val="234"/>
      </w:pPr>
      <w:r>
        <w:rPr>
          <w:rFonts w:hint="eastAsia"/>
        </w:rPr>
        <w:t>本工程属于线性重大建设项目，仅标志桩永久占用少量基本农田，但施工临时用地难以避让永久基本农田，因此应按法定程序申请临时用地并编制土地复垦方案，经县级自然资源主管部门批准可临时占用，并在市级自然资源主管部门备案。本工程施工期通过分层开挖、分层堆放、分层回填的工程技术措施，减少对耕作层的破坏。在本工程施工完成后，通过复垦，可以使土壤恢复原有种植条件。在满足以上条件的基础上，本工程满足《自然资源部 农业农村部关于加强和改进永久基本农田保护工作的通知》（自然资规〔2019〕1号）文件要求。</w:t>
      </w:r>
    </w:p>
    <w:p w14:paraId="45F5622D">
      <w:pPr>
        <w:pStyle w:val="234"/>
        <w:spacing w:before="62" w:after="62"/>
        <w:ind w:firstLine="482"/>
        <w:rPr>
          <w:b/>
          <w:bCs/>
        </w:rPr>
      </w:pPr>
      <w:r>
        <w:rPr>
          <w:rFonts w:hint="eastAsia"/>
          <w:b/>
          <w:bCs/>
        </w:rPr>
        <w:t>（9）与《湖南省基本农田保护条例》符合性分析</w:t>
      </w:r>
    </w:p>
    <w:p w14:paraId="5741910A">
      <w:pPr>
        <w:pStyle w:val="234"/>
        <w:spacing w:before="62" w:after="62"/>
      </w:pPr>
      <w:r>
        <w:rPr>
          <w:rFonts w:hint="eastAsia"/>
        </w:rPr>
        <w:t>根据《湖南省基本农田保护条例》，第十条：“基本农田保护区经依法划定后，任何单位和个人不得改变或者占用。国家能源、交通、水利、军事设施等重点建设项目选址确实无法避开基本农田保护区，需要占用基本农田的，建设单位必须按照国家土地管理法律、法规规定的程序，向市、县人民政府土地行政主管部门提出申请，由市、县人民政府土地行政主管部门会同同级农业行政主管部门制定补充耕地方案，明确补划基本农田的位置、面积、质量，由省人民政府报国务院批准”，第十一条：“经批准占用基本农田的，占用单位应当按照占多少垦多少的原则，在规定期限内开垦与所占基本农田数量和质量相当的耕地；确实没有条件开垦或者经省人民政府土地行政主管部门会同农业行政主管部门验收确认开垦的耕地不符合数量、质量要求的，应当按照《湖南省实施＜中华人民共和国土地管理法＞办法》的规定缴纳耕地开垦费，专款用于开垦新的耕地。被占用的基本农田，经县级以上人民政府勘测认定其耕作层土壤有条件再利用的，占用单位应当按照农业行政主管部门和土地行政主管部门制定的耕作层土壤再利用方案，将所占用基本农田耕作层的土壤用于新开垦耕地、劣质地或者其他耕地的土壤改良”。</w:t>
      </w:r>
    </w:p>
    <w:p w14:paraId="55705E41">
      <w:pPr>
        <w:pStyle w:val="234"/>
        <w:spacing w:before="62" w:after="62"/>
        <w:rPr>
          <w:b/>
          <w:bCs/>
          <w:color w:val="FF0000"/>
        </w:rPr>
      </w:pPr>
      <w:r>
        <w:rPr>
          <w:rFonts w:hint="eastAsia"/>
        </w:rPr>
        <w:t>本工程属于能源建设项目，根据工程地质勘查，选址确实难以避让基本农田，工程临时占用基本农田面积为7627m</w:t>
      </w:r>
      <w:r>
        <w:rPr>
          <w:rFonts w:hint="eastAsia"/>
          <w:vertAlign w:val="superscript"/>
        </w:rPr>
        <w:t>2</w:t>
      </w:r>
      <w:r>
        <w:rPr>
          <w:rFonts w:hint="eastAsia"/>
        </w:rPr>
        <w:t>，仅标志桩永久占用少量基本农田。建设单位应在施工前向耒阳市人民政府提出申请，经批准后方可施工。</w:t>
      </w:r>
      <w:r>
        <w:t>对施工期</w:t>
      </w:r>
      <w:r>
        <w:rPr>
          <w:rFonts w:hint="eastAsia"/>
        </w:rPr>
        <w:t>临时占用的</w:t>
      </w:r>
      <w:r>
        <w:t>永久基本农田内土壤进行分层开挖、分层堆放、分层回填，施工结束后及时进行复垦，且</w:t>
      </w:r>
      <w:r>
        <w:rPr>
          <w:rFonts w:hint="eastAsia"/>
        </w:rPr>
        <w:t>本工程</w:t>
      </w:r>
      <w:r>
        <w:t>施工时间较短</w:t>
      </w:r>
      <w:r>
        <w:rPr>
          <w:rFonts w:hint="eastAsia"/>
        </w:rPr>
        <w:t>（6个月），永久占用的基本农田应规定缴纳耕地开垦费，专款用于开垦新的耕地</w:t>
      </w:r>
      <w:r>
        <w:t>。</w:t>
      </w:r>
      <w:r>
        <w:rPr>
          <w:rFonts w:hint="eastAsia"/>
        </w:rPr>
        <w:t>因此本工程</w:t>
      </w:r>
      <w:r>
        <w:rPr>
          <w:rStyle w:val="238"/>
        </w:rPr>
        <w:t>符合《</w:t>
      </w:r>
      <w:r>
        <w:rPr>
          <w:rStyle w:val="238"/>
          <w:rFonts w:hint="eastAsia"/>
        </w:rPr>
        <w:t>湖南省</w:t>
      </w:r>
      <w:r>
        <w:rPr>
          <w:rStyle w:val="238"/>
        </w:rPr>
        <w:t>基本农田保护条例》要求</w:t>
      </w:r>
      <w:r>
        <w:rPr>
          <w:rFonts w:hint="eastAsia"/>
        </w:rPr>
        <w:t>。</w:t>
      </w:r>
    </w:p>
    <w:p w14:paraId="4D24B7C4">
      <w:pPr>
        <w:pStyle w:val="234"/>
        <w:spacing w:before="62" w:after="62"/>
        <w:ind w:firstLine="482"/>
        <w:rPr>
          <w:b/>
          <w:bCs/>
        </w:rPr>
      </w:pPr>
      <w:r>
        <w:rPr>
          <w:rFonts w:hint="eastAsia"/>
          <w:b/>
          <w:bCs/>
        </w:rPr>
        <w:t>（</w:t>
      </w:r>
      <w:r>
        <w:rPr>
          <w:b/>
          <w:bCs/>
        </w:rPr>
        <w:t>1</w:t>
      </w:r>
      <w:r>
        <w:rPr>
          <w:rFonts w:hint="eastAsia"/>
          <w:b/>
          <w:bCs/>
        </w:rPr>
        <w:t>0）</w:t>
      </w:r>
      <w:r>
        <w:rPr>
          <w:b/>
          <w:bCs/>
        </w:rPr>
        <w:t>《</w:t>
      </w:r>
      <w:r>
        <w:rPr>
          <w:rFonts w:hint="eastAsia"/>
          <w:b/>
          <w:bCs/>
        </w:rPr>
        <w:t>湖南省公益林管理办法</w:t>
      </w:r>
      <w:r>
        <w:rPr>
          <w:b/>
          <w:bCs/>
        </w:rPr>
        <w:t>》</w:t>
      </w:r>
      <w:r>
        <w:rPr>
          <w:rFonts w:hint="eastAsia"/>
          <w:b/>
          <w:bCs/>
        </w:rPr>
        <w:t>（湘林资〔2013〕28号）符合性分析</w:t>
      </w:r>
    </w:p>
    <w:p w14:paraId="57D8E264">
      <w:pPr>
        <w:pStyle w:val="234"/>
      </w:pPr>
      <w:r>
        <w:rPr>
          <w:rFonts w:hint="eastAsia"/>
        </w:rPr>
        <w:t>2013年12月30日，湖南省林业厅、湖南省财政厅印发了《湖南省公益林管理办法》（湘林资〔2013〕28号）。《办法》指出：“第十一条：禁止在国家级公益林地开垦、采石、采沙、取土，严格控制勘查、开采矿藏和工程建设占用、征收公益林地。除国务院有关部门和省级人民政府批准的基础设施建设项目外，不得占用、征收一级国家级公益林地。经批准占用、征收的公益林地，由省林业厅进行审核汇总并相应核减公益林总量，省财政厅根据省林业厅审核结果相应核减下一年度中央财政和省财政森林生态效益补偿基金。”“第十六条：一级国家级公益林原则上不得进行生产经营活动，人工林、母树林、种子园经营，应当组织专家评审后，报省级林业主管部门备案同意。在不破坏森林生态系统功能的前提下，可以合理利用二级、三级国家级公益林和省级公益林的林地资源，适度开展林下种植养殖和森林游憩等非木质资源开发和利用，科学发展林下经济。”</w:t>
      </w:r>
    </w:p>
    <w:p w14:paraId="7DE16D7E">
      <w:pPr>
        <w:pStyle w:val="234"/>
      </w:pPr>
      <w:r>
        <w:rPr>
          <w:rFonts w:hint="eastAsia"/>
        </w:rPr>
        <w:t>本工程属于基础设施建设项目，且占用的生态公益林属于省级公益林。工程在建设前办理相关林业审批手续，并缴纳林地补偿费。因此本工程的建设符合《湖南省公益林管理办法》（湘林资〔2013〕28号）文件要求。</w:t>
      </w:r>
    </w:p>
    <w:p w14:paraId="5A427D53">
      <w:pPr>
        <w:pStyle w:val="5"/>
        <w:rPr>
          <w:color w:val="auto"/>
        </w:rPr>
      </w:pPr>
      <w:r>
        <w:rPr>
          <w:color w:val="auto"/>
        </w:rPr>
        <w:t>规划相符性</w:t>
      </w:r>
    </w:p>
    <w:p w14:paraId="7BC47CA5">
      <w:pPr>
        <w:pStyle w:val="234"/>
        <w:spacing w:before="62" w:after="62"/>
        <w:ind w:firstLine="482"/>
        <w:rPr>
          <w:b/>
        </w:rPr>
      </w:pPr>
      <w:r>
        <w:rPr>
          <w:b/>
        </w:rPr>
        <w:t>（1）与《中华人民共和国国民经济和社会发展第十四个五年规划和2035年远景目标纲要》的符合性</w:t>
      </w:r>
    </w:p>
    <w:p w14:paraId="5D2C60E1">
      <w:pPr>
        <w:pStyle w:val="234"/>
        <w:spacing w:before="62" w:after="62"/>
      </w:pPr>
      <w:r>
        <w:t>2021年3月11日第十三届全国人民代表大会第四次会议通过了《第十三届全国人民代表大会第四次会议关于&lt;国民经济和社会发展第十四个五年规划和2035年远景目标纲要&gt;的决议》，《纲要》提出构建现代能源体系，具体包括“推进能源革命，建设清洁低碳、安全高效的能源体系，提高能源供给保障能力。加快发展非化石能源，坚持集中式和分布式并举，大力提升风电、光伏发电规模，加快发展东中部分布式能源，有序发展海上风电，加快西南水电基地建设，安全稳妥推动沿海核电建设，建设一批多能互补的清洁能源基地，非化石能源占能源消费总量比重提高到20%左右。推动煤炭生产向资源富集地区集中，合理控制煤电建设规模和发展节奏，推进以电代煤。有序放开油气勘探开发市场准入，加快深海、深层和非常规油气资源利用，推动油气增储上产。因地制宜开发利用地热能。提高特高压输电通道利用率。加快电网基础设施智能化改造和智能微电网建设，提高电力系统互补互济和智能调节能力，加强源网荷储衔接，提升清洁能源消纳和存储能力，提升向边远地区输配电能力，推进煤电灵活性改造，加快抽水蓄能电站建设和新型储能技术规模化应用。完善煤炭跨区域运输通道和集疏运体系，</w:t>
      </w:r>
      <w:r>
        <w:rPr>
          <w:bCs/>
        </w:rPr>
        <w:t>加快建设天然气主干管道，完善油气互联互通网络</w:t>
      </w:r>
      <w:r>
        <w:t>。”</w:t>
      </w:r>
    </w:p>
    <w:p w14:paraId="7DBC280D">
      <w:pPr>
        <w:pStyle w:val="234"/>
        <w:spacing w:before="62" w:after="62"/>
      </w:pPr>
      <w:r>
        <w:t>本工程属于天然气管网工程，工程建设对于</w:t>
      </w:r>
      <w:r>
        <w:rPr>
          <w:rFonts w:hint="eastAsia"/>
        </w:rPr>
        <w:t>耒阳市天然气管网</w:t>
      </w:r>
      <w:r>
        <w:t>的完善具有重要意义，因此符合《国民经济和社会发展第十四个五年规划和2035年远景目标纲要》要求。</w:t>
      </w:r>
    </w:p>
    <w:p w14:paraId="7351056B">
      <w:pPr>
        <w:pStyle w:val="234"/>
        <w:spacing w:before="62" w:after="62"/>
        <w:ind w:firstLine="482"/>
        <w:rPr>
          <w:b/>
        </w:rPr>
      </w:pPr>
      <w:r>
        <w:rPr>
          <w:b/>
        </w:rPr>
        <w:t>（</w:t>
      </w:r>
      <w:r>
        <w:rPr>
          <w:rFonts w:hint="eastAsia"/>
          <w:b/>
        </w:rPr>
        <w:t>2</w:t>
      </w:r>
      <w:r>
        <w:rPr>
          <w:b/>
        </w:rPr>
        <w:t>）与《中长期油气管网规划》的符合性</w:t>
      </w:r>
    </w:p>
    <w:p w14:paraId="11E2FA1A">
      <w:pPr>
        <w:pStyle w:val="234"/>
        <w:spacing w:before="62" w:after="62"/>
      </w:pPr>
      <w:r>
        <w:t>国家发展改革委、国家能源局于2017年5月19日联合印发了《中长期油气管网规划》（发改基础〔2017〕965号）。《规划》提出：“适应新型城镇化建设中，天然气需求广泛分布、点多面广、跨区调配等需要，加快启动新一轮天然气管网设施建设。统筹考虑天然气和LNG“两个市场”、国内和国际“两种资源”、管道和海运“两种方式”，坚持“西气东输、北气南下、海气登陆”原则，加快建设天然气管网。到2025年，逐步形成“主干互联、区域成网”的全国天然气基础网络。”“加强干线系统内、干线系统之间、相邻省区市的联络线建设，补齐跨地区、跨省调配短板，实现全国主干管网全覆盖、全联通，形成坚强有力的基础管网格局。”</w:t>
      </w:r>
    </w:p>
    <w:p w14:paraId="4FF9CBAE">
      <w:pPr>
        <w:pStyle w:val="234"/>
        <w:spacing w:before="62" w:after="62"/>
      </w:pPr>
      <w:r>
        <w:t>本工程</w:t>
      </w:r>
      <w:r>
        <w:rPr>
          <w:rFonts w:hint="eastAsia"/>
        </w:rPr>
        <w:t>的实施</w:t>
      </w:r>
      <w:r>
        <w:t>有利于实现</w:t>
      </w:r>
      <w:r>
        <w:rPr>
          <w:rFonts w:hint="eastAsia"/>
        </w:rPr>
        <w:t>耒阳市天然气</w:t>
      </w:r>
      <w:r>
        <w:t>管网覆盖，符合《中长期油气管网规划》（发改基础〔2017〕965号）的要求。</w:t>
      </w:r>
    </w:p>
    <w:p w14:paraId="2D614914">
      <w:pPr>
        <w:pStyle w:val="234"/>
        <w:spacing w:before="62" w:after="62"/>
        <w:ind w:firstLine="482"/>
        <w:rPr>
          <w:b/>
        </w:rPr>
      </w:pPr>
      <w:r>
        <w:rPr>
          <w:b/>
        </w:rPr>
        <w:t>（</w:t>
      </w:r>
      <w:r>
        <w:rPr>
          <w:rFonts w:hint="eastAsia"/>
          <w:b/>
        </w:rPr>
        <w:t>3</w:t>
      </w:r>
      <w:r>
        <w:rPr>
          <w:b/>
        </w:rPr>
        <w:t>）与《</w:t>
      </w:r>
      <w:r>
        <w:rPr>
          <w:rFonts w:hint="eastAsia"/>
          <w:b/>
        </w:rPr>
        <w:t>湖南</w:t>
      </w:r>
      <w:r>
        <w:rPr>
          <w:b/>
        </w:rPr>
        <w:t>省国民经济和社会发展第十四个五年规划和2035年远景目标纲要》的符合性</w:t>
      </w:r>
    </w:p>
    <w:p w14:paraId="02874659">
      <w:pPr>
        <w:pStyle w:val="234"/>
        <w:spacing w:before="62" w:after="62"/>
      </w:pPr>
      <w:r>
        <w:rPr>
          <w:rFonts w:hint="eastAsia"/>
        </w:rPr>
        <w:t>湖南</w:t>
      </w:r>
      <w:r>
        <w:t>省人民政府于2021年</w:t>
      </w:r>
      <w:r>
        <w:rPr>
          <w:rFonts w:hint="eastAsia"/>
        </w:rPr>
        <w:t>3</w:t>
      </w:r>
      <w:r>
        <w:t>月</w:t>
      </w:r>
      <w:r>
        <w:rPr>
          <w:rFonts w:hint="eastAsia"/>
        </w:rPr>
        <w:t>25</w:t>
      </w:r>
      <w:r>
        <w:t>日发布了《</w:t>
      </w:r>
      <w:r>
        <w:rPr>
          <w:rFonts w:hint="eastAsia"/>
        </w:rPr>
        <w:t>湖南</w:t>
      </w:r>
      <w:r>
        <w:t>省国民经济和社会发展第十四个五年规划和2035年远景目标纲要》（</w:t>
      </w:r>
      <w:r>
        <w:rPr>
          <w:rFonts w:hint="eastAsia"/>
        </w:rPr>
        <w:t>湘政发〔2021〕7号</w:t>
      </w:r>
      <w:r>
        <w:t>），《纲要》提出要</w:t>
      </w:r>
      <w:r>
        <w:rPr>
          <w:rFonts w:hint="eastAsia"/>
        </w:rPr>
        <w:t>着力构建坚强能源网络</w:t>
      </w:r>
      <w:r>
        <w:t>，具体包括：“深入推进“气化湖南工程”，依托新粤浙干线、忠武线潜湘支线、西二线樟湘支线、新粤浙广西支线等“一干三支”国家天然气管道，构建长株潭“日”字形环网，促进湘西、湘中、湘南地区联环成网，省内输气管道突破 5000公里，基本实现“县县通”；逐步推进天然气“进镇入乡”，建设产业特色小镇等重点乡镇气化工程。”</w:t>
      </w:r>
    </w:p>
    <w:p w14:paraId="64A90160">
      <w:pPr>
        <w:pStyle w:val="234"/>
        <w:spacing w:before="62" w:after="62"/>
      </w:pPr>
      <w:r>
        <w:t>本工程属于天然气基础设施，工程建设对于</w:t>
      </w:r>
      <w:r>
        <w:rPr>
          <w:rFonts w:hint="eastAsia"/>
        </w:rPr>
        <w:t>耒阳市</w:t>
      </w:r>
      <w:r>
        <w:t>油气网络的完善具有重要意义，因此符合《</w:t>
      </w:r>
      <w:r>
        <w:rPr>
          <w:rFonts w:hint="eastAsia"/>
        </w:rPr>
        <w:t>湖南</w:t>
      </w:r>
      <w:r>
        <w:t>省国民经济和社会发展第十四个五年规划和2035年远景目标纲要》要求。</w:t>
      </w:r>
    </w:p>
    <w:p w14:paraId="7EE5976A">
      <w:pPr>
        <w:pStyle w:val="234"/>
        <w:spacing w:before="62" w:after="62"/>
        <w:ind w:firstLine="482"/>
        <w:rPr>
          <w:b/>
        </w:rPr>
      </w:pPr>
      <w:r>
        <w:rPr>
          <w:rFonts w:hint="eastAsia"/>
          <w:b/>
        </w:rPr>
        <w:t>（4）与</w:t>
      </w:r>
      <w:r>
        <w:rPr>
          <w:b/>
        </w:rPr>
        <w:t>《</w:t>
      </w:r>
      <w:r>
        <w:rPr>
          <w:rFonts w:hint="eastAsia"/>
          <w:b/>
        </w:rPr>
        <w:t>湖南省人民政府办公厅关于印发</w:t>
      </w:r>
      <w:r>
        <w:rPr>
          <w:b/>
        </w:rPr>
        <w:t>&lt;</w:t>
      </w:r>
      <w:r>
        <w:rPr>
          <w:rFonts w:hint="eastAsia"/>
          <w:b/>
        </w:rPr>
        <w:t>湖南省“十四五”生态环境保护规划</w:t>
      </w:r>
      <w:r>
        <w:rPr>
          <w:b/>
        </w:rPr>
        <w:t>&gt;的通知》（湘政办发〔20</w:t>
      </w:r>
      <w:r>
        <w:rPr>
          <w:rFonts w:hint="eastAsia"/>
          <w:b/>
        </w:rPr>
        <w:t>21</w:t>
      </w:r>
      <w:r>
        <w:rPr>
          <w:b/>
        </w:rPr>
        <w:t>〕</w:t>
      </w:r>
      <w:r>
        <w:rPr>
          <w:rFonts w:hint="eastAsia"/>
          <w:b/>
        </w:rPr>
        <w:t>61</w:t>
      </w:r>
      <w:r>
        <w:rPr>
          <w:b/>
        </w:rPr>
        <w:t>号）</w:t>
      </w:r>
      <w:r>
        <w:rPr>
          <w:rFonts w:hint="eastAsia"/>
          <w:b/>
        </w:rPr>
        <w:t>的符合性</w:t>
      </w:r>
    </w:p>
    <w:p w14:paraId="4EA57641">
      <w:pPr>
        <w:pStyle w:val="234"/>
        <w:spacing w:before="62" w:after="62"/>
      </w:pPr>
      <w:r>
        <w:rPr>
          <w:rFonts w:hint="eastAsia"/>
        </w:rPr>
        <w:t>《湖南省人民政府办公厅关于印发&lt;湖南省“十四五”生态环境保护规划&gt;的通知》（湘政办发〔2021〕61号）提到：“进一步完善全省油气网络，深入推进气化湖南工程，基本实现天然气县县通、全覆盖。到2025年，力争全省煤炭消费占比下降至52%左右，力争天然气消费量提高至100亿立方米，非化石能源消费占比提升至23%。实施终端能源清洁化替代，加快工业、建筑、交通等领域电气化发展，推行清洁能源替代，逐步改善农村用能结构，提倡使用太阳能、石油液化气、电、沼气等清洁能源。”</w:t>
      </w:r>
    </w:p>
    <w:p w14:paraId="69BFA263">
      <w:pPr>
        <w:pStyle w:val="234"/>
        <w:spacing w:before="62" w:after="62"/>
      </w:pPr>
      <w:r>
        <w:rPr>
          <w:rFonts w:hint="eastAsia"/>
        </w:rPr>
        <w:t>本工程属于天然气基础设施，工程建设对于耒阳市天然气网络的完善具有重要意义，因此符合《湖南省人民政府办公厅关于印发&lt;湖南省“十四五”生态环境保护规划&gt;的通知》（湘政办发〔2021〕61号）要求。</w:t>
      </w:r>
    </w:p>
    <w:p w14:paraId="4C8CD474">
      <w:pPr>
        <w:pStyle w:val="234"/>
        <w:spacing w:before="62" w:after="62"/>
        <w:ind w:firstLine="482"/>
        <w:rPr>
          <w:b/>
        </w:rPr>
      </w:pPr>
      <w:r>
        <w:rPr>
          <w:b/>
        </w:rPr>
        <w:t>（</w:t>
      </w:r>
      <w:r>
        <w:rPr>
          <w:rFonts w:hint="eastAsia"/>
          <w:b/>
        </w:rPr>
        <w:t>5</w:t>
      </w:r>
      <w:r>
        <w:rPr>
          <w:b/>
        </w:rPr>
        <w:t>）与《湖南省“十四五”可再生能源发展规划》</w:t>
      </w:r>
      <w:r>
        <w:rPr>
          <w:rFonts w:hint="eastAsia"/>
          <w:b/>
        </w:rPr>
        <w:t>（湘发改能源规〔2022〕405号）</w:t>
      </w:r>
      <w:r>
        <w:rPr>
          <w:b/>
        </w:rPr>
        <w:t>的符合性</w:t>
      </w:r>
    </w:p>
    <w:p w14:paraId="71F9F0C0">
      <w:pPr>
        <w:pStyle w:val="234"/>
        <w:spacing w:before="62" w:after="62"/>
      </w:pPr>
      <w:r>
        <w:t>依据《湖南省“十四五”可再生能源发展规划》</w:t>
      </w:r>
      <w:r>
        <w:rPr>
          <w:rFonts w:hint="eastAsia"/>
        </w:rPr>
        <w:t>（湘发改能源规〔2022〕405号）中“</w:t>
      </w:r>
      <w:r>
        <w:t>以天然气分布式能源、地热能等综合一体化利用为依托，在条件成熟的产业园区、城市综合体等公共建筑开展综合智慧能源服务应用，实现电热气多能源品种、源网荷储多环节互相协调的开发利用模式，提高能源利用效率，提升用户用能体验</w:t>
      </w:r>
      <w:r>
        <w:rPr>
          <w:rFonts w:hint="eastAsia"/>
        </w:rPr>
        <w:t>”</w:t>
      </w:r>
      <w:r>
        <w:t>。</w:t>
      </w:r>
    </w:p>
    <w:p w14:paraId="7EEAF8FB">
      <w:pPr>
        <w:pStyle w:val="234"/>
        <w:spacing w:before="62" w:after="62"/>
      </w:pPr>
      <w:r>
        <w:t>本工程</w:t>
      </w:r>
      <w:r>
        <w:rPr>
          <w:rFonts w:hint="eastAsia"/>
        </w:rPr>
        <w:t>的建设可为耒阳市提供天然气资源，对耒阳市的能源发展具有重要意义</w:t>
      </w:r>
      <w:r>
        <w:t>，符合《湖南省“十四五”可再生能源发展规划》</w:t>
      </w:r>
      <w:r>
        <w:rPr>
          <w:rFonts w:hint="eastAsia"/>
        </w:rPr>
        <w:t>（湘发改能源规〔2022〕405号）</w:t>
      </w:r>
      <w:r>
        <w:t>要求</w:t>
      </w:r>
      <w:r>
        <w:rPr>
          <w:rFonts w:hint="eastAsia"/>
        </w:rPr>
        <w:t>。</w:t>
      </w:r>
    </w:p>
    <w:p w14:paraId="1B44D5C3">
      <w:pPr>
        <w:pStyle w:val="234"/>
        <w:spacing w:before="62" w:after="62"/>
        <w:ind w:firstLine="482"/>
        <w:rPr>
          <w:b/>
          <w:bCs/>
          <w:i/>
          <w:iCs/>
          <w:color w:val="auto"/>
          <w:u w:val="single"/>
        </w:rPr>
      </w:pPr>
      <w:r>
        <w:rPr>
          <w:b/>
          <w:bCs/>
          <w:i/>
          <w:iCs/>
          <w:color w:val="auto"/>
          <w:u w:val="single"/>
        </w:rPr>
        <w:t>（</w:t>
      </w:r>
      <w:r>
        <w:rPr>
          <w:rFonts w:hint="eastAsia"/>
          <w:b/>
          <w:bCs/>
          <w:i/>
          <w:iCs/>
          <w:color w:val="auto"/>
          <w:u w:val="single"/>
        </w:rPr>
        <w:t>6</w:t>
      </w:r>
      <w:r>
        <w:rPr>
          <w:b/>
          <w:bCs/>
          <w:i/>
          <w:iCs/>
          <w:color w:val="auto"/>
          <w:u w:val="single"/>
        </w:rPr>
        <w:t>）</w:t>
      </w:r>
      <w:r>
        <w:rPr>
          <w:rFonts w:hint="eastAsia"/>
          <w:b/>
          <w:bCs/>
          <w:i/>
          <w:iCs/>
          <w:color w:val="auto"/>
          <w:u w:val="single"/>
        </w:rPr>
        <w:t>与</w:t>
      </w:r>
      <w:bookmarkStart w:id="195" w:name="_Hlk176383154"/>
      <w:r>
        <w:rPr>
          <w:rFonts w:hint="eastAsia"/>
          <w:b/>
          <w:bCs/>
          <w:i/>
          <w:iCs/>
          <w:color w:val="auto"/>
          <w:u w:val="single"/>
        </w:rPr>
        <w:t>《湖南省天然气长输管道建设中长期规划（2022—2030年）》</w:t>
      </w:r>
      <w:bookmarkStart w:id="196" w:name="FlFwzh"/>
      <w:r>
        <w:rPr>
          <w:rFonts w:hint="eastAsia"/>
          <w:b/>
          <w:bCs/>
          <w:i/>
          <w:iCs/>
          <w:color w:val="auto"/>
          <w:u w:val="single"/>
        </w:rPr>
        <w:t>（湘发改能源规〔</w:t>
      </w:r>
      <w:r>
        <w:rPr>
          <w:b/>
          <w:bCs/>
          <w:i/>
          <w:iCs/>
          <w:color w:val="auto"/>
          <w:u w:val="single"/>
        </w:rPr>
        <w:t>2022</w:t>
      </w:r>
      <w:r>
        <w:rPr>
          <w:rFonts w:hint="eastAsia"/>
          <w:b/>
          <w:bCs/>
          <w:i/>
          <w:iCs/>
          <w:color w:val="auto"/>
          <w:u w:val="single"/>
        </w:rPr>
        <w:t>〕</w:t>
      </w:r>
      <w:r>
        <w:rPr>
          <w:b/>
          <w:bCs/>
          <w:i/>
          <w:iCs/>
          <w:color w:val="auto"/>
          <w:u w:val="single"/>
        </w:rPr>
        <w:t>597</w:t>
      </w:r>
      <w:r>
        <w:rPr>
          <w:rFonts w:hint="eastAsia"/>
          <w:b/>
          <w:bCs/>
          <w:i/>
          <w:iCs/>
          <w:color w:val="auto"/>
          <w:u w:val="single"/>
        </w:rPr>
        <w:t>号</w:t>
      </w:r>
      <w:bookmarkEnd w:id="196"/>
      <w:r>
        <w:rPr>
          <w:rFonts w:hint="eastAsia"/>
          <w:b/>
          <w:bCs/>
          <w:i/>
          <w:iCs/>
          <w:color w:val="auto"/>
          <w:u w:val="single"/>
        </w:rPr>
        <w:t>）</w:t>
      </w:r>
      <w:bookmarkEnd w:id="195"/>
      <w:r>
        <w:rPr>
          <w:rFonts w:hint="eastAsia"/>
          <w:b/>
          <w:bCs/>
          <w:i/>
          <w:iCs/>
          <w:color w:val="auto"/>
          <w:u w:val="single"/>
        </w:rPr>
        <w:t>的符合性分析</w:t>
      </w:r>
    </w:p>
    <w:p w14:paraId="196046C8">
      <w:pPr>
        <w:pStyle w:val="234"/>
        <w:spacing w:before="62" w:after="62"/>
        <w:rPr>
          <w:i/>
          <w:iCs/>
          <w:color w:val="auto"/>
          <w:u w:val="single"/>
        </w:rPr>
      </w:pPr>
      <w:r>
        <w:rPr>
          <w:rFonts w:hint="eastAsia"/>
          <w:i/>
          <w:iCs/>
          <w:color w:val="auto"/>
          <w:u w:val="single"/>
        </w:rPr>
        <w:t>根据《湖南省天然气长输管道建设中长期规划（2022—2030年）》（湘发改能源规〔2022〕597号）的建设目标：2022-2025年，续建7条管道，新建8条管道，新增“一横”，形成“两纵三横”输气管网，2023年实现管道“市市通”，2025年管道总里程达到4600公里。2026-2030年，续建3条管道，新建13条管道，再新增“一纵”、“一横”，形成以“三纵四横”骨干管网为主的全省“一张网”输气格局，构建布局合理、覆盖广泛、保障有力的天然气管网，2030年管道总里程超5000公里。</w:t>
      </w:r>
    </w:p>
    <w:p w14:paraId="27E98F79">
      <w:pPr>
        <w:pStyle w:val="234"/>
        <w:spacing w:before="62" w:after="62"/>
        <w:rPr>
          <w:i/>
          <w:iCs/>
          <w:color w:val="auto"/>
          <w:u w:val="single"/>
        </w:rPr>
      </w:pPr>
      <w:r>
        <w:rPr>
          <w:rFonts w:hint="eastAsia"/>
          <w:i/>
          <w:iCs/>
          <w:color w:val="auto"/>
          <w:u w:val="single"/>
        </w:rPr>
        <w:t>本工程新建燃气管道0.</w:t>
      </w:r>
      <w:r>
        <w:rPr>
          <w:rFonts w:hint="eastAsia"/>
          <w:i/>
          <w:iCs/>
          <w:color w:val="auto"/>
          <w:u w:val="single"/>
          <w:lang w:eastAsia="zh-CN"/>
        </w:rPr>
        <w:t>760</w:t>
      </w:r>
      <w:r>
        <w:rPr>
          <w:rFonts w:hint="eastAsia"/>
          <w:i/>
          <w:iCs/>
          <w:color w:val="auto"/>
          <w:u w:val="single"/>
        </w:rPr>
        <w:t>km，建成后为耒阳市提供天然气资源，符合《湖南省天然气长输管道建设中长期规划（2022—2030年）》（湘发改能源规〔2022〕597号）的建设目标。</w:t>
      </w:r>
    </w:p>
    <w:p w14:paraId="7CE233A2">
      <w:pPr>
        <w:pStyle w:val="234"/>
        <w:spacing w:before="62" w:after="62"/>
        <w:ind w:firstLine="482"/>
        <w:rPr>
          <w:b/>
          <w:bCs/>
          <w:i/>
          <w:iCs/>
          <w:color w:val="auto"/>
          <w:u w:val="single"/>
        </w:rPr>
      </w:pPr>
      <w:r>
        <w:rPr>
          <w:rFonts w:hint="eastAsia"/>
          <w:b/>
          <w:bCs/>
          <w:i/>
          <w:iCs/>
          <w:color w:val="auto"/>
          <w:u w:val="single"/>
        </w:rPr>
        <w:t>（7）与《湖南省“十四五”石油天然气发展规划》的符合性分析</w:t>
      </w:r>
    </w:p>
    <w:p w14:paraId="73D04C39">
      <w:pPr>
        <w:pStyle w:val="234"/>
        <w:spacing w:before="62" w:after="62"/>
        <w:rPr>
          <w:rFonts w:hint="eastAsia"/>
          <w:i/>
          <w:iCs/>
          <w:color w:val="auto"/>
          <w:u w:val="single"/>
          <w:lang w:val="en-US" w:eastAsia="zh-CN"/>
        </w:rPr>
      </w:pPr>
      <w:r>
        <w:rPr>
          <w:rFonts w:hint="eastAsia"/>
          <w:i/>
          <w:iCs/>
          <w:color w:val="auto"/>
          <w:u w:val="single"/>
          <w:lang w:val="en-US" w:eastAsia="zh-CN"/>
        </w:rPr>
        <w:t>根据《湖南省发展和改革委员会关于印发&lt;湖南省“十四五”石油天然气发展规划&gt;的通知》（湘发改能源规〔2022〕456号）提出的重点任务：依托新粤浙及广西支干线湖南段、新晃-湘黔界（玉屏）省际联络线等气源管道，加快推进“气化湖南工程”战略，统筹推进省内输气管网建设，重点完善湘西、湘南、湘中地区支干线管道，适度加强天然气管网互联互通，形成联系畅通、运行灵活、安全可靠、坚强有力的天然气管网系统。</w:t>
      </w:r>
    </w:p>
    <w:p w14:paraId="5052FB6D">
      <w:pPr>
        <w:pStyle w:val="234"/>
        <w:spacing w:before="62" w:after="62"/>
        <w:rPr>
          <w:rFonts w:hint="eastAsia"/>
          <w:i/>
          <w:iCs/>
          <w:color w:val="auto"/>
          <w:u w:val="single"/>
          <w:lang w:val="en-US" w:eastAsia="zh-CN"/>
        </w:rPr>
      </w:pPr>
      <w:r>
        <w:rPr>
          <w:rFonts w:hint="eastAsia"/>
          <w:i/>
          <w:iCs/>
          <w:color w:val="auto"/>
          <w:u w:val="single"/>
          <w:lang w:val="en-US" w:eastAsia="zh-CN"/>
        </w:rPr>
        <w:t>《湖南省发展和改革委员会关于印发&lt;湖南省“十四五”石油天然气发展规划&gt;的通知》（湘发改能源规〔2022〕456号）提出的环境保护措施：</w:t>
      </w:r>
    </w:p>
    <w:p w14:paraId="6FB7FD23">
      <w:pPr>
        <w:pStyle w:val="234"/>
        <w:spacing w:before="62" w:after="62"/>
        <w:rPr>
          <w:rFonts w:hint="eastAsia"/>
          <w:i/>
          <w:iCs/>
          <w:color w:val="auto"/>
          <w:u w:val="single"/>
          <w:lang w:val="en-US" w:eastAsia="zh-CN"/>
        </w:rPr>
      </w:pPr>
      <w:r>
        <w:rPr>
          <w:rFonts w:hint="eastAsia"/>
          <w:i/>
          <w:iCs/>
          <w:color w:val="auto"/>
          <w:u w:val="single"/>
          <w:lang w:val="en-US" w:eastAsia="zh-CN"/>
        </w:rPr>
        <w:t>建设期间环保对策措施：尽量避开永久基本农田，少占或不占耕地，尽量避开生态保护红线、一级国家公益林、天然林保护重点区域、国家公园、自然保护地、自然公园以及风景名胜区等其他类型自然保护地，尽量避开农业野生植物资源原生境保护区、优质水产种质资源保护区等生态环境敏感区，减轻施工对生态环境的影响；制定合理施工方案，尽量缩小施工作业范围，减少施工占地，避免暴雨、大风等恶劣天气条件下施工，减少水土流失和扬尘污染，减少夜间作业以防噪声扰民，施工完毕后尽快恢复原有地貌。天然气储存、加工、加压等主体工程（设施）应布置在河道管理范围外。天然气管道应尽量避开河道管理范围，确须涉及的，应采取措施确保防洪等安全。</w:t>
      </w:r>
    </w:p>
    <w:p w14:paraId="64B37670">
      <w:pPr>
        <w:pStyle w:val="234"/>
        <w:spacing w:before="62" w:after="62"/>
        <w:rPr>
          <w:rFonts w:hint="eastAsia"/>
          <w:i/>
          <w:iCs/>
          <w:color w:val="auto"/>
          <w:u w:val="single"/>
          <w:lang w:val="en-US" w:eastAsia="zh-CN"/>
        </w:rPr>
      </w:pPr>
      <w:r>
        <w:rPr>
          <w:rFonts w:hint="eastAsia"/>
          <w:i/>
          <w:iCs/>
          <w:color w:val="auto"/>
          <w:u w:val="single"/>
          <w:lang w:val="en-US" w:eastAsia="zh-CN"/>
        </w:rPr>
        <w:t>运营期间环保对策措施：加强油气运行日常监管，采用先进的检修维护工艺、低噪设备，采取噪声控制措施，最大程度减少废物产生，降低噪声危害；强化油气安全运行防护措施，杜绝重大安全事故，避免油气泄漏造成环境污染。</w:t>
      </w:r>
    </w:p>
    <w:p w14:paraId="44318EC4">
      <w:pPr>
        <w:pStyle w:val="234"/>
        <w:spacing w:before="62" w:after="62"/>
        <w:rPr>
          <w:rFonts w:hint="eastAsia"/>
          <w:i/>
          <w:iCs/>
          <w:color w:val="auto"/>
          <w:u w:val="single"/>
          <w:lang w:val="en-US" w:eastAsia="zh-CN"/>
        </w:rPr>
      </w:pPr>
      <w:r>
        <w:rPr>
          <w:rFonts w:hint="eastAsia"/>
          <w:i/>
          <w:iCs/>
          <w:color w:val="auto"/>
          <w:u w:val="single"/>
          <w:lang w:val="en-US" w:eastAsia="zh-CN"/>
        </w:rPr>
        <w:t>本工程</w:t>
      </w:r>
      <w:r>
        <w:rPr>
          <w:rFonts w:hint="eastAsia"/>
          <w:i/>
          <w:iCs/>
          <w:color w:val="auto"/>
          <w:u w:val="single"/>
        </w:rPr>
        <w:t>新建燃气管道0.</w:t>
      </w:r>
      <w:r>
        <w:rPr>
          <w:rFonts w:hint="eastAsia"/>
          <w:i/>
          <w:iCs/>
          <w:color w:val="auto"/>
          <w:u w:val="single"/>
          <w:lang w:eastAsia="zh-CN"/>
        </w:rPr>
        <w:t>76</w:t>
      </w:r>
      <w:r>
        <w:rPr>
          <w:rFonts w:hint="eastAsia"/>
          <w:i/>
          <w:iCs/>
          <w:color w:val="auto"/>
          <w:u w:val="single"/>
          <w:lang w:val="en-US" w:eastAsia="zh-CN"/>
        </w:rPr>
        <w:t>0</w:t>
      </w:r>
      <w:r>
        <w:rPr>
          <w:rFonts w:hint="eastAsia"/>
          <w:i/>
          <w:iCs/>
          <w:color w:val="auto"/>
          <w:u w:val="single"/>
        </w:rPr>
        <w:t>km，建成后为耒阳市提供天然气资源，符合</w:t>
      </w:r>
      <w:r>
        <w:rPr>
          <w:rFonts w:hint="eastAsia"/>
          <w:i/>
          <w:iCs/>
          <w:color w:val="auto"/>
          <w:u w:val="single"/>
          <w:lang w:eastAsia="zh-CN"/>
        </w:rPr>
        <w:t>《</w:t>
      </w:r>
      <w:r>
        <w:rPr>
          <w:rFonts w:hint="eastAsia"/>
          <w:i/>
          <w:iCs/>
          <w:color w:val="auto"/>
          <w:u w:val="single"/>
          <w:lang w:val="en-US" w:eastAsia="zh-CN"/>
        </w:rPr>
        <w:t>湖南省“十四五”石油天然气发展规划</w:t>
      </w:r>
      <w:r>
        <w:rPr>
          <w:rFonts w:hint="eastAsia"/>
          <w:i/>
          <w:iCs/>
          <w:color w:val="auto"/>
          <w:u w:val="single"/>
          <w:lang w:eastAsia="zh-CN"/>
        </w:rPr>
        <w:t>》</w:t>
      </w:r>
      <w:r>
        <w:rPr>
          <w:rFonts w:hint="eastAsia"/>
          <w:i/>
          <w:iCs/>
          <w:color w:val="auto"/>
          <w:u w:val="single"/>
          <w:lang w:val="en-US" w:eastAsia="zh-CN"/>
        </w:rPr>
        <w:t>中重点任务的要求。本工程不涉及生态保护红线、一级国家公益林、天然林保护重点区域、国家公园、自然保护地、自然公园以及风景名胜区等其他类型自然保护地，不涉及农业野生植物资源原生境保护区、优质水产种质资源保护区等生态环境敏感区，但无法避让永久基本农田，施工期将按照《基本农田保护条例》《自然资源部 农业农村部关于加强和改进永久基本农田保护工作的通知》《湖南省基本农田保护条例》等要求开展建设工作；施工期制定合理施工方案，尽量缩小施工作业范围，减少水土流失和扬尘污染，避免夜间作业以防噪声扰民，施工完毕后尽快恢复原有地貌；天然气管道不涉及河道管理范围；运营期加强油气运行日常监管，采用先进的检修维护工艺、低噪设备，采取噪声控制措施，最大程度减少废物产生，降低噪声危害；强化油气安全运行防护措施，杜绝重大安全事故，避免油气泄漏造成环境污染。</w:t>
      </w:r>
    </w:p>
    <w:p w14:paraId="5AB96F37">
      <w:pPr>
        <w:pStyle w:val="234"/>
        <w:spacing w:before="62" w:after="62"/>
        <w:rPr>
          <w:rFonts w:hint="default"/>
          <w:i/>
          <w:iCs/>
          <w:color w:val="auto"/>
          <w:u w:val="single"/>
          <w:lang w:val="en-US" w:eastAsia="zh-CN"/>
        </w:rPr>
      </w:pPr>
      <w:r>
        <w:rPr>
          <w:rFonts w:hint="eastAsia"/>
          <w:i/>
          <w:iCs/>
          <w:color w:val="auto"/>
          <w:u w:val="single"/>
          <w:lang w:val="en-US" w:eastAsia="zh-CN"/>
        </w:rPr>
        <w:t>综上，本工程建设符合《湖南省发展和改革委员会关于印发&lt;湖南省“十四五”石油天然气发展规划&gt;的通知》（湘发改能源规〔2022〕456号）要求。</w:t>
      </w:r>
    </w:p>
    <w:p w14:paraId="63BA36A6">
      <w:pPr>
        <w:pStyle w:val="234"/>
        <w:spacing w:before="62" w:after="62"/>
        <w:ind w:firstLine="482"/>
        <w:rPr>
          <w:b/>
          <w:bCs/>
        </w:rPr>
      </w:pPr>
      <w:r>
        <w:rPr>
          <w:rFonts w:hint="eastAsia"/>
          <w:b/>
          <w:bCs/>
        </w:rPr>
        <w:t>（8）</w:t>
      </w:r>
      <w:r>
        <w:rPr>
          <w:b/>
          <w:bCs/>
        </w:rPr>
        <w:t>与《</w:t>
      </w:r>
      <w:r>
        <w:rPr>
          <w:rFonts w:hint="eastAsia"/>
          <w:b/>
          <w:bCs/>
        </w:rPr>
        <w:t>衡阳市国民经济和社会发展第十四个五年规划和2035年远景目标纲要</w:t>
      </w:r>
      <w:r>
        <w:rPr>
          <w:b/>
          <w:bCs/>
        </w:rPr>
        <w:t>》的符合性</w:t>
      </w:r>
    </w:p>
    <w:p w14:paraId="44799024">
      <w:pPr>
        <w:pStyle w:val="234"/>
        <w:spacing w:before="62" w:after="62"/>
      </w:pPr>
      <w:r>
        <w:rPr>
          <w:rFonts w:hint="eastAsia"/>
        </w:rPr>
        <w:t>2021年12月6日，衡阳市发展和改革委员会发布的</w:t>
      </w:r>
      <w:r>
        <w:t>《</w:t>
      </w:r>
      <w:r>
        <w:rPr>
          <w:rFonts w:hint="eastAsia"/>
        </w:rPr>
        <w:t>衡阳市国民经济和社会发展第十四个五年规划和2035年远景目标纲要</w:t>
      </w:r>
      <w:r>
        <w:t>》</w:t>
      </w:r>
      <w:r>
        <w:rPr>
          <w:rFonts w:hint="eastAsia"/>
        </w:rPr>
        <w:t>中提出“推进新粤浙管道与广西支干线在衡联通。实施“气化衡阳”县县通天然气项目，建设衡南-常宁、衡南-衡阳东、衡东-大浦、祁东、耒阳、祁东-界牌、衡南-岳屏等7条支线管网，建设省级LNG储配基地和天然气贸易中心”</w:t>
      </w:r>
    </w:p>
    <w:p w14:paraId="2466B355">
      <w:pPr>
        <w:pStyle w:val="234"/>
        <w:spacing w:before="62" w:after="62"/>
      </w:pPr>
      <w:r>
        <w:t>本工程属于天然气基础设施，工程建设对于</w:t>
      </w:r>
      <w:r>
        <w:rPr>
          <w:rFonts w:hint="eastAsia"/>
        </w:rPr>
        <w:t>耒阳市天然气</w:t>
      </w:r>
      <w:r>
        <w:t>网络的完善具有重要意义，因此符合《</w:t>
      </w:r>
      <w:r>
        <w:rPr>
          <w:rFonts w:hint="eastAsia"/>
        </w:rPr>
        <w:t>衡阳市国民经济和社会发展第十四个五年规划和2035年远景目标纲要</w:t>
      </w:r>
      <w:r>
        <w:t>》要求</w:t>
      </w:r>
      <w:r>
        <w:rPr>
          <w:rFonts w:hint="eastAsia"/>
        </w:rPr>
        <w:t>。</w:t>
      </w:r>
    </w:p>
    <w:p w14:paraId="67AE41E1">
      <w:pPr>
        <w:pStyle w:val="234"/>
        <w:spacing w:before="62" w:after="62"/>
        <w:ind w:firstLine="482"/>
        <w:rPr>
          <w:b/>
          <w:bCs/>
        </w:rPr>
      </w:pPr>
      <w:r>
        <w:rPr>
          <w:rFonts w:hint="eastAsia"/>
          <w:b/>
          <w:bCs/>
        </w:rPr>
        <w:t>（9）与《衡阳市“十四五”生态环境保护规划》的符合性</w:t>
      </w:r>
    </w:p>
    <w:p w14:paraId="316B8DA5">
      <w:pPr>
        <w:pStyle w:val="234"/>
        <w:spacing w:before="62" w:after="62"/>
      </w:pPr>
      <w:r>
        <w:rPr>
          <w:rFonts w:hint="eastAsia"/>
        </w:rPr>
        <w:t>《衡阳市“十四五”生态环境保护规划》（衡政办发〔2021〕37号）中提出“大力发展清洁能源。加快推进“气化衡阳”工程建设，推进天然气管网、储气库等基础设施建设，提升天然气供应保障能力，扩大天然气利用规模，到2025年天然气在一次能源占比进一步提高。优先发展和保障居民生活用气，提高居民管道天然气覆盖率。积极发展太阳能光伏、风电、沼气等清洁能源，推进非化石能源规模化利用。构建清洁低碳、安全高效的能源体系。</w:t>
      </w:r>
    </w:p>
    <w:p w14:paraId="61A0A158">
      <w:pPr>
        <w:pStyle w:val="234"/>
        <w:spacing w:before="62" w:after="62"/>
      </w:pPr>
      <w:r>
        <w:t>本工程属于天然气基础设施，工程建设对于</w:t>
      </w:r>
      <w:r>
        <w:rPr>
          <w:rFonts w:hint="eastAsia"/>
        </w:rPr>
        <w:t>耒阳市天然气</w:t>
      </w:r>
      <w:r>
        <w:t>网络的完善具有重要意义，</w:t>
      </w:r>
      <w:r>
        <w:rPr>
          <w:rFonts w:hint="eastAsia"/>
        </w:rPr>
        <w:t>可提升耒阳市天然气供应能力，扩大耒阳市天然气利用规模，</w:t>
      </w:r>
      <w:r>
        <w:t>因此符合</w:t>
      </w:r>
      <w:r>
        <w:rPr>
          <w:rFonts w:hint="eastAsia"/>
        </w:rPr>
        <w:t>《衡阳市“十四五”生态环境保护规划》（衡政办发〔2021〕37号）要求。</w:t>
      </w:r>
    </w:p>
    <w:p w14:paraId="00C9E9AB">
      <w:pPr>
        <w:pStyle w:val="234"/>
        <w:spacing w:before="62" w:after="62"/>
        <w:ind w:firstLine="482"/>
        <w:rPr>
          <w:b/>
          <w:bCs/>
        </w:rPr>
      </w:pPr>
      <w:r>
        <w:rPr>
          <w:rFonts w:hint="eastAsia"/>
          <w:b/>
          <w:bCs/>
        </w:rPr>
        <w:t>（10）与《衡阳市国土空间总体规划（2021-2035年）》的符合性</w:t>
      </w:r>
    </w:p>
    <w:p w14:paraId="4C471A59">
      <w:pPr>
        <w:pStyle w:val="234"/>
        <w:spacing w:before="62" w:after="62"/>
      </w:pPr>
      <w:r>
        <w:rPr>
          <w:rFonts w:hint="eastAsia"/>
        </w:rPr>
        <w:t>根据《衡阳市国土空间总体规划（2021-2035年）》，本工程沿线主要为基本农田和林地，无生态保护红线，无自然保护区、风景名胜区、森林自然公园、湿地自然公园、地质自然公园等自然保护地</w:t>
      </w:r>
      <w:r>
        <w:t>。</w:t>
      </w:r>
      <w:r>
        <w:rPr>
          <w:rFonts w:hint="eastAsia"/>
        </w:rPr>
        <w:t>湖南省自然资源厅</w:t>
      </w:r>
      <w:r>
        <w:t>于202</w:t>
      </w:r>
      <w:r>
        <w:rPr>
          <w:rFonts w:hint="eastAsia"/>
        </w:rPr>
        <w:t>4</w:t>
      </w:r>
      <w:r>
        <w:t>年</w:t>
      </w:r>
      <w:r>
        <w:rPr>
          <w:rFonts w:hint="eastAsia"/>
        </w:rPr>
        <w:t>5</w:t>
      </w:r>
      <w:r>
        <w:t>月</w:t>
      </w:r>
      <w:r>
        <w:rPr>
          <w:rFonts w:hint="eastAsia"/>
        </w:rPr>
        <w:t>23</w:t>
      </w:r>
      <w:r>
        <w:t>日下发了选址意见书（见附件</w:t>
      </w:r>
      <w:r>
        <w:rPr>
          <w:rFonts w:hint="eastAsia"/>
        </w:rPr>
        <w:t>4</w:t>
      </w:r>
      <w:r>
        <w:t>），同意本工程选址选线方案</w:t>
      </w:r>
      <w:r>
        <w:rPr>
          <w:rFonts w:hint="eastAsia"/>
        </w:rPr>
        <w:t>。</w:t>
      </w:r>
      <w:r>
        <w:t>因此本工程符合《</w:t>
      </w:r>
      <w:r>
        <w:rPr>
          <w:rFonts w:hint="eastAsia"/>
        </w:rPr>
        <w:t>衡阳市国土空间总体规划（2021~2035年）</w:t>
      </w:r>
      <w:r>
        <w:t>》</w:t>
      </w:r>
      <w:r>
        <w:rPr>
          <w:rFonts w:hint="eastAsia"/>
        </w:rPr>
        <w:t>。</w:t>
      </w:r>
    </w:p>
    <w:p w14:paraId="04002206">
      <w:pPr>
        <w:pStyle w:val="234"/>
        <w:spacing w:before="62" w:after="62"/>
        <w:ind w:firstLine="482"/>
        <w:rPr>
          <w:b/>
          <w:bCs/>
        </w:rPr>
      </w:pPr>
      <w:r>
        <w:rPr>
          <w:b/>
          <w:bCs/>
        </w:rPr>
        <w:t>（</w:t>
      </w:r>
      <w:r>
        <w:rPr>
          <w:rFonts w:hint="eastAsia"/>
          <w:b/>
          <w:bCs/>
        </w:rPr>
        <w:t>11</w:t>
      </w:r>
      <w:r>
        <w:rPr>
          <w:b/>
          <w:bCs/>
        </w:rPr>
        <w:t>）</w:t>
      </w:r>
      <w:r>
        <w:rPr>
          <w:rFonts w:hint="eastAsia"/>
          <w:b/>
          <w:bCs/>
        </w:rPr>
        <w:t>与</w:t>
      </w:r>
      <w:r>
        <w:rPr>
          <w:b/>
          <w:bCs/>
        </w:rPr>
        <w:t>《</w:t>
      </w:r>
      <w:r>
        <w:rPr>
          <w:rFonts w:hint="eastAsia"/>
          <w:b/>
          <w:bCs/>
        </w:rPr>
        <w:t>耒阳市国土空间总体规划（2021~2035年）</w:t>
      </w:r>
      <w:r>
        <w:rPr>
          <w:b/>
          <w:bCs/>
        </w:rPr>
        <w:t>》</w:t>
      </w:r>
      <w:r>
        <w:rPr>
          <w:rFonts w:hint="eastAsia"/>
          <w:b/>
          <w:bCs/>
        </w:rPr>
        <w:t>的符合性</w:t>
      </w:r>
    </w:p>
    <w:p w14:paraId="01E09ACB">
      <w:pPr>
        <w:pStyle w:val="234"/>
        <w:spacing w:before="62" w:after="62"/>
      </w:pPr>
      <w:r>
        <w:t>根据《</w:t>
      </w:r>
      <w:r>
        <w:rPr>
          <w:rFonts w:hint="eastAsia"/>
        </w:rPr>
        <w:t>耒阳市国土空间总体规划（2021~2035年）</w:t>
      </w:r>
      <w:r>
        <w:t>》，本工程沿线为基本农田、少量水域用地及</w:t>
      </w:r>
      <w:r>
        <w:rPr>
          <w:rFonts w:hint="eastAsia"/>
        </w:rPr>
        <w:t>林</w:t>
      </w:r>
      <w:r>
        <w:t>地。</w:t>
      </w:r>
      <w:r>
        <w:rPr>
          <w:rFonts w:hint="eastAsia"/>
        </w:rPr>
        <w:t>湖南省自然资源厅</w:t>
      </w:r>
      <w:r>
        <w:t>于202</w:t>
      </w:r>
      <w:r>
        <w:rPr>
          <w:rFonts w:hint="eastAsia"/>
        </w:rPr>
        <w:t>4</w:t>
      </w:r>
      <w:r>
        <w:t>年</w:t>
      </w:r>
      <w:r>
        <w:rPr>
          <w:rFonts w:hint="eastAsia"/>
        </w:rPr>
        <w:t>5</w:t>
      </w:r>
      <w:r>
        <w:t>月</w:t>
      </w:r>
      <w:r>
        <w:rPr>
          <w:rFonts w:hint="eastAsia"/>
        </w:rPr>
        <w:t>23</w:t>
      </w:r>
      <w:r>
        <w:t>日下发了选址意见书（见附件</w:t>
      </w:r>
      <w:r>
        <w:rPr>
          <w:rFonts w:hint="eastAsia"/>
        </w:rPr>
        <w:t>4</w:t>
      </w:r>
      <w:r>
        <w:t>），同意本工程选址选线方案，因此本工程符合《</w:t>
      </w:r>
      <w:r>
        <w:rPr>
          <w:rFonts w:hint="eastAsia"/>
        </w:rPr>
        <w:t>耒阳市国土空间总体规划（2021~2035年）</w:t>
      </w:r>
      <w:r>
        <w:t>》。</w:t>
      </w:r>
      <w:r>
        <w:rPr>
          <w:rFonts w:hint="eastAsia"/>
        </w:rPr>
        <w:t>本工程与耒阳</w:t>
      </w:r>
      <w:r>
        <w:t>市土地利用总体规划</w:t>
      </w:r>
      <w:r>
        <w:rPr>
          <w:rFonts w:hint="eastAsia"/>
        </w:rPr>
        <w:t>位置关系见图</w:t>
      </w:r>
      <w:r>
        <w:t>5.2</w:t>
      </w:r>
      <w:r>
        <w:rPr>
          <w:rFonts w:hint="eastAsia"/>
        </w:rPr>
        <w:t>-1。</w:t>
      </w:r>
    </w:p>
    <w:p w14:paraId="2DD515F5">
      <w:pPr>
        <w:pStyle w:val="5"/>
        <w:rPr>
          <w:color w:val="auto"/>
        </w:rPr>
      </w:pPr>
      <w:r>
        <w:rPr>
          <w:color w:val="auto"/>
        </w:rPr>
        <w:t>“三线一单”相符性</w:t>
      </w:r>
    </w:p>
    <w:p w14:paraId="189B3FAA">
      <w:pPr>
        <w:pStyle w:val="234"/>
        <w:spacing w:before="62" w:after="62"/>
        <w:ind w:firstLine="482"/>
        <w:rPr>
          <w:b/>
        </w:rPr>
      </w:pPr>
      <w:r>
        <w:rPr>
          <w:b/>
        </w:rPr>
        <w:t>（1）与《</w:t>
      </w:r>
      <w:r>
        <w:rPr>
          <w:rFonts w:hint="eastAsia"/>
          <w:b/>
        </w:rPr>
        <w:t>湖南省人民政府关于实施“三线一单”生态环境分区管控的意见》（</w:t>
      </w:r>
      <w:r>
        <w:rPr>
          <w:b/>
        </w:rPr>
        <w:t>湘政发〔20</w:t>
      </w:r>
      <w:r>
        <w:rPr>
          <w:rFonts w:hint="eastAsia"/>
          <w:b/>
        </w:rPr>
        <w:t>20</w:t>
      </w:r>
      <w:r>
        <w:rPr>
          <w:b/>
        </w:rPr>
        <w:t>〕</w:t>
      </w:r>
      <w:r>
        <w:rPr>
          <w:rFonts w:hint="eastAsia"/>
          <w:b/>
        </w:rPr>
        <w:t>12</w:t>
      </w:r>
      <w:r>
        <w:rPr>
          <w:b/>
        </w:rPr>
        <w:t>号</w:t>
      </w:r>
      <w:r>
        <w:rPr>
          <w:rFonts w:hint="eastAsia"/>
          <w:b/>
        </w:rPr>
        <w:t>）</w:t>
      </w:r>
      <w:r>
        <w:rPr>
          <w:b/>
        </w:rPr>
        <w:t>的相符性</w:t>
      </w:r>
    </w:p>
    <w:p w14:paraId="14D8229F">
      <w:pPr>
        <w:pStyle w:val="234"/>
        <w:spacing w:before="62" w:after="62"/>
      </w:pPr>
      <w:r>
        <w:t>根据《</w:t>
      </w:r>
      <w:r>
        <w:rPr>
          <w:rFonts w:hint="eastAsia"/>
        </w:rPr>
        <w:t>湖南省人民政府关于实施“三线一单”生态环境分区管控的意见》（</w:t>
      </w:r>
      <w:r>
        <w:t>湘政发〔20</w:t>
      </w:r>
      <w:r>
        <w:rPr>
          <w:rFonts w:hint="eastAsia"/>
        </w:rPr>
        <w:t>20</w:t>
      </w:r>
      <w:r>
        <w:t>〕</w:t>
      </w:r>
      <w:r>
        <w:rPr>
          <w:rFonts w:hint="eastAsia"/>
        </w:rPr>
        <w:t>12</w:t>
      </w:r>
      <w:r>
        <w:t>号</w:t>
      </w:r>
      <w:r>
        <w:rPr>
          <w:rFonts w:hint="eastAsia"/>
        </w:rPr>
        <w:t>）</w:t>
      </w:r>
      <w:r>
        <w:t>，</w:t>
      </w:r>
      <w:r>
        <w:rPr>
          <w:rFonts w:hint="eastAsia"/>
        </w:rPr>
        <w:t>全省共划定860个环境管控单元，其中优先保护单元253个、重点管控单元358个、一般管控单元249个，本工程位于重点管控单元</w:t>
      </w:r>
      <w:r>
        <w:t>。本工程与</w:t>
      </w:r>
      <w:r>
        <w:rPr>
          <w:rFonts w:hint="eastAsia"/>
        </w:rPr>
        <w:t>湖南省环境管控单元</w:t>
      </w:r>
      <w:r>
        <w:t>的位置关系详见图5.2-</w:t>
      </w:r>
      <w:r>
        <w:rPr>
          <w:rFonts w:hint="eastAsia"/>
        </w:rPr>
        <w:t>2</w:t>
      </w:r>
      <w:r>
        <w:t>。</w:t>
      </w:r>
    </w:p>
    <w:p w14:paraId="77975E3E">
      <w:pPr>
        <w:pStyle w:val="234"/>
        <w:spacing w:before="62" w:after="62"/>
      </w:pPr>
      <w:r>
        <w:t>根据《</w:t>
      </w:r>
      <w:r>
        <w:rPr>
          <w:rFonts w:hint="eastAsia"/>
        </w:rPr>
        <w:t>湖南省人民政府关于实施“三线一单”生态环境分区管控的意见》（</w:t>
      </w:r>
      <w:r>
        <w:t>湘政发〔20</w:t>
      </w:r>
      <w:r>
        <w:rPr>
          <w:rFonts w:hint="eastAsia"/>
        </w:rPr>
        <w:t>20</w:t>
      </w:r>
      <w:r>
        <w:t>〕</w:t>
      </w:r>
      <w:r>
        <w:rPr>
          <w:rFonts w:hint="eastAsia"/>
        </w:rPr>
        <w:t>12</w:t>
      </w:r>
      <w:r>
        <w:t>号</w:t>
      </w:r>
      <w:r>
        <w:rPr>
          <w:rFonts w:hint="eastAsia"/>
        </w:rPr>
        <w:t>）：“重点管控单元应优化空间布局，加强污染物排放控制和环境风险防控，不断提升资源利用效率，解决生态环境质量不达标、生态环境风险高等问题”。</w:t>
      </w:r>
      <w:r>
        <w:t>本工程运行期</w:t>
      </w:r>
      <w:r>
        <w:rPr>
          <w:rFonts w:hint="eastAsia"/>
        </w:rPr>
        <w:t>污染物产生量较少，无废水产生及排放。工程设有SCADA系统，并设置RTU系统，可远程监控管线运行状态并一键关停管线。管线设有标志桩、警示牌等保护设施，管道采用三层PE防腐，定期清管和管道检测，定期巡线，严格</w:t>
      </w:r>
      <w:r>
        <w:rPr>
          <w:rFonts w:hint="eastAsia"/>
          <w:lang w:val="zh-CN"/>
        </w:rPr>
        <w:t>遵守《中华人民共和国石油天然气管道保护法》，</w:t>
      </w:r>
      <w:r>
        <w:rPr>
          <w:rFonts w:hint="eastAsia"/>
        </w:rPr>
        <w:t>运营前制定突发环境事件应急预案，做好突发环境事件的风险控制、应急准备、应急处置和事后恢复等工作等，以上措施可满足“重点管控单元”要求。</w:t>
      </w:r>
    </w:p>
    <w:p w14:paraId="1F0B7B72">
      <w:pPr>
        <w:pStyle w:val="234"/>
        <w:spacing w:before="62" w:after="62"/>
      </w:pPr>
      <w:r>
        <w:rPr>
          <w:rFonts w:hint="eastAsia"/>
        </w:rPr>
        <w:t>本工程与湖南省“三线一单”相符性见表5.2-3。</w:t>
      </w:r>
    </w:p>
    <w:p w14:paraId="6E867CEC">
      <w:pPr>
        <w:pStyle w:val="904"/>
      </w:pPr>
      <w:r>
        <w:t>表5.2-</w:t>
      </w:r>
      <w:r>
        <w:rPr>
          <w:rFonts w:hint="eastAsia"/>
        </w:rPr>
        <w:t>3</w:t>
      </w:r>
      <w:r>
        <w:t xml:space="preserve">  本工程与</w:t>
      </w:r>
      <w:r>
        <w:rPr>
          <w:rFonts w:hint="eastAsia"/>
        </w:rPr>
        <w:t>湖南省“三线一单”相符性分析表</w:t>
      </w:r>
    </w:p>
    <w:tbl>
      <w:tblPr>
        <w:tblStyle w:val="139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4"/>
        <w:gridCol w:w="6682"/>
        <w:gridCol w:w="1160"/>
      </w:tblGrid>
      <w:tr w14:paraId="56E57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6" w:type="dxa"/>
            <w:vAlign w:val="center"/>
          </w:tcPr>
          <w:p w14:paraId="017251E3">
            <w:pPr>
              <w:pStyle w:val="1343"/>
            </w:pPr>
            <w:r>
              <w:rPr>
                <w:rFonts w:hint="eastAsia"/>
              </w:rPr>
              <w:t>项目</w:t>
            </w:r>
          </w:p>
        </w:tc>
        <w:tc>
          <w:tcPr>
            <w:tcW w:w="6000" w:type="dxa"/>
            <w:vAlign w:val="center"/>
          </w:tcPr>
          <w:p w14:paraId="098F5533">
            <w:pPr>
              <w:pStyle w:val="1343"/>
            </w:pPr>
            <w:r>
              <w:rPr>
                <w:rFonts w:hint="eastAsia"/>
              </w:rPr>
              <w:t>符合性分析</w:t>
            </w:r>
          </w:p>
        </w:tc>
        <w:tc>
          <w:tcPr>
            <w:tcW w:w="1041" w:type="dxa"/>
            <w:vAlign w:val="center"/>
          </w:tcPr>
          <w:p w14:paraId="708193BD">
            <w:pPr>
              <w:pStyle w:val="1343"/>
            </w:pPr>
            <w:r>
              <w:t>符合性</w:t>
            </w:r>
          </w:p>
        </w:tc>
      </w:tr>
      <w:tr w14:paraId="2E942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6" w:type="dxa"/>
            <w:vAlign w:val="center"/>
          </w:tcPr>
          <w:p w14:paraId="0F0B368D">
            <w:pPr>
              <w:pStyle w:val="1343"/>
            </w:pPr>
            <w:r>
              <w:rPr>
                <w:rFonts w:hint="eastAsia"/>
              </w:rPr>
              <w:t>生态红线</w:t>
            </w:r>
          </w:p>
        </w:tc>
        <w:tc>
          <w:tcPr>
            <w:tcW w:w="6000" w:type="dxa"/>
            <w:vAlign w:val="center"/>
          </w:tcPr>
          <w:p w14:paraId="59CFFCB6">
            <w:pPr>
              <w:pStyle w:val="1343"/>
              <w:jc w:val="left"/>
            </w:pPr>
            <w:r>
              <w:rPr>
                <w:rFonts w:hint="eastAsia"/>
              </w:rPr>
              <w:t>本工程位于耒阳市竹市镇附近，根据耒阳市自然资源局出具的《关于潜江—韶关输气管道28#阀室新增下载点改扩建项目建设用地预审与选址初审意见的报告》（附件3），本工程不占用生态保护红线。</w:t>
            </w:r>
          </w:p>
        </w:tc>
        <w:tc>
          <w:tcPr>
            <w:tcW w:w="1041" w:type="dxa"/>
            <w:vAlign w:val="center"/>
          </w:tcPr>
          <w:p w14:paraId="6347BC5F">
            <w:pPr>
              <w:pStyle w:val="1343"/>
            </w:pPr>
            <w:r>
              <w:rPr>
                <w:rFonts w:hint="eastAsia"/>
              </w:rPr>
              <w:t>符合</w:t>
            </w:r>
          </w:p>
        </w:tc>
      </w:tr>
      <w:tr w14:paraId="7AD51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6" w:type="dxa"/>
            <w:vAlign w:val="center"/>
          </w:tcPr>
          <w:p w14:paraId="106B5DAA">
            <w:pPr>
              <w:pStyle w:val="1343"/>
            </w:pPr>
            <w:r>
              <w:rPr>
                <w:rFonts w:hint="eastAsia"/>
              </w:rPr>
              <w:t>环境质量底线</w:t>
            </w:r>
          </w:p>
        </w:tc>
        <w:tc>
          <w:tcPr>
            <w:tcW w:w="6000" w:type="dxa"/>
            <w:vAlign w:val="center"/>
          </w:tcPr>
          <w:p w14:paraId="45468CFF">
            <w:pPr>
              <w:rPr>
                <w:kern w:val="0"/>
                <w:szCs w:val="21"/>
              </w:rPr>
            </w:pPr>
            <w:r>
              <w:rPr>
                <w:kern w:val="0"/>
                <w:szCs w:val="21"/>
              </w:rPr>
              <w:t>根据区域环境质量现状监测数据，目前项目所在区域地表水和声环境质量现状良好；所在区域（耒阳市）202</w:t>
            </w:r>
            <w:r>
              <w:rPr>
                <w:rFonts w:hint="eastAsia"/>
                <w:kern w:val="0"/>
                <w:szCs w:val="21"/>
              </w:rPr>
              <w:t>3</w:t>
            </w:r>
            <w:r>
              <w:rPr>
                <w:kern w:val="0"/>
                <w:szCs w:val="21"/>
              </w:rPr>
              <w:t>年环境空气质量满足《环境空气质量标准》(GB3095-2012)二级标准要求。</w:t>
            </w:r>
          </w:p>
          <w:p w14:paraId="45DE9C79">
            <w:pPr>
              <w:pStyle w:val="1343"/>
              <w:jc w:val="left"/>
            </w:pPr>
            <w:r>
              <w:t>本项目</w:t>
            </w:r>
            <w:r>
              <w:rPr>
                <w:rFonts w:hint="eastAsia"/>
              </w:rPr>
              <w:t>运营期无废水产生，</w:t>
            </w:r>
            <w:r>
              <w:t>废气采取防治措施后均可实现达标排放，各项固体废物均可得到妥善处置，不会降低区域环境质量等级，对环境影响不大，环境质量可以保持现有水平，符合环境质量底线要求</w:t>
            </w:r>
            <w:r>
              <w:rPr>
                <w:rFonts w:hint="eastAsia"/>
              </w:rPr>
              <w:t>。</w:t>
            </w:r>
          </w:p>
        </w:tc>
        <w:tc>
          <w:tcPr>
            <w:tcW w:w="1041" w:type="dxa"/>
            <w:vAlign w:val="center"/>
          </w:tcPr>
          <w:p w14:paraId="4A560A9C">
            <w:pPr>
              <w:pStyle w:val="1343"/>
            </w:pPr>
            <w:r>
              <w:rPr>
                <w:rFonts w:hint="eastAsia"/>
              </w:rPr>
              <w:t>符合</w:t>
            </w:r>
          </w:p>
        </w:tc>
      </w:tr>
      <w:tr w14:paraId="6D671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6" w:type="dxa"/>
            <w:vAlign w:val="center"/>
          </w:tcPr>
          <w:p w14:paraId="404606D9">
            <w:pPr>
              <w:pStyle w:val="1343"/>
            </w:pPr>
            <w:r>
              <w:rPr>
                <w:rFonts w:hint="eastAsia"/>
              </w:rPr>
              <w:t>资源利用上线</w:t>
            </w:r>
          </w:p>
        </w:tc>
        <w:tc>
          <w:tcPr>
            <w:tcW w:w="6000" w:type="dxa"/>
            <w:vAlign w:val="center"/>
          </w:tcPr>
          <w:p w14:paraId="50B52A3D">
            <w:pPr>
              <w:pStyle w:val="1343"/>
              <w:jc w:val="left"/>
            </w:pPr>
            <w:r>
              <w:t>本项目总体工程量小，用水</w:t>
            </w:r>
            <w:r>
              <w:rPr>
                <w:rFonts w:hint="eastAsia"/>
              </w:rPr>
              <w:t>用电</w:t>
            </w:r>
            <w:r>
              <w:t>量小，对资源能源利用较少，项目施工结束后，临时占地将逐步恢复，对土地资源影响小</w:t>
            </w:r>
            <w:r>
              <w:rPr>
                <w:rFonts w:hint="eastAsia"/>
              </w:rPr>
              <w:t>。</w:t>
            </w:r>
          </w:p>
        </w:tc>
        <w:tc>
          <w:tcPr>
            <w:tcW w:w="1041" w:type="dxa"/>
            <w:vAlign w:val="center"/>
          </w:tcPr>
          <w:p w14:paraId="4B9209ED">
            <w:pPr>
              <w:pStyle w:val="1343"/>
            </w:pPr>
            <w:r>
              <w:rPr>
                <w:rFonts w:hint="eastAsia"/>
              </w:rPr>
              <w:t>符合</w:t>
            </w:r>
          </w:p>
        </w:tc>
      </w:tr>
      <w:tr w14:paraId="7503E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6" w:type="dxa"/>
            <w:vAlign w:val="center"/>
          </w:tcPr>
          <w:p w14:paraId="62C316E2">
            <w:pPr>
              <w:pStyle w:val="1343"/>
            </w:pPr>
            <w:r>
              <w:rPr>
                <w:rFonts w:hint="eastAsia"/>
              </w:rPr>
              <w:t>生态环境准入负面清单</w:t>
            </w:r>
          </w:p>
        </w:tc>
        <w:tc>
          <w:tcPr>
            <w:tcW w:w="6000" w:type="dxa"/>
            <w:vAlign w:val="center"/>
          </w:tcPr>
          <w:p w14:paraId="2860B286">
            <w:pPr>
              <w:pStyle w:val="1343"/>
              <w:jc w:val="left"/>
            </w:pPr>
            <w:r>
              <w:t>项目建设符合国家和行业的产业政策，不违反相关产业政策和《湖南省国家重点生态功能区产业准入负面清单》（湘发改规划〔2018〕373号）、《湖南省新增19个国家重点生态功能区产业准入负面清单（试行）》（湘发改规划〔2018〕972号）等的负面清单范围</w:t>
            </w:r>
            <w:r>
              <w:rPr>
                <w:rFonts w:hint="eastAsia"/>
              </w:rPr>
              <w:t>。</w:t>
            </w:r>
          </w:p>
        </w:tc>
        <w:tc>
          <w:tcPr>
            <w:tcW w:w="1041" w:type="dxa"/>
            <w:vAlign w:val="center"/>
          </w:tcPr>
          <w:p w14:paraId="30A29EDD">
            <w:pPr>
              <w:pStyle w:val="1343"/>
            </w:pPr>
            <w:r>
              <w:rPr>
                <w:rFonts w:hint="eastAsia"/>
              </w:rPr>
              <w:t>符合</w:t>
            </w:r>
          </w:p>
        </w:tc>
      </w:tr>
    </w:tbl>
    <w:p w14:paraId="79E5624B">
      <w:pPr>
        <w:pStyle w:val="234"/>
        <w:spacing w:before="62" w:after="62"/>
        <w:rPr>
          <w:bCs/>
        </w:rPr>
      </w:pPr>
      <w:r>
        <w:rPr>
          <w:rFonts w:hint="eastAsia"/>
        </w:rPr>
        <w:t>综上，</w:t>
      </w:r>
      <w:r>
        <w:t>本工程符合《</w:t>
      </w:r>
      <w:r>
        <w:rPr>
          <w:rFonts w:hint="eastAsia"/>
        </w:rPr>
        <w:t>湖南省人民政府关于实施“三线一单”生态环境分区管控的意见》（</w:t>
      </w:r>
      <w:r>
        <w:t>湘政发〔20</w:t>
      </w:r>
      <w:r>
        <w:rPr>
          <w:rFonts w:hint="eastAsia"/>
        </w:rPr>
        <w:t>20</w:t>
      </w:r>
      <w:r>
        <w:t>〕</w:t>
      </w:r>
      <w:r>
        <w:rPr>
          <w:rFonts w:hint="eastAsia"/>
        </w:rPr>
        <w:t>12</w:t>
      </w:r>
      <w:r>
        <w:t>号</w:t>
      </w:r>
      <w:r>
        <w:rPr>
          <w:rFonts w:hint="eastAsia"/>
        </w:rPr>
        <w:t>）</w:t>
      </w:r>
      <w:r>
        <w:t>要求。</w:t>
      </w:r>
    </w:p>
    <w:p w14:paraId="3623B364">
      <w:pPr>
        <w:pStyle w:val="234"/>
        <w:spacing w:before="62" w:after="62"/>
        <w:ind w:firstLine="482"/>
        <w:rPr>
          <w:b/>
          <w:bCs/>
        </w:rPr>
      </w:pPr>
      <w:r>
        <w:rPr>
          <w:b/>
          <w:bCs/>
        </w:rPr>
        <w:t>（</w:t>
      </w:r>
      <w:r>
        <w:rPr>
          <w:rFonts w:hint="eastAsia"/>
          <w:b/>
          <w:bCs/>
        </w:rPr>
        <w:t>2</w:t>
      </w:r>
      <w:r>
        <w:rPr>
          <w:b/>
          <w:bCs/>
        </w:rPr>
        <w:t>）与</w:t>
      </w:r>
      <w:r>
        <w:rPr>
          <w:rFonts w:hint="eastAsia"/>
          <w:b/>
          <w:bCs/>
        </w:rPr>
        <w:t>《衡阳市人民政府关于实施“三线一单”生态环境分区管控的意见》（衡政发</w:t>
      </w:r>
      <w:r>
        <w:rPr>
          <w:b/>
          <w:bCs/>
        </w:rPr>
        <w:t>〔</w:t>
      </w:r>
      <w:r>
        <w:rPr>
          <w:rFonts w:hint="eastAsia"/>
          <w:b/>
          <w:bCs/>
        </w:rPr>
        <w:t>2020</w:t>
      </w:r>
      <w:r>
        <w:rPr>
          <w:b/>
          <w:bCs/>
        </w:rPr>
        <w:t>〕</w:t>
      </w:r>
      <w:r>
        <w:rPr>
          <w:rFonts w:hint="eastAsia"/>
          <w:b/>
          <w:bCs/>
        </w:rPr>
        <w:t>9号）</w:t>
      </w:r>
      <w:r>
        <w:rPr>
          <w:b/>
          <w:bCs/>
        </w:rPr>
        <w:t>的符合性</w:t>
      </w:r>
    </w:p>
    <w:p w14:paraId="7B312968">
      <w:pPr>
        <w:pStyle w:val="234"/>
        <w:spacing w:before="62" w:after="62"/>
      </w:pPr>
      <w:r>
        <w:rPr>
          <w:rFonts w:hint="eastAsia"/>
        </w:rPr>
        <w:t>本工程位于耒阳市水东江街道竹市镇附近，根据《衡阳市人民政府关于实施“三线一单”生态环境分区管控的意见》（衡政发</w:t>
      </w:r>
      <w:r>
        <w:t>〔</w:t>
      </w:r>
      <w:r>
        <w:rPr>
          <w:rFonts w:hint="eastAsia"/>
        </w:rPr>
        <w:t>2020</w:t>
      </w:r>
      <w:r>
        <w:t>〕</w:t>
      </w:r>
      <w:r>
        <w:rPr>
          <w:rFonts w:hint="eastAsia"/>
        </w:rPr>
        <w:t>9号），属于重点管控单元（环境管控单元编码：ZH43048120002）。本工程与衡阳市环境管控单元</w:t>
      </w:r>
      <w:r>
        <w:t>的位置关系详见图5.2-</w:t>
      </w:r>
      <w:r>
        <w:rPr>
          <w:rFonts w:hint="eastAsia"/>
        </w:rPr>
        <w:t>3。工程与生态保护红线位置管线见图5.2-4。</w:t>
      </w:r>
    </w:p>
    <w:p w14:paraId="54B851C5">
      <w:pPr>
        <w:pStyle w:val="234"/>
        <w:spacing w:before="62" w:after="62"/>
      </w:pPr>
      <w:r>
        <w:rPr>
          <w:rFonts w:hint="eastAsia"/>
        </w:rPr>
        <w:t>本工程与《衡阳市人民政府关于实施“三线一单”生态环境分区管控的意见》（衡政发</w:t>
      </w:r>
      <w:r>
        <w:t>〔</w:t>
      </w:r>
      <w:r>
        <w:rPr>
          <w:rFonts w:hint="eastAsia"/>
        </w:rPr>
        <w:t>2020</w:t>
      </w:r>
      <w:r>
        <w:t>〕</w:t>
      </w:r>
      <w:r>
        <w:rPr>
          <w:rFonts w:hint="eastAsia"/>
        </w:rPr>
        <w:t>9号）符合性分析见表5.2-4。</w:t>
      </w:r>
    </w:p>
    <w:p w14:paraId="7DF95D87">
      <w:pPr>
        <w:pStyle w:val="904"/>
      </w:pPr>
      <w:r>
        <w:t>表5.2-</w:t>
      </w:r>
      <w:r>
        <w:rPr>
          <w:rFonts w:hint="eastAsia"/>
        </w:rPr>
        <w:t>4</w:t>
      </w:r>
      <w:r>
        <w:t xml:space="preserve">  本工程与</w:t>
      </w:r>
      <w:r>
        <w:rPr>
          <w:rFonts w:hint="eastAsia"/>
        </w:rPr>
        <w:t>（衡政发〔2020〕9号）相符性分析表</w:t>
      </w:r>
    </w:p>
    <w:tbl>
      <w:tblPr>
        <w:tblStyle w:val="139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4"/>
        <w:gridCol w:w="5188"/>
        <w:gridCol w:w="3104"/>
      </w:tblGrid>
      <w:tr w14:paraId="10685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2" w:type="dxa"/>
            <w:vAlign w:val="center"/>
          </w:tcPr>
          <w:p w14:paraId="3135D3AE">
            <w:pPr>
              <w:pStyle w:val="1343"/>
            </w:pPr>
            <w:r>
              <w:rPr>
                <w:rFonts w:hint="eastAsia"/>
              </w:rPr>
              <w:t>项目</w:t>
            </w:r>
          </w:p>
        </w:tc>
        <w:tc>
          <w:tcPr>
            <w:tcW w:w="4658" w:type="dxa"/>
            <w:vAlign w:val="center"/>
          </w:tcPr>
          <w:p w14:paraId="5D04FA39">
            <w:pPr>
              <w:pStyle w:val="1343"/>
            </w:pPr>
            <w:r>
              <w:rPr>
                <w:rFonts w:hint="eastAsia"/>
              </w:rPr>
              <w:t>管控要求</w:t>
            </w:r>
          </w:p>
        </w:tc>
        <w:tc>
          <w:tcPr>
            <w:tcW w:w="2787" w:type="dxa"/>
            <w:vAlign w:val="center"/>
          </w:tcPr>
          <w:p w14:paraId="393A45CF">
            <w:pPr>
              <w:pStyle w:val="1343"/>
            </w:pPr>
            <w:r>
              <w:t>符合性</w:t>
            </w:r>
            <w:r>
              <w:rPr>
                <w:rFonts w:hint="eastAsia"/>
              </w:rPr>
              <w:t>分析</w:t>
            </w:r>
          </w:p>
        </w:tc>
      </w:tr>
      <w:tr w14:paraId="0F8ED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2" w:type="dxa"/>
            <w:vAlign w:val="center"/>
          </w:tcPr>
          <w:p w14:paraId="4EA0FF41">
            <w:pPr>
              <w:pStyle w:val="1343"/>
            </w:pPr>
            <w:r>
              <w:rPr>
                <w:rFonts w:hint="eastAsia"/>
              </w:rPr>
              <w:t>空间布局约束</w:t>
            </w:r>
          </w:p>
        </w:tc>
        <w:tc>
          <w:tcPr>
            <w:tcW w:w="4658" w:type="dxa"/>
            <w:vAlign w:val="center"/>
          </w:tcPr>
          <w:p w14:paraId="562F9474">
            <w:pPr>
              <w:pStyle w:val="1343"/>
              <w:numPr>
                <w:ilvl w:val="1"/>
                <w:numId w:val="29"/>
              </w:numPr>
              <w:jc w:val="left"/>
            </w:pPr>
            <w:r>
              <w:t xml:space="preserve">禁止新建钢铁、焦化等行业的高污染项目。城市规划区禁止新建砖瓦厂。 </w:t>
            </w:r>
          </w:p>
          <w:p w14:paraId="50CDF137">
            <w:pPr>
              <w:pStyle w:val="1343"/>
              <w:jc w:val="left"/>
            </w:pPr>
            <w:r>
              <w:t>（1.2）区域养殖业按划定的禁养区、限养区、适养区实施分类管</w:t>
            </w:r>
            <w:r>
              <w:rPr>
                <w:rFonts w:hint="eastAsia"/>
              </w:rPr>
              <w:t>。</w:t>
            </w:r>
          </w:p>
        </w:tc>
        <w:tc>
          <w:tcPr>
            <w:tcW w:w="2787" w:type="dxa"/>
            <w:vAlign w:val="center"/>
          </w:tcPr>
          <w:p w14:paraId="1B1E7AC0">
            <w:pPr>
              <w:pStyle w:val="1343"/>
              <w:jc w:val="both"/>
            </w:pPr>
            <w:r>
              <w:rPr>
                <w:rFonts w:hint="eastAsia"/>
              </w:rPr>
              <w:t>（1.1）不涉及；</w:t>
            </w:r>
          </w:p>
          <w:p w14:paraId="369B91FA">
            <w:pPr>
              <w:pStyle w:val="1343"/>
              <w:jc w:val="both"/>
            </w:pPr>
            <w:r>
              <w:rPr>
                <w:rFonts w:hint="eastAsia"/>
              </w:rPr>
              <w:t>（1.2）不涉及；</w:t>
            </w:r>
          </w:p>
          <w:p w14:paraId="055C3728">
            <w:pPr>
              <w:pStyle w:val="1343"/>
              <w:jc w:val="both"/>
            </w:pPr>
            <w:r>
              <w:rPr>
                <w:rFonts w:hint="eastAsia"/>
              </w:rPr>
              <w:t>本项目行业类别为：</w:t>
            </w:r>
            <w:r>
              <w:t>147原油、成品油、天然气管线（不含城市天然气管线；不含城镇燃气管线；不含企业厂区内管道）</w:t>
            </w:r>
            <w:r>
              <w:rPr>
                <w:rFonts w:hint="eastAsia"/>
              </w:rPr>
              <w:t>。</w:t>
            </w:r>
          </w:p>
        </w:tc>
      </w:tr>
      <w:tr w14:paraId="12319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2" w:type="dxa"/>
            <w:vAlign w:val="center"/>
          </w:tcPr>
          <w:p w14:paraId="4765A567">
            <w:pPr>
              <w:pStyle w:val="1343"/>
            </w:pPr>
            <w:r>
              <w:rPr>
                <w:rFonts w:hint="eastAsia"/>
              </w:rPr>
              <w:t>污染物排放管控</w:t>
            </w:r>
          </w:p>
        </w:tc>
        <w:tc>
          <w:tcPr>
            <w:tcW w:w="4658" w:type="dxa"/>
            <w:vAlign w:val="center"/>
          </w:tcPr>
          <w:p w14:paraId="415DD058">
            <w:pPr>
              <w:pStyle w:val="1343"/>
              <w:jc w:val="left"/>
            </w:pPr>
            <w:r>
              <w:rPr>
                <w:rFonts w:hint="eastAsia"/>
              </w:rPr>
              <w:t xml:space="preserve">（2.1）加强工业水污染防治、加快污水管网及处理设施建设、强化饮用水源保护、黑臭水体治理等为重点，开展水污染防治计划，全力保障饮用水安全和改善水环境质量。 </w:t>
            </w:r>
          </w:p>
          <w:p w14:paraId="1F4846D2">
            <w:pPr>
              <w:pStyle w:val="1343"/>
              <w:jc w:val="left"/>
            </w:pPr>
            <w:r>
              <w:rPr>
                <w:rFonts w:hint="eastAsia"/>
              </w:rPr>
              <w:t xml:space="preserve">（2.2）加强城区燃煤锅炉整治，全面实施大气污染物特别排放限值；渣土、建材、垃圾运输车辆必须全封闭运输，施工场地全封闭围挡作业；禁止城区露天焚烧垃圾、露天烧烤等行为，禁止焚烧秸秆。 </w:t>
            </w:r>
          </w:p>
          <w:p w14:paraId="2BB8EB25">
            <w:pPr>
              <w:pStyle w:val="1343"/>
              <w:jc w:val="left"/>
            </w:pPr>
            <w:r>
              <w:rPr>
                <w:rFonts w:hint="eastAsia"/>
              </w:rPr>
              <w:t>（2.3）以“减量化、无害化、资源化”为重点，加快推进垃圾分类收集减量和资源综合利用，提升危险废物安全处置能力，推进一般工业固废综合利用。</w:t>
            </w:r>
          </w:p>
        </w:tc>
        <w:tc>
          <w:tcPr>
            <w:tcW w:w="2787" w:type="dxa"/>
            <w:vAlign w:val="center"/>
          </w:tcPr>
          <w:p w14:paraId="5B1D39B2">
            <w:pPr>
              <w:pStyle w:val="1343"/>
              <w:jc w:val="both"/>
            </w:pPr>
            <w:r>
              <w:rPr>
                <w:rFonts w:hint="eastAsia"/>
              </w:rPr>
              <w:t>（2.1）本项目运营期无废水产生；施工期工业废水沉淀后用于施工区洒水抑尘，清管试压废水回用于农田灌溉或道路洒水，生活污水依托当地农村现有处理设施；</w:t>
            </w:r>
          </w:p>
          <w:p w14:paraId="1CD30C60">
            <w:pPr>
              <w:pStyle w:val="1343"/>
              <w:jc w:val="both"/>
            </w:pPr>
            <w:r>
              <w:rPr>
                <w:rFonts w:hint="eastAsia"/>
              </w:rPr>
              <w:t>（2.2）本项目不涉及燃煤锅炉；施工期封闭围挡，渣土、垃圾运输车辆等全封闭运输；不涉及焚烧秸秆；</w:t>
            </w:r>
          </w:p>
          <w:p w14:paraId="4146CC01">
            <w:pPr>
              <w:pStyle w:val="1343"/>
              <w:jc w:val="both"/>
            </w:pPr>
            <w:r>
              <w:rPr>
                <w:rFonts w:hint="eastAsia"/>
              </w:rPr>
              <w:t>（2.3）本项目固体废物综合处置利用，对周边环境影响较小</w:t>
            </w:r>
          </w:p>
        </w:tc>
      </w:tr>
      <w:tr w14:paraId="1D190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2" w:type="dxa"/>
            <w:vAlign w:val="center"/>
          </w:tcPr>
          <w:p w14:paraId="4B9D74B5">
            <w:pPr>
              <w:pStyle w:val="1343"/>
            </w:pPr>
            <w:r>
              <w:rPr>
                <w:rFonts w:hint="eastAsia"/>
              </w:rPr>
              <w:t>环境风险防控</w:t>
            </w:r>
          </w:p>
        </w:tc>
        <w:tc>
          <w:tcPr>
            <w:tcW w:w="4658" w:type="dxa"/>
            <w:vAlign w:val="center"/>
          </w:tcPr>
          <w:p w14:paraId="3139C870">
            <w:pPr>
              <w:pStyle w:val="1343"/>
              <w:jc w:val="left"/>
            </w:pPr>
            <w:r>
              <w:rPr>
                <w:rFonts w:hint="eastAsia"/>
              </w:rPr>
              <w:t>（3.1）推动项目、区域、流域尺度环境风险评价和环境应急预案编制。定期开展环境污染隐患排查和计划执法，加强政府、企业环境风险应急演练管理。</w:t>
            </w:r>
          </w:p>
          <w:p w14:paraId="70935AAE">
            <w:pPr>
              <w:pStyle w:val="1343"/>
              <w:jc w:val="left"/>
            </w:pPr>
            <w:r>
              <w:rPr>
                <w:rFonts w:hint="eastAsia"/>
              </w:rPr>
              <w:t>（3.2）根据建设用地土壤环境调查评估及现有重金属污染场地调查结果，逐步建立污染地块名录及其开发利用的负面清单，合理确定土地用途。土地开发利用必须符合土壤环境质量要求。各部门在编制土地利用总体规划、城市总体规划、控制性详细规划等相关规划时，应充分考虑污染地块的环境风险，合理确定土地用途。制定实施受污染耕地安全利用方案，采取农艺调控、化学阻控、替代种植等措施，降低农产品重金属超标风险。暂时不能进行治理修复的污染地块，设置标志标识围栏，根据各地块的环境因地制宜采取建设撇洪导流沟渠、地表覆盖等措施减少雨水冲刷等风险管控措施。在未完成治理并通过验收前，不得用于农业、畜牧业以及工商业开发建</w:t>
            </w:r>
          </w:p>
        </w:tc>
        <w:tc>
          <w:tcPr>
            <w:tcW w:w="2787" w:type="dxa"/>
            <w:vAlign w:val="center"/>
          </w:tcPr>
          <w:p w14:paraId="7582FD8F">
            <w:pPr>
              <w:pStyle w:val="1343"/>
              <w:jc w:val="both"/>
            </w:pPr>
            <w:r>
              <w:rPr>
                <w:rFonts w:hint="eastAsia"/>
              </w:rPr>
              <w:t>（3.1）本工程运营前制定突发环境事件应急预案，定期开展环境污染隐患排查和计划执法，加强应急演练；</w:t>
            </w:r>
          </w:p>
          <w:p w14:paraId="22C63A78">
            <w:pPr>
              <w:pStyle w:val="1343"/>
              <w:jc w:val="both"/>
            </w:pPr>
            <w:r>
              <w:rPr>
                <w:rFonts w:hint="eastAsia"/>
              </w:rPr>
              <w:t>（3.2）不涉及。</w:t>
            </w:r>
          </w:p>
        </w:tc>
      </w:tr>
      <w:tr w14:paraId="0FF65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2" w:type="dxa"/>
            <w:vAlign w:val="center"/>
          </w:tcPr>
          <w:p w14:paraId="249081F8">
            <w:pPr>
              <w:pStyle w:val="1343"/>
            </w:pPr>
            <w:r>
              <w:rPr>
                <w:rFonts w:hint="eastAsia"/>
              </w:rPr>
              <w:t>资源开发效率要求</w:t>
            </w:r>
          </w:p>
        </w:tc>
        <w:tc>
          <w:tcPr>
            <w:tcW w:w="4658" w:type="dxa"/>
            <w:vAlign w:val="center"/>
          </w:tcPr>
          <w:p w14:paraId="5848AF50">
            <w:pPr>
              <w:pStyle w:val="1343"/>
              <w:jc w:val="left"/>
            </w:pPr>
            <w:r>
              <w:rPr>
                <w:rFonts w:hint="eastAsia"/>
              </w:rPr>
              <w:t xml:space="preserve">（4.1）能源：强化节能环保标准约束，严格行业规范、准入管理和节能审查，对电力、钢铁、建材、有色、化工、石油石化、煤炭、造纸等行业中，环保、能耗、安全等不达标或生产、使用淘汰类产品的企业和产能，依法依规改造升级或有序退出。推广使用优质煤、洁净型煤，推进煤改气、煤改电，鼓励利用可再生能源、天然气、电力等优质能源替代燃煤使用。 </w:t>
            </w:r>
          </w:p>
          <w:p w14:paraId="4238A44C">
            <w:pPr>
              <w:pStyle w:val="1343"/>
              <w:jc w:val="left"/>
            </w:pPr>
            <w:r>
              <w:rPr>
                <w:rFonts w:hint="eastAsia"/>
              </w:rPr>
              <w:t>（4.2）水资源：大力推进农业、工业、城镇节水，全面推进节水型社会建设。</w:t>
            </w:r>
          </w:p>
        </w:tc>
        <w:tc>
          <w:tcPr>
            <w:tcW w:w="2787" w:type="dxa"/>
            <w:vAlign w:val="center"/>
          </w:tcPr>
          <w:p w14:paraId="53FD4FF2">
            <w:pPr>
              <w:pStyle w:val="1343"/>
              <w:jc w:val="both"/>
            </w:pPr>
            <w:r>
              <w:rPr>
                <w:rFonts w:hint="eastAsia"/>
              </w:rPr>
              <w:t>（4.1）能源：本项目为天然气输送项目，为优质能源；</w:t>
            </w:r>
          </w:p>
          <w:p w14:paraId="6CD0B009">
            <w:pPr>
              <w:pStyle w:val="1343"/>
              <w:jc w:val="both"/>
            </w:pPr>
            <w:r>
              <w:rPr>
                <w:rFonts w:hint="eastAsia"/>
              </w:rPr>
              <w:t>（4.2）水资源：本项目施工期工业用水及生活用水量均较少，且工业废水回用于洒水抑尘，试压废水回用于农田灌溉或道路洒水。运营期无用水环节。</w:t>
            </w:r>
          </w:p>
        </w:tc>
      </w:tr>
    </w:tbl>
    <w:p w14:paraId="2D0B0B83">
      <w:pPr>
        <w:pStyle w:val="234"/>
        <w:spacing w:before="120" w:beforeLines="50"/>
      </w:pPr>
      <w:r>
        <w:rPr>
          <w:rFonts w:hint="eastAsia"/>
        </w:rPr>
        <w:t>综上，</w:t>
      </w:r>
      <w:r>
        <w:t>本工程</w:t>
      </w:r>
      <w:r>
        <w:rPr>
          <w:rFonts w:hint="eastAsia"/>
        </w:rPr>
        <w:t>符合《衡阳市人民政府关于实施“三线一单”生态环境分区管控的意见》（衡政发</w:t>
      </w:r>
      <w:r>
        <w:t>〔</w:t>
      </w:r>
      <w:r>
        <w:rPr>
          <w:rFonts w:hint="eastAsia"/>
        </w:rPr>
        <w:t>2020</w:t>
      </w:r>
      <w:r>
        <w:t>〕</w:t>
      </w:r>
      <w:r>
        <w:rPr>
          <w:rFonts w:hint="eastAsia"/>
        </w:rPr>
        <w:t>9号）</w:t>
      </w:r>
      <w:r>
        <w:t>要求。</w:t>
      </w:r>
    </w:p>
    <w:p w14:paraId="39920338">
      <w:pPr>
        <w:pStyle w:val="904"/>
      </w:pPr>
    </w:p>
    <w:p w14:paraId="0A95EA89">
      <w:pPr>
        <w:pStyle w:val="904"/>
        <w:sectPr>
          <w:pgSz w:w="11910" w:h="16850"/>
          <w:pgMar w:top="1100" w:right="1260" w:bottom="1220" w:left="1280" w:header="737" w:footer="1034" w:gutter="0"/>
          <w:cols w:space="720" w:num="1"/>
        </w:sectPr>
      </w:pPr>
    </w:p>
    <w:p w14:paraId="575DEF34">
      <w:pPr>
        <w:pStyle w:val="3"/>
      </w:pPr>
      <w:bookmarkStart w:id="197" w:name="_Toc5236"/>
      <w:bookmarkStart w:id="198" w:name="_Toc532466458"/>
      <w:bookmarkStart w:id="199" w:name="_Toc72672350"/>
      <w:r>
        <w:t>环境影响评价与预测</w:t>
      </w:r>
      <w:bookmarkEnd w:id="197"/>
    </w:p>
    <w:p w14:paraId="4A1504A9">
      <w:pPr>
        <w:pStyle w:val="4"/>
      </w:pPr>
      <w:bookmarkStart w:id="200" w:name="_Toc9865"/>
      <w:r>
        <w:t>施工期环境影响分析</w:t>
      </w:r>
      <w:bookmarkEnd w:id="200"/>
    </w:p>
    <w:p w14:paraId="5EC95315">
      <w:pPr>
        <w:pStyle w:val="5"/>
        <w:rPr>
          <w:color w:val="auto"/>
        </w:rPr>
      </w:pPr>
      <w:r>
        <w:rPr>
          <w:color w:val="auto"/>
        </w:rPr>
        <w:t>施工期大气环境影响分析</w:t>
      </w:r>
    </w:p>
    <w:p w14:paraId="2189F8B0">
      <w:pPr>
        <w:pStyle w:val="234"/>
      </w:pPr>
      <w:r>
        <w:t>施工过程废气污染源主要来自地面开挖和运输车辆行驶产生的扬尘、施工机械(柴油机、运输车辆)排放的烟气、焊接补口产生的防腐废气、焊接烟尘</w:t>
      </w:r>
      <w:r>
        <w:rPr>
          <w:rFonts w:hint="eastAsia"/>
        </w:rPr>
        <w:t>、场站设备涂色和标识涂刷废气、</w:t>
      </w:r>
      <w:r>
        <w:t>放空天然气等。</w:t>
      </w:r>
    </w:p>
    <w:p w14:paraId="19865BD4">
      <w:pPr>
        <w:pStyle w:val="7"/>
      </w:pPr>
      <w:r>
        <w:t>施工扬尘环境影响分析</w:t>
      </w:r>
    </w:p>
    <w:p w14:paraId="43281F7D">
      <w:pPr>
        <w:pStyle w:val="234"/>
      </w:pPr>
      <w:r>
        <w:t>施工扬尘主要来自：土方的开挖、堆放、回填，材料装卸、运输、堆放等以及施工车辆运输产生的扬尘。</w:t>
      </w:r>
    </w:p>
    <w:p w14:paraId="227DD604">
      <w:pPr>
        <w:pStyle w:val="234"/>
      </w:pPr>
      <w:r>
        <w:t>通过类比调查，在一般地段，无任何防尘措施的情况下，施工现场对周围环境的污染约在150m范围内，TSP最大污染浓度是对照点的6.39倍。而在有防尘措施(洒水抑尘、</w:t>
      </w:r>
      <w:r>
        <w:rPr>
          <w:kern w:val="0"/>
        </w:rPr>
        <w:t>设置金属挡板等</w:t>
      </w:r>
      <w:r>
        <w:t>)的情况下，污染范围为50m以内区域，最高污染浓度是对照点的4.04倍，最大污染浓度较无防尘措施降低了0.479mg/m</w:t>
      </w:r>
      <w:r>
        <w:rPr>
          <w:vertAlign w:val="superscript"/>
        </w:rPr>
        <w:t>3</w:t>
      </w:r>
      <w:r>
        <w:t>。类比数据参见</w:t>
      </w:r>
      <w:r>
        <w:fldChar w:fldCharType="begin"/>
      </w:r>
      <w:r>
        <w:instrText xml:space="preserve"> REF _Ref79137650 \h  \* MERGEFORMAT </w:instrText>
      </w:r>
      <w:r>
        <w:fldChar w:fldCharType="separate"/>
      </w:r>
      <w:r>
        <w:t>表 6.1</w:t>
      </w:r>
      <w:r>
        <w:noBreakHyphen/>
      </w:r>
      <w:r>
        <w:t>1</w:t>
      </w:r>
      <w:r>
        <w:fldChar w:fldCharType="end"/>
      </w:r>
      <w:r>
        <w:t>。</w:t>
      </w:r>
    </w:p>
    <w:p w14:paraId="01D02760">
      <w:pPr>
        <w:pStyle w:val="904"/>
      </w:pPr>
      <w:bookmarkStart w:id="201" w:name="_Ref79137650"/>
      <w:r>
        <w:t xml:space="preserve">表 </w:t>
      </w:r>
      <w:r>
        <w:fldChar w:fldCharType="begin"/>
      </w:r>
      <w:r>
        <w:instrText xml:space="preserve"> STYLEREF 2 \s </w:instrText>
      </w:r>
      <w:r>
        <w:fldChar w:fldCharType="separate"/>
      </w:r>
      <w:r>
        <w:t>6.1</w:t>
      </w:r>
      <w:r>
        <w:fldChar w:fldCharType="end"/>
      </w:r>
      <w:r>
        <w:noBreakHyphen/>
      </w:r>
      <w:r>
        <w:fldChar w:fldCharType="begin"/>
      </w:r>
      <w:r>
        <w:instrText xml:space="preserve"> SEQ 表 \* ARABIC \s 2 </w:instrText>
      </w:r>
      <w:r>
        <w:fldChar w:fldCharType="separate"/>
      </w:r>
      <w:r>
        <w:t>1</w:t>
      </w:r>
      <w:r>
        <w:fldChar w:fldCharType="end"/>
      </w:r>
      <w:bookmarkEnd w:id="201"/>
      <w:r>
        <w:t xml:space="preserve">  某施工场界下风向TSP浓度实测值(mg/m</w:t>
      </w:r>
      <w:r>
        <w:rPr>
          <w:vertAlign w:val="superscript"/>
        </w:rPr>
        <w:t>3</w:t>
      </w:r>
      <w:r>
        <w:t>)</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6"/>
        <w:gridCol w:w="938"/>
        <w:gridCol w:w="938"/>
        <w:gridCol w:w="938"/>
        <w:gridCol w:w="938"/>
        <w:gridCol w:w="938"/>
        <w:gridCol w:w="945"/>
        <w:gridCol w:w="1595"/>
      </w:tblGrid>
      <w:tr w14:paraId="1E20F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7" w:type="pct"/>
            <w:vMerge w:val="restart"/>
            <w:noWrap/>
            <w:vAlign w:val="center"/>
          </w:tcPr>
          <w:p w14:paraId="6E273C8B">
            <w:pPr>
              <w:pStyle w:val="1343"/>
            </w:pPr>
            <w:r>
              <w:t>防尘措施</w:t>
            </w:r>
          </w:p>
        </w:tc>
        <w:tc>
          <w:tcPr>
            <w:tcW w:w="3034" w:type="pct"/>
            <w:gridSpan w:val="6"/>
            <w:noWrap/>
            <w:vAlign w:val="center"/>
          </w:tcPr>
          <w:p w14:paraId="67088BA0">
            <w:pPr>
              <w:pStyle w:val="1343"/>
            </w:pPr>
            <w:r>
              <w:t>工地下风向距离(m)</w:t>
            </w:r>
          </w:p>
        </w:tc>
        <w:tc>
          <w:tcPr>
            <w:tcW w:w="859" w:type="pct"/>
            <w:vMerge w:val="restart"/>
            <w:noWrap/>
            <w:vAlign w:val="center"/>
          </w:tcPr>
          <w:p w14:paraId="6315B833">
            <w:pPr>
              <w:pStyle w:val="1343"/>
            </w:pPr>
            <w:r>
              <w:t>工地上风向</w:t>
            </w:r>
          </w:p>
          <w:p w14:paraId="08BAF691">
            <w:pPr>
              <w:pStyle w:val="1343"/>
            </w:pPr>
            <w:r>
              <w:t>(对照点)</w:t>
            </w:r>
          </w:p>
        </w:tc>
      </w:tr>
      <w:tr w14:paraId="63A77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7" w:type="pct"/>
            <w:vMerge w:val="continue"/>
            <w:noWrap/>
            <w:vAlign w:val="center"/>
          </w:tcPr>
          <w:p w14:paraId="0987E599">
            <w:pPr>
              <w:pStyle w:val="1343"/>
            </w:pPr>
          </w:p>
        </w:tc>
        <w:tc>
          <w:tcPr>
            <w:tcW w:w="505" w:type="pct"/>
            <w:noWrap/>
            <w:vAlign w:val="center"/>
          </w:tcPr>
          <w:p w14:paraId="474E0250">
            <w:pPr>
              <w:pStyle w:val="1343"/>
            </w:pPr>
            <w:r>
              <w:t>20</w:t>
            </w:r>
          </w:p>
        </w:tc>
        <w:tc>
          <w:tcPr>
            <w:tcW w:w="505" w:type="pct"/>
            <w:noWrap/>
            <w:vAlign w:val="center"/>
          </w:tcPr>
          <w:p w14:paraId="6C55236A">
            <w:pPr>
              <w:pStyle w:val="1343"/>
            </w:pPr>
            <w:r>
              <w:t>50</w:t>
            </w:r>
          </w:p>
        </w:tc>
        <w:tc>
          <w:tcPr>
            <w:tcW w:w="505" w:type="pct"/>
            <w:noWrap/>
            <w:vAlign w:val="center"/>
          </w:tcPr>
          <w:p w14:paraId="2449CCE1">
            <w:pPr>
              <w:pStyle w:val="1343"/>
            </w:pPr>
            <w:r>
              <w:t>100</w:t>
            </w:r>
          </w:p>
        </w:tc>
        <w:tc>
          <w:tcPr>
            <w:tcW w:w="505" w:type="pct"/>
            <w:noWrap/>
            <w:vAlign w:val="center"/>
          </w:tcPr>
          <w:p w14:paraId="0AD5D1DE">
            <w:pPr>
              <w:pStyle w:val="1343"/>
            </w:pPr>
            <w:r>
              <w:t>150</w:t>
            </w:r>
          </w:p>
        </w:tc>
        <w:tc>
          <w:tcPr>
            <w:tcW w:w="505" w:type="pct"/>
            <w:noWrap/>
            <w:vAlign w:val="center"/>
          </w:tcPr>
          <w:p w14:paraId="751439A7">
            <w:pPr>
              <w:pStyle w:val="1343"/>
            </w:pPr>
            <w:r>
              <w:t>200</w:t>
            </w:r>
          </w:p>
        </w:tc>
        <w:tc>
          <w:tcPr>
            <w:tcW w:w="508" w:type="pct"/>
            <w:noWrap/>
            <w:vAlign w:val="center"/>
          </w:tcPr>
          <w:p w14:paraId="135167BD">
            <w:pPr>
              <w:pStyle w:val="1343"/>
            </w:pPr>
            <w:r>
              <w:t>250</w:t>
            </w:r>
          </w:p>
        </w:tc>
        <w:tc>
          <w:tcPr>
            <w:tcW w:w="859" w:type="pct"/>
            <w:vMerge w:val="continue"/>
            <w:noWrap/>
            <w:vAlign w:val="center"/>
          </w:tcPr>
          <w:p w14:paraId="79E5AFD2">
            <w:pPr>
              <w:pStyle w:val="1343"/>
            </w:pPr>
          </w:p>
        </w:tc>
      </w:tr>
      <w:tr w14:paraId="697A2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7" w:type="pct"/>
            <w:noWrap/>
            <w:vAlign w:val="center"/>
          </w:tcPr>
          <w:p w14:paraId="7505CE9A">
            <w:pPr>
              <w:pStyle w:val="1343"/>
            </w:pPr>
            <w:r>
              <w:t>无</w:t>
            </w:r>
          </w:p>
        </w:tc>
        <w:tc>
          <w:tcPr>
            <w:tcW w:w="505" w:type="pct"/>
            <w:noWrap/>
            <w:vAlign w:val="center"/>
          </w:tcPr>
          <w:p w14:paraId="1D221747">
            <w:pPr>
              <w:pStyle w:val="1343"/>
            </w:pPr>
            <w:r>
              <w:t>1.303</w:t>
            </w:r>
          </w:p>
        </w:tc>
        <w:tc>
          <w:tcPr>
            <w:tcW w:w="505" w:type="pct"/>
            <w:noWrap/>
            <w:vAlign w:val="center"/>
          </w:tcPr>
          <w:p w14:paraId="4374D2EA">
            <w:pPr>
              <w:pStyle w:val="1343"/>
            </w:pPr>
            <w:r>
              <w:t>0.722</w:t>
            </w:r>
          </w:p>
        </w:tc>
        <w:tc>
          <w:tcPr>
            <w:tcW w:w="505" w:type="pct"/>
            <w:noWrap/>
            <w:vAlign w:val="center"/>
          </w:tcPr>
          <w:p w14:paraId="3B1BF182">
            <w:pPr>
              <w:pStyle w:val="1343"/>
            </w:pPr>
            <w:r>
              <w:t>0.402</w:t>
            </w:r>
          </w:p>
        </w:tc>
        <w:tc>
          <w:tcPr>
            <w:tcW w:w="505" w:type="pct"/>
            <w:noWrap/>
            <w:vAlign w:val="center"/>
          </w:tcPr>
          <w:p w14:paraId="304BB745">
            <w:pPr>
              <w:pStyle w:val="1343"/>
            </w:pPr>
            <w:r>
              <w:t>0.311</w:t>
            </w:r>
          </w:p>
        </w:tc>
        <w:tc>
          <w:tcPr>
            <w:tcW w:w="505" w:type="pct"/>
            <w:noWrap/>
            <w:vAlign w:val="center"/>
          </w:tcPr>
          <w:p w14:paraId="685F537A">
            <w:pPr>
              <w:pStyle w:val="1343"/>
            </w:pPr>
            <w:r>
              <w:t>0.27</w:t>
            </w:r>
          </w:p>
        </w:tc>
        <w:tc>
          <w:tcPr>
            <w:tcW w:w="508" w:type="pct"/>
            <w:noWrap/>
            <w:vAlign w:val="center"/>
          </w:tcPr>
          <w:p w14:paraId="4A31F498">
            <w:pPr>
              <w:pStyle w:val="1343"/>
            </w:pPr>
            <w:r>
              <w:t>0.21</w:t>
            </w:r>
          </w:p>
        </w:tc>
        <w:tc>
          <w:tcPr>
            <w:tcW w:w="859" w:type="pct"/>
            <w:vMerge w:val="restart"/>
            <w:noWrap/>
            <w:vAlign w:val="center"/>
          </w:tcPr>
          <w:p w14:paraId="3EF53C2B">
            <w:pPr>
              <w:pStyle w:val="1343"/>
            </w:pPr>
            <w:r>
              <w:t>0.204</w:t>
            </w:r>
          </w:p>
        </w:tc>
      </w:tr>
      <w:tr w14:paraId="0BCFB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07" w:type="pct"/>
            <w:noWrap/>
            <w:vAlign w:val="center"/>
          </w:tcPr>
          <w:p w14:paraId="1698F3DF">
            <w:pPr>
              <w:pStyle w:val="1343"/>
            </w:pPr>
            <w:r>
              <w:t>有(围金属板)</w:t>
            </w:r>
          </w:p>
        </w:tc>
        <w:tc>
          <w:tcPr>
            <w:tcW w:w="505" w:type="pct"/>
            <w:noWrap/>
            <w:vAlign w:val="center"/>
          </w:tcPr>
          <w:p w14:paraId="3AA156F6">
            <w:pPr>
              <w:pStyle w:val="1343"/>
            </w:pPr>
            <w:r>
              <w:t>0.824</w:t>
            </w:r>
          </w:p>
        </w:tc>
        <w:tc>
          <w:tcPr>
            <w:tcW w:w="505" w:type="pct"/>
            <w:noWrap/>
            <w:vAlign w:val="center"/>
          </w:tcPr>
          <w:p w14:paraId="08A239A9">
            <w:pPr>
              <w:pStyle w:val="1343"/>
            </w:pPr>
            <w:r>
              <w:t>0.426</w:t>
            </w:r>
          </w:p>
        </w:tc>
        <w:tc>
          <w:tcPr>
            <w:tcW w:w="505" w:type="pct"/>
            <w:noWrap/>
            <w:vAlign w:val="center"/>
          </w:tcPr>
          <w:p w14:paraId="3AE0CBCA">
            <w:pPr>
              <w:pStyle w:val="1343"/>
            </w:pPr>
            <w:r>
              <w:t>0.235</w:t>
            </w:r>
          </w:p>
        </w:tc>
        <w:tc>
          <w:tcPr>
            <w:tcW w:w="505" w:type="pct"/>
            <w:noWrap/>
            <w:vAlign w:val="center"/>
          </w:tcPr>
          <w:p w14:paraId="06904E5C">
            <w:pPr>
              <w:pStyle w:val="1343"/>
            </w:pPr>
            <w:r>
              <w:t>0.221</w:t>
            </w:r>
          </w:p>
        </w:tc>
        <w:tc>
          <w:tcPr>
            <w:tcW w:w="505" w:type="pct"/>
            <w:noWrap/>
            <w:vAlign w:val="center"/>
          </w:tcPr>
          <w:p w14:paraId="0D90CF39">
            <w:pPr>
              <w:pStyle w:val="1343"/>
            </w:pPr>
            <w:r>
              <w:t>0.215</w:t>
            </w:r>
          </w:p>
        </w:tc>
        <w:tc>
          <w:tcPr>
            <w:tcW w:w="508" w:type="pct"/>
            <w:noWrap/>
            <w:vAlign w:val="center"/>
          </w:tcPr>
          <w:p w14:paraId="668C6371">
            <w:pPr>
              <w:pStyle w:val="1343"/>
            </w:pPr>
            <w:r>
              <w:t>0.206</w:t>
            </w:r>
          </w:p>
        </w:tc>
        <w:tc>
          <w:tcPr>
            <w:tcW w:w="859" w:type="pct"/>
            <w:vMerge w:val="continue"/>
            <w:noWrap/>
            <w:vAlign w:val="center"/>
          </w:tcPr>
          <w:p w14:paraId="32FE4621">
            <w:pPr>
              <w:pStyle w:val="1343"/>
            </w:pPr>
          </w:p>
        </w:tc>
      </w:tr>
    </w:tbl>
    <w:p w14:paraId="6B2C318A">
      <w:pPr>
        <w:pStyle w:val="234"/>
        <w:spacing w:before="120" w:beforeLines="50"/>
      </w:pPr>
      <w:r>
        <w:t>此外，在大风情况下施工现场下风向1m处扬尘浓度可达3mg/m</w:t>
      </w:r>
      <w:r>
        <w:rPr>
          <w:vertAlign w:val="superscript"/>
        </w:rPr>
        <w:t>3</w:t>
      </w:r>
      <w:r>
        <w:t>以上，25m处为1.53mg/m</w:t>
      </w:r>
      <w:r>
        <w:rPr>
          <w:vertAlign w:val="superscript"/>
        </w:rPr>
        <w:t>3</w:t>
      </w:r>
      <w:r>
        <w:t>，下风向60m范围内TSP浓度超标。管道两侧100m范围</w:t>
      </w:r>
      <w:r>
        <w:rPr>
          <w:rFonts w:hint="eastAsia"/>
        </w:rPr>
        <w:t>内</w:t>
      </w:r>
      <w:r>
        <w:t>环境空气敏感目标</w:t>
      </w:r>
      <w:r>
        <w:rPr>
          <w:rFonts w:hint="eastAsia"/>
        </w:rPr>
        <w:t>为蒋家冲和资家湾，施工期会出现TSP超标现象</w:t>
      </w:r>
      <w:r>
        <w:t>，</w:t>
      </w:r>
      <w:r>
        <w:rPr>
          <w:rFonts w:hint="eastAsia"/>
        </w:rPr>
        <w:t>由于</w:t>
      </w:r>
      <w:r>
        <w:t>施工过程为分段进行，施工时间较短，</w:t>
      </w:r>
      <w:r>
        <w:rPr>
          <w:rFonts w:hint="eastAsia"/>
        </w:rPr>
        <w:t>施工作业区设置围挡</w:t>
      </w:r>
      <w:r>
        <w:t>、</w:t>
      </w:r>
      <w:r>
        <w:rPr>
          <w:rFonts w:hint="eastAsia"/>
        </w:rPr>
        <w:t>在</w:t>
      </w:r>
      <w:r>
        <w:t>工程措施与生物措施相结合的条件下，管线施工作业扬尘污染是短时的，且影响较小。</w:t>
      </w:r>
    </w:p>
    <w:p w14:paraId="58E7769B">
      <w:pPr>
        <w:pStyle w:val="234"/>
      </w:pPr>
      <w:r>
        <w:t>施工阶段汽车运输过程中，也会产生扬尘污染。扬尘量、粒径大小等与多种因素有关，如路面状况、车辆行驶速度、载重量、天气情况等。其中风速、风向等天气状况直接影响扬尘的传输方向和距离。由于汽车运输过程中产生的扬尘时间短、扬尘落地快、影响范围主要集中在运输道路两侧，故汽车运输扬尘对周边的环境空气影响程度和范围较小，影响时间也较短。</w:t>
      </w:r>
      <w:r>
        <w:rPr>
          <w:rFonts w:hint="eastAsia"/>
        </w:rPr>
        <w:t>在优先选取</w:t>
      </w:r>
      <w:r>
        <w:t>硬化道路</w:t>
      </w:r>
      <w:r>
        <w:rPr>
          <w:rFonts w:hint="eastAsia"/>
        </w:rPr>
        <w:t>的运输路线</w:t>
      </w:r>
      <w:r>
        <w:t>、道路定时撒水抑尘、车辆不要装载过满并采取密闭或遮盖措施</w:t>
      </w:r>
      <w:r>
        <w:rPr>
          <w:rFonts w:hint="eastAsia"/>
        </w:rPr>
        <w:t>后</w:t>
      </w:r>
      <w:r>
        <w:t>，可大大减少运输扬尘对周围环境空气的影响。</w:t>
      </w:r>
    </w:p>
    <w:p w14:paraId="050534C8">
      <w:pPr>
        <w:pStyle w:val="234"/>
      </w:pPr>
      <w:r>
        <w:rPr>
          <w:rFonts w:hint="eastAsia"/>
        </w:rPr>
        <w:t>建设单位</w:t>
      </w:r>
      <w:r>
        <w:t>和施工单位</w:t>
      </w:r>
      <w:r>
        <w:rPr>
          <w:rFonts w:hint="eastAsia"/>
        </w:rPr>
        <w:t>在</w:t>
      </w:r>
      <w:r>
        <w:t>采取合理化管理、控制作业面积、土堆适当喷水、土堆和建筑材料遮盖、围金属板、大风天停止作业等措施</w:t>
      </w:r>
      <w:r>
        <w:rPr>
          <w:rFonts w:hint="eastAsia"/>
        </w:rPr>
        <w:t>后</w:t>
      </w:r>
      <w:r>
        <w:t>，</w:t>
      </w:r>
      <w:r>
        <w:rPr>
          <w:rFonts w:hint="eastAsia"/>
        </w:rPr>
        <w:t>工程</w:t>
      </w:r>
      <w:r>
        <w:t>施工期扬尘对周边环境的影响是可以接受的。</w:t>
      </w:r>
    </w:p>
    <w:p w14:paraId="18CC7614">
      <w:pPr>
        <w:pStyle w:val="7"/>
      </w:pPr>
      <w:r>
        <w:t>施工机械废气影响分析</w:t>
      </w:r>
    </w:p>
    <w:p w14:paraId="2D3975B4">
      <w:pPr>
        <w:pStyle w:val="234"/>
      </w:pPr>
      <w:r>
        <w:t>施工期间，运输汽车、</w:t>
      </w:r>
      <w:r>
        <w:rPr>
          <w:rFonts w:hint="eastAsia"/>
        </w:rPr>
        <w:t>施工机械等</w:t>
      </w:r>
      <w:r>
        <w:t>燃用柴油产生燃烧烟气，主要污染物为SO</w:t>
      </w:r>
      <w:r>
        <w:rPr>
          <w:vertAlign w:val="subscript"/>
        </w:rPr>
        <w:t>2</w:t>
      </w:r>
      <w:r>
        <w:t>、NO</w:t>
      </w:r>
      <w:r>
        <w:rPr>
          <w:vertAlign w:val="subscript"/>
        </w:rPr>
        <w:t>2</w:t>
      </w:r>
      <w:r>
        <w:t>、颗粒物、烃类等。</w:t>
      </w:r>
      <w:r>
        <w:rPr>
          <w:rFonts w:hint="eastAsia"/>
        </w:rPr>
        <w:t>本工程全线管道施工机械及运输车辆废气中PM</w:t>
      </w:r>
      <w:r>
        <w:rPr>
          <w:rFonts w:hint="eastAsia"/>
          <w:vertAlign w:val="subscript"/>
        </w:rPr>
        <w:t>10</w:t>
      </w:r>
      <w:r>
        <w:rPr>
          <w:rFonts w:hint="eastAsia"/>
        </w:rPr>
        <w:t>、PM</w:t>
      </w:r>
      <w:r>
        <w:rPr>
          <w:rFonts w:hint="eastAsia"/>
          <w:vertAlign w:val="subscript"/>
        </w:rPr>
        <w:t>2.5</w:t>
      </w:r>
      <w:r>
        <w:rPr>
          <w:rFonts w:hint="eastAsia"/>
        </w:rPr>
        <w:t>、THC、NOx、CO排放总量分别为0.190t、0.171t、0.337t、2.560t、2.896t。</w:t>
      </w:r>
      <w:r>
        <w:t>本工程应</w:t>
      </w:r>
      <w:r>
        <w:rPr>
          <w:rFonts w:hint="eastAsia"/>
        </w:rPr>
        <w:t>严格</w:t>
      </w:r>
      <w:r>
        <w:t>按照《非道路柴油移动机械污染物排放控制技术要求》《非道路移动机械污染防治技术政策》中</w:t>
      </w:r>
      <w:r>
        <w:rPr>
          <w:rFonts w:hint="eastAsia"/>
        </w:rPr>
        <w:t>相关</w:t>
      </w:r>
      <w:r>
        <w:t>要求，选择环保合格的挖掘机、推土机、吊管机等大型施工机械设备，使用100%达标柴油</w:t>
      </w:r>
      <w:r>
        <w:rPr>
          <w:rFonts w:hint="eastAsia"/>
        </w:rPr>
        <w:t>，</w:t>
      </w:r>
      <w:r>
        <w:t>优先使用低硫、低磷、低硫酸盐灰分的机油，同时加强施工机械的维修、保养，使其保持良好的运行状态</w:t>
      </w:r>
      <w:r>
        <w:rPr>
          <w:rFonts w:hint="eastAsia"/>
        </w:rPr>
        <w:t>。在采取以上措施后，本工程</w:t>
      </w:r>
      <w:r>
        <w:t>施工机械污染物排放</w:t>
      </w:r>
      <w:r>
        <w:rPr>
          <w:rFonts w:hint="eastAsia"/>
        </w:rPr>
        <w:t>可</w:t>
      </w:r>
      <w:r>
        <w:t>控制在允许范围内，且废气</w:t>
      </w:r>
      <w:r>
        <w:rPr>
          <w:rFonts w:hint="eastAsia"/>
        </w:rPr>
        <w:t>中各种污染物排放</w:t>
      </w:r>
      <w:r>
        <w:t>量</w:t>
      </w:r>
      <w:r>
        <w:rPr>
          <w:rFonts w:hint="eastAsia"/>
        </w:rPr>
        <w:t>不大</w:t>
      </w:r>
      <w:r>
        <w:t>，施工现场均在</w:t>
      </w:r>
      <w:r>
        <w:rPr>
          <w:rFonts w:hint="eastAsia"/>
        </w:rPr>
        <w:t>空旷的</w:t>
      </w:r>
      <w:r>
        <w:t>野外，有利于空气的扩散，同时废气污染源具有间歇性和流动性，因此</w:t>
      </w:r>
      <w:r>
        <w:rPr>
          <w:rFonts w:hint="eastAsia"/>
        </w:rPr>
        <w:t>，施工机械废气</w:t>
      </w:r>
      <w:r>
        <w:t>对</w:t>
      </w:r>
      <w:r>
        <w:rPr>
          <w:rFonts w:hint="eastAsia"/>
        </w:rPr>
        <w:t>周边</w:t>
      </w:r>
      <w:r>
        <w:t>地区的</w:t>
      </w:r>
      <w:r>
        <w:rPr>
          <w:rFonts w:hint="eastAsia"/>
        </w:rPr>
        <w:t>大气</w:t>
      </w:r>
      <w:r>
        <w:t>环境影响较小。</w:t>
      </w:r>
    </w:p>
    <w:p w14:paraId="180B9136">
      <w:pPr>
        <w:pStyle w:val="7"/>
      </w:pPr>
      <w:r>
        <w:t>焊接烟尘影响分析</w:t>
      </w:r>
    </w:p>
    <w:p w14:paraId="474D5005">
      <w:pPr>
        <w:pStyle w:val="234"/>
      </w:pPr>
      <w:r>
        <w:rPr>
          <w:lang w:val="zh-CN"/>
        </w:rPr>
        <w:t>本工程在设备安装、管道连接</w:t>
      </w:r>
      <w:r>
        <w:t>将产生焊接烟尘，主要污染物为颗粒物。本工程敷设管道较短，工程焊接烟尘产生量为0.</w:t>
      </w:r>
      <w:r>
        <w:rPr>
          <w:rFonts w:hint="eastAsia"/>
        </w:rPr>
        <w:t>002</w:t>
      </w:r>
      <w:r>
        <w:t>t，焊接工序随着管道得敷设分段进行，焊接烟尘属于流动元且为间歇式排放。焊接烟气</w:t>
      </w:r>
      <w:r>
        <w:rPr>
          <w:rFonts w:hint="eastAsia"/>
        </w:rPr>
        <w:t>产生量较少，且焊接点位</w:t>
      </w:r>
      <w:r>
        <w:t>比较分散，露天作业污染物扩散条件好，</w:t>
      </w:r>
      <w:r>
        <w:rPr>
          <w:rFonts w:hint="eastAsia"/>
        </w:rPr>
        <w:t>不会</w:t>
      </w:r>
      <w:r>
        <w:t>对周围</w:t>
      </w:r>
      <w:r>
        <w:rPr>
          <w:rFonts w:hint="eastAsia"/>
        </w:rPr>
        <w:t>大气环境造成明显</w:t>
      </w:r>
      <w:r>
        <w:t>影响。</w:t>
      </w:r>
    </w:p>
    <w:p w14:paraId="48EB0739">
      <w:pPr>
        <w:pStyle w:val="7"/>
      </w:pPr>
      <w:r>
        <w:t>防腐废气</w:t>
      </w:r>
    </w:p>
    <w:p w14:paraId="2ACC45D5">
      <w:pPr>
        <w:pStyle w:val="234"/>
      </w:pPr>
      <w:r>
        <w:t>根据工程分析章节，本工程管道均采用工厂预制件，现场施工不进行管道防腐。本工程共</w:t>
      </w:r>
      <w:r>
        <w:rPr>
          <w:rFonts w:hint="eastAsia"/>
        </w:rPr>
        <w:t>70</w:t>
      </w:r>
      <w:r>
        <w:t>道焊口，补口采用三层结构聚乙烯防腐涂层(3PE)，防腐补口施工过程中的非甲烷总烃排放量为0.</w:t>
      </w:r>
      <w:r>
        <w:rPr>
          <w:rFonts w:hint="eastAsia"/>
        </w:rPr>
        <w:t>005</w:t>
      </w:r>
      <w:r>
        <w:t>t，产生废气量较小，且管道补口分段实施，挥发废气较为分散，加之施工现场</w:t>
      </w:r>
      <w:r>
        <w:rPr>
          <w:rFonts w:hint="eastAsia"/>
        </w:rPr>
        <w:t>平坦空旷，</w:t>
      </w:r>
      <w:r>
        <w:t>有利空气扩散的条件，因此对周边区域的</w:t>
      </w:r>
      <w:r>
        <w:rPr>
          <w:rFonts w:hint="eastAsia"/>
        </w:rPr>
        <w:t>大气</w:t>
      </w:r>
      <w:r>
        <w:t>环境影响很小</w:t>
      </w:r>
      <w:r>
        <w:rPr>
          <w:rFonts w:hint="eastAsia"/>
        </w:rPr>
        <w:t>。</w:t>
      </w:r>
    </w:p>
    <w:p w14:paraId="38C46C19">
      <w:pPr>
        <w:pStyle w:val="7"/>
      </w:pPr>
      <w:r>
        <w:rPr>
          <w:rFonts w:hint="eastAsia"/>
        </w:rPr>
        <w:t>涂装废气</w:t>
      </w:r>
    </w:p>
    <w:p w14:paraId="760D474B">
      <w:pPr>
        <w:pStyle w:val="234"/>
      </w:pPr>
      <w:r>
        <w:rPr>
          <w:rFonts w:hint="eastAsia"/>
        </w:rPr>
        <w:t>耒阳分输站建成后需对站内地上管道、设备、钢结构等进行涂色和标识涂刷，使用的涂装材料为油漆，此过程会挥发少量VOCs废气，涂装作业露天进行，废气无组织排放，但耒阳分输站所在地地势较为开阔，空气扩散条件较好，且涂装废气量很少，涂装作业时间较短，因此对周边区域的大气环境影响很小</w:t>
      </w:r>
      <w:r>
        <w:t>。</w:t>
      </w:r>
    </w:p>
    <w:p w14:paraId="3E9E148B">
      <w:pPr>
        <w:pStyle w:val="7"/>
      </w:pPr>
      <w:r>
        <w:t>放空天然气</w:t>
      </w:r>
    </w:p>
    <w:p w14:paraId="03875806">
      <w:pPr>
        <w:pStyle w:val="234"/>
      </w:pPr>
      <w:r>
        <w:t>根据工程分析章节，本工程提前将联通管线预制好，敷设至动火点附近，关闭进出站阀门，</w:t>
      </w:r>
      <w:r>
        <w:rPr>
          <w:rFonts w:hint="eastAsia"/>
        </w:rPr>
        <w:t>通过28号阀室站内放空系统</w:t>
      </w:r>
      <w:r>
        <w:t>对全站进行</w:t>
      </w:r>
      <w:r>
        <w:rPr>
          <w:rFonts w:hint="eastAsia"/>
        </w:rPr>
        <w:t>天然气</w:t>
      </w:r>
      <w:r>
        <w:t>放空，放空天然气量为1.</w:t>
      </w:r>
      <w:r>
        <w:rPr>
          <w:rFonts w:hint="eastAsia"/>
        </w:rPr>
        <w:t>6</w:t>
      </w:r>
      <w:r>
        <w:t>t，</w:t>
      </w:r>
      <w:r>
        <w:rPr>
          <w:rFonts w:hint="eastAsia"/>
        </w:rPr>
        <w:t>现有</w:t>
      </w:r>
      <w:r>
        <w:t>放空口远离交通线和居民点，</w:t>
      </w:r>
      <w:r>
        <w:rPr>
          <w:rFonts w:hint="eastAsia"/>
          <w:kern w:val="0"/>
        </w:rPr>
        <w:t>耒阳</w:t>
      </w:r>
      <w:r>
        <w:rPr>
          <w:kern w:val="0"/>
        </w:rPr>
        <w:t>分输站放空区周围较空旷，有利于空气的扩散</w:t>
      </w:r>
      <w:r>
        <w:rPr>
          <w:rFonts w:hint="eastAsia"/>
          <w:kern w:val="0"/>
        </w:rPr>
        <w:t>，且放空时间较短</w:t>
      </w:r>
      <w:r>
        <w:rPr>
          <w:kern w:val="0"/>
        </w:rPr>
        <w:t>，</w:t>
      </w:r>
      <w:r>
        <w:rPr>
          <w:rFonts w:hint="eastAsia"/>
          <w:kern w:val="0"/>
        </w:rPr>
        <w:t>放空排放天然气量较少，</w:t>
      </w:r>
      <w:r>
        <w:rPr>
          <w:kern w:val="0"/>
        </w:rPr>
        <w:t>因此</w:t>
      </w:r>
      <w:r>
        <w:rPr>
          <w:rFonts w:hint="eastAsia"/>
          <w:kern w:val="0"/>
        </w:rPr>
        <w:t>，施工期站场</w:t>
      </w:r>
      <w:r>
        <w:rPr>
          <w:kern w:val="0"/>
        </w:rPr>
        <w:t>放空天然气放空对</w:t>
      </w:r>
      <w:r>
        <w:rPr>
          <w:rFonts w:hint="eastAsia"/>
          <w:kern w:val="0"/>
        </w:rPr>
        <w:t>周边大气</w:t>
      </w:r>
      <w:r>
        <w:rPr>
          <w:kern w:val="0"/>
        </w:rPr>
        <w:t>环境影响较小</w:t>
      </w:r>
      <w:r>
        <w:t>。</w:t>
      </w:r>
    </w:p>
    <w:p w14:paraId="67A0C3ED">
      <w:pPr>
        <w:pStyle w:val="5"/>
        <w:rPr>
          <w:color w:val="auto"/>
        </w:rPr>
      </w:pPr>
      <w:r>
        <w:rPr>
          <w:color w:val="auto"/>
        </w:rPr>
        <w:t>施工期地表水环境影响分析</w:t>
      </w:r>
    </w:p>
    <w:p w14:paraId="578310AF">
      <w:pPr>
        <w:pStyle w:val="234"/>
      </w:pPr>
      <w:r>
        <w:t>根据工程分析，施工期对地表水环境的影响主要来自于施工人员生活污水、管道试压排水等方面。</w:t>
      </w:r>
    </w:p>
    <w:p w14:paraId="23BE5F5B">
      <w:pPr>
        <w:pStyle w:val="7"/>
      </w:pPr>
      <w:r>
        <w:t>生活污水</w:t>
      </w:r>
    </w:p>
    <w:p w14:paraId="539DFC1C">
      <w:pPr>
        <w:pStyle w:val="234"/>
      </w:pPr>
      <w:r>
        <w:t>本工程施工人员的生活污水处理可依托当地的生活污水处理设施，施工</w:t>
      </w:r>
      <w:r>
        <w:rPr>
          <w:rFonts w:hint="eastAsia"/>
        </w:rPr>
        <w:t>期施工人员的</w:t>
      </w:r>
      <w:r>
        <w:t>生活污水产生量</w:t>
      </w:r>
      <w:r>
        <w:rPr>
          <w:rFonts w:hint="eastAsia"/>
        </w:rPr>
        <w:t>约405t</w:t>
      </w:r>
      <w:r>
        <w:t>，施工生活污水</w:t>
      </w:r>
      <w:r>
        <w:rPr>
          <w:rFonts w:hint="eastAsia"/>
        </w:rPr>
        <w:t>排入当地农村现有设施处理</w:t>
      </w:r>
      <w:r>
        <w:t>，严禁生活污水</w:t>
      </w:r>
      <w:r>
        <w:rPr>
          <w:rFonts w:hint="eastAsia"/>
        </w:rPr>
        <w:t>排</w:t>
      </w:r>
      <w:r>
        <w:t>入</w:t>
      </w:r>
      <w:r>
        <w:rPr>
          <w:rFonts w:hint="eastAsia"/>
        </w:rPr>
        <w:t>周围地表水</w:t>
      </w:r>
      <w:r>
        <w:t>，管道施工期生活污水对沿线区域的地表水环境影响较小。</w:t>
      </w:r>
    </w:p>
    <w:p w14:paraId="0FFE856B">
      <w:pPr>
        <w:pStyle w:val="7"/>
      </w:pPr>
      <w:r>
        <w:t>清管试压排水</w:t>
      </w:r>
    </w:p>
    <w:p w14:paraId="2382892F">
      <w:pPr>
        <w:pStyle w:val="234"/>
      </w:pPr>
      <w:r>
        <w:t>本工程分段试压以测试管道的强度和密闭性，试压介质为</w:t>
      </w:r>
      <w:r>
        <w:rPr>
          <w:rFonts w:hint="eastAsia"/>
        </w:rPr>
        <w:t>无腐蚀性的</w:t>
      </w:r>
      <w:r>
        <w:t>清洁水。根据工程分析</w:t>
      </w:r>
      <w:r>
        <w:rPr>
          <w:rFonts w:hint="eastAsia"/>
        </w:rPr>
        <w:t>，</w:t>
      </w:r>
      <w:r>
        <w:t>本工程施工期试压</w:t>
      </w:r>
      <w:r>
        <w:rPr>
          <w:rFonts w:hint="eastAsia"/>
        </w:rPr>
        <w:t>废水产生</w:t>
      </w:r>
      <w:r>
        <w:t>量为</w:t>
      </w:r>
      <w:r>
        <w:rPr>
          <w:rFonts w:hint="eastAsia"/>
        </w:rPr>
        <w:t>60.9</w:t>
      </w:r>
      <w:r>
        <w:t>m</w:t>
      </w:r>
      <w:r>
        <w:rPr>
          <w:vertAlign w:val="superscript"/>
        </w:rPr>
        <w:t>3</w:t>
      </w:r>
      <w:r>
        <w:t>，清管试压排水主要污染物为悬浮物</w:t>
      </w:r>
      <w:r>
        <w:rPr>
          <w:rFonts w:hint="eastAsia"/>
        </w:rPr>
        <w:t>。本工程管线较短，因此不分段试压，类比西气东输及其他同类项目试压排水监测结果可知，试压排水中除含少量的悬浮物外，无石油类、防腐剂等其它污染物，清管试压排水经过滤处理后回用于农田灌溉、道路洒水等。因此，</w:t>
      </w:r>
      <w:r>
        <w:t>施工期试压排水对周边地表水环境影响</w:t>
      </w:r>
      <w:r>
        <w:rPr>
          <w:rFonts w:hint="eastAsia"/>
        </w:rPr>
        <w:t>较小</w:t>
      </w:r>
      <w:r>
        <w:t>。</w:t>
      </w:r>
    </w:p>
    <w:p w14:paraId="5A5EDD61">
      <w:pPr>
        <w:pStyle w:val="7"/>
      </w:pPr>
      <w:r>
        <w:rPr>
          <w:rFonts w:hint="eastAsia"/>
        </w:rPr>
        <w:t>施工期其他因素造成的地表水环境影响分析</w:t>
      </w:r>
    </w:p>
    <w:p w14:paraId="462EED9A">
      <w:pPr>
        <w:pStyle w:val="234"/>
      </w:pPr>
      <w:r>
        <w:rPr>
          <w:rFonts w:hint="eastAsia"/>
        </w:rPr>
        <w:t>（1）施工物料如堆放管理不严，受雨水冲刷进入周边地表水体，会对地表水造成污染影响。</w:t>
      </w:r>
    </w:p>
    <w:p w14:paraId="368F0EF9">
      <w:pPr>
        <w:pStyle w:val="234"/>
      </w:pPr>
      <w:r>
        <w:rPr>
          <w:rFonts w:hint="eastAsia"/>
        </w:rPr>
        <w:t>（2）施工人员的生活垃圾如不妥善处理，随意堆放，受雨水冲刷进入周边地表水水体，将对其水质造成影响。</w:t>
      </w:r>
    </w:p>
    <w:p w14:paraId="33D4D5E8">
      <w:pPr>
        <w:pStyle w:val="234"/>
      </w:pPr>
      <w:r>
        <w:rPr>
          <w:rFonts w:hint="eastAsia"/>
        </w:rPr>
        <w:t>通过以上分析，只要对施工人员生活垃圾妥善处置，对施工材料堆放严格管理，加强管线的施工管理，可将最大限度降低工程施工对周边地表水环境的影响程度。</w:t>
      </w:r>
    </w:p>
    <w:p w14:paraId="5E9F08EC">
      <w:pPr>
        <w:pStyle w:val="5"/>
        <w:rPr>
          <w:color w:val="auto"/>
        </w:rPr>
      </w:pPr>
      <w:r>
        <w:rPr>
          <w:color w:val="auto"/>
        </w:rPr>
        <w:t>施工期地下水环境影响分析</w:t>
      </w:r>
    </w:p>
    <w:p w14:paraId="1C735F38">
      <w:pPr>
        <w:pStyle w:val="234"/>
      </w:pPr>
      <w:r>
        <w:rPr>
          <w:rFonts w:hint="eastAsia"/>
        </w:rPr>
        <w:t>本工程</w:t>
      </w:r>
      <w:r>
        <w:t>对</w:t>
      </w:r>
      <w:r>
        <w:rPr>
          <w:rFonts w:hint="eastAsia"/>
        </w:rPr>
        <w:t>地</w:t>
      </w:r>
      <w:r>
        <w:t>下水的影响主要发生在施工期，主要为管沟开挖对地下水补径排条件以及水质的影响。施工活动潜在污染源有生活污水及管线试压水。</w:t>
      </w:r>
    </w:p>
    <w:p w14:paraId="7D7CDEF6">
      <w:pPr>
        <w:pStyle w:val="234"/>
        <w:ind w:firstLine="482"/>
        <w:rPr>
          <w:b/>
          <w:bCs/>
        </w:rPr>
      </w:pPr>
      <w:r>
        <w:rPr>
          <w:b/>
          <w:bCs/>
        </w:rPr>
        <w:t>（1）管道施工对地下水补水径排条件的影响</w:t>
      </w:r>
    </w:p>
    <w:p w14:paraId="37F71F91">
      <w:pPr>
        <w:pStyle w:val="234"/>
      </w:pPr>
      <w:r>
        <w:t>管道在敷设过程中，其开挖的深度决定其对地下水环境的影响程度。根据</w:t>
      </w:r>
      <w:r>
        <w:rPr>
          <w:rFonts w:hint="eastAsia"/>
        </w:rPr>
        <w:t>区域</w:t>
      </w:r>
      <w:r>
        <w:t>水文地质资料和地下水现状调查资料，本工程管道沿线经过的地貌主要为</w:t>
      </w:r>
      <w:r>
        <w:rPr>
          <w:rFonts w:hint="eastAsia"/>
        </w:rPr>
        <w:t>丘陵</w:t>
      </w:r>
      <w:r>
        <w:t>，区下水类型为松散岩系孔隙水，岩层富水性强，单井涌水量最大达1000m</w:t>
      </w:r>
      <w:r>
        <w:rPr>
          <w:vertAlign w:val="superscript"/>
        </w:rPr>
        <w:t>3</w:t>
      </w:r>
      <w:r>
        <w:t>/d以上</w:t>
      </w:r>
      <w:r>
        <w:rPr>
          <w:spacing w:val="-3"/>
        </w:rPr>
        <w:t>，其补给来源为大气降水补给，地下水动态较稳定，枯水季节开采量较大，地下水位下降，但经过一天的时间水位基本可以恢复。</w:t>
      </w:r>
    </w:p>
    <w:p w14:paraId="6BEE3B16">
      <w:pPr>
        <w:pStyle w:val="234"/>
      </w:pPr>
      <w:r>
        <w:t>本工程管道管径为</w:t>
      </w:r>
      <w:r>
        <w:rPr>
          <w:rFonts w:hint="eastAsia"/>
        </w:rPr>
        <w:t>323.9</w:t>
      </w:r>
      <w:r>
        <w:t>mm，全线采用埋地敷设方式</w:t>
      </w:r>
      <w:r>
        <w:rPr>
          <w:rFonts w:hint="eastAsia"/>
        </w:rPr>
        <w:t>。根据管线的稳定要求、沿线农田耕作层深度情况及地形和地质条件的情况，本工程</w:t>
      </w:r>
      <w:r>
        <w:t>管线埋深一般为管顶覆土深度1.</w:t>
      </w:r>
      <w:r>
        <w:rPr>
          <w:rFonts w:hint="eastAsia"/>
        </w:rPr>
        <w:t>5</w:t>
      </w:r>
      <w:r>
        <w:t>m，管道</w:t>
      </w:r>
      <w:r>
        <w:rPr>
          <w:rFonts w:hint="eastAsia"/>
        </w:rPr>
        <w:t>顶管</w:t>
      </w:r>
      <w:r>
        <w:rPr>
          <w:rFonts w:hint="eastAsia"/>
          <w:i/>
          <w:iCs/>
          <w:color w:val="auto"/>
          <w:u w:val="single"/>
        </w:rPr>
        <w:t>穿越国道</w:t>
      </w:r>
      <w:r>
        <w:rPr>
          <w:rFonts w:hint="eastAsia"/>
        </w:rPr>
        <w:t>套管顶埋深不小于1.5m</w:t>
      </w:r>
      <w:r>
        <w:t>。工程沿线地下水水位埋深为3~5m，管道敷设工作主要在浅层地表进行</w:t>
      </w:r>
      <w:r>
        <w:rPr>
          <w:rFonts w:hint="eastAsia"/>
        </w:rPr>
        <w:t>，</w:t>
      </w:r>
      <w:r>
        <w:t>一般不会直接穿越地下含水层，不会引起地下水质与</w:t>
      </w:r>
      <w:r>
        <w:rPr>
          <w:rFonts w:hint="eastAsia"/>
        </w:rPr>
        <w:t>水</w:t>
      </w:r>
      <w:r>
        <w:t>量的变化</w:t>
      </w:r>
      <w:r>
        <w:rPr>
          <w:rFonts w:hint="eastAsia"/>
        </w:rPr>
        <w:t>，不会产生渗水现象；若管线开挖过程中产生渗水现象，则采用井点降水的方法局部将渗水抽离，用于施工场地洒水抑尘。采取以上措施后对地下水环境影响较小</w:t>
      </w:r>
      <w:r>
        <w:t>。</w:t>
      </w:r>
    </w:p>
    <w:p w14:paraId="7FD0D131">
      <w:pPr>
        <w:pStyle w:val="234"/>
        <w:ind w:firstLine="482"/>
        <w:rPr>
          <w:b/>
          <w:bCs/>
        </w:rPr>
      </w:pPr>
      <w:r>
        <w:rPr>
          <w:b/>
          <w:bCs/>
        </w:rPr>
        <w:t>（2）施工期废水对地下水环境的影响</w:t>
      </w:r>
    </w:p>
    <w:p w14:paraId="55C543A4">
      <w:pPr>
        <w:pStyle w:val="234"/>
      </w:pPr>
      <w:r>
        <w:t>施工</w:t>
      </w:r>
      <w:r>
        <w:rPr>
          <w:rFonts w:hint="eastAsia"/>
        </w:rPr>
        <w:t>机械、施工运输车辆</w:t>
      </w:r>
      <w:r>
        <w:t>等</w:t>
      </w:r>
      <w:r>
        <w:rPr>
          <w:rFonts w:hint="eastAsia"/>
        </w:rPr>
        <w:t>清洗</w:t>
      </w:r>
      <w:r>
        <w:rPr>
          <w:rFonts w:hint="eastAsia"/>
          <w:lang w:val="en-US" w:eastAsia="zh-CN"/>
        </w:rPr>
        <w:t>不在施工现场进行</w:t>
      </w:r>
      <w:r>
        <w:rPr>
          <w:rFonts w:hint="eastAsia"/>
        </w:rPr>
        <w:t>，</w:t>
      </w:r>
      <w:r>
        <w:t>对周边地下水环境影响较小。另施工期要加强施工机械管理，柴油机</w:t>
      </w:r>
      <w:r>
        <w:rPr>
          <w:rFonts w:hint="eastAsia"/>
        </w:rPr>
        <w:t>的</w:t>
      </w:r>
      <w:r>
        <w:t>油箱底部设置防渗托盘，避免油箱漏油对周边水环境产生影响。</w:t>
      </w:r>
    </w:p>
    <w:p w14:paraId="0C1A8861">
      <w:pPr>
        <w:pStyle w:val="234"/>
        <w:ind w:firstLine="482"/>
        <w:rPr>
          <w:b/>
          <w:bCs/>
          <w:kern w:val="0"/>
        </w:rPr>
      </w:pPr>
      <w:r>
        <w:rPr>
          <w:b/>
          <w:bCs/>
          <w:kern w:val="0"/>
        </w:rPr>
        <w:t>（3）施工期生活污水对地下水环境的影响</w:t>
      </w:r>
    </w:p>
    <w:p w14:paraId="55A488D1">
      <w:pPr>
        <w:pStyle w:val="234"/>
      </w:pPr>
      <w:r>
        <w:t>施工生活污水</w:t>
      </w:r>
      <w:r>
        <w:rPr>
          <w:rFonts w:hint="eastAsia"/>
        </w:rPr>
        <w:t>排入当地农村现有设施处理，</w:t>
      </w:r>
      <w:r>
        <w:t>对地下水的影响很小。</w:t>
      </w:r>
    </w:p>
    <w:p w14:paraId="64E15A72">
      <w:pPr>
        <w:pStyle w:val="234"/>
        <w:ind w:firstLine="482"/>
        <w:rPr>
          <w:b/>
          <w:bCs/>
        </w:rPr>
      </w:pPr>
      <w:r>
        <w:rPr>
          <w:b/>
          <w:bCs/>
        </w:rPr>
        <w:t>（4）试压排水对地下水环境的影响</w:t>
      </w:r>
    </w:p>
    <w:p w14:paraId="183683A8">
      <w:pPr>
        <w:pStyle w:val="234"/>
      </w:pPr>
      <w:r>
        <w:t>试压过程中，如遇管道密闭性不好、管道破损等情况，将有少量试压水渗漏到下方土层。根据管道敷设的有关规定，试压用水为清洁水，无腐蚀性，不含无机或有机污染物。经类比同类工程试压排水的水质，管道试压排水中除含有因管道中的泥沙、铁屑等导致的悬浮物外，一般不含有其它污染物。</w:t>
      </w:r>
    </w:p>
    <w:p w14:paraId="6F94944A">
      <w:pPr>
        <w:pStyle w:val="234"/>
      </w:pPr>
      <w:r>
        <w:t>本工程试压排水</w:t>
      </w:r>
      <w:r>
        <w:rPr>
          <w:rFonts w:hint="eastAsia"/>
        </w:rPr>
        <w:t>采用过滤处理后回用于农田灌溉、道路洒水等，</w:t>
      </w:r>
      <w:r>
        <w:t>因此，试压排水基本不会对地下水造成影响。</w:t>
      </w:r>
    </w:p>
    <w:p w14:paraId="230E5DCF">
      <w:pPr>
        <w:pStyle w:val="234"/>
      </w:pPr>
      <w:r>
        <w:t>综上，本工程施工期对地下水影响较小。此外为进一步确保管沟稳定性及降低地下水质水量影响，施工过程中若遇暴雨天气，应停止一切施工，并将管沟内集水抽排至沉淀池或其他排水畅通区域。</w:t>
      </w:r>
    </w:p>
    <w:p w14:paraId="70D3F289">
      <w:pPr>
        <w:pStyle w:val="5"/>
        <w:rPr>
          <w:color w:val="auto"/>
        </w:rPr>
      </w:pPr>
      <w:r>
        <w:rPr>
          <w:color w:val="auto"/>
        </w:rPr>
        <w:t>施工期声环境影响分析</w:t>
      </w:r>
    </w:p>
    <w:p w14:paraId="1E434DC9">
      <w:pPr>
        <w:pStyle w:val="7"/>
      </w:pPr>
      <w:r>
        <w:rPr>
          <w:rFonts w:hint="eastAsia"/>
        </w:rPr>
        <w:t xml:space="preserve"> </w:t>
      </w:r>
      <w:r>
        <w:t>施工期噪声源强</w:t>
      </w:r>
    </w:p>
    <w:p w14:paraId="7EFE548C">
      <w:pPr>
        <w:pStyle w:val="234"/>
      </w:pPr>
      <w:r>
        <w:t>经工程分析可知</w:t>
      </w:r>
      <w:r>
        <w:rPr>
          <w:spacing w:val="-51"/>
        </w:rPr>
        <w:t>，</w:t>
      </w:r>
      <w:r>
        <w:t>本工程施工对声环境的影响主要是由施工机械和运输车辆运行</w:t>
      </w:r>
      <w:r>
        <w:rPr>
          <w:spacing w:val="-1"/>
        </w:rPr>
        <w:t>造成。管沟开挖为线性工程，主要噪声源包括小型挖掘机、电焊机、</w:t>
      </w:r>
      <w:r>
        <w:t>吊管机、载重汽车、柴油发电机等。</w:t>
      </w:r>
    </w:p>
    <w:p w14:paraId="065C9F8E">
      <w:pPr>
        <w:pStyle w:val="234"/>
        <w:spacing w:before="48" w:after="48"/>
      </w:pPr>
      <w:r>
        <w:t>工程施工过程主要来自施工机械的噪声</w:t>
      </w:r>
      <w:r>
        <w:rPr>
          <w:spacing w:val="-27"/>
        </w:rPr>
        <w:t>，</w:t>
      </w:r>
      <w:r>
        <w:t>施工机械噪声源特点为移动噪声源</w:t>
      </w:r>
      <w:r>
        <w:rPr>
          <w:spacing w:val="-24"/>
        </w:rPr>
        <w:t>，</w:t>
      </w:r>
      <w:r>
        <w:t>施工</w:t>
      </w:r>
      <w:r>
        <w:rPr>
          <w:spacing w:val="-2"/>
        </w:rPr>
        <w:t>噪声影响为短期性、暂时性，一旦施工活动结束，施工噪声也就随之结束。各种施工机</w:t>
      </w:r>
      <w:r>
        <w:t>械在距离为5m时其噪声等效声级见表6.1-2。</w:t>
      </w:r>
    </w:p>
    <w:p w14:paraId="384E5B8A">
      <w:pPr>
        <w:pStyle w:val="904"/>
      </w:pPr>
      <w:r>
        <w:t xml:space="preserve">表6.1-2  </w:t>
      </w:r>
      <w:r>
        <w:rPr>
          <w:spacing w:val="1"/>
        </w:rPr>
        <w:t>主要施工机械噪声值</w:t>
      </w:r>
      <w:r>
        <w:rPr>
          <w:rFonts w:hint="eastAsia"/>
          <w:spacing w:val="1"/>
        </w:rPr>
        <w:t xml:space="preserve"> </w:t>
      </w:r>
      <w:r>
        <w:rPr>
          <w:spacing w:val="1"/>
        </w:rPr>
        <w:t xml:space="preserve"> </w:t>
      </w:r>
      <w:r>
        <w:rPr>
          <w:spacing w:val="1"/>
        </w:rPr>
        <w:tab/>
      </w:r>
      <w:r>
        <w:t>单位：dB（A）</w:t>
      </w:r>
    </w:p>
    <w:tbl>
      <w:tblPr>
        <w:tblStyle w:val="88"/>
        <w:tblW w:w="501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64"/>
        <w:gridCol w:w="2183"/>
        <w:gridCol w:w="2686"/>
        <w:gridCol w:w="2021"/>
        <w:gridCol w:w="1353"/>
      </w:tblGrid>
      <w:tr w14:paraId="3CED3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atLeast"/>
          <w:jc w:val="center"/>
        </w:trPr>
        <w:tc>
          <w:tcPr>
            <w:tcW w:w="474" w:type="pct"/>
            <w:vAlign w:val="center"/>
          </w:tcPr>
          <w:p w14:paraId="5270465C">
            <w:pPr>
              <w:pStyle w:val="1343"/>
            </w:pPr>
            <w:r>
              <w:t>序号</w:t>
            </w:r>
          </w:p>
        </w:tc>
        <w:tc>
          <w:tcPr>
            <w:tcW w:w="1198" w:type="pct"/>
            <w:vAlign w:val="center"/>
          </w:tcPr>
          <w:p w14:paraId="33FF7B23">
            <w:pPr>
              <w:pStyle w:val="1343"/>
            </w:pPr>
            <w:r>
              <w:t>施工机械类型</w:t>
            </w:r>
          </w:p>
        </w:tc>
        <w:tc>
          <w:tcPr>
            <w:tcW w:w="1474" w:type="pct"/>
            <w:vAlign w:val="center"/>
          </w:tcPr>
          <w:p w14:paraId="580D84E9">
            <w:pPr>
              <w:pStyle w:val="1343"/>
            </w:pPr>
            <w:r>
              <w:rPr>
                <w:rFonts w:hint="eastAsia"/>
              </w:rPr>
              <w:t>噪声值(dB(A))</w:t>
            </w:r>
          </w:p>
        </w:tc>
        <w:tc>
          <w:tcPr>
            <w:tcW w:w="1109" w:type="pct"/>
            <w:vAlign w:val="center"/>
          </w:tcPr>
          <w:p w14:paraId="5BF4186E">
            <w:pPr>
              <w:pStyle w:val="1343"/>
            </w:pPr>
            <w:r>
              <w:t>运行方式</w:t>
            </w:r>
          </w:p>
        </w:tc>
        <w:tc>
          <w:tcPr>
            <w:tcW w:w="742" w:type="pct"/>
            <w:vAlign w:val="center"/>
          </w:tcPr>
          <w:p w14:paraId="57EA5819">
            <w:pPr>
              <w:pStyle w:val="1343"/>
            </w:pPr>
            <w:r>
              <w:t>运行时间</w:t>
            </w:r>
          </w:p>
        </w:tc>
      </w:tr>
      <w:tr w14:paraId="158F7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0" w:hRule="exact"/>
          <w:jc w:val="center"/>
        </w:trPr>
        <w:tc>
          <w:tcPr>
            <w:tcW w:w="474" w:type="pct"/>
            <w:vAlign w:val="center"/>
          </w:tcPr>
          <w:p w14:paraId="1F96D5AA">
            <w:pPr>
              <w:pStyle w:val="1343"/>
            </w:pPr>
            <w:r>
              <w:t>1</w:t>
            </w:r>
          </w:p>
        </w:tc>
        <w:tc>
          <w:tcPr>
            <w:tcW w:w="1198" w:type="pct"/>
            <w:vAlign w:val="center"/>
          </w:tcPr>
          <w:p w14:paraId="5E69FBDF">
            <w:pPr>
              <w:pStyle w:val="1343"/>
            </w:pPr>
            <w:r>
              <w:t>挖掘机</w:t>
            </w:r>
          </w:p>
        </w:tc>
        <w:tc>
          <w:tcPr>
            <w:tcW w:w="1474" w:type="pct"/>
            <w:vAlign w:val="center"/>
          </w:tcPr>
          <w:p w14:paraId="39C2BA2A">
            <w:pPr>
              <w:pStyle w:val="1343"/>
            </w:pPr>
            <w:r>
              <w:t>90</w:t>
            </w:r>
          </w:p>
        </w:tc>
        <w:tc>
          <w:tcPr>
            <w:tcW w:w="1109" w:type="pct"/>
            <w:vAlign w:val="center"/>
          </w:tcPr>
          <w:p w14:paraId="2FC1566B">
            <w:pPr>
              <w:pStyle w:val="1343"/>
            </w:pPr>
            <w:r>
              <w:t>间歇、不稳定</w:t>
            </w:r>
          </w:p>
        </w:tc>
        <w:tc>
          <w:tcPr>
            <w:tcW w:w="742" w:type="pct"/>
            <w:vAlign w:val="center"/>
          </w:tcPr>
          <w:p w14:paraId="29C49F99">
            <w:pPr>
              <w:pStyle w:val="1343"/>
            </w:pPr>
            <w:r>
              <w:t>昼间</w:t>
            </w:r>
          </w:p>
        </w:tc>
      </w:tr>
      <w:tr w14:paraId="0F77A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exact"/>
          <w:jc w:val="center"/>
        </w:trPr>
        <w:tc>
          <w:tcPr>
            <w:tcW w:w="474" w:type="pct"/>
            <w:vAlign w:val="center"/>
          </w:tcPr>
          <w:p w14:paraId="3140DE36">
            <w:pPr>
              <w:pStyle w:val="1343"/>
            </w:pPr>
            <w:r>
              <w:t>2</w:t>
            </w:r>
          </w:p>
        </w:tc>
        <w:tc>
          <w:tcPr>
            <w:tcW w:w="1198" w:type="pct"/>
            <w:vAlign w:val="center"/>
          </w:tcPr>
          <w:p w14:paraId="4D5E5FD9">
            <w:pPr>
              <w:pStyle w:val="1343"/>
            </w:pPr>
            <w:r>
              <w:t>推土机</w:t>
            </w:r>
          </w:p>
        </w:tc>
        <w:tc>
          <w:tcPr>
            <w:tcW w:w="1474" w:type="pct"/>
            <w:vAlign w:val="center"/>
          </w:tcPr>
          <w:p w14:paraId="375284F2">
            <w:pPr>
              <w:pStyle w:val="1343"/>
            </w:pPr>
            <w:r>
              <w:t>88</w:t>
            </w:r>
          </w:p>
        </w:tc>
        <w:tc>
          <w:tcPr>
            <w:tcW w:w="1109" w:type="pct"/>
            <w:vAlign w:val="center"/>
          </w:tcPr>
          <w:p w14:paraId="4998BFFB">
            <w:pPr>
              <w:pStyle w:val="1343"/>
            </w:pPr>
            <w:r>
              <w:t>间歇、不稳定</w:t>
            </w:r>
          </w:p>
        </w:tc>
        <w:tc>
          <w:tcPr>
            <w:tcW w:w="742" w:type="pct"/>
            <w:vAlign w:val="center"/>
          </w:tcPr>
          <w:p w14:paraId="68C5BE62">
            <w:pPr>
              <w:pStyle w:val="1343"/>
            </w:pPr>
            <w:r>
              <w:t>昼间</w:t>
            </w:r>
          </w:p>
        </w:tc>
      </w:tr>
      <w:tr w14:paraId="5F934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exact"/>
          <w:jc w:val="center"/>
        </w:trPr>
        <w:tc>
          <w:tcPr>
            <w:tcW w:w="474" w:type="pct"/>
            <w:vAlign w:val="center"/>
          </w:tcPr>
          <w:p w14:paraId="4E54662B">
            <w:pPr>
              <w:pStyle w:val="1343"/>
            </w:pPr>
            <w:r>
              <w:t>3</w:t>
            </w:r>
          </w:p>
        </w:tc>
        <w:tc>
          <w:tcPr>
            <w:tcW w:w="1198" w:type="pct"/>
            <w:vAlign w:val="center"/>
          </w:tcPr>
          <w:p w14:paraId="354EE2AD">
            <w:pPr>
              <w:pStyle w:val="1343"/>
            </w:pPr>
            <w:r>
              <w:t>电焊机</w:t>
            </w:r>
          </w:p>
        </w:tc>
        <w:tc>
          <w:tcPr>
            <w:tcW w:w="1474" w:type="pct"/>
            <w:vAlign w:val="center"/>
          </w:tcPr>
          <w:p w14:paraId="764F988C">
            <w:pPr>
              <w:pStyle w:val="1343"/>
            </w:pPr>
            <w:r>
              <w:t>85</w:t>
            </w:r>
          </w:p>
        </w:tc>
        <w:tc>
          <w:tcPr>
            <w:tcW w:w="1109" w:type="pct"/>
            <w:vAlign w:val="center"/>
          </w:tcPr>
          <w:p w14:paraId="5BF50054">
            <w:pPr>
              <w:pStyle w:val="1343"/>
            </w:pPr>
            <w:r>
              <w:t>间歇、不稳定</w:t>
            </w:r>
          </w:p>
        </w:tc>
        <w:tc>
          <w:tcPr>
            <w:tcW w:w="742" w:type="pct"/>
            <w:vAlign w:val="center"/>
          </w:tcPr>
          <w:p w14:paraId="3729005B">
            <w:pPr>
              <w:pStyle w:val="1343"/>
            </w:pPr>
            <w:r>
              <w:t>昼间</w:t>
            </w:r>
          </w:p>
        </w:tc>
      </w:tr>
      <w:tr w14:paraId="2EE20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exact"/>
          <w:jc w:val="center"/>
        </w:trPr>
        <w:tc>
          <w:tcPr>
            <w:tcW w:w="474" w:type="pct"/>
            <w:vAlign w:val="center"/>
          </w:tcPr>
          <w:p w14:paraId="6763027D">
            <w:pPr>
              <w:pStyle w:val="1343"/>
            </w:pPr>
            <w:r>
              <w:t>4</w:t>
            </w:r>
          </w:p>
        </w:tc>
        <w:tc>
          <w:tcPr>
            <w:tcW w:w="1198" w:type="pct"/>
            <w:vAlign w:val="center"/>
          </w:tcPr>
          <w:p w14:paraId="726DD951">
            <w:pPr>
              <w:pStyle w:val="1343"/>
            </w:pPr>
            <w:r>
              <w:t>轮式装载机</w:t>
            </w:r>
          </w:p>
        </w:tc>
        <w:tc>
          <w:tcPr>
            <w:tcW w:w="1474" w:type="pct"/>
            <w:vAlign w:val="center"/>
          </w:tcPr>
          <w:p w14:paraId="06EB364E">
            <w:pPr>
              <w:pStyle w:val="1343"/>
            </w:pPr>
            <w:r>
              <w:t>95</w:t>
            </w:r>
          </w:p>
        </w:tc>
        <w:tc>
          <w:tcPr>
            <w:tcW w:w="1109" w:type="pct"/>
            <w:vAlign w:val="center"/>
          </w:tcPr>
          <w:p w14:paraId="0ABCFC53">
            <w:pPr>
              <w:pStyle w:val="1343"/>
            </w:pPr>
            <w:r>
              <w:t>间歇、不稳定</w:t>
            </w:r>
          </w:p>
        </w:tc>
        <w:tc>
          <w:tcPr>
            <w:tcW w:w="742" w:type="pct"/>
            <w:vAlign w:val="center"/>
          </w:tcPr>
          <w:p w14:paraId="6CAAA769">
            <w:pPr>
              <w:pStyle w:val="1343"/>
            </w:pPr>
            <w:r>
              <w:t>昼间</w:t>
            </w:r>
          </w:p>
        </w:tc>
      </w:tr>
      <w:tr w14:paraId="43E2C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exact"/>
          <w:jc w:val="center"/>
        </w:trPr>
        <w:tc>
          <w:tcPr>
            <w:tcW w:w="474" w:type="pct"/>
            <w:vAlign w:val="center"/>
          </w:tcPr>
          <w:p w14:paraId="5D99D4DB">
            <w:pPr>
              <w:pStyle w:val="1343"/>
            </w:pPr>
            <w:r>
              <w:t>5</w:t>
            </w:r>
          </w:p>
        </w:tc>
        <w:tc>
          <w:tcPr>
            <w:tcW w:w="1198" w:type="pct"/>
            <w:vAlign w:val="center"/>
          </w:tcPr>
          <w:p w14:paraId="75FB5A81">
            <w:pPr>
              <w:pStyle w:val="1343"/>
            </w:pPr>
            <w:r>
              <w:t>吊管机</w:t>
            </w:r>
          </w:p>
        </w:tc>
        <w:tc>
          <w:tcPr>
            <w:tcW w:w="1474" w:type="pct"/>
            <w:vAlign w:val="center"/>
          </w:tcPr>
          <w:p w14:paraId="7136AE77">
            <w:pPr>
              <w:pStyle w:val="1343"/>
            </w:pPr>
            <w:r>
              <w:t>81</w:t>
            </w:r>
          </w:p>
        </w:tc>
        <w:tc>
          <w:tcPr>
            <w:tcW w:w="1109" w:type="pct"/>
            <w:vAlign w:val="center"/>
          </w:tcPr>
          <w:p w14:paraId="7A937D38">
            <w:pPr>
              <w:pStyle w:val="1343"/>
            </w:pPr>
            <w:r>
              <w:t>间歇、不稳定</w:t>
            </w:r>
          </w:p>
        </w:tc>
        <w:tc>
          <w:tcPr>
            <w:tcW w:w="742" w:type="pct"/>
            <w:vAlign w:val="center"/>
          </w:tcPr>
          <w:p w14:paraId="69F219D7">
            <w:pPr>
              <w:pStyle w:val="1343"/>
            </w:pPr>
            <w:r>
              <w:t>昼间</w:t>
            </w:r>
          </w:p>
        </w:tc>
      </w:tr>
      <w:tr w14:paraId="29834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exact"/>
          <w:jc w:val="center"/>
        </w:trPr>
        <w:tc>
          <w:tcPr>
            <w:tcW w:w="474" w:type="pct"/>
            <w:vAlign w:val="center"/>
          </w:tcPr>
          <w:p w14:paraId="2C4478F2">
            <w:pPr>
              <w:pStyle w:val="1343"/>
            </w:pPr>
            <w:r>
              <w:t>6</w:t>
            </w:r>
          </w:p>
        </w:tc>
        <w:tc>
          <w:tcPr>
            <w:tcW w:w="1198" w:type="pct"/>
            <w:vAlign w:val="center"/>
          </w:tcPr>
          <w:p w14:paraId="270DA7B1">
            <w:pPr>
              <w:pStyle w:val="1343"/>
            </w:pPr>
            <w:r>
              <w:t>柴油发电机组</w:t>
            </w:r>
          </w:p>
        </w:tc>
        <w:tc>
          <w:tcPr>
            <w:tcW w:w="1474" w:type="pct"/>
            <w:vAlign w:val="center"/>
          </w:tcPr>
          <w:p w14:paraId="140F35F9">
            <w:pPr>
              <w:pStyle w:val="1343"/>
            </w:pPr>
            <w:r>
              <w:t>100</w:t>
            </w:r>
          </w:p>
        </w:tc>
        <w:tc>
          <w:tcPr>
            <w:tcW w:w="1109" w:type="pct"/>
            <w:vAlign w:val="center"/>
          </w:tcPr>
          <w:p w14:paraId="02561E9B">
            <w:pPr>
              <w:pStyle w:val="1343"/>
            </w:pPr>
            <w:r>
              <w:t>间歇、不稳定</w:t>
            </w:r>
          </w:p>
        </w:tc>
        <w:tc>
          <w:tcPr>
            <w:tcW w:w="742" w:type="pct"/>
            <w:vAlign w:val="center"/>
          </w:tcPr>
          <w:p w14:paraId="637B0261">
            <w:pPr>
              <w:pStyle w:val="1343"/>
            </w:pPr>
            <w:r>
              <w:t>昼间</w:t>
            </w:r>
          </w:p>
        </w:tc>
      </w:tr>
      <w:tr w14:paraId="170C6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exact"/>
          <w:jc w:val="center"/>
        </w:trPr>
        <w:tc>
          <w:tcPr>
            <w:tcW w:w="474" w:type="pct"/>
            <w:vAlign w:val="center"/>
          </w:tcPr>
          <w:p w14:paraId="5AF59AAF">
            <w:pPr>
              <w:pStyle w:val="1343"/>
            </w:pPr>
            <w:r>
              <w:t>7</w:t>
            </w:r>
          </w:p>
        </w:tc>
        <w:tc>
          <w:tcPr>
            <w:tcW w:w="1198" w:type="pct"/>
            <w:vAlign w:val="center"/>
          </w:tcPr>
          <w:p w14:paraId="2CD83ED8">
            <w:pPr>
              <w:pStyle w:val="1343"/>
            </w:pPr>
            <w:r>
              <w:t>混凝土搅拌机</w:t>
            </w:r>
          </w:p>
        </w:tc>
        <w:tc>
          <w:tcPr>
            <w:tcW w:w="1474" w:type="pct"/>
            <w:vAlign w:val="center"/>
          </w:tcPr>
          <w:p w14:paraId="63DEEFF6">
            <w:pPr>
              <w:pStyle w:val="1343"/>
            </w:pPr>
            <w:r>
              <w:t>95</w:t>
            </w:r>
          </w:p>
        </w:tc>
        <w:tc>
          <w:tcPr>
            <w:tcW w:w="1109" w:type="pct"/>
            <w:vAlign w:val="center"/>
          </w:tcPr>
          <w:p w14:paraId="3337A676">
            <w:pPr>
              <w:pStyle w:val="1343"/>
            </w:pPr>
            <w:r>
              <w:t>间歇、不稳定</w:t>
            </w:r>
          </w:p>
        </w:tc>
        <w:tc>
          <w:tcPr>
            <w:tcW w:w="742" w:type="pct"/>
            <w:vAlign w:val="center"/>
          </w:tcPr>
          <w:p w14:paraId="6639DE1B">
            <w:pPr>
              <w:pStyle w:val="1343"/>
            </w:pPr>
            <w:r>
              <w:t>昼间</w:t>
            </w:r>
          </w:p>
        </w:tc>
      </w:tr>
      <w:tr w14:paraId="27DC3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exact"/>
          <w:jc w:val="center"/>
        </w:trPr>
        <w:tc>
          <w:tcPr>
            <w:tcW w:w="474" w:type="pct"/>
            <w:vAlign w:val="center"/>
          </w:tcPr>
          <w:p w14:paraId="1E187B73">
            <w:pPr>
              <w:pStyle w:val="1343"/>
            </w:pPr>
            <w:r>
              <w:t>8</w:t>
            </w:r>
          </w:p>
        </w:tc>
        <w:tc>
          <w:tcPr>
            <w:tcW w:w="1198" w:type="pct"/>
            <w:vAlign w:val="center"/>
          </w:tcPr>
          <w:p w14:paraId="27238252">
            <w:pPr>
              <w:pStyle w:val="1343"/>
            </w:pPr>
            <w:r>
              <w:t>切割机</w:t>
            </w:r>
          </w:p>
        </w:tc>
        <w:tc>
          <w:tcPr>
            <w:tcW w:w="1474" w:type="pct"/>
            <w:vAlign w:val="center"/>
          </w:tcPr>
          <w:p w14:paraId="1B9CC549">
            <w:pPr>
              <w:pStyle w:val="1343"/>
            </w:pPr>
            <w:r>
              <w:t>95</w:t>
            </w:r>
          </w:p>
        </w:tc>
        <w:tc>
          <w:tcPr>
            <w:tcW w:w="1109" w:type="pct"/>
            <w:vAlign w:val="center"/>
          </w:tcPr>
          <w:p w14:paraId="4C1566C8">
            <w:pPr>
              <w:pStyle w:val="1343"/>
            </w:pPr>
            <w:r>
              <w:t>间歇、不稳定</w:t>
            </w:r>
          </w:p>
        </w:tc>
        <w:tc>
          <w:tcPr>
            <w:tcW w:w="742" w:type="pct"/>
            <w:vAlign w:val="center"/>
          </w:tcPr>
          <w:p w14:paraId="04A5EA0E">
            <w:pPr>
              <w:pStyle w:val="1343"/>
            </w:pPr>
            <w:r>
              <w:t>昼间</w:t>
            </w:r>
          </w:p>
        </w:tc>
      </w:tr>
      <w:tr w14:paraId="20F28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exact"/>
          <w:jc w:val="center"/>
        </w:trPr>
        <w:tc>
          <w:tcPr>
            <w:tcW w:w="474" w:type="pct"/>
            <w:vAlign w:val="center"/>
          </w:tcPr>
          <w:p w14:paraId="01DE8B9E">
            <w:pPr>
              <w:pStyle w:val="1343"/>
            </w:pPr>
            <w:r>
              <w:t>9</w:t>
            </w:r>
          </w:p>
        </w:tc>
        <w:tc>
          <w:tcPr>
            <w:tcW w:w="1198" w:type="pct"/>
            <w:vAlign w:val="center"/>
          </w:tcPr>
          <w:p w14:paraId="69E7B5B0">
            <w:pPr>
              <w:pStyle w:val="1343"/>
            </w:pPr>
            <w:r>
              <w:t>混凝土振捣棒</w:t>
            </w:r>
          </w:p>
        </w:tc>
        <w:tc>
          <w:tcPr>
            <w:tcW w:w="1474" w:type="pct"/>
            <w:vAlign w:val="center"/>
          </w:tcPr>
          <w:p w14:paraId="01FD595C">
            <w:pPr>
              <w:pStyle w:val="1343"/>
            </w:pPr>
            <w:r>
              <w:t>88</w:t>
            </w:r>
          </w:p>
        </w:tc>
        <w:tc>
          <w:tcPr>
            <w:tcW w:w="1109" w:type="pct"/>
            <w:vAlign w:val="center"/>
          </w:tcPr>
          <w:p w14:paraId="0B9E21BA">
            <w:pPr>
              <w:pStyle w:val="1343"/>
            </w:pPr>
            <w:r>
              <w:t>间歇、不稳定</w:t>
            </w:r>
          </w:p>
        </w:tc>
        <w:tc>
          <w:tcPr>
            <w:tcW w:w="742" w:type="pct"/>
            <w:vAlign w:val="center"/>
          </w:tcPr>
          <w:p w14:paraId="1AD60000">
            <w:pPr>
              <w:pStyle w:val="1343"/>
            </w:pPr>
            <w:r>
              <w:t>昼间</w:t>
            </w:r>
          </w:p>
        </w:tc>
      </w:tr>
      <w:tr w14:paraId="1FEB6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exact"/>
          <w:jc w:val="center"/>
        </w:trPr>
        <w:tc>
          <w:tcPr>
            <w:tcW w:w="474" w:type="pct"/>
            <w:vAlign w:val="center"/>
          </w:tcPr>
          <w:p w14:paraId="4A12918A">
            <w:pPr>
              <w:pStyle w:val="1343"/>
            </w:pPr>
            <w:r>
              <w:t>10</w:t>
            </w:r>
          </w:p>
        </w:tc>
        <w:tc>
          <w:tcPr>
            <w:tcW w:w="1198" w:type="pct"/>
            <w:vAlign w:val="center"/>
          </w:tcPr>
          <w:p w14:paraId="6F7210A8">
            <w:pPr>
              <w:pStyle w:val="1343"/>
            </w:pPr>
            <w:r>
              <w:rPr>
                <w:rFonts w:hint="eastAsia"/>
              </w:rPr>
              <w:t>液压顶管机</w:t>
            </w:r>
          </w:p>
        </w:tc>
        <w:tc>
          <w:tcPr>
            <w:tcW w:w="1474" w:type="pct"/>
            <w:vAlign w:val="center"/>
          </w:tcPr>
          <w:p w14:paraId="69D42903">
            <w:pPr>
              <w:pStyle w:val="1343"/>
            </w:pPr>
            <w:r>
              <w:rPr>
                <w:rFonts w:hint="eastAsia"/>
              </w:rPr>
              <w:t>90</w:t>
            </w:r>
          </w:p>
        </w:tc>
        <w:tc>
          <w:tcPr>
            <w:tcW w:w="1109" w:type="pct"/>
            <w:vAlign w:val="center"/>
          </w:tcPr>
          <w:p w14:paraId="35BB9136">
            <w:pPr>
              <w:pStyle w:val="1343"/>
            </w:pPr>
            <w:r>
              <w:t>间歇、不稳定</w:t>
            </w:r>
          </w:p>
        </w:tc>
        <w:tc>
          <w:tcPr>
            <w:tcW w:w="742" w:type="pct"/>
            <w:vAlign w:val="center"/>
          </w:tcPr>
          <w:p w14:paraId="12F73C9F">
            <w:pPr>
              <w:pStyle w:val="1343"/>
            </w:pPr>
            <w:r>
              <w:t>昼间</w:t>
            </w:r>
          </w:p>
        </w:tc>
      </w:tr>
      <w:tr w14:paraId="6B48A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exact"/>
          <w:jc w:val="center"/>
        </w:trPr>
        <w:tc>
          <w:tcPr>
            <w:tcW w:w="474" w:type="pct"/>
            <w:vAlign w:val="center"/>
          </w:tcPr>
          <w:p w14:paraId="318F9629">
            <w:pPr>
              <w:pStyle w:val="1343"/>
            </w:pPr>
            <w:r>
              <w:rPr>
                <w:rFonts w:hint="eastAsia"/>
              </w:rPr>
              <w:t>11</w:t>
            </w:r>
          </w:p>
        </w:tc>
        <w:tc>
          <w:tcPr>
            <w:tcW w:w="1198" w:type="pct"/>
            <w:vAlign w:val="center"/>
          </w:tcPr>
          <w:p w14:paraId="55122E49">
            <w:pPr>
              <w:pStyle w:val="1343"/>
            </w:pPr>
            <w:r>
              <w:rPr>
                <w:rFonts w:hint="eastAsia"/>
              </w:rPr>
              <w:t>运输车辆</w:t>
            </w:r>
          </w:p>
        </w:tc>
        <w:tc>
          <w:tcPr>
            <w:tcW w:w="1474" w:type="pct"/>
            <w:vAlign w:val="center"/>
          </w:tcPr>
          <w:p w14:paraId="410AD431">
            <w:pPr>
              <w:pStyle w:val="1343"/>
            </w:pPr>
            <w:r>
              <w:rPr>
                <w:rFonts w:hint="eastAsia"/>
              </w:rPr>
              <w:t>9</w:t>
            </w:r>
            <w:r>
              <w:t>0</w:t>
            </w:r>
          </w:p>
        </w:tc>
        <w:tc>
          <w:tcPr>
            <w:tcW w:w="1109" w:type="pct"/>
            <w:vAlign w:val="center"/>
          </w:tcPr>
          <w:p w14:paraId="44982FF8">
            <w:pPr>
              <w:pStyle w:val="1343"/>
            </w:pPr>
            <w:r>
              <w:t>间歇、不稳定</w:t>
            </w:r>
          </w:p>
        </w:tc>
        <w:tc>
          <w:tcPr>
            <w:tcW w:w="742" w:type="pct"/>
            <w:vAlign w:val="center"/>
          </w:tcPr>
          <w:p w14:paraId="5A640E97">
            <w:pPr>
              <w:pStyle w:val="1343"/>
            </w:pPr>
            <w:r>
              <w:t>昼间</w:t>
            </w:r>
          </w:p>
        </w:tc>
      </w:tr>
    </w:tbl>
    <w:p w14:paraId="367E8ECF">
      <w:pPr>
        <w:pStyle w:val="7"/>
        <w:spacing w:before="120" w:beforeLines="50"/>
        <w:rPr>
          <w:b/>
        </w:rPr>
      </w:pPr>
      <w:r>
        <w:rPr>
          <w:rFonts w:hint="eastAsia"/>
        </w:rPr>
        <w:t xml:space="preserve"> </w:t>
      </w:r>
      <w:r>
        <w:t>施工期噪声预测</w:t>
      </w:r>
    </w:p>
    <w:p w14:paraId="6EFAC14C">
      <w:pPr>
        <w:pStyle w:val="234"/>
      </w:pPr>
      <w:r>
        <w:t>当声源的大小与预测距离相比小的多时，可以将此声源看作点源，声源噪声值随距离衰减的公式如下：</w:t>
      </w:r>
    </w:p>
    <w:p w14:paraId="1AB142EB">
      <w:pPr>
        <w:pStyle w:val="234"/>
        <w:jc w:val="center"/>
        <w:rPr>
          <w:i/>
          <w:iCs/>
        </w:rPr>
      </w:pPr>
      <w:r>
        <w:rPr>
          <w:rFonts w:hint="eastAsia"/>
          <w:i/>
          <w:iCs/>
        </w:rPr>
        <w:t>L</w:t>
      </w:r>
      <w:r>
        <w:rPr>
          <w:i/>
          <w:iCs/>
          <w:vertAlign w:val="subscript"/>
        </w:rPr>
        <w:t>2</w:t>
      </w:r>
      <w:r>
        <w:rPr>
          <w:i/>
          <w:iCs/>
        </w:rPr>
        <w:t>=L</w:t>
      </w:r>
      <w:r>
        <w:rPr>
          <w:i/>
          <w:iCs/>
          <w:vertAlign w:val="subscript"/>
        </w:rPr>
        <w:t>1</w:t>
      </w:r>
      <w:r>
        <w:rPr>
          <w:i/>
          <w:iCs/>
        </w:rPr>
        <w:t>-20lg</w:t>
      </w:r>
      <m:oMath>
        <m:f>
          <m:fPr>
            <m:ctrlPr>
              <w:rPr>
                <w:rFonts w:ascii="Cambria Math" w:hAnsi="Cambria Math"/>
                <w:i/>
                <w:iCs/>
              </w:rPr>
            </m:ctrlPr>
          </m:fPr>
          <m:num>
            <m:r>
              <m:rPr/>
              <w:rPr>
                <w:rFonts w:ascii="Cambria Math" w:hAnsi="Cambria Math"/>
              </w:rPr>
              <m:t>r2</m:t>
            </m:r>
            <m:ctrlPr>
              <w:rPr>
                <w:rFonts w:ascii="Cambria Math" w:hAnsi="Cambria Math"/>
                <w:i/>
                <w:iCs/>
              </w:rPr>
            </m:ctrlPr>
          </m:num>
          <m:den>
            <m:r>
              <m:rPr/>
              <w:rPr>
                <w:rFonts w:ascii="Cambria Math" w:hAnsi="Cambria Math"/>
              </w:rPr>
              <m:t>r1</m:t>
            </m:r>
            <m:ctrlPr>
              <w:rPr>
                <w:rFonts w:ascii="Cambria Math" w:hAnsi="Cambria Math"/>
                <w:i/>
                <w:iCs/>
              </w:rPr>
            </m:ctrlPr>
          </m:den>
        </m:f>
      </m:oMath>
    </w:p>
    <w:p w14:paraId="39E6A4A8">
      <w:pPr>
        <w:pStyle w:val="1343"/>
        <w:rPr>
          <w:sz w:val="13"/>
          <w:szCs w:val="13"/>
        </w:rPr>
      </w:pPr>
    </w:p>
    <w:p w14:paraId="69F71E01">
      <w:pPr>
        <w:pStyle w:val="234"/>
      </w:pPr>
      <w:r>
        <w:t>式中：</w:t>
      </w:r>
      <w:r>
        <w:rPr>
          <w:i/>
          <w:iCs/>
        </w:rPr>
        <w:t>r1、r2</w:t>
      </w:r>
      <w:r>
        <w:rPr>
          <w:rFonts w:hint="eastAsia"/>
          <w:i/>
        </w:rPr>
        <w:t>——</w:t>
      </w:r>
      <w:r>
        <w:t>距声源的距离(m)；</w:t>
      </w:r>
    </w:p>
    <w:p w14:paraId="4B1B314A">
      <w:pPr>
        <w:pStyle w:val="234"/>
      </w:pPr>
      <w:r>
        <w:rPr>
          <w:i/>
          <w:iCs/>
        </w:rPr>
        <w:t>L</w:t>
      </w:r>
      <w:r>
        <w:rPr>
          <w:i/>
          <w:iCs/>
          <w:vertAlign w:val="subscript"/>
        </w:rPr>
        <w:t>1</w:t>
      </w:r>
      <w:r>
        <w:rPr>
          <w:i/>
          <w:iCs/>
        </w:rPr>
        <w:t>、L</w:t>
      </w:r>
      <w:r>
        <w:rPr>
          <w:i/>
          <w:iCs/>
          <w:vertAlign w:val="subscript"/>
        </w:rPr>
        <w:t>2</w:t>
      </w:r>
      <w:r>
        <w:rPr>
          <w:rFonts w:hint="eastAsia"/>
          <w:i/>
        </w:rPr>
        <w:t>——</w:t>
      </w:r>
      <w:r>
        <w:t>声源相距r1、r2处的噪声声级dB(A)。</w:t>
      </w:r>
    </w:p>
    <w:p w14:paraId="22C68953">
      <w:pPr>
        <w:pStyle w:val="234"/>
      </w:pPr>
      <w:r>
        <w:t>本工程施工场地上有多台不同种类的施工机械同时作</w:t>
      </w:r>
      <w:r>
        <w:rPr>
          <w:spacing w:val="-1"/>
        </w:rPr>
        <w:t>业</w:t>
      </w:r>
      <w:r>
        <w:rPr>
          <w:spacing w:val="-27"/>
        </w:rPr>
        <w:t>，</w:t>
      </w:r>
      <w:r>
        <w:t>它们的辐射声级将叠加</w:t>
      </w:r>
      <w:r>
        <w:rPr>
          <w:spacing w:val="-24"/>
        </w:rPr>
        <w:t>，</w:t>
      </w:r>
      <w:r>
        <w:t>其</w:t>
      </w:r>
      <w:r>
        <w:rPr>
          <w:spacing w:val="-2"/>
        </w:rPr>
        <w:t>强度增量视噪声源种类、数量、相对分布的距离等因素而不同。</w:t>
      </w:r>
      <w:r>
        <w:t>本工程施工机械噪声距离衰减后预测值见6.1-3。</w:t>
      </w:r>
    </w:p>
    <w:p w14:paraId="19A5991E">
      <w:pPr>
        <w:pStyle w:val="904"/>
      </w:pPr>
      <w:bookmarkStart w:id="202" w:name="_Ref82163797"/>
      <w:r>
        <w:t xml:space="preserve">表 </w:t>
      </w:r>
      <w:r>
        <w:fldChar w:fldCharType="begin"/>
      </w:r>
      <w:r>
        <w:instrText xml:space="preserve"> STYLEREF 2 \s </w:instrText>
      </w:r>
      <w:r>
        <w:fldChar w:fldCharType="separate"/>
      </w:r>
      <w:r>
        <w:t>6.1</w:t>
      </w:r>
      <w:r>
        <w:fldChar w:fldCharType="end"/>
      </w:r>
      <w:r>
        <w:noBreakHyphen/>
      </w:r>
      <w:bookmarkEnd w:id="202"/>
      <w:r>
        <w:t>3  施工机械噪声随距离的衰减情况单位：dB(A)</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2"/>
        <w:gridCol w:w="1636"/>
        <w:gridCol w:w="604"/>
        <w:gridCol w:w="669"/>
        <w:gridCol w:w="647"/>
        <w:gridCol w:w="632"/>
        <w:gridCol w:w="712"/>
        <w:gridCol w:w="712"/>
        <w:gridCol w:w="712"/>
        <w:gridCol w:w="712"/>
        <w:gridCol w:w="715"/>
        <w:gridCol w:w="713"/>
      </w:tblGrid>
      <w:tr w14:paraId="387C9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442" w:type="pct"/>
            <w:vAlign w:val="center"/>
          </w:tcPr>
          <w:p w14:paraId="0FFD7194">
            <w:pPr>
              <w:pStyle w:val="1343"/>
              <w:adjustRightInd/>
              <w:snapToGrid/>
              <w:contextualSpacing/>
            </w:pPr>
            <w:r>
              <w:rPr>
                <w:spacing w:val="2"/>
              </w:rPr>
              <w:t>序</w:t>
            </w:r>
            <w:r>
              <w:t>号</w:t>
            </w:r>
          </w:p>
        </w:tc>
        <w:tc>
          <w:tcPr>
            <w:tcW w:w="880" w:type="pct"/>
            <w:vAlign w:val="center"/>
          </w:tcPr>
          <w:p w14:paraId="655B973D">
            <w:pPr>
              <w:pStyle w:val="1343"/>
              <w:adjustRightInd/>
              <w:snapToGrid/>
              <w:contextualSpacing/>
            </w:pPr>
            <w:r>
              <w:rPr>
                <w:spacing w:val="1"/>
              </w:rPr>
              <w:t>机械名称</w:t>
            </w:r>
          </w:p>
        </w:tc>
        <w:tc>
          <w:tcPr>
            <w:tcW w:w="325" w:type="pct"/>
            <w:vAlign w:val="center"/>
          </w:tcPr>
          <w:p w14:paraId="22769A47">
            <w:pPr>
              <w:pStyle w:val="1343"/>
              <w:adjustRightInd/>
              <w:snapToGrid/>
              <w:contextualSpacing/>
            </w:pPr>
            <w:r>
              <w:t>10m</w:t>
            </w:r>
          </w:p>
        </w:tc>
        <w:tc>
          <w:tcPr>
            <w:tcW w:w="360" w:type="pct"/>
            <w:vAlign w:val="center"/>
          </w:tcPr>
          <w:p w14:paraId="40796C4A">
            <w:pPr>
              <w:pStyle w:val="1343"/>
              <w:adjustRightInd/>
              <w:snapToGrid/>
              <w:contextualSpacing/>
            </w:pPr>
            <w:r>
              <w:t>20m</w:t>
            </w:r>
          </w:p>
        </w:tc>
        <w:tc>
          <w:tcPr>
            <w:tcW w:w="348" w:type="pct"/>
            <w:shd w:val="clear" w:color="auto" w:fill="FFFFFF" w:themeFill="background1"/>
            <w:vAlign w:val="center"/>
          </w:tcPr>
          <w:p w14:paraId="32A46930">
            <w:pPr>
              <w:pStyle w:val="1343"/>
              <w:adjustRightInd/>
              <w:snapToGrid/>
              <w:contextualSpacing/>
            </w:pPr>
            <w:r>
              <w:t>30m</w:t>
            </w:r>
          </w:p>
        </w:tc>
        <w:tc>
          <w:tcPr>
            <w:tcW w:w="340" w:type="pct"/>
            <w:shd w:val="clear" w:color="auto" w:fill="FFFFFF" w:themeFill="background1"/>
            <w:vAlign w:val="center"/>
          </w:tcPr>
          <w:p w14:paraId="287BC990">
            <w:pPr>
              <w:pStyle w:val="1343"/>
              <w:adjustRightInd/>
              <w:snapToGrid/>
              <w:contextualSpacing/>
            </w:pPr>
            <w:r>
              <w:t>50m</w:t>
            </w:r>
          </w:p>
        </w:tc>
        <w:tc>
          <w:tcPr>
            <w:tcW w:w="383" w:type="pct"/>
            <w:vAlign w:val="center"/>
          </w:tcPr>
          <w:p w14:paraId="10ACF2E2">
            <w:pPr>
              <w:pStyle w:val="1343"/>
              <w:adjustRightInd/>
              <w:snapToGrid/>
              <w:contextualSpacing/>
            </w:pPr>
            <w:r>
              <w:t>100m</w:t>
            </w:r>
          </w:p>
        </w:tc>
        <w:tc>
          <w:tcPr>
            <w:tcW w:w="383" w:type="pct"/>
            <w:vAlign w:val="center"/>
          </w:tcPr>
          <w:p w14:paraId="58BA165B">
            <w:pPr>
              <w:pStyle w:val="1343"/>
              <w:adjustRightInd/>
              <w:snapToGrid/>
              <w:contextualSpacing/>
            </w:pPr>
            <w:r>
              <w:t>150m</w:t>
            </w:r>
          </w:p>
        </w:tc>
        <w:tc>
          <w:tcPr>
            <w:tcW w:w="383" w:type="pct"/>
            <w:vAlign w:val="center"/>
          </w:tcPr>
          <w:p w14:paraId="535345D1">
            <w:pPr>
              <w:pStyle w:val="1343"/>
              <w:adjustRightInd/>
              <w:snapToGrid/>
              <w:contextualSpacing/>
            </w:pPr>
            <w:r>
              <w:t>200m</w:t>
            </w:r>
          </w:p>
        </w:tc>
        <w:tc>
          <w:tcPr>
            <w:tcW w:w="383" w:type="pct"/>
            <w:vAlign w:val="center"/>
          </w:tcPr>
          <w:p w14:paraId="69E753A9">
            <w:pPr>
              <w:pStyle w:val="1343"/>
              <w:adjustRightInd/>
              <w:snapToGrid/>
              <w:contextualSpacing/>
            </w:pPr>
            <w:r>
              <w:t>250m</w:t>
            </w:r>
          </w:p>
        </w:tc>
        <w:tc>
          <w:tcPr>
            <w:tcW w:w="384" w:type="pct"/>
            <w:vAlign w:val="center"/>
          </w:tcPr>
          <w:p w14:paraId="4A1DD887">
            <w:pPr>
              <w:pStyle w:val="1343"/>
              <w:adjustRightInd/>
              <w:snapToGrid/>
              <w:contextualSpacing/>
            </w:pPr>
            <w:r>
              <w:t>300m</w:t>
            </w:r>
          </w:p>
        </w:tc>
        <w:tc>
          <w:tcPr>
            <w:tcW w:w="383" w:type="pct"/>
            <w:vAlign w:val="center"/>
          </w:tcPr>
          <w:p w14:paraId="59FA93AA">
            <w:pPr>
              <w:pStyle w:val="1343"/>
              <w:adjustRightInd/>
              <w:snapToGrid/>
              <w:contextualSpacing/>
            </w:pPr>
            <w:r>
              <w:t>350m</w:t>
            </w:r>
          </w:p>
        </w:tc>
      </w:tr>
      <w:tr w14:paraId="60A17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exact"/>
        </w:trPr>
        <w:tc>
          <w:tcPr>
            <w:tcW w:w="442" w:type="pct"/>
            <w:vAlign w:val="center"/>
          </w:tcPr>
          <w:p w14:paraId="1B526EB9">
            <w:pPr>
              <w:pStyle w:val="1343"/>
              <w:adjustRightInd/>
              <w:snapToGrid/>
              <w:contextualSpacing/>
            </w:pPr>
            <w:r>
              <w:t>1</w:t>
            </w:r>
          </w:p>
        </w:tc>
        <w:tc>
          <w:tcPr>
            <w:tcW w:w="880" w:type="pct"/>
            <w:shd w:val="clear" w:color="auto" w:fill="auto"/>
            <w:vAlign w:val="center"/>
          </w:tcPr>
          <w:p w14:paraId="5CCCC12C">
            <w:pPr>
              <w:pStyle w:val="1343"/>
              <w:adjustRightInd/>
              <w:snapToGrid/>
              <w:contextualSpacing/>
            </w:pPr>
            <w:r>
              <w:t>挖掘机</w:t>
            </w:r>
          </w:p>
        </w:tc>
        <w:tc>
          <w:tcPr>
            <w:tcW w:w="325" w:type="pct"/>
            <w:shd w:val="clear" w:color="auto" w:fill="auto"/>
            <w:vAlign w:val="center"/>
          </w:tcPr>
          <w:p w14:paraId="064B1E44">
            <w:pPr>
              <w:pStyle w:val="1343"/>
              <w:adjustRightInd/>
              <w:snapToGrid/>
              <w:contextualSpacing/>
            </w:pPr>
            <w:r>
              <w:t>84.0</w:t>
            </w:r>
          </w:p>
        </w:tc>
        <w:tc>
          <w:tcPr>
            <w:tcW w:w="360" w:type="pct"/>
            <w:shd w:val="clear" w:color="auto" w:fill="auto"/>
            <w:vAlign w:val="center"/>
          </w:tcPr>
          <w:p w14:paraId="17862D33">
            <w:pPr>
              <w:pStyle w:val="1343"/>
              <w:adjustRightInd/>
              <w:snapToGrid/>
              <w:contextualSpacing/>
            </w:pPr>
            <w:r>
              <w:t>78.0</w:t>
            </w:r>
          </w:p>
        </w:tc>
        <w:tc>
          <w:tcPr>
            <w:tcW w:w="348" w:type="pct"/>
            <w:shd w:val="clear" w:color="auto" w:fill="auto"/>
            <w:vAlign w:val="center"/>
          </w:tcPr>
          <w:p w14:paraId="2B982F4D">
            <w:pPr>
              <w:pStyle w:val="1343"/>
              <w:adjustRightInd/>
              <w:snapToGrid/>
              <w:contextualSpacing/>
            </w:pPr>
            <w:r>
              <w:t>74.4</w:t>
            </w:r>
          </w:p>
        </w:tc>
        <w:tc>
          <w:tcPr>
            <w:tcW w:w="340" w:type="pct"/>
            <w:shd w:val="clear" w:color="auto" w:fill="auto"/>
            <w:vAlign w:val="center"/>
          </w:tcPr>
          <w:p w14:paraId="26077ACA">
            <w:pPr>
              <w:pStyle w:val="1343"/>
              <w:adjustRightInd/>
              <w:snapToGrid/>
              <w:contextualSpacing/>
            </w:pPr>
            <w:r>
              <w:t>70.0</w:t>
            </w:r>
          </w:p>
        </w:tc>
        <w:tc>
          <w:tcPr>
            <w:tcW w:w="383" w:type="pct"/>
            <w:shd w:val="clear" w:color="auto" w:fill="auto"/>
            <w:vAlign w:val="center"/>
          </w:tcPr>
          <w:p w14:paraId="68C20180">
            <w:pPr>
              <w:pStyle w:val="1343"/>
              <w:adjustRightInd/>
              <w:snapToGrid/>
              <w:contextualSpacing/>
            </w:pPr>
            <w:r>
              <w:t>64.0</w:t>
            </w:r>
          </w:p>
        </w:tc>
        <w:tc>
          <w:tcPr>
            <w:tcW w:w="383" w:type="pct"/>
            <w:shd w:val="clear" w:color="auto" w:fill="auto"/>
            <w:vAlign w:val="center"/>
          </w:tcPr>
          <w:p w14:paraId="2F9B2CC2">
            <w:pPr>
              <w:pStyle w:val="1343"/>
              <w:adjustRightInd/>
              <w:snapToGrid/>
              <w:contextualSpacing/>
            </w:pPr>
            <w:r>
              <w:t>60.5</w:t>
            </w:r>
          </w:p>
        </w:tc>
        <w:tc>
          <w:tcPr>
            <w:tcW w:w="383" w:type="pct"/>
            <w:shd w:val="clear" w:color="auto" w:fill="auto"/>
            <w:vAlign w:val="center"/>
          </w:tcPr>
          <w:p w14:paraId="1629BEE8">
            <w:pPr>
              <w:pStyle w:val="1343"/>
              <w:adjustRightInd/>
              <w:snapToGrid/>
              <w:contextualSpacing/>
            </w:pPr>
            <w:r>
              <w:t>58.0</w:t>
            </w:r>
          </w:p>
        </w:tc>
        <w:tc>
          <w:tcPr>
            <w:tcW w:w="383" w:type="pct"/>
            <w:shd w:val="clear" w:color="auto" w:fill="auto"/>
            <w:vAlign w:val="center"/>
          </w:tcPr>
          <w:p w14:paraId="0979149C">
            <w:pPr>
              <w:pStyle w:val="1343"/>
              <w:adjustRightInd/>
              <w:snapToGrid/>
              <w:contextualSpacing/>
            </w:pPr>
            <w:r>
              <w:t>56.0</w:t>
            </w:r>
          </w:p>
        </w:tc>
        <w:tc>
          <w:tcPr>
            <w:tcW w:w="384" w:type="pct"/>
            <w:shd w:val="clear" w:color="auto" w:fill="auto"/>
            <w:vAlign w:val="center"/>
          </w:tcPr>
          <w:p w14:paraId="63AAE5B6">
            <w:pPr>
              <w:pStyle w:val="1343"/>
              <w:adjustRightInd/>
              <w:snapToGrid/>
              <w:contextualSpacing/>
            </w:pPr>
            <w:r>
              <w:t>54.4</w:t>
            </w:r>
          </w:p>
        </w:tc>
        <w:tc>
          <w:tcPr>
            <w:tcW w:w="383" w:type="pct"/>
            <w:shd w:val="clear" w:color="auto" w:fill="auto"/>
            <w:vAlign w:val="center"/>
          </w:tcPr>
          <w:p w14:paraId="70B6FA65">
            <w:pPr>
              <w:pStyle w:val="1343"/>
              <w:adjustRightInd/>
              <w:snapToGrid/>
              <w:contextualSpacing/>
            </w:pPr>
            <w:r>
              <w:t>53.1</w:t>
            </w:r>
          </w:p>
        </w:tc>
      </w:tr>
      <w:tr w14:paraId="0FD75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exact"/>
        </w:trPr>
        <w:tc>
          <w:tcPr>
            <w:tcW w:w="442" w:type="pct"/>
            <w:vAlign w:val="center"/>
          </w:tcPr>
          <w:p w14:paraId="73399516">
            <w:pPr>
              <w:pStyle w:val="1343"/>
              <w:adjustRightInd/>
              <w:snapToGrid/>
              <w:contextualSpacing/>
            </w:pPr>
            <w:r>
              <w:t>2</w:t>
            </w:r>
          </w:p>
        </w:tc>
        <w:tc>
          <w:tcPr>
            <w:tcW w:w="880" w:type="pct"/>
            <w:shd w:val="clear" w:color="auto" w:fill="auto"/>
            <w:vAlign w:val="center"/>
          </w:tcPr>
          <w:p w14:paraId="44E2C57E">
            <w:pPr>
              <w:pStyle w:val="1343"/>
              <w:adjustRightInd/>
              <w:snapToGrid/>
              <w:contextualSpacing/>
            </w:pPr>
            <w:r>
              <w:t>推土机</w:t>
            </w:r>
          </w:p>
        </w:tc>
        <w:tc>
          <w:tcPr>
            <w:tcW w:w="325" w:type="pct"/>
            <w:shd w:val="clear" w:color="auto" w:fill="auto"/>
            <w:vAlign w:val="center"/>
          </w:tcPr>
          <w:p w14:paraId="4558B3A9">
            <w:pPr>
              <w:pStyle w:val="1343"/>
              <w:adjustRightInd/>
              <w:snapToGrid/>
              <w:contextualSpacing/>
            </w:pPr>
            <w:r>
              <w:t>82.0</w:t>
            </w:r>
          </w:p>
        </w:tc>
        <w:tc>
          <w:tcPr>
            <w:tcW w:w="360" w:type="pct"/>
            <w:shd w:val="clear" w:color="auto" w:fill="auto"/>
            <w:vAlign w:val="center"/>
          </w:tcPr>
          <w:p w14:paraId="6A7EA6FB">
            <w:pPr>
              <w:pStyle w:val="1343"/>
              <w:adjustRightInd/>
              <w:snapToGrid/>
              <w:contextualSpacing/>
            </w:pPr>
            <w:r>
              <w:t>76.0</w:t>
            </w:r>
          </w:p>
        </w:tc>
        <w:tc>
          <w:tcPr>
            <w:tcW w:w="348" w:type="pct"/>
            <w:shd w:val="clear" w:color="auto" w:fill="auto"/>
            <w:vAlign w:val="center"/>
          </w:tcPr>
          <w:p w14:paraId="2C0A7C09">
            <w:pPr>
              <w:pStyle w:val="1343"/>
              <w:adjustRightInd/>
              <w:snapToGrid/>
              <w:contextualSpacing/>
            </w:pPr>
            <w:r>
              <w:t>72.4</w:t>
            </w:r>
          </w:p>
        </w:tc>
        <w:tc>
          <w:tcPr>
            <w:tcW w:w="340" w:type="pct"/>
            <w:shd w:val="clear" w:color="auto" w:fill="auto"/>
            <w:vAlign w:val="center"/>
          </w:tcPr>
          <w:p w14:paraId="4B6D24CA">
            <w:pPr>
              <w:pStyle w:val="1343"/>
              <w:adjustRightInd/>
              <w:snapToGrid/>
              <w:contextualSpacing/>
            </w:pPr>
            <w:r>
              <w:t>68.0</w:t>
            </w:r>
          </w:p>
        </w:tc>
        <w:tc>
          <w:tcPr>
            <w:tcW w:w="383" w:type="pct"/>
            <w:shd w:val="clear" w:color="auto" w:fill="auto"/>
            <w:vAlign w:val="center"/>
          </w:tcPr>
          <w:p w14:paraId="745EF7F6">
            <w:pPr>
              <w:pStyle w:val="1343"/>
              <w:adjustRightInd/>
              <w:snapToGrid/>
              <w:contextualSpacing/>
            </w:pPr>
            <w:r>
              <w:t>62.0</w:t>
            </w:r>
          </w:p>
        </w:tc>
        <w:tc>
          <w:tcPr>
            <w:tcW w:w="383" w:type="pct"/>
            <w:shd w:val="clear" w:color="auto" w:fill="auto"/>
            <w:vAlign w:val="center"/>
          </w:tcPr>
          <w:p w14:paraId="59F6FA2F">
            <w:pPr>
              <w:pStyle w:val="1343"/>
              <w:adjustRightInd/>
              <w:snapToGrid/>
              <w:contextualSpacing/>
            </w:pPr>
            <w:r>
              <w:t>58.5</w:t>
            </w:r>
          </w:p>
        </w:tc>
        <w:tc>
          <w:tcPr>
            <w:tcW w:w="383" w:type="pct"/>
            <w:shd w:val="clear" w:color="auto" w:fill="auto"/>
            <w:vAlign w:val="center"/>
          </w:tcPr>
          <w:p w14:paraId="32261011">
            <w:pPr>
              <w:pStyle w:val="1343"/>
              <w:adjustRightInd/>
              <w:snapToGrid/>
              <w:contextualSpacing/>
            </w:pPr>
            <w:r>
              <w:t>56.0</w:t>
            </w:r>
          </w:p>
        </w:tc>
        <w:tc>
          <w:tcPr>
            <w:tcW w:w="383" w:type="pct"/>
            <w:shd w:val="clear" w:color="auto" w:fill="auto"/>
            <w:vAlign w:val="center"/>
          </w:tcPr>
          <w:p w14:paraId="6014BA1E">
            <w:pPr>
              <w:pStyle w:val="1343"/>
              <w:adjustRightInd/>
              <w:snapToGrid/>
              <w:contextualSpacing/>
            </w:pPr>
            <w:r>
              <w:t>54.0</w:t>
            </w:r>
          </w:p>
        </w:tc>
        <w:tc>
          <w:tcPr>
            <w:tcW w:w="384" w:type="pct"/>
            <w:shd w:val="clear" w:color="auto" w:fill="auto"/>
            <w:vAlign w:val="center"/>
          </w:tcPr>
          <w:p w14:paraId="3583E689">
            <w:pPr>
              <w:pStyle w:val="1343"/>
              <w:adjustRightInd/>
              <w:snapToGrid/>
              <w:contextualSpacing/>
            </w:pPr>
            <w:r>
              <w:t>52.4</w:t>
            </w:r>
          </w:p>
        </w:tc>
        <w:tc>
          <w:tcPr>
            <w:tcW w:w="383" w:type="pct"/>
            <w:shd w:val="clear" w:color="auto" w:fill="auto"/>
            <w:vAlign w:val="center"/>
          </w:tcPr>
          <w:p w14:paraId="004C8C2B">
            <w:pPr>
              <w:pStyle w:val="1343"/>
              <w:adjustRightInd/>
              <w:snapToGrid/>
              <w:contextualSpacing/>
            </w:pPr>
            <w:r>
              <w:t>51.1</w:t>
            </w:r>
          </w:p>
        </w:tc>
      </w:tr>
      <w:tr w14:paraId="462B7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exact"/>
        </w:trPr>
        <w:tc>
          <w:tcPr>
            <w:tcW w:w="442" w:type="pct"/>
            <w:vAlign w:val="center"/>
          </w:tcPr>
          <w:p w14:paraId="73944819">
            <w:pPr>
              <w:pStyle w:val="1343"/>
              <w:adjustRightInd/>
              <w:snapToGrid/>
              <w:contextualSpacing/>
            </w:pPr>
            <w:r>
              <w:t>3</w:t>
            </w:r>
          </w:p>
        </w:tc>
        <w:tc>
          <w:tcPr>
            <w:tcW w:w="880" w:type="pct"/>
            <w:shd w:val="clear" w:color="auto" w:fill="auto"/>
            <w:vAlign w:val="center"/>
          </w:tcPr>
          <w:p w14:paraId="66CC225D">
            <w:pPr>
              <w:pStyle w:val="1343"/>
              <w:adjustRightInd/>
              <w:snapToGrid/>
              <w:contextualSpacing/>
            </w:pPr>
            <w:r>
              <w:t>电焊机</w:t>
            </w:r>
          </w:p>
        </w:tc>
        <w:tc>
          <w:tcPr>
            <w:tcW w:w="325" w:type="pct"/>
            <w:shd w:val="clear" w:color="auto" w:fill="auto"/>
            <w:vAlign w:val="center"/>
          </w:tcPr>
          <w:p w14:paraId="7D3B449B">
            <w:pPr>
              <w:pStyle w:val="1343"/>
              <w:adjustRightInd/>
              <w:snapToGrid/>
              <w:contextualSpacing/>
            </w:pPr>
            <w:r>
              <w:t>79.0</w:t>
            </w:r>
          </w:p>
        </w:tc>
        <w:tc>
          <w:tcPr>
            <w:tcW w:w="360" w:type="pct"/>
            <w:shd w:val="clear" w:color="auto" w:fill="auto"/>
            <w:vAlign w:val="center"/>
          </w:tcPr>
          <w:p w14:paraId="6647BC06">
            <w:pPr>
              <w:pStyle w:val="1343"/>
              <w:adjustRightInd/>
              <w:snapToGrid/>
              <w:contextualSpacing/>
            </w:pPr>
            <w:r>
              <w:t>73.0</w:t>
            </w:r>
          </w:p>
        </w:tc>
        <w:tc>
          <w:tcPr>
            <w:tcW w:w="348" w:type="pct"/>
            <w:shd w:val="clear" w:color="auto" w:fill="auto"/>
            <w:vAlign w:val="center"/>
          </w:tcPr>
          <w:p w14:paraId="7DBD91FA">
            <w:pPr>
              <w:pStyle w:val="1343"/>
              <w:adjustRightInd/>
              <w:snapToGrid/>
              <w:contextualSpacing/>
            </w:pPr>
            <w:r>
              <w:t>69.4</w:t>
            </w:r>
          </w:p>
        </w:tc>
        <w:tc>
          <w:tcPr>
            <w:tcW w:w="340" w:type="pct"/>
            <w:shd w:val="clear" w:color="auto" w:fill="auto"/>
            <w:vAlign w:val="center"/>
          </w:tcPr>
          <w:p w14:paraId="3BBCD5B9">
            <w:pPr>
              <w:pStyle w:val="1343"/>
              <w:adjustRightInd/>
              <w:snapToGrid/>
              <w:contextualSpacing/>
            </w:pPr>
            <w:r>
              <w:t>65.0</w:t>
            </w:r>
          </w:p>
        </w:tc>
        <w:tc>
          <w:tcPr>
            <w:tcW w:w="383" w:type="pct"/>
            <w:shd w:val="clear" w:color="auto" w:fill="auto"/>
            <w:vAlign w:val="center"/>
          </w:tcPr>
          <w:p w14:paraId="31959640">
            <w:pPr>
              <w:pStyle w:val="1343"/>
              <w:adjustRightInd/>
              <w:snapToGrid/>
              <w:contextualSpacing/>
            </w:pPr>
            <w:r>
              <w:t>59.0</w:t>
            </w:r>
          </w:p>
        </w:tc>
        <w:tc>
          <w:tcPr>
            <w:tcW w:w="383" w:type="pct"/>
            <w:shd w:val="clear" w:color="auto" w:fill="auto"/>
            <w:vAlign w:val="center"/>
          </w:tcPr>
          <w:p w14:paraId="0CAA0A8B">
            <w:pPr>
              <w:pStyle w:val="1343"/>
              <w:adjustRightInd/>
              <w:snapToGrid/>
              <w:contextualSpacing/>
            </w:pPr>
            <w:r>
              <w:t>55.5</w:t>
            </w:r>
          </w:p>
        </w:tc>
        <w:tc>
          <w:tcPr>
            <w:tcW w:w="383" w:type="pct"/>
            <w:shd w:val="clear" w:color="auto" w:fill="auto"/>
            <w:vAlign w:val="center"/>
          </w:tcPr>
          <w:p w14:paraId="2B294429">
            <w:pPr>
              <w:pStyle w:val="1343"/>
              <w:adjustRightInd/>
              <w:snapToGrid/>
              <w:contextualSpacing/>
            </w:pPr>
            <w:r>
              <w:t>53.0</w:t>
            </w:r>
          </w:p>
        </w:tc>
        <w:tc>
          <w:tcPr>
            <w:tcW w:w="383" w:type="pct"/>
            <w:shd w:val="clear" w:color="auto" w:fill="auto"/>
            <w:vAlign w:val="center"/>
          </w:tcPr>
          <w:p w14:paraId="173C3D62">
            <w:pPr>
              <w:pStyle w:val="1343"/>
              <w:adjustRightInd/>
              <w:snapToGrid/>
              <w:contextualSpacing/>
            </w:pPr>
            <w:r>
              <w:t>51.0</w:t>
            </w:r>
          </w:p>
        </w:tc>
        <w:tc>
          <w:tcPr>
            <w:tcW w:w="384" w:type="pct"/>
            <w:shd w:val="clear" w:color="auto" w:fill="auto"/>
            <w:vAlign w:val="center"/>
          </w:tcPr>
          <w:p w14:paraId="5E847D16">
            <w:pPr>
              <w:pStyle w:val="1343"/>
              <w:adjustRightInd/>
              <w:snapToGrid/>
              <w:contextualSpacing/>
            </w:pPr>
            <w:r>
              <w:t>49.4</w:t>
            </w:r>
          </w:p>
        </w:tc>
        <w:tc>
          <w:tcPr>
            <w:tcW w:w="383" w:type="pct"/>
            <w:shd w:val="clear" w:color="auto" w:fill="auto"/>
            <w:vAlign w:val="center"/>
          </w:tcPr>
          <w:p w14:paraId="1F8A18C3">
            <w:pPr>
              <w:pStyle w:val="1343"/>
              <w:adjustRightInd/>
              <w:snapToGrid/>
              <w:contextualSpacing/>
            </w:pPr>
            <w:r>
              <w:t>48.1</w:t>
            </w:r>
          </w:p>
        </w:tc>
      </w:tr>
      <w:tr w14:paraId="25C0A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exact"/>
        </w:trPr>
        <w:tc>
          <w:tcPr>
            <w:tcW w:w="442" w:type="pct"/>
            <w:vAlign w:val="center"/>
          </w:tcPr>
          <w:p w14:paraId="3EB8B8E3">
            <w:pPr>
              <w:pStyle w:val="1343"/>
              <w:adjustRightInd/>
              <w:snapToGrid/>
              <w:contextualSpacing/>
            </w:pPr>
            <w:r>
              <w:t>4</w:t>
            </w:r>
          </w:p>
        </w:tc>
        <w:tc>
          <w:tcPr>
            <w:tcW w:w="880" w:type="pct"/>
            <w:shd w:val="clear" w:color="auto" w:fill="auto"/>
            <w:vAlign w:val="center"/>
          </w:tcPr>
          <w:p w14:paraId="0ADE2320">
            <w:pPr>
              <w:pStyle w:val="1343"/>
              <w:adjustRightInd/>
              <w:snapToGrid/>
              <w:contextualSpacing/>
            </w:pPr>
            <w:r>
              <w:t>轮式装载机</w:t>
            </w:r>
          </w:p>
        </w:tc>
        <w:tc>
          <w:tcPr>
            <w:tcW w:w="325" w:type="pct"/>
            <w:shd w:val="clear" w:color="auto" w:fill="auto"/>
            <w:vAlign w:val="center"/>
          </w:tcPr>
          <w:p w14:paraId="16A718E1">
            <w:pPr>
              <w:pStyle w:val="1343"/>
              <w:adjustRightInd/>
              <w:snapToGrid/>
              <w:contextualSpacing/>
            </w:pPr>
            <w:r>
              <w:t>89.0</w:t>
            </w:r>
          </w:p>
        </w:tc>
        <w:tc>
          <w:tcPr>
            <w:tcW w:w="360" w:type="pct"/>
            <w:shd w:val="clear" w:color="auto" w:fill="auto"/>
            <w:vAlign w:val="center"/>
          </w:tcPr>
          <w:p w14:paraId="7B5C03F5">
            <w:pPr>
              <w:pStyle w:val="1343"/>
              <w:adjustRightInd/>
              <w:snapToGrid/>
              <w:contextualSpacing/>
            </w:pPr>
            <w:r>
              <w:t>83.0</w:t>
            </w:r>
          </w:p>
        </w:tc>
        <w:tc>
          <w:tcPr>
            <w:tcW w:w="348" w:type="pct"/>
            <w:shd w:val="clear" w:color="auto" w:fill="auto"/>
            <w:vAlign w:val="center"/>
          </w:tcPr>
          <w:p w14:paraId="407E05B5">
            <w:pPr>
              <w:pStyle w:val="1343"/>
              <w:adjustRightInd/>
              <w:snapToGrid/>
              <w:contextualSpacing/>
            </w:pPr>
            <w:r>
              <w:t>79.4</w:t>
            </w:r>
          </w:p>
        </w:tc>
        <w:tc>
          <w:tcPr>
            <w:tcW w:w="340" w:type="pct"/>
            <w:shd w:val="clear" w:color="auto" w:fill="auto"/>
            <w:vAlign w:val="center"/>
          </w:tcPr>
          <w:p w14:paraId="4AC0D45B">
            <w:pPr>
              <w:pStyle w:val="1343"/>
              <w:adjustRightInd/>
              <w:snapToGrid/>
              <w:contextualSpacing/>
            </w:pPr>
            <w:r>
              <w:t>75.0</w:t>
            </w:r>
          </w:p>
        </w:tc>
        <w:tc>
          <w:tcPr>
            <w:tcW w:w="383" w:type="pct"/>
            <w:shd w:val="clear" w:color="auto" w:fill="auto"/>
            <w:vAlign w:val="center"/>
          </w:tcPr>
          <w:p w14:paraId="7D04F2CD">
            <w:pPr>
              <w:pStyle w:val="1343"/>
              <w:adjustRightInd/>
              <w:snapToGrid/>
              <w:contextualSpacing/>
            </w:pPr>
            <w:r>
              <w:t>69.0</w:t>
            </w:r>
          </w:p>
        </w:tc>
        <w:tc>
          <w:tcPr>
            <w:tcW w:w="383" w:type="pct"/>
            <w:shd w:val="clear" w:color="auto" w:fill="auto"/>
            <w:vAlign w:val="center"/>
          </w:tcPr>
          <w:p w14:paraId="14E0203C">
            <w:pPr>
              <w:pStyle w:val="1343"/>
              <w:adjustRightInd/>
              <w:snapToGrid/>
              <w:contextualSpacing/>
            </w:pPr>
            <w:r>
              <w:t>65.5</w:t>
            </w:r>
          </w:p>
        </w:tc>
        <w:tc>
          <w:tcPr>
            <w:tcW w:w="383" w:type="pct"/>
            <w:shd w:val="clear" w:color="auto" w:fill="auto"/>
            <w:vAlign w:val="center"/>
          </w:tcPr>
          <w:p w14:paraId="6A66B508">
            <w:pPr>
              <w:pStyle w:val="1343"/>
              <w:adjustRightInd/>
              <w:snapToGrid/>
              <w:contextualSpacing/>
            </w:pPr>
            <w:r>
              <w:t>63.0</w:t>
            </w:r>
          </w:p>
        </w:tc>
        <w:tc>
          <w:tcPr>
            <w:tcW w:w="383" w:type="pct"/>
            <w:shd w:val="clear" w:color="auto" w:fill="auto"/>
            <w:vAlign w:val="center"/>
          </w:tcPr>
          <w:p w14:paraId="37C8CEFD">
            <w:pPr>
              <w:pStyle w:val="1343"/>
              <w:adjustRightInd/>
              <w:snapToGrid/>
              <w:contextualSpacing/>
            </w:pPr>
            <w:r>
              <w:t>61.0</w:t>
            </w:r>
          </w:p>
        </w:tc>
        <w:tc>
          <w:tcPr>
            <w:tcW w:w="384" w:type="pct"/>
            <w:shd w:val="clear" w:color="auto" w:fill="auto"/>
            <w:vAlign w:val="center"/>
          </w:tcPr>
          <w:p w14:paraId="56F934D3">
            <w:pPr>
              <w:pStyle w:val="1343"/>
              <w:adjustRightInd/>
              <w:snapToGrid/>
              <w:contextualSpacing/>
            </w:pPr>
            <w:r>
              <w:t>59.4</w:t>
            </w:r>
          </w:p>
        </w:tc>
        <w:tc>
          <w:tcPr>
            <w:tcW w:w="383" w:type="pct"/>
            <w:shd w:val="clear" w:color="auto" w:fill="auto"/>
            <w:vAlign w:val="center"/>
          </w:tcPr>
          <w:p w14:paraId="5409E0F7">
            <w:pPr>
              <w:pStyle w:val="1343"/>
              <w:adjustRightInd/>
              <w:snapToGrid/>
              <w:contextualSpacing/>
            </w:pPr>
            <w:r>
              <w:t>58.1</w:t>
            </w:r>
          </w:p>
        </w:tc>
      </w:tr>
      <w:tr w14:paraId="6CEA0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exact"/>
        </w:trPr>
        <w:tc>
          <w:tcPr>
            <w:tcW w:w="442" w:type="pct"/>
            <w:vAlign w:val="center"/>
          </w:tcPr>
          <w:p w14:paraId="40F80F22">
            <w:pPr>
              <w:pStyle w:val="1343"/>
              <w:adjustRightInd/>
              <w:snapToGrid/>
              <w:contextualSpacing/>
            </w:pPr>
            <w:r>
              <w:t>5</w:t>
            </w:r>
          </w:p>
        </w:tc>
        <w:tc>
          <w:tcPr>
            <w:tcW w:w="880" w:type="pct"/>
            <w:shd w:val="clear" w:color="auto" w:fill="auto"/>
            <w:vAlign w:val="center"/>
          </w:tcPr>
          <w:p w14:paraId="7F248205">
            <w:pPr>
              <w:pStyle w:val="1343"/>
              <w:adjustRightInd/>
              <w:snapToGrid/>
              <w:contextualSpacing/>
            </w:pPr>
            <w:r>
              <w:t>吊管机</w:t>
            </w:r>
          </w:p>
        </w:tc>
        <w:tc>
          <w:tcPr>
            <w:tcW w:w="325" w:type="pct"/>
            <w:shd w:val="clear" w:color="auto" w:fill="auto"/>
            <w:vAlign w:val="center"/>
          </w:tcPr>
          <w:p w14:paraId="23190874">
            <w:pPr>
              <w:pStyle w:val="1343"/>
              <w:adjustRightInd/>
              <w:snapToGrid/>
              <w:contextualSpacing/>
            </w:pPr>
            <w:r>
              <w:t>75.0</w:t>
            </w:r>
          </w:p>
        </w:tc>
        <w:tc>
          <w:tcPr>
            <w:tcW w:w="360" w:type="pct"/>
            <w:shd w:val="clear" w:color="auto" w:fill="auto"/>
            <w:vAlign w:val="center"/>
          </w:tcPr>
          <w:p w14:paraId="2D1D55AD">
            <w:pPr>
              <w:pStyle w:val="1343"/>
              <w:adjustRightInd/>
              <w:snapToGrid/>
              <w:contextualSpacing/>
            </w:pPr>
            <w:r>
              <w:t>69.0</w:t>
            </w:r>
          </w:p>
        </w:tc>
        <w:tc>
          <w:tcPr>
            <w:tcW w:w="348" w:type="pct"/>
            <w:shd w:val="clear" w:color="auto" w:fill="auto"/>
            <w:vAlign w:val="center"/>
          </w:tcPr>
          <w:p w14:paraId="374816D6">
            <w:pPr>
              <w:pStyle w:val="1343"/>
              <w:adjustRightInd/>
              <w:snapToGrid/>
              <w:contextualSpacing/>
            </w:pPr>
            <w:r>
              <w:t>65.4</w:t>
            </w:r>
          </w:p>
        </w:tc>
        <w:tc>
          <w:tcPr>
            <w:tcW w:w="340" w:type="pct"/>
            <w:shd w:val="clear" w:color="auto" w:fill="auto"/>
            <w:vAlign w:val="center"/>
          </w:tcPr>
          <w:p w14:paraId="4ACC224C">
            <w:pPr>
              <w:pStyle w:val="1343"/>
              <w:adjustRightInd/>
              <w:snapToGrid/>
              <w:contextualSpacing/>
            </w:pPr>
            <w:r>
              <w:t>61.0</w:t>
            </w:r>
          </w:p>
        </w:tc>
        <w:tc>
          <w:tcPr>
            <w:tcW w:w="383" w:type="pct"/>
            <w:shd w:val="clear" w:color="auto" w:fill="auto"/>
            <w:vAlign w:val="center"/>
          </w:tcPr>
          <w:p w14:paraId="649ECE0C">
            <w:pPr>
              <w:pStyle w:val="1343"/>
              <w:adjustRightInd/>
              <w:snapToGrid/>
              <w:contextualSpacing/>
            </w:pPr>
            <w:r>
              <w:t>55.0</w:t>
            </w:r>
          </w:p>
        </w:tc>
        <w:tc>
          <w:tcPr>
            <w:tcW w:w="383" w:type="pct"/>
            <w:shd w:val="clear" w:color="auto" w:fill="auto"/>
            <w:vAlign w:val="center"/>
          </w:tcPr>
          <w:p w14:paraId="4D6405B0">
            <w:pPr>
              <w:pStyle w:val="1343"/>
              <w:adjustRightInd/>
              <w:snapToGrid/>
              <w:contextualSpacing/>
            </w:pPr>
            <w:r>
              <w:t>51.5</w:t>
            </w:r>
          </w:p>
        </w:tc>
        <w:tc>
          <w:tcPr>
            <w:tcW w:w="383" w:type="pct"/>
            <w:shd w:val="clear" w:color="auto" w:fill="auto"/>
            <w:vAlign w:val="center"/>
          </w:tcPr>
          <w:p w14:paraId="10A24B9A">
            <w:pPr>
              <w:pStyle w:val="1343"/>
              <w:adjustRightInd/>
              <w:snapToGrid/>
              <w:contextualSpacing/>
            </w:pPr>
            <w:r>
              <w:t>49.0</w:t>
            </w:r>
          </w:p>
        </w:tc>
        <w:tc>
          <w:tcPr>
            <w:tcW w:w="383" w:type="pct"/>
            <w:shd w:val="clear" w:color="auto" w:fill="auto"/>
            <w:vAlign w:val="center"/>
          </w:tcPr>
          <w:p w14:paraId="0C0D315A">
            <w:pPr>
              <w:pStyle w:val="1343"/>
              <w:adjustRightInd/>
              <w:snapToGrid/>
              <w:contextualSpacing/>
            </w:pPr>
            <w:r>
              <w:t>47.0</w:t>
            </w:r>
          </w:p>
        </w:tc>
        <w:tc>
          <w:tcPr>
            <w:tcW w:w="384" w:type="pct"/>
            <w:shd w:val="clear" w:color="auto" w:fill="auto"/>
            <w:vAlign w:val="center"/>
          </w:tcPr>
          <w:p w14:paraId="3A41D40F">
            <w:pPr>
              <w:pStyle w:val="1343"/>
              <w:adjustRightInd/>
              <w:snapToGrid/>
              <w:contextualSpacing/>
            </w:pPr>
            <w:r>
              <w:t>45.4</w:t>
            </w:r>
          </w:p>
        </w:tc>
        <w:tc>
          <w:tcPr>
            <w:tcW w:w="383" w:type="pct"/>
            <w:shd w:val="clear" w:color="auto" w:fill="auto"/>
            <w:vAlign w:val="center"/>
          </w:tcPr>
          <w:p w14:paraId="459D4194">
            <w:pPr>
              <w:pStyle w:val="1343"/>
              <w:adjustRightInd/>
              <w:snapToGrid/>
              <w:contextualSpacing/>
            </w:pPr>
            <w:r>
              <w:t>44.1</w:t>
            </w:r>
          </w:p>
        </w:tc>
      </w:tr>
      <w:tr w14:paraId="2A153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exact"/>
        </w:trPr>
        <w:tc>
          <w:tcPr>
            <w:tcW w:w="442" w:type="pct"/>
            <w:vAlign w:val="center"/>
          </w:tcPr>
          <w:p w14:paraId="13E3B119">
            <w:pPr>
              <w:pStyle w:val="1343"/>
              <w:adjustRightInd/>
              <w:snapToGrid/>
              <w:contextualSpacing/>
            </w:pPr>
            <w:r>
              <w:t>6</w:t>
            </w:r>
          </w:p>
        </w:tc>
        <w:tc>
          <w:tcPr>
            <w:tcW w:w="880" w:type="pct"/>
            <w:shd w:val="clear" w:color="auto" w:fill="auto"/>
            <w:vAlign w:val="center"/>
          </w:tcPr>
          <w:p w14:paraId="0413970E">
            <w:pPr>
              <w:pStyle w:val="1343"/>
              <w:adjustRightInd/>
              <w:snapToGrid/>
              <w:contextualSpacing/>
            </w:pPr>
            <w:r>
              <w:t>柴油发电机组</w:t>
            </w:r>
          </w:p>
        </w:tc>
        <w:tc>
          <w:tcPr>
            <w:tcW w:w="325" w:type="pct"/>
            <w:shd w:val="clear" w:color="auto" w:fill="auto"/>
            <w:vAlign w:val="center"/>
          </w:tcPr>
          <w:p w14:paraId="2E3EEA50">
            <w:pPr>
              <w:pStyle w:val="1343"/>
              <w:adjustRightInd/>
              <w:snapToGrid/>
              <w:contextualSpacing/>
            </w:pPr>
            <w:r>
              <w:t>94.0</w:t>
            </w:r>
          </w:p>
        </w:tc>
        <w:tc>
          <w:tcPr>
            <w:tcW w:w="360" w:type="pct"/>
            <w:shd w:val="clear" w:color="auto" w:fill="auto"/>
            <w:vAlign w:val="center"/>
          </w:tcPr>
          <w:p w14:paraId="1DF71D6D">
            <w:pPr>
              <w:pStyle w:val="1343"/>
              <w:adjustRightInd/>
              <w:snapToGrid/>
              <w:contextualSpacing/>
            </w:pPr>
            <w:r>
              <w:t>88.0</w:t>
            </w:r>
          </w:p>
        </w:tc>
        <w:tc>
          <w:tcPr>
            <w:tcW w:w="348" w:type="pct"/>
            <w:shd w:val="clear" w:color="auto" w:fill="auto"/>
            <w:vAlign w:val="center"/>
          </w:tcPr>
          <w:p w14:paraId="6450824A">
            <w:pPr>
              <w:pStyle w:val="1343"/>
              <w:adjustRightInd/>
              <w:snapToGrid/>
              <w:contextualSpacing/>
            </w:pPr>
            <w:r>
              <w:t>84.4</w:t>
            </w:r>
          </w:p>
        </w:tc>
        <w:tc>
          <w:tcPr>
            <w:tcW w:w="340" w:type="pct"/>
            <w:shd w:val="clear" w:color="auto" w:fill="auto"/>
            <w:vAlign w:val="center"/>
          </w:tcPr>
          <w:p w14:paraId="6E8FBD4D">
            <w:pPr>
              <w:pStyle w:val="1343"/>
              <w:adjustRightInd/>
              <w:snapToGrid/>
              <w:contextualSpacing/>
            </w:pPr>
            <w:r>
              <w:t>80.0</w:t>
            </w:r>
          </w:p>
        </w:tc>
        <w:tc>
          <w:tcPr>
            <w:tcW w:w="383" w:type="pct"/>
            <w:shd w:val="clear" w:color="auto" w:fill="auto"/>
            <w:vAlign w:val="center"/>
          </w:tcPr>
          <w:p w14:paraId="56767DB9">
            <w:pPr>
              <w:pStyle w:val="1343"/>
              <w:adjustRightInd/>
              <w:snapToGrid/>
              <w:contextualSpacing/>
            </w:pPr>
            <w:r>
              <w:t>74.0</w:t>
            </w:r>
          </w:p>
        </w:tc>
        <w:tc>
          <w:tcPr>
            <w:tcW w:w="383" w:type="pct"/>
            <w:shd w:val="clear" w:color="auto" w:fill="auto"/>
            <w:vAlign w:val="center"/>
          </w:tcPr>
          <w:p w14:paraId="62818EB2">
            <w:pPr>
              <w:pStyle w:val="1343"/>
              <w:adjustRightInd/>
              <w:snapToGrid/>
              <w:contextualSpacing/>
            </w:pPr>
            <w:r>
              <w:t>70.5</w:t>
            </w:r>
          </w:p>
        </w:tc>
        <w:tc>
          <w:tcPr>
            <w:tcW w:w="383" w:type="pct"/>
            <w:shd w:val="clear" w:color="auto" w:fill="auto"/>
            <w:vAlign w:val="center"/>
          </w:tcPr>
          <w:p w14:paraId="52D87E61">
            <w:pPr>
              <w:pStyle w:val="1343"/>
              <w:adjustRightInd/>
              <w:snapToGrid/>
              <w:contextualSpacing/>
            </w:pPr>
            <w:r>
              <w:t>68.0</w:t>
            </w:r>
          </w:p>
        </w:tc>
        <w:tc>
          <w:tcPr>
            <w:tcW w:w="383" w:type="pct"/>
            <w:shd w:val="clear" w:color="auto" w:fill="auto"/>
            <w:vAlign w:val="center"/>
          </w:tcPr>
          <w:p w14:paraId="723FD6BC">
            <w:pPr>
              <w:pStyle w:val="1343"/>
              <w:adjustRightInd/>
              <w:snapToGrid/>
              <w:contextualSpacing/>
            </w:pPr>
            <w:r>
              <w:t>66.0</w:t>
            </w:r>
          </w:p>
        </w:tc>
        <w:tc>
          <w:tcPr>
            <w:tcW w:w="384" w:type="pct"/>
            <w:shd w:val="clear" w:color="auto" w:fill="auto"/>
            <w:vAlign w:val="center"/>
          </w:tcPr>
          <w:p w14:paraId="118BE172">
            <w:pPr>
              <w:pStyle w:val="1343"/>
              <w:adjustRightInd/>
              <w:snapToGrid/>
              <w:contextualSpacing/>
            </w:pPr>
            <w:r>
              <w:t>64.4</w:t>
            </w:r>
          </w:p>
        </w:tc>
        <w:tc>
          <w:tcPr>
            <w:tcW w:w="383" w:type="pct"/>
            <w:shd w:val="clear" w:color="auto" w:fill="auto"/>
            <w:vAlign w:val="center"/>
          </w:tcPr>
          <w:p w14:paraId="11581EAA">
            <w:pPr>
              <w:pStyle w:val="1343"/>
              <w:adjustRightInd/>
              <w:snapToGrid/>
              <w:contextualSpacing/>
            </w:pPr>
            <w:r>
              <w:t>63.1</w:t>
            </w:r>
          </w:p>
        </w:tc>
      </w:tr>
      <w:tr w14:paraId="5C08B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exact"/>
        </w:trPr>
        <w:tc>
          <w:tcPr>
            <w:tcW w:w="442" w:type="pct"/>
            <w:vAlign w:val="center"/>
          </w:tcPr>
          <w:p w14:paraId="4041324C">
            <w:pPr>
              <w:pStyle w:val="1343"/>
              <w:adjustRightInd/>
              <w:snapToGrid/>
              <w:contextualSpacing/>
            </w:pPr>
            <w:r>
              <w:t>7</w:t>
            </w:r>
          </w:p>
        </w:tc>
        <w:tc>
          <w:tcPr>
            <w:tcW w:w="880" w:type="pct"/>
            <w:shd w:val="clear" w:color="auto" w:fill="auto"/>
            <w:vAlign w:val="center"/>
          </w:tcPr>
          <w:p w14:paraId="6AADC93B">
            <w:pPr>
              <w:pStyle w:val="1343"/>
              <w:adjustRightInd/>
              <w:snapToGrid/>
              <w:contextualSpacing/>
            </w:pPr>
            <w:r>
              <w:t>混凝土搅拌机</w:t>
            </w:r>
          </w:p>
        </w:tc>
        <w:tc>
          <w:tcPr>
            <w:tcW w:w="325" w:type="pct"/>
            <w:shd w:val="clear" w:color="auto" w:fill="auto"/>
            <w:vAlign w:val="center"/>
          </w:tcPr>
          <w:p w14:paraId="39ED8097">
            <w:pPr>
              <w:pStyle w:val="1343"/>
              <w:adjustRightInd/>
              <w:snapToGrid/>
              <w:contextualSpacing/>
            </w:pPr>
            <w:r>
              <w:t>89.0</w:t>
            </w:r>
          </w:p>
        </w:tc>
        <w:tc>
          <w:tcPr>
            <w:tcW w:w="360" w:type="pct"/>
            <w:shd w:val="clear" w:color="auto" w:fill="auto"/>
            <w:vAlign w:val="center"/>
          </w:tcPr>
          <w:p w14:paraId="48B49212">
            <w:pPr>
              <w:pStyle w:val="1343"/>
              <w:adjustRightInd/>
              <w:snapToGrid/>
              <w:contextualSpacing/>
            </w:pPr>
            <w:r>
              <w:t>83.0</w:t>
            </w:r>
          </w:p>
        </w:tc>
        <w:tc>
          <w:tcPr>
            <w:tcW w:w="348" w:type="pct"/>
            <w:shd w:val="clear" w:color="auto" w:fill="auto"/>
            <w:vAlign w:val="center"/>
          </w:tcPr>
          <w:p w14:paraId="07744725">
            <w:pPr>
              <w:pStyle w:val="1343"/>
              <w:adjustRightInd/>
              <w:snapToGrid/>
              <w:contextualSpacing/>
            </w:pPr>
            <w:r>
              <w:t>79.4</w:t>
            </w:r>
          </w:p>
        </w:tc>
        <w:tc>
          <w:tcPr>
            <w:tcW w:w="340" w:type="pct"/>
            <w:shd w:val="clear" w:color="auto" w:fill="auto"/>
            <w:vAlign w:val="center"/>
          </w:tcPr>
          <w:p w14:paraId="6C56E141">
            <w:pPr>
              <w:pStyle w:val="1343"/>
              <w:adjustRightInd/>
              <w:snapToGrid/>
              <w:contextualSpacing/>
            </w:pPr>
            <w:r>
              <w:t>75.0</w:t>
            </w:r>
          </w:p>
        </w:tc>
        <w:tc>
          <w:tcPr>
            <w:tcW w:w="383" w:type="pct"/>
            <w:shd w:val="clear" w:color="auto" w:fill="auto"/>
            <w:vAlign w:val="center"/>
          </w:tcPr>
          <w:p w14:paraId="6F15C402">
            <w:pPr>
              <w:pStyle w:val="1343"/>
              <w:adjustRightInd/>
              <w:snapToGrid/>
              <w:contextualSpacing/>
            </w:pPr>
            <w:r>
              <w:t>69.0</w:t>
            </w:r>
          </w:p>
        </w:tc>
        <w:tc>
          <w:tcPr>
            <w:tcW w:w="383" w:type="pct"/>
            <w:shd w:val="clear" w:color="auto" w:fill="auto"/>
            <w:vAlign w:val="center"/>
          </w:tcPr>
          <w:p w14:paraId="1000944E">
            <w:pPr>
              <w:pStyle w:val="1343"/>
              <w:adjustRightInd/>
              <w:snapToGrid/>
              <w:contextualSpacing/>
            </w:pPr>
            <w:r>
              <w:t>65.5</w:t>
            </w:r>
          </w:p>
        </w:tc>
        <w:tc>
          <w:tcPr>
            <w:tcW w:w="383" w:type="pct"/>
            <w:shd w:val="clear" w:color="auto" w:fill="auto"/>
            <w:vAlign w:val="center"/>
          </w:tcPr>
          <w:p w14:paraId="70AF3688">
            <w:pPr>
              <w:pStyle w:val="1343"/>
              <w:adjustRightInd/>
              <w:snapToGrid/>
              <w:contextualSpacing/>
            </w:pPr>
            <w:r>
              <w:t>63.0</w:t>
            </w:r>
          </w:p>
        </w:tc>
        <w:tc>
          <w:tcPr>
            <w:tcW w:w="383" w:type="pct"/>
            <w:shd w:val="clear" w:color="auto" w:fill="auto"/>
            <w:vAlign w:val="center"/>
          </w:tcPr>
          <w:p w14:paraId="6971EBE4">
            <w:pPr>
              <w:pStyle w:val="1343"/>
              <w:adjustRightInd/>
              <w:snapToGrid/>
              <w:contextualSpacing/>
            </w:pPr>
            <w:r>
              <w:t>61.0</w:t>
            </w:r>
          </w:p>
        </w:tc>
        <w:tc>
          <w:tcPr>
            <w:tcW w:w="384" w:type="pct"/>
            <w:shd w:val="clear" w:color="auto" w:fill="auto"/>
            <w:vAlign w:val="center"/>
          </w:tcPr>
          <w:p w14:paraId="6413054D">
            <w:pPr>
              <w:pStyle w:val="1343"/>
              <w:adjustRightInd/>
              <w:snapToGrid/>
              <w:contextualSpacing/>
            </w:pPr>
            <w:r>
              <w:t>59.4</w:t>
            </w:r>
          </w:p>
        </w:tc>
        <w:tc>
          <w:tcPr>
            <w:tcW w:w="383" w:type="pct"/>
            <w:shd w:val="clear" w:color="auto" w:fill="auto"/>
            <w:vAlign w:val="center"/>
          </w:tcPr>
          <w:p w14:paraId="539B4CF3">
            <w:pPr>
              <w:pStyle w:val="1343"/>
              <w:adjustRightInd/>
              <w:snapToGrid/>
              <w:contextualSpacing/>
            </w:pPr>
            <w:r>
              <w:t>58.1</w:t>
            </w:r>
          </w:p>
        </w:tc>
      </w:tr>
      <w:tr w14:paraId="2D922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exact"/>
        </w:trPr>
        <w:tc>
          <w:tcPr>
            <w:tcW w:w="442" w:type="pct"/>
            <w:vAlign w:val="center"/>
          </w:tcPr>
          <w:p w14:paraId="33B50254">
            <w:pPr>
              <w:pStyle w:val="1343"/>
              <w:adjustRightInd/>
              <w:snapToGrid/>
              <w:contextualSpacing/>
            </w:pPr>
            <w:r>
              <w:t>8</w:t>
            </w:r>
          </w:p>
        </w:tc>
        <w:tc>
          <w:tcPr>
            <w:tcW w:w="880" w:type="pct"/>
            <w:shd w:val="clear" w:color="auto" w:fill="auto"/>
            <w:vAlign w:val="center"/>
          </w:tcPr>
          <w:p w14:paraId="76CBEDB7">
            <w:pPr>
              <w:pStyle w:val="1343"/>
              <w:adjustRightInd/>
              <w:snapToGrid/>
              <w:contextualSpacing/>
            </w:pPr>
            <w:r>
              <w:t>切割机</w:t>
            </w:r>
          </w:p>
        </w:tc>
        <w:tc>
          <w:tcPr>
            <w:tcW w:w="325" w:type="pct"/>
            <w:shd w:val="clear" w:color="auto" w:fill="auto"/>
            <w:vAlign w:val="center"/>
          </w:tcPr>
          <w:p w14:paraId="5BD07DDE">
            <w:pPr>
              <w:pStyle w:val="1343"/>
              <w:adjustRightInd/>
              <w:snapToGrid/>
              <w:contextualSpacing/>
            </w:pPr>
            <w:r>
              <w:t>89.0</w:t>
            </w:r>
          </w:p>
        </w:tc>
        <w:tc>
          <w:tcPr>
            <w:tcW w:w="360" w:type="pct"/>
            <w:shd w:val="clear" w:color="auto" w:fill="auto"/>
            <w:vAlign w:val="center"/>
          </w:tcPr>
          <w:p w14:paraId="7D2D6955">
            <w:pPr>
              <w:pStyle w:val="1343"/>
              <w:adjustRightInd/>
              <w:snapToGrid/>
              <w:contextualSpacing/>
            </w:pPr>
            <w:r>
              <w:t>83.0</w:t>
            </w:r>
          </w:p>
        </w:tc>
        <w:tc>
          <w:tcPr>
            <w:tcW w:w="348" w:type="pct"/>
            <w:shd w:val="clear" w:color="auto" w:fill="auto"/>
            <w:vAlign w:val="center"/>
          </w:tcPr>
          <w:p w14:paraId="7B8489BC">
            <w:pPr>
              <w:pStyle w:val="1343"/>
              <w:adjustRightInd/>
              <w:snapToGrid/>
              <w:contextualSpacing/>
            </w:pPr>
            <w:r>
              <w:t>79.4</w:t>
            </w:r>
          </w:p>
        </w:tc>
        <w:tc>
          <w:tcPr>
            <w:tcW w:w="340" w:type="pct"/>
            <w:shd w:val="clear" w:color="auto" w:fill="auto"/>
            <w:vAlign w:val="center"/>
          </w:tcPr>
          <w:p w14:paraId="5F95E50B">
            <w:pPr>
              <w:pStyle w:val="1343"/>
              <w:adjustRightInd/>
              <w:snapToGrid/>
              <w:contextualSpacing/>
            </w:pPr>
            <w:r>
              <w:t>75.0</w:t>
            </w:r>
          </w:p>
        </w:tc>
        <w:tc>
          <w:tcPr>
            <w:tcW w:w="383" w:type="pct"/>
            <w:shd w:val="clear" w:color="auto" w:fill="auto"/>
            <w:vAlign w:val="center"/>
          </w:tcPr>
          <w:p w14:paraId="60D2417B">
            <w:pPr>
              <w:pStyle w:val="1343"/>
              <w:adjustRightInd/>
              <w:snapToGrid/>
              <w:contextualSpacing/>
            </w:pPr>
            <w:r>
              <w:t>69.0</w:t>
            </w:r>
          </w:p>
        </w:tc>
        <w:tc>
          <w:tcPr>
            <w:tcW w:w="383" w:type="pct"/>
            <w:shd w:val="clear" w:color="auto" w:fill="auto"/>
            <w:vAlign w:val="center"/>
          </w:tcPr>
          <w:p w14:paraId="5F2BC01C">
            <w:pPr>
              <w:pStyle w:val="1343"/>
              <w:adjustRightInd/>
              <w:snapToGrid/>
              <w:contextualSpacing/>
            </w:pPr>
            <w:r>
              <w:t>65.5</w:t>
            </w:r>
          </w:p>
        </w:tc>
        <w:tc>
          <w:tcPr>
            <w:tcW w:w="383" w:type="pct"/>
            <w:shd w:val="clear" w:color="auto" w:fill="auto"/>
            <w:vAlign w:val="center"/>
          </w:tcPr>
          <w:p w14:paraId="299D0CEB">
            <w:pPr>
              <w:pStyle w:val="1343"/>
              <w:adjustRightInd/>
              <w:snapToGrid/>
              <w:contextualSpacing/>
            </w:pPr>
            <w:r>
              <w:t>63.0</w:t>
            </w:r>
          </w:p>
        </w:tc>
        <w:tc>
          <w:tcPr>
            <w:tcW w:w="383" w:type="pct"/>
            <w:shd w:val="clear" w:color="auto" w:fill="auto"/>
            <w:vAlign w:val="center"/>
          </w:tcPr>
          <w:p w14:paraId="23FFF451">
            <w:pPr>
              <w:pStyle w:val="1343"/>
              <w:adjustRightInd/>
              <w:snapToGrid/>
              <w:contextualSpacing/>
            </w:pPr>
            <w:r>
              <w:t>61.0</w:t>
            </w:r>
          </w:p>
        </w:tc>
        <w:tc>
          <w:tcPr>
            <w:tcW w:w="384" w:type="pct"/>
            <w:shd w:val="clear" w:color="auto" w:fill="auto"/>
            <w:vAlign w:val="center"/>
          </w:tcPr>
          <w:p w14:paraId="0A82EB74">
            <w:pPr>
              <w:pStyle w:val="1343"/>
              <w:adjustRightInd/>
              <w:snapToGrid/>
              <w:contextualSpacing/>
            </w:pPr>
            <w:r>
              <w:t>59.4</w:t>
            </w:r>
          </w:p>
        </w:tc>
        <w:tc>
          <w:tcPr>
            <w:tcW w:w="383" w:type="pct"/>
            <w:shd w:val="clear" w:color="auto" w:fill="auto"/>
            <w:vAlign w:val="center"/>
          </w:tcPr>
          <w:p w14:paraId="2262C02E">
            <w:pPr>
              <w:pStyle w:val="1343"/>
              <w:adjustRightInd/>
              <w:snapToGrid/>
              <w:contextualSpacing/>
            </w:pPr>
            <w:r>
              <w:t>58.1</w:t>
            </w:r>
          </w:p>
        </w:tc>
      </w:tr>
      <w:tr w14:paraId="45DFB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exact"/>
        </w:trPr>
        <w:tc>
          <w:tcPr>
            <w:tcW w:w="442" w:type="pct"/>
            <w:vAlign w:val="center"/>
          </w:tcPr>
          <w:p w14:paraId="2EB762EB">
            <w:pPr>
              <w:pStyle w:val="1343"/>
              <w:adjustRightInd/>
              <w:snapToGrid/>
              <w:contextualSpacing/>
            </w:pPr>
            <w:r>
              <w:t>9</w:t>
            </w:r>
          </w:p>
        </w:tc>
        <w:tc>
          <w:tcPr>
            <w:tcW w:w="880" w:type="pct"/>
            <w:shd w:val="clear" w:color="auto" w:fill="auto"/>
            <w:vAlign w:val="center"/>
          </w:tcPr>
          <w:p w14:paraId="0C6782C0">
            <w:pPr>
              <w:pStyle w:val="1343"/>
              <w:adjustRightInd/>
              <w:snapToGrid/>
              <w:contextualSpacing/>
            </w:pPr>
            <w:r>
              <w:t>混凝土振捣棒</w:t>
            </w:r>
          </w:p>
        </w:tc>
        <w:tc>
          <w:tcPr>
            <w:tcW w:w="325" w:type="pct"/>
            <w:shd w:val="clear" w:color="auto" w:fill="auto"/>
            <w:vAlign w:val="center"/>
          </w:tcPr>
          <w:p w14:paraId="35DDD7B4">
            <w:pPr>
              <w:pStyle w:val="1343"/>
              <w:adjustRightInd/>
              <w:snapToGrid/>
              <w:contextualSpacing/>
            </w:pPr>
            <w:r>
              <w:t>82.0</w:t>
            </w:r>
          </w:p>
        </w:tc>
        <w:tc>
          <w:tcPr>
            <w:tcW w:w="360" w:type="pct"/>
            <w:shd w:val="clear" w:color="auto" w:fill="auto"/>
            <w:vAlign w:val="center"/>
          </w:tcPr>
          <w:p w14:paraId="7457DD61">
            <w:pPr>
              <w:pStyle w:val="1343"/>
              <w:adjustRightInd/>
              <w:snapToGrid/>
              <w:contextualSpacing/>
            </w:pPr>
            <w:r>
              <w:t>76.0</w:t>
            </w:r>
          </w:p>
        </w:tc>
        <w:tc>
          <w:tcPr>
            <w:tcW w:w="348" w:type="pct"/>
            <w:shd w:val="clear" w:color="auto" w:fill="auto"/>
            <w:vAlign w:val="center"/>
          </w:tcPr>
          <w:p w14:paraId="1AC20615">
            <w:pPr>
              <w:pStyle w:val="1343"/>
              <w:adjustRightInd/>
              <w:snapToGrid/>
              <w:contextualSpacing/>
            </w:pPr>
            <w:r>
              <w:t>72.4</w:t>
            </w:r>
          </w:p>
        </w:tc>
        <w:tc>
          <w:tcPr>
            <w:tcW w:w="340" w:type="pct"/>
            <w:shd w:val="clear" w:color="auto" w:fill="auto"/>
            <w:vAlign w:val="center"/>
          </w:tcPr>
          <w:p w14:paraId="51932B3B">
            <w:pPr>
              <w:pStyle w:val="1343"/>
              <w:adjustRightInd/>
              <w:snapToGrid/>
              <w:contextualSpacing/>
            </w:pPr>
            <w:r>
              <w:t>68.0</w:t>
            </w:r>
          </w:p>
        </w:tc>
        <w:tc>
          <w:tcPr>
            <w:tcW w:w="383" w:type="pct"/>
            <w:shd w:val="clear" w:color="auto" w:fill="auto"/>
            <w:vAlign w:val="center"/>
          </w:tcPr>
          <w:p w14:paraId="04F48240">
            <w:pPr>
              <w:pStyle w:val="1343"/>
              <w:adjustRightInd/>
              <w:snapToGrid/>
              <w:contextualSpacing/>
            </w:pPr>
            <w:r>
              <w:t>62.0</w:t>
            </w:r>
          </w:p>
        </w:tc>
        <w:tc>
          <w:tcPr>
            <w:tcW w:w="383" w:type="pct"/>
            <w:shd w:val="clear" w:color="auto" w:fill="auto"/>
            <w:vAlign w:val="center"/>
          </w:tcPr>
          <w:p w14:paraId="4C905843">
            <w:pPr>
              <w:pStyle w:val="1343"/>
              <w:adjustRightInd/>
              <w:snapToGrid/>
              <w:contextualSpacing/>
            </w:pPr>
            <w:r>
              <w:t>58.5</w:t>
            </w:r>
          </w:p>
        </w:tc>
        <w:tc>
          <w:tcPr>
            <w:tcW w:w="383" w:type="pct"/>
            <w:shd w:val="clear" w:color="auto" w:fill="auto"/>
            <w:vAlign w:val="center"/>
          </w:tcPr>
          <w:p w14:paraId="700EB0CA">
            <w:pPr>
              <w:pStyle w:val="1343"/>
              <w:adjustRightInd/>
              <w:snapToGrid/>
              <w:contextualSpacing/>
            </w:pPr>
            <w:r>
              <w:t>56.0</w:t>
            </w:r>
          </w:p>
        </w:tc>
        <w:tc>
          <w:tcPr>
            <w:tcW w:w="383" w:type="pct"/>
            <w:shd w:val="clear" w:color="auto" w:fill="auto"/>
            <w:vAlign w:val="center"/>
          </w:tcPr>
          <w:p w14:paraId="5A91902E">
            <w:pPr>
              <w:pStyle w:val="1343"/>
              <w:adjustRightInd/>
              <w:snapToGrid/>
              <w:contextualSpacing/>
            </w:pPr>
            <w:r>
              <w:t>54.0</w:t>
            </w:r>
          </w:p>
        </w:tc>
        <w:tc>
          <w:tcPr>
            <w:tcW w:w="384" w:type="pct"/>
            <w:shd w:val="clear" w:color="auto" w:fill="auto"/>
            <w:vAlign w:val="center"/>
          </w:tcPr>
          <w:p w14:paraId="3392E7F2">
            <w:pPr>
              <w:pStyle w:val="1343"/>
              <w:adjustRightInd/>
              <w:snapToGrid/>
              <w:contextualSpacing/>
            </w:pPr>
            <w:r>
              <w:t>52.4</w:t>
            </w:r>
          </w:p>
        </w:tc>
        <w:tc>
          <w:tcPr>
            <w:tcW w:w="383" w:type="pct"/>
            <w:shd w:val="clear" w:color="auto" w:fill="auto"/>
            <w:vAlign w:val="center"/>
          </w:tcPr>
          <w:p w14:paraId="1DC464FD">
            <w:pPr>
              <w:pStyle w:val="1343"/>
              <w:adjustRightInd/>
              <w:snapToGrid/>
              <w:contextualSpacing/>
            </w:pPr>
            <w:r>
              <w:t>51.1</w:t>
            </w:r>
          </w:p>
        </w:tc>
      </w:tr>
      <w:tr w14:paraId="5325F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exact"/>
        </w:trPr>
        <w:tc>
          <w:tcPr>
            <w:tcW w:w="442" w:type="pct"/>
            <w:vAlign w:val="center"/>
          </w:tcPr>
          <w:p w14:paraId="2D10F4B8">
            <w:pPr>
              <w:pStyle w:val="1343"/>
              <w:adjustRightInd/>
              <w:snapToGrid/>
              <w:contextualSpacing/>
            </w:pPr>
            <w:r>
              <w:t>10</w:t>
            </w:r>
          </w:p>
        </w:tc>
        <w:tc>
          <w:tcPr>
            <w:tcW w:w="880" w:type="pct"/>
            <w:shd w:val="clear" w:color="auto" w:fill="auto"/>
            <w:vAlign w:val="center"/>
          </w:tcPr>
          <w:p w14:paraId="411CDD50">
            <w:pPr>
              <w:pStyle w:val="1343"/>
              <w:adjustRightInd/>
              <w:snapToGrid/>
              <w:contextualSpacing/>
            </w:pPr>
            <w:r>
              <w:rPr>
                <w:rFonts w:hint="eastAsia"/>
              </w:rPr>
              <w:t>液压顶管机</w:t>
            </w:r>
          </w:p>
        </w:tc>
        <w:tc>
          <w:tcPr>
            <w:tcW w:w="325" w:type="pct"/>
            <w:shd w:val="clear" w:color="auto" w:fill="auto"/>
            <w:vAlign w:val="center"/>
          </w:tcPr>
          <w:p w14:paraId="6CB61EC5">
            <w:pPr>
              <w:pStyle w:val="1343"/>
              <w:adjustRightInd/>
              <w:snapToGrid/>
              <w:contextualSpacing/>
            </w:pPr>
            <w:r>
              <w:t>84.0</w:t>
            </w:r>
          </w:p>
        </w:tc>
        <w:tc>
          <w:tcPr>
            <w:tcW w:w="360" w:type="pct"/>
            <w:shd w:val="clear" w:color="auto" w:fill="auto"/>
            <w:vAlign w:val="center"/>
          </w:tcPr>
          <w:p w14:paraId="18781903">
            <w:pPr>
              <w:pStyle w:val="1343"/>
              <w:adjustRightInd/>
              <w:snapToGrid/>
              <w:contextualSpacing/>
            </w:pPr>
            <w:r>
              <w:t>78.0</w:t>
            </w:r>
          </w:p>
        </w:tc>
        <w:tc>
          <w:tcPr>
            <w:tcW w:w="348" w:type="pct"/>
            <w:shd w:val="clear" w:color="auto" w:fill="auto"/>
            <w:vAlign w:val="center"/>
          </w:tcPr>
          <w:p w14:paraId="2C83F3D3">
            <w:pPr>
              <w:pStyle w:val="1343"/>
              <w:adjustRightInd/>
              <w:snapToGrid/>
              <w:contextualSpacing/>
            </w:pPr>
            <w:r>
              <w:t>74.4</w:t>
            </w:r>
          </w:p>
        </w:tc>
        <w:tc>
          <w:tcPr>
            <w:tcW w:w="340" w:type="pct"/>
            <w:shd w:val="clear" w:color="auto" w:fill="auto"/>
            <w:vAlign w:val="center"/>
          </w:tcPr>
          <w:p w14:paraId="755919E6">
            <w:pPr>
              <w:pStyle w:val="1343"/>
              <w:adjustRightInd/>
              <w:snapToGrid/>
              <w:contextualSpacing/>
            </w:pPr>
            <w:r>
              <w:t>70.0</w:t>
            </w:r>
          </w:p>
        </w:tc>
        <w:tc>
          <w:tcPr>
            <w:tcW w:w="383" w:type="pct"/>
            <w:shd w:val="clear" w:color="auto" w:fill="auto"/>
            <w:vAlign w:val="center"/>
          </w:tcPr>
          <w:p w14:paraId="23E3ED1F">
            <w:pPr>
              <w:pStyle w:val="1343"/>
              <w:adjustRightInd/>
              <w:snapToGrid/>
              <w:contextualSpacing/>
            </w:pPr>
            <w:r>
              <w:t>64.0</w:t>
            </w:r>
          </w:p>
        </w:tc>
        <w:tc>
          <w:tcPr>
            <w:tcW w:w="383" w:type="pct"/>
            <w:shd w:val="clear" w:color="auto" w:fill="auto"/>
            <w:vAlign w:val="center"/>
          </w:tcPr>
          <w:p w14:paraId="4E645DD8">
            <w:pPr>
              <w:pStyle w:val="1343"/>
              <w:adjustRightInd/>
              <w:snapToGrid/>
              <w:contextualSpacing/>
            </w:pPr>
            <w:r>
              <w:t>60.5</w:t>
            </w:r>
          </w:p>
        </w:tc>
        <w:tc>
          <w:tcPr>
            <w:tcW w:w="383" w:type="pct"/>
            <w:shd w:val="clear" w:color="auto" w:fill="auto"/>
            <w:vAlign w:val="center"/>
          </w:tcPr>
          <w:p w14:paraId="53A5ED22">
            <w:pPr>
              <w:pStyle w:val="1343"/>
              <w:adjustRightInd/>
              <w:snapToGrid/>
              <w:contextualSpacing/>
            </w:pPr>
            <w:r>
              <w:t>58.0</w:t>
            </w:r>
          </w:p>
        </w:tc>
        <w:tc>
          <w:tcPr>
            <w:tcW w:w="383" w:type="pct"/>
            <w:shd w:val="clear" w:color="auto" w:fill="auto"/>
            <w:vAlign w:val="center"/>
          </w:tcPr>
          <w:p w14:paraId="4254F3C1">
            <w:pPr>
              <w:pStyle w:val="1343"/>
              <w:adjustRightInd/>
              <w:snapToGrid/>
              <w:contextualSpacing/>
            </w:pPr>
            <w:r>
              <w:t>56.0</w:t>
            </w:r>
          </w:p>
        </w:tc>
        <w:tc>
          <w:tcPr>
            <w:tcW w:w="384" w:type="pct"/>
            <w:shd w:val="clear" w:color="auto" w:fill="auto"/>
            <w:vAlign w:val="center"/>
          </w:tcPr>
          <w:p w14:paraId="44AE0A3A">
            <w:pPr>
              <w:pStyle w:val="1343"/>
              <w:adjustRightInd/>
              <w:snapToGrid/>
              <w:contextualSpacing/>
            </w:pPr>
            <w:r>
              <w:t>54.4</w:t>
            </w:r>
          </w:p>
        </w:tc>
        <w:tc>
          <w:tcPr>
            <w:tcW w:w="383" w:type="pct"/>
            <w:shd w:val="clear" w:color="auto" w:fill="auto"/>
            <w:vAlign w:val="center"/>
          </w:tcPr>
          <w:p w14:paraId="607A6172">
            <w:pPr>
              <w:pStyle w:val="1343"/>
              <w:adjustRightInd/>
              <w:snapToGrid/>
              <w:contextualSpacing/>
            </w:pPr>
            <w:r>
              <w:t>53.1</w:t>
            </w:r>
          </w:p>
        </w:tc>
      </w:tr>
      <w:tr w14:paraId="2F05B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exact"/>
        </w:trPr>
        <w:tc>
          <w:tcPr>
            <w:tcW w:w="442" w:type="pct"/>
            <w:vAlign w:val="center"/>
          </w:tcPr>
          <w:p w14:paraId="5088E069">
            <w:pPr>
              <w:pStyle w:val="1343"/>
              <w:adjustRightInd/>
              <w:snapToGrid/>
              <w:contextualSpacing/>
            </w:pPr>
            <w:r>
              <w:rPr>
                <w:rFonts w:hint="eastAsia"/>
              </w:rPr>
              <w:t>11</w:t>
            </w:r>
          </w:p>
        </w:tc>
        <w:tc>
          <w:tcPr>
            <w:tcW w:w="880" w:type="pct"/>
            <w:shd w:val="clear" w:color="auto" w:fill="auto"/>
            <w:vAlign w:val="center"/>
          </w:tcPr>
          <w:p w14:paraId="7510F16A">
            <w:pPr>
              <w:pStyle w:val="1343"/>
              <w:adjustRightInd/>
              <w:snapToGrid/>
              <w:contextualSpacing/>
            </w:pPr>
            <w:r>
              <w:t>运输车辆</w:t>
            </w:r>
          </w:p>
        </w:tc>
        <w:tc>
          <w:tcPr>
            <w:tcW w:w="325" w:type="pct"/>
            <w:shd w:val="clear" w:color="auto" w:fill="auto"/>
            <w:vAlign w:val="center"/>
          </w:tcPr>
          <w:p w14:paraId="4B67D074">
            <w:pPr>
              <w:pStyle w:val="1343"/>
              <w:adjustRightInd/>
              <w:snapToGrid/>
              <w:contextualSpacing/>
            </w:pPr>
            <w:r>
              <w:t>84.0</w:t>
            </w:r>
          </w:p>
        </w:tc>
        <w:tc>
          <w:tcPr>
            <w:tcW w:w="360" w:type="pct"/>
            <w:shd w:val="clear" w:color="auto" w:fill="auto"/>
            <w:vAlign w:val="center"/>
          </w:tcPr>
          <w:p w14:paraId="05AECFBD">
            <w:pPr>
              <w:pStyle w:val="1343"/>
              <w:adjustRightInd/>
              <w:snapToGrid/>
              <w:contextualSpacing/>
            </w:pPr>
            <w:r>
              <w:t>78.0</w:t>
            </w:r>
          </w:p>
        </w:tc>
        <w:tc>
          <w:tcPr>
            <w:tcW w:w="348" w:type="pct"/>
            <w:shd w:val="clear" w:color="auto" w:fill="auto"/>
            <w:vAlign w:val="center"/>
          </w:tcPr>
          <w:p w14:paraId="31EE3E25">
            <w:pPr>
              <w:pStyle w:val="1343"/>
              <w:adjustRightInd/>
              <w:snapToGrid/>
              <w:contextualSpacing/>
            </w:pPr>
            <w:r>
              <w:t>74.4</w:t>
            </w:r>
          </w:p>
        </w:tc>
        <w:tc>
          <w:tcPr>
            <w:tcW w:w="340" w:type="pct"/>
            <w:shd w:val="clear" w:color="auto" w:fill="auto"/>
            <w:vAlign w:val="center"/>
          </w:tcPr>
          <w:p w14:paraId="7153F1FC">
            <w:pPr>
              <w:pStyle w:val="1343"/>
              <w:adjustRightInd/>
              <w:snapToGrid/>
              <w:contextualSpacing/>
            </w:pPr>
            <w:r>
              <w:t>70.0</w:t>
            </w:r>
          </w:p>
        </w:tc>
        <w:tc>
          <w:tcPr>
            <w:tcW w:w="383" w:type="pct"/>
            <w:shd w:val="clear" w:color="auto" w:fill="auto"/>
            <w:vAlign w:val="center"/>
          </w:tcPr>
          <w:p w14:paraId="00B83FF1">
            <w:pPr>
              <w:pStyle w:val="1343"/>
              <w:adjustRightInd/>
              <w:snapToGrid/>
              <w:contextualSpacing/>
            </w:pPr>
            <w:r>
              <w:t>64.0</w:t>
            </w:r>
          </w:p>
        </w:tc>
        <w:tc>
          <w:tcPr>
            <w:tcW w:w="383" w:type="pct"/>
            <w:shd w:val="clear" w:color="auto" w:fill="auto"/>
            <w:vAlign w:val="center"/>
          </w:tcPr>
          <w:p w14:paraId="69AD025B">
            <w:pPr>
              <w:pStyle w:val="1343"/>
              <w:adjustRightInd/>
              <w:snapToGrid/>
              <w:contextualSpacing/>
            </w:pPr>
            <w:r>
              <w:t>60.5</w:t>
            </w:r>
          </w:p>
        </w:tc>
        <w:tc>
          <w:tcPr>
            <w:tcW w:w="383" w:type="pct"/>
            <w:shd w:val="clear" w:color="auto" w:fill="auto"/>
            <w:vAlign w:val="center"/>
          </w:tcPr>
          <w:p w14:paraId="3D9C7C8F">
            <w:pPr>
              <w:pStyle w:val="1343"/>
              <w:adjustRightInd/>
              <w:snapToGrid/>
              <w:contextualSpacing/>
            </w:pPr>
            <w:r>
              <w:t>58.0</w:t>
            </w:r>
          </w:p>
        </w:tc>
        <w:tc>
          <w:tcPr>
            <w:tcW w:w="383" w:type="pct"/>
            <w:shd w:val="clear" w:color="auto" w:fill="auto"/>
            <w:vAlign w:val="center"/>
          </w:tcPr>
          <w:p w14:paraId="388907F0">
            <w:pPr>
              <w:pStyle w:val="1343"/>
              <w:adjustRightInd/>
              <w:snapToGrid/>
              <w:contextualSpacing/>
            </w:pPr>
            <w:r>
              <w:t>56.0</w:t>
            </w:r>
          </w:p>
        </w:tc>
        <w:tc>
          <w:tcPr>
            <w:tcW w:w="384" w:type="pct"/>
            <w:shd w:val="clear" w:color="auto" w:fill="auto"/>
            <w:vAlign w:val="center"/>
          </w:tcPr>
          <w:p w14:paraId="591A39AD">
            <w:pPr>
              <w:pStyle w:val="1343"/>
              <w:adjustRightInd/>
              <w:snapToGrid/>
              <w:contextualSpacing/>
            </w:pPr>
            <w:r>
              <w:t>54.4</w:t>
            </w:r>
          </w:p>
        </w:tc>
        <w:tc>
          <w:tcPr>
            <w:tcW w:w="383" w:type="pct"/>
            <w:shd w:val="clear" w:color="auto" w:fill="auto"/>
            <w:vAlign w:val="center"/>
          </w:tcPr>
          <w:p w14:paraId="62869097">
            <w:pPr>
              <w:pStyle w:val="1343"/>
              <w:adjustRightInd/>
              <w:snapToGrid/>
              <w:contextualSpacing/>
            </w:pPr>
            <w:r>
              <w:t>53.1</w:t>
            </w:r>
          </w:p>
        </w:tc>
      </w:tr>
    </w:tbl>
    <w:p w14:paraId="601CE028">
      <w:pPr>
        <w:pStyle w:val="7"/>
        <w:spacing w:before="120" w:beforeLines="50"/>
        <w:rPr>
          <w:b/>
        </w:rPr>
      </w:pPr>
      <w:r>
        <w:rPr>
          <w:rFonts w:hint="eastAsia"/>
          <w:sz w:val="23"/>
          <w:szCs w:val="23"/>
        </w:rPr>
        <w:t xml:space="preserve"> </w:t>
      </w:r>
      <w:r>
        <w:rPr>
          <w:sz w:val="23"/>
          <w:szCs w:val="23"/>
        </w:rPr>
        <w:t>施工机械对管线两侧近距离声环境保护目标的影响</w:t>
      </w:r>
    </w:p>
    <w:p w14:paraId="5A2037F9">
      <w:pPr>
        <w:pStyle w:val="234"/>
      </w:pPr>
      <w:r>
        <w:t>管线施工过程中，考虑不同施工机械噪声叠加影响的不利条件下，施工噪声将对沿线各环境敏感点均不同程度的产生噪声影响。拟建项目开挖工程施工机械为流动作业，近似按位于管线中心线位置的点源考虑，距离施工场界</w:t>
      </w:r>
      <w:r>
        <w:rPr>
          <w:rFonts w:hint="eastAsia"/>
        </w:rPr>
        <w:t>5</w:t>
      </w:r>
      <w:r>
        <w:t>m。顶管施工为固定作业，施工机械布置在施工场地中部，距离施工场界约10m。施工时间按昼间、夜间同负荷连续作业考虑。根据不同施工阶段的特点，假设施工机械同时作业的情景，预测不同施工阶段在施工场界处的噪声影响，见表</w:t>
      </w:r>
      <w:r>
        <w:rPr>
          <w:rFonts w:hint="eastAsia"/>
        </w:rPr>
        <w:t>6</w:t>
      </w:r>
      <w:r>
        <w:t>.1-4。</w:t>
      </w:r>
    </w:p>
    <w:p w14:paraId="67564EB2">
      <w:pPr>
        <w:pStyle w:val="904"/>
      </w:pPr>
      <w:r>
        <w:t xml:space="preserve">表 </w:t>
      </w:r>
      <w:r>
        <w:rPr>
          <w:rFonts w:hint="eastAsia"/>
        </w:rPr>
        <w:t>6</w:t>
      </w:r>
      <w:r>
        <w:t>.1-4 管线施工阶段在施工厂界处的噪声级单位：dB(A)</w:t>
      </w:r>
    </w:p>
    <w:tbl>
      <w:tblPr>
        <w:tblStyle w:val="88"/>
        <w:tblW w:w="5006" w:type="pct"/>
        <w:jc w:val="center"/>
        <w:tblLayout w:type="fixed"/>
        <w:tblCellMar>
          <w:top w:w="0" w:type="dxa"/>
          <w:left w:w="0" w:type="dxa"/>
          <w:bottom w:w="0" w:type="dxa"/>
          <w:right w:w="0" w:type="dxa"/>
        </w:tblCellMar>
      </w:tblPr>
      <w:tblGrid>
        <w:gridCol w:w="2694"/>
        <w:gridCol w:w="1146"/>
        <w:gridCol w:w="1010"/>
        <w:gridCol w:w="1406"/>
        <w:gridCol w:w="1406"/>
        <w:gridCol w:w="1426"/>
      </w:tblGrid>
      <w:tr w14:paraId="0CAE9DB8">
        <w:tblPrEx>
          <w:tblCellMar>
            <w:top w:w="0" w:type="dxa"/>
            <w:left w:w="0" w:type="dxa"/>
            <w:bottom w:w="0" w:type="dxa"/>
            <w:right w:w="0" w:type="dxa"/>
          </w:tblCellMar>
        </w:tblPrEx>
        <w:trPr>
          <w:trHeight w:val="340" w:hRule="atLeast"/>
          <w:jc w:val="center"/>
        </w:trPr>
        <w:tc>
          <w:tcPr>
            <w:tcW w:w="2692" w:type="dxa"/>
            <w:tcBorders>
              <w:top w:val="single" w:color="000000" w:sz="2" w:space="0"/>
              <w:left w:val="single" w:color="000000" w:sz="2" w:space="0"/>
              <w:bottom w:val="single" w:color="000000" w:sz="2" w:space="0"/>
              <w:right w:val="single" w:color="000000" w:sz="2" w:space="0"/>
            </w:tcBorders>
            <w:vAlign w:val="center"/>
          </w:tcPr>
          <w:p w14:paraId="3A93C53C">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同时作业的机械组合</w:t>
            </w:r>
          </w:p>
        </w:tc>
        <w:tc>
          <w:tcPr>
            <w:tcW w:w="1145" w:type="dxa"/>
            <w:tcBorders>
              <w:top w:val="single" w:color="000000" w:sz="2" w:space="0"/>
              <w:left w:val="single" w:color="000000" w:sz="2" w:space="0"/>
              <w:bottom w:val="single" w:color="000000" w:sz="2" w:space="0"/>
              <w:right w:val="single" w:color="000000" w:sz="2" w:space="0"/>
            </w:tcBorders>
            <w:vAlign w:val="center"/>
          </w:tcPr>
          <w:p w14:paraId="17F52EF3">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施工场界预</w:t>
            </w:r>
          </w:p>
          <w:p w14:paraId="5CCBB8B9">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测值</w:t>
            </w:r>
          </w:p>
        </w:tc>
        <w:tc>
          <w:tcPr>
            <w:tcW w:w="1010" w:type="dxa"/>
            <w:tcBorders>
              <w:top w:val="single" w:color="000000" w:sz="2" w:space="0"/>
              <w:left w:val="single" w:color="000000" w:sz="2" w:space="0"/>
              <w:bottom w:val="single" w:color="000000" w:sz="2" w:space="0"/>
              <w:right w:val="single" w:color="000000" w:sz="2" w:space="0"/>
            </w:tcBorders>
            <w:vAlign w:val="center"/>
          </w:tcPr>
          <w:p w14:paraId="33189E24">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昼间标准</w:t>
            </w:r>
          </w:p>
        </w:tc>
        <w:tc>
          <w:tcPr>
            <w:tcW w:w="1405" w:type="dxa"/>
            <w:tcBorders>
              <w:top w:val="single" w:color="000000" w:sz="2" w:space="0"/>
              <w:left w:val="single" w:color="000000" w:sz="2" w:space="0"/>
              <w:bottom w:val="single" w:color="000000" w:sz="2" w:space="0"/>
              <w:right w:val="single" w:color="000000" w:sz="2" w:space="0"/>
            </w:tcBorders>
            <w:vAlign w:val="center"/>
          </w:tcPr>
          <w:p w14:paraId="371D6F1B">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昼间达标情况</w:t>
            </w:r>
          </w:p>
        </w:tc>
        <w:tc>
          <w:tcPr>
            <w:tcW w:w="1405" w:type="dxa"/>
            <w:tcBorders>
              <w:top w:val="single" w:color="000000" w:sz="2" w:space="0"/>
              <w:left w:val="single" w:color="000000" w:sz="2" w:space="0"/>
              <w:bottom w:val="single" w:color="000000" w:sz="2" w:space="0"/>
              <w:right w:val="single" w:color="000000" w:sz="2" w:space="0"/>
            </w:tcBorders>
            <w:vAlign w:val="center"/>
          </w:tcPr>
          <w:p w14:paraId="1E6FA57D">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夜间标准</w:t>
            </w:r>
          </w:p>
        </w:tc>
        <w:tc>
          <w:tcPr>
            <w:tcW w:w="1425" w:type="dxa"/>
            <w:tcBorders>
              <w:top w:val="single" w:color="000000" w:sz="2" w:space="0"/>
              <w:left w:val="single" w:color="000000" w:sz="2" w:space="0"/>
              <w:bottom w:val="single" w:color="000000" w:sz="2" w:space="0"/>
              <w:right w:val="single" w:color="000000" w:sz="2" w:space="0"/>
            </w:tcBorders>
            <w:vAlign w:val="center"/>
          </w:tcPr>
          <w:p w14:paraId="0E93F6AD">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夜间达标情况</w:t>
            </w:r>
          </w:p>
        </w:tc>
      </w:tr>
      <w:tr w14:paraId="0EEA8642">
        <w:tblPrEx>
          <w:tblCellMar>
            <w:top w:w="0" w:type="dxa"/>
            <w:left w:w="0" w:type="dxa"/>
            <w:bottom w:w="0" w:type="dxa"/>
            <w:right w:w="0" w:type="dxa"/>
          </w:tblCellMar>
        </w:tblPrEx>
        <w:trPr>
          <w:trHeight w:val="340" w:hRule="atLeast"/>
          <w:jc w:val="center"/>
        </w:trPr>
        <w:tc>
          <w:tcPr>
            <w:tcW w:w="9082" w:type="dxa"/>
            <w:gridSpan w:val="6"/>
            <w:tcBorders>
              <w:top w:val="single" w:color="000000" w:sz="2" w:space="0"/>
              <w:left w:val="single" w:color="000000" w:sz="2" w:space="0"/>
              <w:bottom w:val="single" w:color="000000" w:sz="2" w:space="0"/>
              <w:right w:val="single" w:color="000000" w:sz="2" w:space="0"/>
            </w:tcBorders>
            <w:vAlign w:val="center"/>
          </w:tcPr>
          <w:p w14:paraId="0BD5832A">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土方作业</w:t>
            </w:r>
          </w:p>
        </w:tc>
      </w:tr>
      <w:tr w14:paraId="5629A4CA">
        <w:tblPrEx>
          <w:tblCellMar>
            <w:top w:w="0" w:type="dxa"/>
            <w:left w:w="0" w:type="dxa"/>
            <w:bottom w:w="0" w:type="dxa"/>
            <w:right w:w="0" w:type="dxa"/>
          </w:tblCellMar>
        </w:tblPrEx>
        <w:trPr>
          <w:trHeight w:val="340" w:hRule="atLeast"/>
          <w:jc w:val="center"/>
        </w:trPr>
        <w:tc>
          <w:tcPr>
            <w:tcW w:w="2692" w:type="dxa"/>
            <w:tcBorders>
              <w:top w:val="single" w:color="000000" w:sz="2" w:space="0"/>
              <w:left w:val="single" w:color="000000" w:sz="2" w:space="0"/>
              <w:bottom w:val="single" w:color="000000" w:sz="2" w:space="0"/>
              <w:right w:val="single" w:color="000000" w:sz="2" w:space="0"/>
            </w:tcBorders>
            <w:vAlign w:val="center"/>
          </w:tcPr>
          <w:p w14:paraId="1A527DBC">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挖掘机×2</w:t>
            </w:r>
          </w:p>
          <w:p w14:paraId="199BBD78">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装载机×2</w:t>
            </w:r>
          </w:p>
          <w:p w14:paraId="7C654F86">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运输车×2</w:t>
            </w:r>
          </w:p>
          <w:p w14:paraId="7FBD8A47">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柴油发电机×1</w:t>
            </w:r>
          </w:p>
        </w:tc>
        <w:tc>
          <w:tcPr>
            <w:tcW w:w="1145" w:type="dxa"/>
            <w:tcBorders>
              <w:top w:val="single" w:color="000000" w:sz="2" w:space="0"/>
              <w:left w:val="single" w:color="000000" w:sz="2" w:space="0"/>
              <w:bottom w:val="single" w:color="000000" w:sz="2" w:space="0"/>
              <w:right w:val="single" w:color="000000" w:sz="2" w:space="0"/>
            </w:tcBorders>
            <w:vAlign w:val="center"/>
          </w:tcPr>
          <w:p w14:paraId="2B999CC8">
            <w:pPr>
              <w:pStyle w:val="3084"/>
              <w:adjustRightInd w:val="0"/>
              <w:snapToGrid w:val="0"/>
              <w:spacing w:line="240" w:lineRule="auto"/>
              <w:jc w:val="center"/>
              <w:rPr>
                <w:rFonts w:ascii="Times New Roman" w:hAnsi="Times New Roman" w:eastAsia="宋体"/>
                <w:b w:val="0"/>
                <w:color w:val="auto"/>
                <w:szCs w:val="21"/>
              </w:rPr>
            </w:pPr>
            <w:r>
              <w:rPr>
                <w:rFonts w:hint="eastAsia" w:ascii="Times New Roman" w:hAnsi="Times New Roman" w:eastAsia="宋体"/>
                <w:b w:val="0"/>
                <w:color w:val="auto"/>
                <w:szCs w:val="21"/>
              </w:rPr>
              <w:t>103</w:t>
            </w:r>
          </w:p>
        </w:tc>
        <w:tc>
          <w:tcPr>
            <w:tcW w:w="1010" w:type="dxa"/>
            <w:tcBorders>
              <w:top w:val="single" w:color="000000" w:sz="2" w:space="0"/>
              <w:left w:val="single" w:color="000000" w:sz="2" w:space="0"/>
              <w:bottom w:val="single" w:color="000000" w:sz="2" w:space="0"/>
              <w:right w:val="single" w:color="000000" w:sz="2" w:space="0"/>
            </w:tcBorders>
            <w:vAlign w:val="center"/>
          </w:tcPr>
          <w:p w14:paraId="54C7E130">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70</w:t>
            </w:r>
          </w:p>
        </w:tc>
        <w:tc>
          <w:tcPr>
            <w:tcW w:w="1405" w:type="dxa"/>
            <w:tcBorders>
              <w:top w:val="single" w:color="000000" w:sz="2" w:space="0"/>
              <w:left w:val="single" w:color="000000" w:sz="2" w:space="0"/>
              <w:bottom w:val="single" w:color="000000" w:sz="2" w:space="0"/>
              <w:right w:val="single" w:color="000000" w:sz="2" w:space="0"/>
            </w:tcBorders>
            <w:vAlign w:val="center"/>
          </w:tcPr>
          <w:p w14:paraId="31190D5C">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超标</w:t>
            </w:r>
            <w:r>
              <w:rPr>
                <w:rFonts w:hint="eastAsia" w:ascii="Times New Roman" w:hAnsi="Times New Roman" w:eastAsia="宋体"/>
                <w:b w:val="0"/>
                <w:color w:val="auto"/>
                <w:szCs w:val="21"/>
              </w:rPr>
              <w:t>33</w:t>
            </w:r>
          </w:p>
        </w:tc>
        <w:tc>
          <w:tcPr>
            <w:tcW w:w="1405" w:type="dxa"/>
            <w:tcBorders>
              <w:top w:val="single" w:color="000000" w:sz="2" w:space="0"/>
              <w:left w:val="single" w:color="000000" w:sz="2" w:space="0"/>
              <w:bottom w:val="single" w:color="000000" w:sz="2" w:space="0"/>
              <w:right w:val="single" w:color="000000" w:sz="2" w:space="0"/>
            </w:tcBorders>
            <w:vAlign w:val="center"/>
          </w:tcPr>
          <w:p w14:paraId="0CA610E1">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55</w:t>
            </w:r>
          </w:p>
        </w:tc>
        <w:tc>
          <w:tcPr>
            <w:tcW w:w="1425" w:type="dxa"/>
            <w:tcBorders>
              <w:top w:val="single" w:color="000000" w:sz="2" w:space="0"/>
              <w:left w:val="single" w:color="000000" w:sz="2" w:space="0"/>
              <w:bottom w:val="single" w:color="000000" w:sz="2" w:space="0"/>
              <w:right w:val="single" w:color="000000" w:sz="2" w:space="0"/>
            </w:tcBorders>
            <w:vAlign w:val="center"/>
          </w:tcPr>
          <w:p w14:paraId="0D4D30CB">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超标</w:t>
            </w:r>
            <w:r>
              <w:rPr>
                <w:rFonts w:hint="eastAsia" w:ascii="Times New Roman" w:hAnsi="Times New Roman" w:eastAsia="宋体"/>
                <w:b w:val="0"/>
                <w:color w:val="auto"/>
                <w:szCs w:val="21"/>
              </w:rPr>
              <w:t>48</w:t>
            </w:r>
          </w:p>
        </w:tc>
      </w:tr>
      <w:tr w14:paraId="73FA8B72">
        <w:tblPrEx>
          <w:tblCellMar>
            <w:top w:w="0" w:type="dxa"/>
            <w:left w:w="0" w:type="dxa"/>
            <w:bottom w:w="0" w:type="dxa"/>
            <w:right w:w="0" w:type="dxa"/>
          </w:tblCellMar>
        </w:tblPrEx>
        <w:trPr>
          <w:trHeight w:val="340" w:hRule="atLeast"/>
          <w:jc w:val="center"/>
        </w:trPr>
        <w:tc>
          <w:tcPr>
            <w:tcW w:w="9082" w:type="dxa"/>
            <w:gridSpan w:val="6"/>
            <w:tcBorders>
              <w:top w:val="single" w:color="000000" w:sz="2" w:space="0"/>
              <w:left w:val="single" w:color="000000" w:sz="2" w:space="0"/>
              <w:bottom w:val="single" w:color="000000" w:sz="2" w:space="0"/>
              <w:right w:val="single" w:color="000000" w:sz="2" w:space="0"/>
            </w:tcBorders>
            <w:vAlign w:val="center"/>
          </w:tcPr>
          <w:p w14:paraId="7AF5B1FC">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顶管施工</w:t>
            </w:r>
          </w:p>
        </w:tc>
      </w:tr>
      <w:tr w14:paraId="0EC32BA1">
        <w:tblPrEx>
          <w:tblCellMar>
            <w:top w:w="0" w:type="dxa"/>
            <w:left w:w="0" w:type="dxa"/>
            <w:bottom w:w="0" w:type="dxa"/>
            <w:right w:w="0" w:type="dxa"/>
          </w:tblCellMar>
        </w:tblPrEx>
        <w:trPr>
          <w:trHeight w:val="340" w:hRule="atLeast"/>
          <w:jc w:val="center"/>
        </w:trPr>
        <w:tc>
          <w:tcPr>
            <w:tcW w:w="2692" w:type="dxa"/>
            <w:tcBorders>
              <w:top w:val="single" w:color="000000" w:sz="2" w:space="0"/>
              <w:left w:val="single" w:color="000000" w:sz="2" w:space="0"/>
              <w:bottom w:val="single" w:color="000000" w:sz="2" w:space="0"/>
              <w:right w:val="single" w:color="000000" w:sz="2" w:space="0"/>
            </w:tcBorders>
            <w:vAlign w:val="center"/>
          </w:tcPr>
          <w:p w14:paraId="7CA4C541">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 xml:space="preserve">柴油发电机×1 </w:t>
            </w:r>
          </w:p>
          <w:p w14:paraId="6326FB86">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 xml:space="preserve">液压顶管机×1 </w:t>
            </w:r>
          </w:p>
        </w:tc>
        <w:tc>
          <w:tcPr>
            <w:tcW w:w="1145" w:type="dxa"/>
            <w:tcBorders>
              <w:top w:val="single" w:color="000000" w:sz="2" w:space="0"/>
              <w:left w:val="single" w:color="000000" w:sz="2" w:space="0"/>
              <w:bottom w:val="single" w:color="000000" w:sz="2" w:space="0"/>
              <w:right w:val="single" w:color="000000" w:sz="2" w:space="0"/>
            </w:tcBorders>
            <w:vAlign w:val="center"/>
          </w:tcPr>
          <w:p w14:paraId="02C4EA65">
            <w:pPr>
              <w:pStyle w:val="3084"/>
              <w:adjustRightInd w:val="0"/>
              <w:snapToGrid w:val="0"/>
              <w:spacing w:line="240" w:lineRule="auto"/>
              <w:jc w:val="center"/>
              <w:rPr>
                <w:rFonts w:ascii="Times New Roman" w:hAnsi="Times New Roman" w:eastAsia="宋体"/>
                <w:b w:val="0"/>
                <w:color w:val="auto"/>
                <w:szCs w:val="21"/>
              </w:rPr>
            </w:pPr>
            <w:r>
              <w:rPr>
                <w:rFonts w:hint="eastAsia" w:ascii="Times New Roman" w:hAnsi="Times New Roman" w:eastAsia="宋体"/>
                <w:b w:val="0"/>
                <w:color w:val="auto"/>
                <w:szCs w:val="21"/>
              </w:rPr>
              <w:t>77</w:t>
            </w:r>
          </w:p>
        </w:tc>
        <w:tc>
          <w:tcPr>
            <w:tcW w:w="1010" w:type="dxa"/>
            <w:tcBorders>
              <w:top w:val="single" w:color="000000" w:sz="2" w:space="0"/>
              <w:left w:val="single" w:color="000000" w:sz="2" w:space="0"/>
              <w:bottom w:val="single" w:color="000000" w:sz="2" w:space="0"/>
              <w:right w:val="single" w:color="000000" w:sz="2" w:space="0"/>
            </w:tcBorders>
            <w:vAlign w:val="center"/>
          </w:tcPr>
          <w:p w14:paraId="1479B401">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70</w:t>
            </w:r>
          </w:p>
        </w:tc>
        <w:tc>
          <w:tcPr>
            <w:tcW w:w="1405" w:type="dxa"/>
            <w:tcBorders>
              <w:top w:val="single" w:color="000000" w:sz="2" w:space="0"/>
              <w:left w:val="single" w:color="000000" w:sz="2" w:space="0"/>
              <w:bottom w:val="single" w:color="000000" w:sz="2" w:space="0"/>
              <w:right w:val="single" w:color="000000" w:sz="2" w:space="0"/>
            </w:tcBorders>
            <w:vAlign w:val="center"/>
          </w:tcPr>
          <w:p w14:paraId="0F575ACB">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超标</w:t>
            </w:r>
            <w:r>
              <w:rPr>
                <w:rFonts w:hint="eastAsia" w:ascii="Times New Roman" w:hAnsi="Times New Roman" w:eastAsia="宋体"/>
                <w:b w:val="0"/>
                <w:color w:val="auto"/>
                <w:szCs w:val="21"/>
              </w:rPr>
              <w:t>7</w:t>
            </w:r>
          </w:p>
        </w:tc>
        <w:tc>
          <w:tcPr>
            <w:tcW w:w="1405" w:type="dxa"/>
            <w:tcBorders>
              <w:top w:val="single" w:color="000000" w:sz="2" w:space="0"/>
              <w:left w:val="single" w:color="000000" w:sz="2" w:space="0"/>
              <w:bottom w:val="single" w:color="000000" w:sz="2" w:space="0"/>
              <w:right w:val="single" w:color="000000" w:sz="2" w:space="0"/>
            </w:tcBorders>
            <w:vAlign w:val="center"/>
          </w:tcPr>
          <w:p w14:paraId="69EFC4F5">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55</w:t>
            </w:r>
          </w:p>
        </w:tc>
        <w:tc>
          <w:tcPr>
            <w:tcW w:w="1425" w:type="dxa"/>
            <w:tcBorders>
              <w:top w:val="single" w:color="000000" w:sz="2" w:space="0"/>
              <w:left w:val="single" w:color="000000" w:sz="2" w:space="0"/>
              <w:bottom w:val="single" w:color="000000" w:sz="2" w:space="0"/>
              <w:right w:val="single" w:color="000000" w:sz="2" w:space="0"/>
            </w:tcBorders>
            <w:vAlign w:val="center"/>
          </w:tcPr>
          <w:p w14:paraId="3257164D">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超标 2</w:t>
            </w:r>
            <w:r>
              <w:rPr>
                <w:rFonts w:hint="eastAsia" w:ascii="Times New Roman" w:hAnsi="Times New Roman" w:eastAsia="宋体"/>
                <w:b w:val="0"/>
                <w:color w:val="auto"/>
                <w:szCs w:val="21"/>
              </w:rPr>
              <w:t>2</w:t>
            </w:r>
          </w:p>
        </w:tc>
      </w:tr>
    </w:tbl>
    <w:p w14:paraId="37437A2B">
      <w:pPr>
        <w:pStyle w:val="35"/>
        <w:autoSpaceDE w:val="0"/>
        <w:autoSpaceDN w:val="0"/>
        <w:adjustRightInd w:val="0"/>
        <w:snapToGrid w:val="0"/>
        <w:spacing w:before="120" w:beforeLines="50" w:after="0" w:line="360" w:lineRule="auto"/>
        <w:ind w:firstLine="480" w:firstLineChars="200"/>
        <w:rPr>
          <w:sz w:val="24"/>
        </w:rPr>
      </w:pPr>
      <w:r>
        <w:rPr>
          <w:sz w:val="24"/>
        </w:rPr>
        <w:t>根据现场调查，输气管道沿线200m范围内有村庄分布，部分村庄距离管道相对较近，在施工过程中，将会受到一定程度的施工噪声影响。</w:t>
      </w:r>
      <w:r>
        <w:rPr>
          <w:spacing w:val="-2"/>
          <w:sz w:val="24"/>
        </w:rPr>
        <w:t>本项目施工期间，敏感点背景值部分村庄数据来源于声环境质量现状监测数据，</w:t>
      </w:r>
      <w:r>
        <w:rPr>
          <w:sz w:val="24"/>
        </w:rPr>
        <w:t>其余数据均根据类比得出，具体数据见表</w:t>
      </w:r>
      <w:r>
        <w:rPr>
          <w:rFonts w:hint="eastAsia"/>
          <w:sz w:val="24"/>
        </w:rPr>
        <w:t>6</w:t>
      </w:r>
      <w:r>
        <w:rPr>
          <w:sz w:val="24"/>
        </w:rPr>
        <w:t>.1-5。施工机械的噪声可近似视为点声源处理，根据点声源噪声衰减模式，估算距离声源不同距离处的噪声值。本项目在声环境敏感点附近均禁止夜间施工，因此仅预测昼间施工对声环境敏感点的影响程度，拟建项目施工活动对管线两侧200m范围内声敏感点昼间的影响情况见表</w:t>
      </w:r>
      <w:r>
        <w:rPr>
          <w:rFonts w:hint="eastAsia"/>
          <w:sz w:val="24"/>
        </w:rPr>
        <w:t>6</w:t>
      </w:r>
      <w:r>
        <w:rPr>
          <w:sz w:val="24"/>
        </w:rPr>
        <w:t>.1-6。</w:t>
      </w:r>
    </w:p>
    <w:p w14:paraId="10867C41">
      <w:pPr>
        <w:pStyle w:val="3083"/>
        <w:adjustRightInd w:val="0"/>
        <w:snapToGrid w:val="0"/>
        <w:rPr>
          <w:rFonts w:cs="Times New Roman"/>
        </w:rPr>
      </w:pPr>
      <w:r>
        <w:rPr>
          <w:rFonts w:cs="Times New Roman"/>
        </w:rPr>
        <w:t xml:space="preserve">表 </w:t>
      </w:r>
      <w:r>
        <w:rPr>
          <w:rFonts w:hint="eastAsia" w:cs="Times New Roman"/>
        </w:rPr>
        <w:t>6</w:t>
      </w:r>
      <w:r>
        <w:rPr>
          <w:rFonts w:cs="Times New Roman"/>
        </w:rPr>
        <w:t>.1-5  施工期间敏感点背景值一览表   单位：dB(A)</w:t>
      </w:r>
    </w:p>
    <w:tbl>
      <w:tblPr>
        <w:tblStyle w:val="88"/>
        <w:tblW w:w="5003" w:type="pct"/>
        <w:jc w:val="center"/>
        <w:tblLayout w:type="fixed"/>
        <w:tblCellMar>
          <w:top w:w="0" w:type="dxa"/>
          <w:left w:w="0" w:type="dxa"/>
          <w:bottom w:w="0" w:type="dxa"/>
          <w:right w:w="0" w:type="dxa"/>
        </w:tblCellMar>
      </w:tblPr>
      <w:tblGrid>
        <w:gridCol w:w="1724"/>
        <w:gridCol w:w="1270"/>
        <w:gridCol w:w="1270"/>
        <w:gridCol w:w="1533"/>
        <w:gridCol w:w="1726"/>
        <w:gridCol w:w="1558"/>
      </w:tblGrid>
      <w:tr w14:paraId="49000BCA">
        <w:tblPrEx>
          <w:tblCellMar>
            <w:top w:w="0" w:type="dxa"/>
            <w:left w:w="0" w:type="dxa"/>
            <w:bottom w:w="0" w:type="dxa"/>
            <w:right w:w="0" w:type="dxa"/>
          </w:tblCellMar>
        </w:tblPrEx>
        <w:trPr>
          <w:trHeight w:val="340" w:hRule="atLeast"/>
          <w:jc w:val="center"/>
        </w:trPr>
        <w:tc>
          <w:tcPr>
            <w:tcW w:w="1724" w:type="dxa"/>
            <w:vMerge w:val="restart"/>
            <w:tcBorders>
              <w:top w:val="single" w:color="000000" w:sz="2" w:space="0"/>
              <w:left w:val="single" w:color="000000" w:sz="2" w:space="0"/>
              <w:right w:val="single" w:color="000000" w:sz="2" w:space="0"/>
            </w:tcBorders>
            <w:vAlign w:val="center"/>
          </w:tcPr>
          <w:p w14:paraId="0DC12394">
            <w:pPr>
              <w:pStyle w:val="1018"/>
              <w:spacing w:before="103"/>
              <w:ind w:right="1"/>
              <w:jc w:val="center"/>
              <w:rPr>
                <w:sz w:val="21"/>
                <w:szCs w:val="21"/>
              </w:rPr>
            </w:pPr>
            <w:r>
              <w:rPr>
                <w:sz w:val="21"/>
                <w:szCs w:val="21"/>
              </w:rPr>
              <w:t>名称</w:t>
            </w:r>
          </w:p>
        </w:tc>
        <w:tc>
          <w:tcPr>
            <w:tcW w:w="2538" w:type="dxa"/>
            <w:gridSpan w:val="2"/>
            <w:tcBorders>
              <w:top w:val="single" w:color="000000" w:sz="2" w:space="0"/>
              <w:left w:val="single" w:color="000000" w:sz="2" w:space="0"/>
              <w:bottom w:val="single" w:color="000000" w:sz="2" w:space="0"/>
              <w:right w:val="single" w:color="000000" w:sz="2" w:space="0"/>
            </w:tcBorders>
            <w:vAlign w:val="center"/>
          </w:tcPr>
          <w:p w14:paraId="0C685CAF">
            <w:pPr>
              <w:pStyle w:val="1018"/>
              <w:spacing w:line="242" w:lineRule="exact"/>
              <w:jc w:val="center"/>
              <w:rPr>
                <w:sz w:val="21"/>
                <w:szCs w:val="21"/>
              </w:rPr>
            </w:pPr>
            <w:r>
              <w:rPr>
                <w:sz w:val="21"/>
                <w:szCs w:val="21"/>
              </w:rPr>
              <w:t>背景值</w:t>
            </w:r>
          </w:p>
        </w:tc>
        <w:tc>
          <w:tcPr>
            <w:tcW w:w="3257" w:type="dxa"/>
            <w:gridSpan w:val="2"/>
            <w:tcBorders>
              <w:top w:val="single" w:color="000000" w:sz="2" w:space="0"/>
              <w:left w:val="single" w:color="000000" w:sz="2" w:space="0"/>
              <w:bottom w:val="single" w:color="000000" w:sz="2" w:space="0"/>
              <w:right w:val="single" w:color="000000" w:sz="2" w:space="0"/>
            </w:tcBorders>
            <w:vAlign w:val="center"/>
          </w:tcPr>
          <w:p w14:paraId="6BCB7EF7">
            <w:pPr>
              <w:pStyle w:val="1018"/>
              <w:spacing w:line="242" w:lineRule="exact"/>
              <w:jc w:val="center"/>
              <w:rPr>
                <w:sz w:val="21"/>
                <w:szCs w:val="21"/>
              </w:rPr>
            </w:pPr>
            <w:r>
              <w:rPr>
                <w:sz w:val="21"/>
                <w:szCs w:val="21"/>
              </w:rPr>
              <w:t>评价标准</w:t>
            </w:r>
          </w:p>
        </w:tc>
        <w:tc>
          <w:tcPr>
            <w:tcW w:w="1557" w:type="dxa"/>
            <w:vMerge w:val="restart"/>
            <w:tcBorders>
              <w:top w:val="single" w:color="000000" w:sz="2" w:space="0"/>
              <w:left w:val="single" w:color="000000" w:sz="2" w:space="0"/>
              <w:right w:val="single" w:color="000000" w:sz="2" w:space="0"/>
            </w:tcBorders>
            <w:vAlign w:val="center"/>
          </w:tcPr>
          <w:p w14:paraId="59932592">
            <w:pPr>
              <w:pStyle w:val="1018"/>
              <w:spacing w:before="103"/>
              <w:jc w:val="center"/>
              <w:rPr>
                <w:sz w:val="21"/>
                <w:szCs w:val="21"/>
              </w:rPr>
            </w:pPr>
            <w:r>
              <w:rPr>
                <w:sz w:val="21"/>
                <w:szCs w:val="21"/>
              </w:rPr>
              <w:t>备注</w:t>
            </w:r>
          </w:p>
        </w:tc>
      </w:tr>
      <w:tr w14:paraId="71465CB6">
        <w:tblPrEx>
          <w:tblCellMar>
            <w:top w:w="0" w:type="dxa"/>
            <w:left w:w="0" w:type="dxa"/>
            <w:bottom w:w="0" w:type="dxa"/>
            <w:right w:w="0" w:type="dxa"/>
          </w:tblCellMar>
        </w:tblPrEx>
        <w:trPr>
          <w:trHeight w:val="340" w:hRule="atLeast"/>
          <w:jc w:val="center"/>
        </w:trPr>
        <w:tc>
          <w:tcPr>
            <w:tcW w:w="1724" w:type="dxa"/>
            <w:vMerge w:val="continue"/>
            <w:tcBorders>
              <w:left w:val="single" w:color="000000" w:sz="2" w:space="0"/>
              <w:bottom w:val="single" w:color="000000" w:sz="2" w:space="0"/>
              <w:right w:val="single" w:color="000000" w:sz="2" w:space="0"/>
            </w:tcBorders>
            <w:vAlign w:val="center"/>
          </w:tcPr>
          <w:p w14:paraId="2AF90723"/>
        </w:tc>
        <w:tc>
          <w:tcPr>
            <w:tcW w:w="1269" w:type="dxa"/>
            <w:tcBorders>
              <w:top w:val="single" w:color="000000" w:sz="2" w:space="0"/>
              <w:left w:val="single" w:color="000000" w:sz="2" w:space="0"/>
              <w:bottom w:val="single" w:color="000000" w:sz="2" w:space="0"/>
              <w:right w:val="single" w:color="000000" w:sz="2" w:space="0"/>
            </w:tcBorders>
            <w:vAlign w:val="center"/>
          </w:tcPr>
          <w:p w14:paraId="0AB651BC">
            <w:pPr>
              <w:pStyle w:val="1018"/>
              <w:spacing w:line="240" w:lineRule="exact"/>
              <w:ind w:left="369"/>
              <w:rPr>
                <w:sz w:val="21"/>
                <w:szCs w:val="21"/>
              </w:rPr>
            </w:pPr>
            <w:r>
              <w:rPr>
                <w:sz w:val="21"/>
                <w:szCs w:val="21"/>
              </w:rPr>
              <w:t>昼间</w:t>
            </w:r>
          </w:p>
        </w:tc>
        <w:tc>
          <w:tcPr>
            <w:tcW w:w="1269" w:type="dxa"/>
            <w:tcBorders>
              <w:top w:val="single" w:color="000000" w:sz="2" w:space="0"/>
              <w:left w:val="single" w:color="000000" w:sz="2" w:space="0"/>
              <w:bottom w:val="single" w:color="000000" w:sz="2" w:space="0"/>
              <w:right w:val="single" w:color="000000" w:sz="2" w:space="0"/>
            </w:tcBorders>
            <w:vAlign w:val="center"/>
          </w:tcPr>
          <w:p w14:paraId="1083F492">
            <w:pPr>
              <w:pStyle w:val="1018"/>
              <w:spacing w:line="240" w:lineRule="exact"/>
              <w:ind w:left="370"/>
              <w:rPr>
                <w:sz w:val="21"/>
                <w:szCs w:val="21"/>
              </w:rPr>
            </w:pPr>
            <w:r>
              <w:rPr>
                <w:sz w:val="21"/>
                <w:szCs w:val="21"/>
              </w:rPr>
              <w:t>夜间</w:t>
            </w:r>
          </w:p>
        </w:tc>
        <w:tc>
          <w:tcPr>
            <w:tcW w:w="1532" w:type="dxa"/>
            <w:tcBorders>
              <w:top w:val="single" w:color="000000" w:sz="2" w:space="0"/>
              <w:left w:val="single" w:color="000000" w:sz="2" w:space="0"/>
              <w:bottom w:val="single" w:color="000000" w:sz="2" w:space="0"/>
              <w:right w:val="single" w:color="000000" w:sz="2" w:space="0"/>
            </w:tcBorders>
            <w:vAlign w:val="center"/>
          </w:tcPr>
          <w:p w14:paraId="2CC4C0CC">
            <w:pPr>
              <w:pStyle w:val="1018"/>
              <w:spacing w:line="240" w:lineRule="exact"/>
              <w:ind w:right="3"/>
              <w:jc w:val="center"/>
              <w:rPr>
                <w:sz w:val="21"/>
                <w:szCs w:val="21"/>
              </w:rPr>
            </w:pPr>
            <w:r>
              <w:rPr>
                <w:sz w:val="21"/>
                <w:szCs w:val="21"/>
              </w:rPr>
              <w:t>昼间</w:t>
            </w:r>
          </w:p>
        </w:tc>
        <w:tc>
          <w:tcPr>
            <w:tcW w:w="1725" w:type="dxa"/>
            <w:tcBorders>
              <w:top w:val="single" w:color="000000" w:sz="2" w:space="0"/>
              <w:left w:val="single" w:color="000000" w:sz="2" w:space="0"/>
              <w:bottom w:val="single" w:color="000000" w:sz="2" w:space="0"/>
              <w:right w:val="single" w:color="000000" w:sz="2" w:space="0"/>
            </w:tcBorders>
            <w:vAlign w:val="center"/>
          </w:tcPr>
          <w:p w14:paraId="45D1E925">
            <w:pPr>
              <w:pStyle w:val="1018"/>
              <w:spacing w:line="240" w:lineRule="exact"/>
              <w:ind w:right="1"/>
              <w:jc w:val="center"/>
              <w:rPr>
                <w:sz w:val="21"/>
                <w:szCs w:val="21"/>
              </w:rPr>
            </w:pPr>
            <w:r>
              <w:rPr>
                <w:sz w:val="21"/>
                <w:szCs w:val="21"/>
              </w:rPr>
              <w:t>夜间</w:t>
            </w:r>
          </w:p>
        </w:tc>
        <w:tc>
          <w:tcPr>
            <w:tcW w:w="1557" w:type="dxa"/>
            <w:vMerge w:val="continue"/>
            <w:tcBorders>
              <w:left w:val="single" w:color="000000" w:sz="2" w:space="0"/>
              <w:bottom w:val="single" w:color="000000" w:sz="2" w:space="0"/>
              <w:right w:val="single" w:color="000000" w:sz="2" w:space="0"/>
            </w:tcBorders>
            <w:vAlign w:val="center"/>
          </w:tcPr>
          <w:p w14:paraId="5CB630FF"/>
        </w:tc>
      </w:tr>
      <w:tr w14:paraId="594E840F">
        <w:tblPrEx>
          <w:tblCellMar>
            <w:top w:w="0" w:type="dxa"/>
            <w:left w:w="0" w:type="dxa"/>
            <w:bottom w:w="0" w:type="dxa"/>
            <w:right w:w="0" w:type="dxa"/>
          </w:tblCellMar>
        </w:tblPrEx>
        <w:trPr>
          <w:trHeight w:val="340" w:hRule="atLeast"/>
          <w:jc w:val="center"/>
        </w:trPr>
        <w:tc>
          <w:tcPr>
            <w:tcW w:w="1724" w:type="dxa"/>
            <w:tcBorders>
              <w:top w:val="single" w:color="000000" w:sz="2" w:space="0"/>
              <w:left w:val="single" w:color="000000" w:sz="2" w:space="0"/>
              <w:bottom w:val="single" w:color="000000" w:sz="2" w:space="0"/>
              <w:right w:val="single" w:color="000000" w:sz="2" w:space="0"/>
            </w:tcBorders>
            <w:vAlign w:val="center"/>
          </w:tcPr>
          <w:p w14:paraId="5856B3A6">
            <w:pPr>
              <w:widowControl/>
              <w:adjustRightInd w:val="0"/>
              <w:snapToGrid w:val="0"/>
              <w:contextualSpacing/>
              <w:jc w:val="center"/>
              <w:rPr>
                <w:szCs w:val="21"/>
              </w:rPr>
            </w:pPr>
            <w:r>
              <w:rPr>
                <w:rFonts w:hint="eastAsia"/>
                <w:szCs w:val="21"/>
              </w:rPr>
              <w:t>蒋家冲</w:t>
            </w:r>
          </w:p>
        </w:tc>
        <w:tc>
          <w:tcPr>
            <w:tcW w:w="1269" w:type="dxa"/>
            <w:tcBorders>
              <w:top w:val="single" w:color="000000" w:sz="2" w:space="0"/>
              <w:left w:val="single" w:color="000000" w:sz="2" w:space="0"/>
              <w:bottom w:val="single" w:color="000000" w:sz="2" w:space="0"/>
              <w:right w:val="single" w:color="000000" w:sz="2" w:space="0"/>
            </w:tcBorders>
            <w:vAlign w:val="center"/>
          </w:tcPr>
          <w:p w14:paraId="102738BB">
            <w:pPr>
              <w:pStyle w:val="1018"/>
              <w:spacing w:before="15"/>
              <w:jc w:val="center"/>
              <w:rPr>
                <w:sz w:val="21"/>
                <w:szCs w:val="21"/>
              </w:rPr>
            </w:pPr>
            <w:r>
              <w:rPr>
                <w:rFonts w:hint="eastAsia"/>
                <w:sz w:val="21"/>
                <w:szCs w:val="21"/>
              </w:rPr>
              <w:t>47</w:t>
            </w:r>
          </w:p>
        </w:tc>
        <w:tc>
          <w:tcPr>
            <w:tcW w:w="1269" w:type="dxa"/>
            <w:tcBorders>
              <w:top w:val="single" w:color="000000" w:sz="2" w:space="0"/>
              <w:left w:val="single" w:color="000000" w:sz="2" w:space="0"/>
              <w:bottom w:val="single" w:color="000000" w:sz="2" w:space="0"/>
              <w:right w:val="single" w:color="000000" w:sz="2" w:space="0"/>
            </w:tcBorders>
            <w:vAlign w:val="center"/>
          </w:tcPr>
          <w:p w14:paraId="6023F28C">
            <w:pPr>
              <w:pStyle w:val="1018"/>
              <w:spacing w:before="15"/>
              <w:jc w:val="center"/>
              <w:rPr>
                <w:sz w:val="21"/>
                <w:szCs w:val="21"/>
              </w:rPr>
            </w:pPr>
            <w:r>
              <w:rPr>
                <w:rFonts w:hint="eastAsia"/>
                <w:sz w:val="21"/>
                <w:szCs w:val="21"/>
              </w:rPr>
              <w:t>44</w:t>
            </w:r>
          </w:p>
        </w:tc>
        <w:tc>
          <w:tcPr>
            <w:tcW w:w="1532" w:type="dxa"/>
            <w:tcBorders>
              <w:top w:val="single" w:color="000000" w:sz="2" w:space="0"/>
              <w:left w:val="single" w:color="000000" w:sz="2" w:space="0"/>
              <w:bottom w:val="single" w:color="000000" w:sz="2" w:space="0"/>
              <w:right w:val="single" w:color="000000" w:sz="2" w:space="0"/>
            </w:tcBorders>
            <w:vAlign w:val="center"/>
          </w:tcPr>
          <w:p w14:paraId="66C11103">
            <w:pPr>
              <w:pStyle w:val="1018"/>
              <w:spacing w:before="13"/>
              <w:ind w:right="1"/>
              <w:jc w:val="center"/>
              <w:rPr>
                <w:i/>
                <w:iCs/>
                <w:color w:val="auto"/>
                <w:sz w:val="21"/>
                <w:szCs w:val="21"/>
                <w:u w:val="single"/>
              </w:rPr>
            </w:pPr>
            <w:r>
              <w:rPr>
                <w:rFonts w:hint="eastAsia"/>
                <w:i/>
                <w:iCs/>
                <w:color w:val="auto"/>
                <w:sz w:val="21"/>
                <w:u w:val="single"/>
              </w:rPr>
              <w:t>60</w:t>
            </w:r>
          </w:p>
        </w:tc>
        <w:tc>
          <w:tcPr>
            <w:tcW w:w="1725" w:type="dxa"/>
            <w:tcBorders>
              <w:top w:val="single" w:color="000000" w:sz="2" w:space="0"/>
              <w:left w:val="single" w:color="000000" w:sz="2" w:space="0"/>
              <w:bottom w:val="single" w:color="000000" w:sz="2" w:space="0"/>
              <w:right w:val="single" w:color="000000" w:sz="2" w:space="0"/>
            </w:tcBorders>
            <w:vAlign w:val="center"/>
          </w:tcPr>
          <w:p w14:paraId="01496AEC">
            <w:pPr>
              <w:pStyle w:val="1018"/>
              <w:spacing w:before="13"/>
              <w:jc w:val="center"/>
              <w:rPr>
                <w:i/>
                <w:iCs/>
                <w:color w:val="auto"/>
                <w:sz w:val="21"/>
                <w:szCs w:val="21"/>
                <w:u w:val="single"/>
              </w:rPr>
            </w:pPr>
            <w:r>
              <w:rPr>
                <w:rFonts w:hint="eastAsia"/>
                <w:i/>
                <w:iCs/>
                <w:color w:val="auto"/>
                <w:sz w:val="21"/>
                <w:u w:val="single"/>
              </w:rPr>
              <w:t>50</w:t>
            </w:r>
          </w:p>
        </w:tc>
        <w:tc>
          <w:tcPr>
            <w:tcW w:w="1557" w:type="dxa"/>
            <w:tcBorders>
              <w:top w:val="single" w:color="000000" w:sz="2" w:space="0"/>
              <w:left w:val="single" w:color="000000" w:sz="2" w:space="0"/>
              <w:bottom w:val="single" w:color="000000" w:sz="2" w:space="0"/>
              <w:right w:val="single" w:color="000000" w:sz="2" w:space="0"/>
            </w:tcBorders>
            <w:vAlign w:val="center"/>
          </w:tcPr>
          <w:p w14:paraId="544AB02B">
            <w:pPr>
              <w:pStyle w:val="1018"/>
              <w:spacing w:line="240" w:lineRule="exact"/>
              <w:jc w:val="center"/>
              <w:rPr>
                <w:sz w:val="21"/>
                <w:szCs w:val="21"/>
              </w:rPr>
            </w:pPr>
            <w:r>
              <w:rPr>
                <w:rFonts w:hint="eastAsia"/>
                <w:sz w:val="21"/>
                <w:szCs w:val="21"/>
              </w:rPr>
              <w:t>实测</w:t>
            </w:r>
          </w:p>
        </w:tc>
      </w:tr>
      <w:tr w14:paraId="249F78C0">
        <w:tblPrEx>
          <w:tblCellMar>
            <w:top w:w="0" w:type="dxa"/>
            <w:left w:w="0" w:type="dxa"/>
            <w:bottom w:w="0" w:type="dxa"/>
            <w:right w:w="0" w:type="dxa"/>
          </w:tblCellMar>
        </w:tblPrEx>
        <w:trPr>
          <w:trHeight w:val="340" w:hRule="atLeast"/>
          <w:jc w:val="center"/>
        </w:trPr>
        <w:tc>
          <w:tcPr>
            <w:tcW w:w="1724" w:type="dxa"/>
            <w:tcBorders>
              <w:top w:val="single" w:color="000000" w:sz="2" w:space="0"/>
              <w:left w:val="single" w:color="000000" w:sz="2" w:space="0"/>
              <w:bottom w:val="single" w:color="000000" w:sz="2" w:space="0"/>
              <w:right w:val="single" w:color="000000" w:sz="2" w:space="0"/>
            </w:tcBorders>
            <w:vAlign w:val="center"/>
          </w:tcPr>
          <w:p w14:paraId="5BF9846A">
            <w:pPr>
              <w:widowControl/>
              <w:adjustRightInd w:val="0"/>
              <w:snapToGrid w:val="0"/>
              <w:contextualSpacing/>
              <w:jc w:val="center"/>
              <w:rPr>
                <w:szCs w:val="21"/>
              </w:rPr>
            </w:pPr>
            <w:r>
              <w:rPr>
                <w:rFonts w:hint="eastAsia"/>
                <w:szCs w:val="21"/>
              </w:rPr>
              <w:t>资家湾</w:t>
            </w:r>
          </w:p>
        </w:tc>
        <w:tc>
          <w:tcPr>
            <w:tcW w:w="1269" w:type="dxa"/>
            <w:tcBorders>
              <w:top w:val="single" w:color="000000" w:sz="2" w:space="0"/>
              <w:left w:val="single" w:color="000000" w:sz="2" w:space="0"/>
              <w:bottom w:val="single" w:color="000000" w:sz="2" w:space="0"/>
              <w:right w:val="single" w:color="000000" w:sz="2" w:space="0"/>
            </w:tcBorders>
            <w:vAlign w:val="center"/>
          </w:tcPr>
          <w:p w14:paraId="6B1F9806">
            <w:pPr>
              <w:pStyle w:val="1018"/>
              <w:spacing w:before="15"/>
              <w:jc w:val="center"/>
              <w:rPr>
                <w:sz w:val="21"/>
                <w:szCs w:val="21"/>
              </w:rPr>
            </w:pPr>
            <w:r>
              <w:rPr>
                <w:rFonts w:hint="eastAsia"/>
                <w:sz w:val="21"/>
                <w:szCs w:val="21"/>
              </w:rPr>
              <w:t>47</w:t>
            </w:r>
          </w:p>
        </w:tc>
        <w:tc>
          <w:tcPr>
            <w:tcW w:w="1269" w:type="dxa"/>
            <w:tcBorders>
              <w:top w:val="single" w:color="000000" w:sz="2" w:space="0"/>
              <w:left w:val="single" w:color="000000" w:sz="2" w:space="0"/>
              <w:bottom w:val="single" w:color="000000" w:sz="2" w:space="0"/>
              <w:right w:val="single" w:color="000000" w:sz="2" w:space="0"/>
            </w:tcBorders>
            <w:vAlign w:val="center"/>
          </w:tcPr>
          <w:p w14:paraId="7335DBDD">
            <w:pPr>
              <w:pStyle w:val="1018"/>
              <w:spacing w:before="15"/>
              <w:jc w:val="center"/>
              <w:rPr>
                <w:sz w:val="21"/>
                <w:szCs w:val="21"/>
              </w:rPr>
            </w:pPr>
            <w:r>
              <w:rPr>
                <w:rFonts w:hint="eastAsia"/>
                <w:sz w:val="21"/>
                <w:szCs w:val="21"/>
              </w:rPr>
              <w:t>44</w:t>
            </w:r>
          </w:p>
        </w:tc>
        <w:tc>
          <w:tcPr>
            <w:tcW w:w="1532" w:type="dxa"/>
            <w:tcBorders>
              <w:top w:val="single" w:color="000000" w:sz="2" w:space="0"/>
              <w:left w:val="single" w:color="000000" w:sz="2" w:space="0"/>
              <w:bottom w:val="single" w:color="000000" w:sz="2" w:space="0"/>
              <w:right w:val="single" w:color="000000" w:sz="2" w:space="0"/>
            </w:tcBorders>
            <w:vAlign w:val="center"/>
          </w:tcPr>
          <w:p w14:paraId="3ED8B972">
            <w:pPr>
              <w:pStyle w:val="1018"/>
              <w:spacing w:before="14"/>
              <w:ind w:right="1"/>
              <w:jc w:val="center"/>
              <w:rPr>
                <w:i/>
                <w:iCs/>
                <w:color w:val="auto"/>
                <w:sz w:val="21"/>
                <w:szCs w:val="21"/>
                <w:u w:val="single"/>
              </w:rPr>
            </w:pPr>
            <w:r>
              <w:rPr>
                <w:rFonts w:hint="eastAsia"/>
                <w:i/>
                <w:iCs/>
                <w:color w:val="auto"/>
                <w:sz w:val="21"/>
                <w:u w:val="single"/>
              </w:rPr>
              <w:t>60</w:t>
            </w:r>
          </w:p>
        </w:tc>
        <w:tc>
          <w:tcPr>
            <w:tcW w:w="1725" w:type="dxa"/>
            <w:tcBorders>
              <w:top w:val="single" w:color="000000" w:sz="2" w:space="0"/>
              <w:left w:val="single" w:color="000000" w:sz="2" w:space="0"/>
              <w:bottom w:val="single" w:color="000000" w:sz="2" w:space="0"/>
              <w:right w:val="single" w:color="000000" w:sz="2" w:space="0"/>
            </w:tcBorders>
            <w:vAlign w:val="center"/>
          </w:tcPr>
          <w:p w14:paraId="2D955A30">
            <w:pPr>
              <w:pStyle w:val="1018"/>
              <w:spacing w:before="14"/>
              <w:jc w:val="center"/>
              <w:rPr>
                <w:i/>
                <w:iCs/>
                <w:color w:val="auto"/>
                <w:sz w:val="21"/>
                <w:szCs w:val="21"/>
                <w:u w:val="single"/>
              </w:rPr>
            </w:pPr>
            <w:r>
              <w:rPr>
                <w:rFonts w:hint="eastAsia"/>
                <w:i/>
                <w:iCs/>
                <w:color w:val="auto"/>
                <w:sz w:val="21"/>
                <w:u w:val="single"/>
              </w:rPr>
              <w:t>50</w:t>
            </w:r>
          </w:p>
        </w:tc>
        <w:tc>
          <w:tcPr>
            <w:tcW w:w="1557" w:type="dxa"/>
            <w:tcBorders>
              <w:top w:val="single" w:color="000000" w:sz="2" w:space="0"/>
              <w:left w:val="single" w:color="000000" w:sz="2" w:space="0"/>
              <w:bottom w:val="single" w:color="000000" w:sz="2" w:space="0"/>
              <w:right w:val="single" w:color="000000" w:sz="2" w:space="0"/>
            </w:tcBorders>
            <w:vAlign w:val="center"/>
          </w:tcPr>
          <w:p w14:paraId="0207D1B5">
            <w:pPr>
              <w:pStyle w:val="1018"/>
              <w:spacing w:line="241" w:lineRule="exact"/>
              <w:jc w:val="center"/>
              <w:rPr>
                <w:sz w:val="21"/>
                <w:szCs w:val="21"/>
              </w:rPr>
            </w:pPr>
            <w:r>
              <w:rPr>
                <w:sz w:val="21"/>
                <w:szCs w:val="21"/>
              </w:rPr>
              <w:t>类比</w:t>
            </w:r>
          </w:p>
        </w:tc>
      </w:tr>
    </w:tbl>
    <w:p w14:paraId="668CD8E9">
      <w:pPr>
        <w:spacing w:before="120" w:beforeLines="50"/>
        <w:ind w:left="2426"/>
        <w:jc w:val="left"/>
        <w:rPr>
          <w:szCs w:val="21"/>
        </w:rPr>
      </w:pPr>
      <w:r>
        <w:rPr>
          <w:rFonts w:eastAsia="黑体"/>
          <w:bCs/>
          <w:kern w:val="0"/>
          <w:sz w:val="22"/>
          <w:szCs w:val="22"/>
          <w:lang w:bidi="zh-CN"/>
        </w:rPr>
        <w:t>表</w:t>
      </w:r>
      <w:r>
        <w:rPr>
          <w:rFonts w:hint="eastAsia" w:eastAsia="黑体"/>
          <w:bCs/>
          <w:kern w:val="0"/>
          <w:sz w:val="22"/>
          <w:szCs w:val="22"/>
          <w:lang w:bidi="zh-CN"/>
        </w:rPr>
        <w:t>6</w:t>
      </w:r>
      <w:r>
        <w:rPr>
          <w:rFonts w:eastAsia="黑体"/>
          <w:bCs/>
          <w:kern w:val="0"/>
          <w:sz w:val="22"/>
          <w:szCs w:val="22"/>
          <w:lang w:bidi="zh-CN"/>
        </w:rPr>
        <w:t>.1-6  不同施工阶段对敏感点声环境影响预测</w:t>
      </w:r>
    </w:p>
    <w:tbl>
      <w:tblPr>
        <w:tblStyle w:val="88"/>
        <w:tblW w:w="5011"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98"/>
        <w:gridCol w:w="972"/>
        <w:gridCol w:w="1378"/>
        <w:gridCol w:w="1209"/>
        <w:gridCol w:w="872"/>
        <w:gridCol w:w="995"/>
        <w:gridCol w:w="1020"/>
        <w:gridCol w:w="1051"/>
      </w:tblGrid>
      <w:tr w14:paraId="165FF2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596" w:type="dxa"/>
            <w:vMerge w:val="restart"/>
            <w:tcBorders>
              <w:tl2br w:val="nil"/>
              <w:tr2bl w:val="nil"/>
            </w:tcBorders>
            <w:vAlign w:val="center"/>
          </w:tcPr>
          <w:p w14:paraId="3C14F62B">
            <w:pPr>
              <w:pStyle w:val="1018"/>
              <w:spacing w:before="16"/>
              <w:ind w:left="1"/>
              <w:jc w:val="center"/>
              <w:rPr>
                <w:sz w:val="21"/>
              </w:rPr>
            </w:pPr>
            <w:r>
              <w:rPr>
                <w:sz w:val="21"/>
              </w:rPr>
              <w:t>敏感点名称</w:t>
            </w:r>
          </w:p>
        </w:tc>
        <w:tc>
          <w:tcPr>
            <w:tcW w:w="972" w:type="dxa"/>
            <w:vMerge w:val="restart"/>
            <w:tcBorders>
              <w:tl2br w:val="nil"/>
              <w:tr2bl w:val="nil"/>
            </w:tcBorders>
            <w:vAlign w:val="center"/>
          </w:tcPr>
          <w:p w14:paraId="08D13A12">
            <w:pPr>
              <w:pStyle w:val="1018"/>
              <w:spacing w:before="16"/>
              <w:ind w:left="1"/>
              <w:jc w:val="center"/>
              <w:rPr>
                <w:sz w:val="21"/>
              </w:rPr>
            </w:pPr>
            <w:r>
              <w:rPr>
                <w:sz w:val="21"/>
              </w:rPr>
              <w:t>施工方式</w:t>
            </w:r>
          </w:p>
        </w:tc>
        <w:tc>
          <w:tcPr>
            <w:tcW w:w="1377" w:type="dxa"/>
            <w:vMerge w:val="restart"/>
            <w:tcBorders>
              <w:tl2br w:val="nil"/>
              <w:tr2bl w:val="nil"/>
            </w:tcBorders>
            <w:vAlign w:val="center"/>
          </w:tcPr>
          <w:p w14:paraId="3E0CAEB6">
            <w:pPr>
              <w:pStyle w:val="1018"/>
              <w:spacing w:before="16"/>
              <w:ind w:left="1"/>
              <w:jc w:val="center"/>
              <w:rPr>
                <w:sz w:val="21"/>
              </w:rPr>
            </w:pPr>
            <w:r>
              <w:rPr>
                <w:sz w:val="21"/>
              </w:rPr>
              <w:t>相对施工机械</w:t>
            </w:r>
          </w:p>
          <w:p w14:paraId="7A2B1358">
            <w:pPr>
              <w:pStyle w:val="1018"/>
              <w:spacing w:before="16"/>
              <w:ind w:left="1"/>
              <w:jc w:val="center"/>
              <w:rPr>
                <w:sz w:val="21"/>
              </w:rPr>
            </w:pPr>
            <w:r>
              <w:rPr>
                <w:sz w:val="21"/>
              </w:rPr>
              <w:t>最近距离/m</w:t>
            </w:r>
          </w:p>
        </w:tc>
        <w:tc>
          <w:tcPr>
            <w:tcW w:w="5146" w:type="dxa"/>
            <w:gridSpan w:val="5"/>
            <w:tcBorders>
              <w:tl2br w:val="nil"/>
              <w:tr2bl w:val="nil"/>
            </w:tcBorders>
            <w:vAlign w:val="center"/>
          </w:tcPr>
          <w:p w14:paraId="55E9AC52">
            <w:pPr>
              <w:pStyle w:val="1018"/>
              <w:spacing w:before="16"/>
              <w:ind w:left="1"/>
              <w:jc w:val="center"/>
              <w:rPr>
                <w:sz w:val="21"/>
              </w:rPr>
            </w:pPr>
            <w:r>
              <w:rPr>
                <w:sz w:val="21"/>
              </w:rPr>
              <w:t>噪声预测结果，dB（A）</w:t>
            </w:r>
          </w:p>
        </w:tc>
      </w:tr>
      <w:tr w14:paraId="7AA685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596" w:type="dxa"/>
            <w:vMerge w:val="continue"/>
            <w:tcBorders>
              <w:tl2br w:val="nil"/>
              <w:tr2bl w:val="nil"/>
            </w:tcBorders>
            <w:vAlign w:val="center"/>
          </w:tcPr>
          <w:p w14:paraId="65AA96AF">
            <w:pPr>
              <w:pStyle w:val="1018"/>
              <w:spacing w:before="16"/>
              <w:ind w:left="1"/>
              <w:jc w:val="center"/>
              <w:rPr>
                <w:sz w:val="21"/>
              </w:rPr>
            </w:pPr>
          </w:p>
        </w:tc>
        <w:tc>
          <w:tcPr>
            <w:tcW w:w="972" w:type="dxa"/>
            <w:vMerge w:val="continue"/>
            <w:tcBorders>
              <w:tl2br w:val="nil"/>
              <w:tr2bl w:val="nil"/>
            </w:tcBorders>
            <w:vAlign w:val="center"/>
          </w:tcPr>
          <w:p w14:paraId="5AD08693">
            <w:pPr>
              <w:pStyle w:val="1018"/>
              <w:spacing w:before="16"/>
              <w:ind w:left="1"/>
              <w:jc w:val="center"/>
              <w:rPr>
                <w:sz w:val="21"/>
              </w:rPr>
            </w:pPr>
          </w:p>
        </w:tc>
        <w:tc>
          <w:tcPr>
            <w:tcW w:w="1377" w:type="dxa"/>
            <w:vMerge w:val="continue"/>
            <w:tcBorders>
              <w:tl2br w:val="nil"/>
              <w:tr2bl w:val="nil"/>
            </w:tcBorders>
            <w:vAlign w:val="center"/>
          </w:tcPr>
          <w:p w14:paraId="642A73DD">
            <w:pPr>
              <w:pStyle w:val="1018"/>
              <w:spacing w:before="16"/>
              <w:ind w:left="1"/>
              <w:jc w:val="center"/>
              <w:rPr>
                <w:sz w:val="21"/>
              </w:rPr>
            </w:pPr>
          </w:p>
        </w:tc>
        <w:tc>
          <w:tcPr>
            <w:tcW w:w="1208" w:type="dxa"/>
            <w:tcBorders>
              <w:tl2br w:val="nil"/>
              <w:tr2bl w:val="nil"/>
            </w:tcBorders>
            <w:vAlign w:val="center"/>
          </w:tcPr>
          <w:p w14:paraId="2701F7BC">
            <w:pPr>
              <w:pStyle w:val="1018"/>
              <w:spacing w:before="16"/>
              <w:ind w:left="1"/>
              <w:jc w:val="center"/>
              <w:rPr>
                <w:sz w:val="21"/>
              </w:rPr>
            </w:pPr>
            <w:r>
              <w:rPr>
                <w:sz w:val="21"/>
              </w:rPr>
              <w:t>昼间背景值</w:t>
            </w:r>
          </w:p>
        </w:tc>
        <w:tc>
          <w:tcPr>
            <w:tcW w:w="872" w:type="dxa"/>
            <w:tcBorders>
              <w:tl2br w:val="nil"/>
              <w:tr2bl w:val="nil"/>
            </w:tcBorders>
            <w:vAlign w:val="center"/>
          </w:tcPr>
          <w:p w14:paraId="39E0587B">
            <w:pPr>
              <w:pStyle w:val="1018"/>
              <w:spacing w:before="16"/>
              <w:ind w:left="1"/>
              <w:jc w:val="center"/>
              <w:rPr>
                <w:sz w:val="21"/>
              </w:rPr>
            </w:pPr>
            <w:r>
              <w:rPr>
                <w:sz w:val="21"/>
              </w:rPr>
              <w:t>贡献值</w:t>
            </w:r>
          </w:p>
        </w:tc>
        <w:tc>
          <w:tcPr>
            <w:tcW w:w="995" w:type="dxa"/>
            <w:tcBorders>
              <w:tl2br w:val="nil"/>
              <w:tr2bl w:val="nil"/>
            </w:tcBorders>
            <w:vAlign w:val="center"/>
          </w:tcPr>
          <w:p w14:paraId="09816C3A">
            <w:pPr>
              <w:pStyle w:val="1018"/>
              <w:spacing w:before="16"/>
              <w:ind w:left="1"/>
              <w:jc w:val="center"/>
              <w:rPr>
                <w:sz w:val="21"/>
              </w:rPr>
            </w:pPr>
            <w:r>
              <w:rPr>
                <w:sz w:val="21"/>
              </w:rPr>
              <w:t>预测值</w:t>
            </w:r>
          </w:p>
        </w:tc>
        <w:tc>
          <w:tcPr>
            <w:tcW w:w="1020" w:type="dxa"/>
            <w:tcBorders>
              <w:tl2br w:val="nil"/>
              <w:tr2bl w:val="nil"/>
            </w:tcBorders>
            <w:vAlign w:val="center"/>
          </w:tcPr>
          <w:p w14:paraId="31C5C337">
            <w:pPr>
              <w:pStyle w:val="1018"/>
              <w:spacing w:before="16"/>
              <w:ind w:left="1"/>
              <w:jc w:val="center"/>
              <w:rPr>
                <w:sz w:val="21"/>
              </w:rPr>
            </w:pPr>
            <w:r>
              <w:rPr>
                <w:sz w:val="21"/>
              </w:rPr>
              <w:t>执行标准</w:t>
            </w:r>
          </w:p>
        </w:tc>
        <w:tc>
          <w:tcPr>
            <w:tcW w:w="1051" w:type="dxa"/>
            <w:tcBorders>
              <w:tl2br w:val="nil"/>
              <w:tr2bl w:val="nil"/>
            </w:tcBorders>
            <w:vAlign w:val="center"/>
          </w:tcPr>
          <w:p w14:paraId="31C48C09">
            <w:pPr>
              <w:pStyle w:val="1018"/>
              <w:spacing w:before="16"/>
              <w:ind w:left="1"/>
              <w:jc w:val="center"/>
              <w:rPr>
                <w:sz w:val="21"/>
              </w:rPr>
            </w:pPr>
            <w:r>
              <w:rPr>
                <w:sz w:val="21"/>
              </w:rPr>
              <w:t>超标情况</w:t>
            </w:r>
          </w:p>
        </w:tc>
      </w:tr>
      <w:tr w14:paraId="3B9110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596" w:type="dxa"/>
            <w:vMerge w:val="restart"/>
            <w:tcBorders>
              <w:tl2br w:val="nil"/>
              <w:tr2bl w:val="nil"/>
            </w:tcBorders>
            <w:vAlign w:val="center"/>
          </w:tcPr>
          <w:p w14:paraId="07F306FE">
            <w:pPr>
              <w:widowControl/>
              <w:adjustRightInd w:val="0"/>
              <w:snapToGrid w:val="0"/>
              <w:contextualSpacing/>
              <w:jc w:val="center"/>
            </w:pPr>
            <w:r>
              <w:rPr>
                <w:rFonts w:hint="eastAsia"/>
                <w:szCs w:val="21"/>
              </w:rPr>
              <w:t>蒋家冲</w:t>
            </w:r>
          </w:p>
        </w:tc>
        <w:tc>
          <w:tcPr>
            <w:tcW w:w="972" w:type="dxa"/>
            <w:tcBorders>
              <w:tl2br w:val="nil"/>
              <w:tr2bl w:val="nil"/>
            </w:tcBorders>
            <w:vAlign w:val="center"/>
          </w:tcPr>
          <w:p w14:paraId="553F88E9">
            <w:pPr>
              <w:pStyle w:val="1018"/>
              <w:spacing w:before="16"/>
              <w:ind w:left="1"/>
              <w:jc w:val="center"/>
              <w:rPr>
                <w:sz w:val="21"/>
              </w:rPr>
            </w:pPr>
            <w:r>
              <w:rPr>
                <w:sz w:val="21"/>
              </w:rPr>
              <w:t>开挖</w:t>
            </w:r>
          </w:p>
        </w:tc>
        <w:tc>
          <w:tcPr>
            <w:tcW w:w="1377" w:type="dxa"/>
            <w:tcBorders>
              <w:tl2br w:val="nil"/>
              <w:tr2bl w:val="nil"/>
            </w:tcBorders>
            <w:vAlign w:val="center"/>
          </w:tcPr>
          <w:p w14:paraId="7B7ED654">
            <w:pPr>
              <w:pStyle w:val="1018"/>
              <w:spacing w:before="16"/>
              <w:ind w:left="1"/>
              <w:jc w:val="center"/>
              <w:rPr>
                <w:sz w:val="21"/>
              </w:rPr>
            </w:pPr>
            <w:r>
              <w:rPr>
                <w:rFonts w:hint="eastAsia"/>
                <w:sz w:val="21"/>
              </w:rPr>
              <w:t>40</w:t>
            </w:r>
          </w:p>
        </w:tc>
        <w:tc>
          <w:tcPr>
            <w:tcW w:w="1208" w:type="dxa"/>
            <w:tcBorders>
              <w:tl2br w:val="nil"/>
              <w:tr2bl w:val="nil"/>
            </w:tcBorders>
            <w:vAlign w:val="center"/>
          </w:tcPr>
          <w:p w14:paraId="463A02AA">
            <w:pPr>
              <w:pStyle w:val="1018"/>
              <w:spacing w:before="16"/>
              <w:ind w:left="1"/>
              <w:jc w:val="center"/>
              <w:rPr>
                <w:sz w:val="21"/>
              </w:rPr>
            </w:pPr>
            <w:r>
              <w:rPr>
                <w:rFonts w:hint="eastAsia"/>
                <w:sz w:val="21"/>
              </w:rPr>
              <w:t>47</w:t>
            </w:r>
          </w:p>
        </w:tc>
        <w:tc>
          <w:tcPr>
            <w:tcW w:w="872" w:type="dxa"/>
            <w:tcBorders>
              <w:tl2br w:val="nil"/>
              <w:tr2bl w:val="nil"/>
            </w:tcBorders>
            <w:vAlign w:val="center"/>
          </w:tcPr>
          <w:p w14:paraId="01D8025B">
            <w:pPr>
              <w:pStyle w:val="1018"/>
              <w:spacing w:before="16"/>
              <w:ind w:left="1"/>
              <w:jc w:val="center"/>
              <w:rPr>
                <w:sz w:val="21"/>
              </w:rPr>
            </w:pPr>
            <w:r>
              <w:rPr>
                <w:rFonts w:hint="eastAsia"/>
                <w:sz w:val="21"/>
              </w:rPr>
              <w:t>62.95</w:t>
            </w:r>
          </w:p>
        </w:tc>
        <w:tc>
          <w:tcPr>
            <w:tcW w:w="995" w:type="dxa"/>
            <w:tcBorders>
              <w:tl2br w:val="nil"/>
              <w:tr2bl w:val="nil"/>
            </w:tcBorders>
            <w:vAlign w:val="center"/>
          </w:tcPr>
          <w:p w14:paraId="24B4FEB9">
            <w:pPr>
              <w:pStyle w:val="1018"/>
              <w:spacing w:before="16"/>
              <w:ind w:left="1"/>
              <w:jc w:val="center"/>
              <w:rPr>
                <w:sz w:val="21"/>
              </w:rPr>
            </w:pPr>
            <w:r>
              <w:rPr>
                <w:rFonts w:hint="eastAsia"/>
                <w:sz w:val="21"/>
              </w:rPr>
              <w:t>63.06</w:t>
            </w:r>
          </w:p>
        </w:tc>
        <w:tc>
          <w:tcPr>
            <w:tcW w:w="1020" w:type="dxa"/>
            <w:tcBorders>
              <w:tl2br w:val="nil"/>
              <w:tr2bl w:val="nil"/>
            </w:tcBorders>
            <w:vAlign w:val="center"/>
          </w:tcPr>
          <w:p w14:paraId="4B523612">
            <w:pPr>
              <w:pStyle w:val="1018"/>
              <w:spacing w:before="16"/>
              <w:ind w:left="1"/>
              <w:jc w:val="center"/>
              <w:rPr>
                <w:i/>
                <w:iCs/>
                <w:color w:val="auto"/>
                <w:sz w:val="21"/>
                <w:u w:val="single"/>
              </w:rPr>
            </w:pPr>
            <w:r>
              <w:rPr>
                <w:rFonts w:hint="eastAsia"/>
                <w:i/>
                <w:iCs/>
                <w:color w:val="auto"/>
                <w:sz w:val="21"/>
                <w:u w:val="single"/>
              </w:rPr>
              <w:t>60</w:t>
            </w:r>
          </w:p>
        </w:tc>
        <w:tc>
          <w:tcPr>
            <w:tcW w:w="1051" w:type="dxa"/>
            <w:tcBorders>
              <w:tl2br w:val="nil"/>
              <w:tr2bl w:val="nil"/>
            </w:tcBorders>
            <w:vAlign w:val="center"/>
          </w:tcPr>
          <w:p w14:paraId="12A9F79B">
            <w:pPr>
              <w:pStyle w:val="1018"/>
              <w:spacing w:before="16"/>
              <w:ind w:left="1"/>
              <w:jc w:val="center"/>
              <w:rPr>
                <w:i/>
                <w:iCs/>
                <w:color w:val="auto"/>
                <w:sz w:val="21"/>
                <w:u w:val="single"/>
              </w:rPr>
            </w:pPr>
            <w:r>
              <w:rPr>
                <w:rFonts w:hint="eastAsia"/>
                <w:i/>
                <w:iCs/>
                <w:color w:val="auto"/>
                <w:sz w:val="21"/>
                <w:u w:val="single"/>
              </w:rPr>
              <w:t>3.06</w:t>
            </w:r>
          </w:p>
        </w:tc>
      </w:tr>
      <w:tr w14:paraId="330279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596" w:type="dxa"/>
            <w:vMerge w:val="continue"/>
            <w:tcBorders>
              <w:tl2br w:val="nil"/>
              <w:tr2bl w:val="nil"/>
            </w:tcBorders>
            <w:vAlign w:val="center"/>
          </w:tcPr>
          <w:p w14:paraId="17C7EF4F">
            <w:pPr>
              <w:widowControl/>
              <w:adjustRightInd w:val="0"/>
              <w:snapToGrid w:val="0"/>
              <w:contextualSpacing/>
              <w:jc w:val="center"/>
              <w:rPr>
                <w:szCs w:val="21"/>
              </w:rPr>
            </w:pPr>
          </w:p>
        </w:tc>
        <w:tc>
          <w:tcPr>
            <w:tcW w:w="972" w:type="dxa"/>
            <w:tcBorders>
              <w:tl2br w:val="nil"/>
              <w:tr2bl w:val="nil"/>
            </w:tcBorders>
            <w:vAlign w:val="center"/>
          </w:tcPr>
          <w:p w14:paraId="34D6B256">
            <w:pPr>
              <w:pStyle w:val="1018"/>
              <w:spacing w:before="16"/>
              <w:ind w:left="1"/>
              <w:jc w:val="center"/>
              <w:rPr>
                <w:sz w:val="21"/>
              </w:rPr>
            </w:pPr>
            <w:r>
              <w:rPr>
                <w:sz w:val="21"/>
              </w:rPr>
              <w:t>顶管</w:t>
            </w:r>
          </w:p>
        </w:tc>
        <w:tc>
          <w:tcPr>
            <w:tcW w:w="1377" w:type="dxa"/>
            <w:tcBorders>
              <w:tl2br w:val="nil"/>
              <w:tr2bl w:val="nil"/>
            </w:tcBorders>
            <w:vAlign w:val="center"/>
          </w:tcPr>
          <w:p w14:paraId="76E06CAA">
            <w:pPr>
              <w:pStyle w:val="1018"/>
              <w:spacing w:before="16"/>
              <w:ind w:left="1"/>
              <w:jc w:val="center"/>
              <w:rPr>
                <w:sz w:val="21"/>
              </w:rPr>
            </w:pPr>
            <w:r>
              <w:rPr>
                <w:rFonts w:hint="eastAsia"/>
                <w:sz w:val="21"/>
              </w:rPr>
              <w:t>40</w:t>
            </w:r>
          </w:p>
        </w:tc>
        <w:tc>
          <w:tcPr>
            <w:tcW w:w="1208" w:type="dxa"/>
            <w:tcBorders>
              <w:tl2br w:val="nil"/>
              <w:tr2bl w:val="nil"/>
            </w:tcBorders>
            <w:vAlign w:val="center"/>
          </w:tcPr>
          <w:p w14:paraId="78CE48BF">
            <w:pPr>
              <w:pStyle w:val="1018"/>
              <w:spacing w:before="16"/>
              <w:ind w:left="1"/>
              <w:jc w:val="center"/>
              <w:rPr>
                <w:sz w:val="21"/>
              </w:rPr>
            </w:pPr>
            <w:r>
              <w:rPr>
                <w:rFonts w:hint="eastAsia"/>
                <w:sz w:val="21"/>
              </w:rPr>
              <w:t>47</w:t>
            </w:r>
          </w:p>
        </w:tc>
        <w:tc>
          <w:tcPr>
            <w:tcW w:w="872" w:type="dxa"/>
            <w:tcBorders>
              <w:tl2br w:val="nil"/>
              <w:tr2bl w:val="nil"/>
            </w:tcBorders>
            <w:vAlign w:val="center"/>
          </w:tcPr>
          <w:p w14:paraId="36B08A06">
            <w:pPr>
              <w:pStyle w:val="1018"/>
              <w:spacing w:before="16"/>
              <w:ind w:left="1"/>
              <w:jc w:val="center"/>
              <w:rPr>
                <w:sz w:val="21"/>
              </w:rPr>
            </w:pPr>
            <w:r>
              <w:rPr>
                <w:rFonts w:hint="eastAsia"/>
                <w:sz w:val="21"/>
              </w:rPr>
              <w:t>36.95</w:t>
            </w:r>
          </w:p>
        </w:tc>
        <w:tc>
          <w:tcPr>
            <w:tcW w:w="995" w:type="dxa"/>
            <w:tcBorders>
              <w:tl2br w:val="nil"/>
              <w:tr2bl w:val="nil"/>
            </w:tcBorders>
            <w:vAlign w:val="center"/>
          </w:tcPr>
          <w:p w14:paraId="762FF116">
            <w:pPr>
              <w:pStyle w:val="1018"/>
              <w:spacing w:before="16"/>
              <w:ind w:left="1"/>
              <w:jc w:val="center"/>
              <w:rPr>
                <w:sz w:val="21"/>
              </w:rPr>
            </w:pPr>
            <w:r>
              <w:rPr>
                <w:rFonts w:hint="eastAsia"/>
                <w:sz w:val="21"/>
              </w:rPr>
              <w:t>47.41</w:t>
            </w:r>
          </w:p>
        </w:tc>
        <w:tc>
          <w:tcPr>
            <w:tcW w:w="1020" w:type="dxa"/>
            <w:tcBorders>
              <w:tl2br w:val="nil"/>
              <w:tr2bl w:val="nil"/>
            </w:tcBorders>
            <w:vAlign w:val="center"/>
          </w:tcPr>
          <w:p w14:paraId="43FEF8F0">
            <w:pPr>
              <w:pStyle w:val="1018"/>
              <w:spacing w:before="16"/>
              <w:ind w:left="1"/>
              <w:jc w:val="center"/>
              <w:rPr>
                <w:i/>
                <w:iCs/>
                <w:color w:val="auto"/>
                <w:sz w:val="21"/>
                <w:u w:val="single"/>
              </w:rPr>
            </w:pPr>
            <w:r>
              <w:rPr>
                <w:rFonts w:hint="eastAsia"/>
                <w:i/>
                <w:iCs/>
                <w:color w:val="auto"/>
                <w:sz w:val="21"/>
                <w:u w:val="single"/>
              </w:rPr>
              <w:t>60</w:t>
            </w:r>
          </w:p>
        </w:tc>
        <w:tc>
          <w:tcPr>
            <w:tcW w:w="1051" w:type="dxa"/>
            <w:tcBorders>
              <w:tl2br w:val="nil"/>
              <w:tr2bl w:val="nil"/>
            </w:tcBorders>
            <w:vAlign w:val="center"/>
          </w:tcPr>
          <w:p w14:paraId="12AE0C4E">
            <w:pPr>
              <w:pStyle w:val="1018"/>
              <w:spacing w:before="16"/>
              <w:ind w:left="1"/>
              <w:jc w:val="center"/>
              <w:rPr>
                <w:i/>
                <w:iCs/>
                <w:color w:val="auto"/>
                <w:sz w:val="21"/>
                <w:u w:val="single"/>
              </w:rPr>
            </w:pPr>
            <w:r>
              <w:rPr>
                <w:rFonts w:hint="eastAsia"/>
                <w:i/>
                <w:iCs/>
                <w:color w:val="auto"/>
                <w:sz w:val="21"/>
                <w:u w:val="single"/>
              </w:rPr>
              <w:t>达标</w:t>
            </w:r>
          </w:p>
        </w:tc>
      </w:tr>
      <w:tr w14:paraId="37C0D7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596" w:type="dxa"/>
            <w:tcBorders>
              <w:tl2br w:val="nil"/>
              <w:tr2bl w:val="nil"/>
            </w:tcBorders>
            <w:vAlign w:val="center"/>
          </w:tcPr>
          <w:p w14:paraId="5CD29554">
            <w:pPr>
              <w:widowControl/>
              <w:adjustRightInd w:val="0"/>
              <w:snapToGrid w:val="0"/>
              <w:contextualSpacing/>
              <w:jc w:val="center"/>
            </w:pPr>
            <w:r>
              <w:rPr>
                <w:rFonts w:hint="eastAsia"/>
                <w:szCs w:val="21"/>
              </w:rPr>
              <w:t>资家湾</w:t>
            </w:r>
          </w:p>
        </w:tc>
        <w:tc>
          <w:tcPr>
            <w:tcW w:w="972" w:type="dxa"/>
            <w:tcBorders>
              <w:tl2br w:val="nil"/>
              <w:tr2bl w:val="nil"/>
            </w:tcBorders>
            <w:vAlign w:val="center"/>
          </w:tcPr>
          <w:p w14:paraId="7ED55804">
            <w:pPr>
              <w:pStyle w:val="1018"/>
              <w:spacing w:before="16"/>
              <w:ind w:left="1"/>
              <w:jc w:val="center"/>
              <w:rPr>
                <w:sz w:val="21"/>
              </w:rPr>
            </w:pPr>
            <w:r>
              <w:rPr>
                <w:sz w:val="21"/>
              </w:rPr>
              <w:t>开挖</w:t>
            </w:r>
          </w:p>
        </w:tc>
        <w:tc>
          <w:tcPr>
            <w:tcW w:w="1377" w:type="dxa"/>
            <w:tcBorders>
              <w:tl2br w:val="nil"/>
              <w:tr2bl w:val="nil"/>
            </w:tcBorders>
            <w:vAlign w:val="center"/>
          </w:tcPr>
          <w:p w14:paraId="061CA4A7">
            <w:pPr>
              <w:pStyle w:val="1018"/>
              <w:spacing w:before="16"/>
              <w:ind w:left="1"/>
              <w:jc w:val="center"/>
              <w:rPr>
                <w:sz w:val="21"/>
              </w:rPr>
            </w:pPr>
            <w:r>
              <w:rPr>
                <w:rFonts w:hint="eastAsia"/>
                <w:sz w:val="21"/>
              </w:rPr>
              <w:t>50</w:t>
            </w:r>
          </w:p>
        </w:tc>
        <w:tc>
          <w:tcPr>
            <w:tcW w:w="1208" w:type="dxa"/>
            <w:tcBorders>
              <w:tl2br w:val="nil"/>
              <w:tr2bl w:val="nil"/>
            </w:tcBorders>
            <w:vAlign w:val="center"/>
          </w:tcPr>
          <w:p w14:paraId="297D2FB6">
            <w:pPr>
              <w:pStyle w:val="1018"/>
              <w:spacing w:before="16"/>
              <w:ind w:left="1"/>
              <w:jc w:val="center"/>
              <w:rPr>
                <w:sz w:val="21"/>
              </w:rPr>
            </w:pPr>
            <w:r>
              <w:rPr>
                <w:rFonts w:hint="eastAsia"/>
                <w:sz w:val="21"/>
              </w:rPr>
              <w:t>47</w:t>
            </w:r>
          </w:p>
        </w:tc>
        <w:tc>
          <w:tcPr>
            <w:tcW w:w="872" w:type="dxa"/>
            <w:tcBorders>
              <w:tl2br w:val="nil"/>
              <w:tr2bl w:val="nil"/>
            </w:tcBorders>
            <w:vAlign w:val="center"/>
          </w:tcPr>
          <w:p w14:paraId="5D0910D7">
            <w:pPr>
              <w:pStyle w:val="1018"/>
              <w:spacing w:before="16"/>
              <w:ind w:left="1"/>
              <w:jc w:val="center"/>
              <w:rPr>
                <w:sz w:val="21"/>
              </w:rPr>
            </w:pPr>
            <w:r>
              <w:rPr>
                <w:rFonts w:hint="eastAsia"/>
                <w:sz w:val="21"/>
              </w:rPr>
              <w:t>61.02</w:t>
            </w:r>
          </w:p>
        </w:tc>
        <w:tc>
          <w:tcPr>
            <w:tcW w:w="995" w:type="dxa"/>
            <w:tcBorders>
              <w:tl2br w:val="nil"/>
              <w:tr2bl w:val="nil"/>
            </w:tcBorders>
            <w:vAlign w:val="center"/>
          </w:tcPr>
          <w:p w14:paraId="4BA63561">
            <w:pPr>
              <w:pStyle w:val="1018"/>
              <w:spacing w:before="16"/>
              <w:ind w:left="1"/>
              <w:jc w:val="center"/>
              <w:rPr>
                <w:sz w:val="21"/>
              </w:rPr>
            </w:pPr>
            <w:r>
              <w:rPr>
                <w:rFonts w:hint="eastAsia"/>
                <w:sz w:val="21"/>
              </w:rPr>
              <w:t>61.19</w:t>
            </w:r>
          </w:p>
        </w:tc>
        <w:tc>
          <w:tcPr>
            <w:tcW w:w="1020" w:type="dxa"/>
            <w:tcBorders>
              <w:tl2br w:val="nil"/>
              <w:tr2bl w:val="nil"/>
            </w:tcBorders>
            <w:vAlign w:val="center"/>
          </w:tcPr>
          <w:p w14:paraId="6F8EB9E0">
            <w:pPr>
              <w:pStyle w:val="1018"/>
              <w:spacing w:before="16"/>
              <w:ind w:left="1"/>
              <w:jc w:val="center"/>
              <w:rPr>
                <w:i/>
                <w:iCs/>
                <w:color w:val="auto"/>
                <w:sz w:val="21"/>
                <w:u w:val="single"/>
              </w:rPr>
            </w:pPr>
            <w:r>
              <w:rPr>
                <w:rFonts w:hint="eastAsia"/>
                <w:i/>
                <w:iCs/>
                <w:color w:val="auto"/>
                <w:sz w:val="21"/>
                <w:u w:val="single"/>
              </w:rPr>
              <w:t>60</w:t>
            </w:r>
          </w:p>
        </w:tc>
        <w:tc>
          <w:tcPr>
            <w:tcW w:w="1051" w:type="dxa"/>
            <w:tcBorders>
              <w:tl2br w:val="nil"/>
              <w:tr2bl w:val="nil"/>
            </w:tcBorders>
            <w:vAlign w:val="center"/>
          </w:tcPr>
          <w:p w14:paraId="7477B4B3">
            <w:pPr>
              <w:pStyle w:val="1018"/>
              <w:spacing w:before="16"/>
              <w:ind w:left="1"/>
              <w:jc w:val="center"/>
              <w:rPr>
                <w:i/>
                <w:iCs/>
                <w:color w:val="auto"/>
                <w:sz w:val="21"/>
                <w:u w:val="single"/>
              </w:rPr>
            </w:pPr>
            <w:r>
              <w:rPr>
                <w:rFonts w:hint="eastAsia"/>
                <w:i/>
                <w:iCs/>
                <w:color w:val="auto"/>
                <w:sz w:val="21"/>
                <w:u w:val="single"/>
              </w:rPr>
              <w:t>1.19</w:t>
            </w:r>
          </w:p>
        </w:tc>
      </w:tr>
    </w:tbl>
    <w:p w14:paraId="627605D7">
      <w:pPr>
        <w:pStyle w:val="234"/>
        <w:spacing w:before="120" w:beforeLines="50"/>
      </w:pPr>
      <w:r>
        <w:t>由上表可知，管道施工时，叠加背景值后，</w:t>
      </w:r>
      <w:r>
        <w:rPr>
          <w:i/>
          <w:iCs/>
          <w:color w:val="auto"/>
          <w:u w:val="single"/>
        </w:rPr>
        <w:t>敏感目标昼间声环境质量不</w:t>
      </w:r>
      <w:r>
        <w:rPr>
          <w:rFonts w:hint="eastAsia"/>
          <w:i/>
          <w:iCs/>
          <w:color w:val="auto"/>
          <w:u w:val="single"/>
        </w:rPr>
        <w:t>能</w:t>
      </w:r>
      <w:r>
        <w:rPr>
          <w:i/>
          <w:iCs/>
          <w:color w:val="auto"/>
          <w:u w:val="single"/>
        </w:rPr>
        <w:t>满足《声环境质量标准》（GB3096-2008）</w:t>
      </w:r>
      <w:r>
        <w:rPr>
          <w:rFonts w:hint="eastAsia"/>
          <w:i/>
          <w:iCs/>
          <w:color w:val="auto"/>
          <w:u w:val="single"/>
        </w:rPr>
        <w:t>2</w:t>
      </w:r>
      <w:r>
        <w:rPr>
          <w:i/>
          <w:iCs/>
          <w:color w:val="auto"/>
          <w:u w:val="single"/>
        </w:rPr>
        <w:t>类标准，</w:t>
      </w:r>
      <w:r>
        <w:t>因此，本项目施工期噪声将不可避免的对敏感目标产生影响。</w:t>
      </w:r>
    </w:p>
    <w:p w14:paraId="1B9E2854">
      <w:pPr>
        <w:pStyle w:val="234"/>
      </w:pPr>
      <w:r>
        <w:t>为减轻噪声对周围环境的影响，本次评价建议采取以下噪声污染防治措施：</w:t>
      </w:r>
    </w:p>
    <w:p w14:paraId="578FFA72">
      <w:pPr>
        <w:pStyle w:val="234"/>
      </w:pPr>
      <w:r>
        <w:t>（1）施工单位必须选用符合国家有关标准的施工机具和运输车辆，尽量选用低噪声的施工机械和工艺，振动较大的固定机械设备应加装减振机座，同时加强各类施工</w:t>
      </w:r>
      <w:r>
        <w:rPr>
          <w:rFonts w:hint="eastAsia"/>
        </w:rPr>
        <w:t>机械</w:t>
      </w:r>
      <w:r>
        <w:t>设备的维护和保养，保持其良好的工况</w:t>
      </w:r>
      <w:r>
        <w:rPr>
          <w:rFonts w:hint="eastAsia"/>
        </w:rPr>
        <w:t>，</w:t>
      </w:r>
      <w:r>
        <w:t>从根本上降低噪声源强；</w:t>
      </w:r>
    </w:p>
    <w:p w14:paraId="4BC0ECF9">
      <w:pPr>
        <w:pStyle w:val="234"/>
      </w:pPr>
      <w:r>
        <w:t>（2）合理安排施工时间，提高操作水平，与周围居民做好沟通工作，减少对敏感点的影响，防止发生噪声扰民现象</w:t>
      </w:r>
      <w:r>
        <w:rPr>
          <w:rFonts w:hint="eastAsia"/>
        </w:rPr>
        <w:t>；</w:t>
      </w:r>
    </w:p>
    <w:p w14:paraId="6151E23A">
      <w:pPr>
        <w:pStyle w:val="234"/>
      </w:pPr>
      <w:r>
        <w:t>（3）施工过程中可根据情况适当建立</w:t>
      </w:r>
      <w:r>
        <w:rPr>
          <w:rFonts w:hint="eastAsia"/>
        </w:rPr>
        <w:t>隔声屏障</w:t>
      </w:r>
      <w:r>
        <w:t>，尤其距离村庄较近一侧；</w:t>
      </w:r>
    </w:p>
    <w:p w14:paraId="517ABC58">
      <w:pPr>
        <w:pStyle w:val="234"/>
      </w:pPr>
      <w:r>
        <w:t>（4）合理布局施工现场，避免在同一地点安排大量动力机械设备</w:t>
      </w:r>
      <w:r>
        <w:rPr>
          <w:rFonts w:hint="eastAsia"/>
        </w:rPr>
        <w:t>同时施工</w:t>
      </w:r>
      <w:r>
        <w:t>，以免局部声级过高；</w:t>
      </w:r>
    </w:p>
    <w:p w14:paraId="7E1DE94F">
      <w:pPr>
        <w:pStyle w:val="234"/>
      </w:pPr>
      <w:r>
        <w:t>（5）制定合理的运输线路，严禁运输车辆及其他施工车辆进出施工现场、路过村镇时鸣笛。</w:t>
      </w:r>
    </w:p>
    <w:p w14:paraId="52429741">
      <w:pPr>
        <w:pStyle w:val="7"/>
        <w:rPr>
          <w:b/>
        </w:rPr>
      </w:pPr>
      <w:r>
        <w:rPr>
          <w:rFonts w:hint="eastAsia"/>
          <w:sz w:val="23"/>
          <w:szCs w:val="23"/>
        </w:rPr>
        <w:t xml:space="preserve"> </w:t>
      </w:r>
      <w:r>
        <w:rPr>
          <w:sz w:val="23"/>
          <w:szCs w:val="23"/>
        </w:rPr>
        <w:t>场站</w:t>
      </w:r>
      <w:r>
        <w:rPr>
          <w:rFonts w:hint="eastAsia"/>
          <w:sz w:val="23"/>
          <w:szCs w:val="23"/>
        </w:rPr>
        <w:t>、</w:t>
      </w:r>
      <w:r>
        <w:rPr>
          <w:sz w:val="23"/>
          <w:szCs w:val="23"/>
        </w:rPr>
        <w:t>阀室施工对周边环境敏感目标的影响</w:t>
      </w:r>
    </w:p>
    <w:p w14:paraId="76289111">
      <w:pPr>
        <w:pStyle w:val="234"/>
      </w:pPr>
      <w:r>
        <w:rPr>
          <w:rFonts w:hint="eastAsia"/>
        </w:rPr>
        <w:t>场站</w:t>
      </w:r>
      <w:r>
        <w:t>施工过程中，考虑不同施工机械噪声叠加影响的不利条件下，施工噪声将对环境敏感点产生噪声影响。</w:t>
      </w:r>
      <w:r>
        <w:rPr>
          <w:rFonts w:hint="eastAsia"/>
        </w:rPr>
        <w:t>场站</w:t>
      </w:r>
      <w:r>
        <w:t>施工为固定作业，施工机械布置在施工场地中部，距离施工场界</w:t>
      </w:r>
      <w:r>
        <w:rPr>
          <w:rFonts w:hint="eastAsia"/>
        </w:rPr>
        <w:t>均按</w:t>
      </w:r>
      <w:r>
        <w:t>10m</w:t>
      </w:r>
      <w:r>
        <w:rPr>
          <w:rFonts w:hint="eastAsia"/>
        </w:rPr>
        <w:t>计算</w:t>
      </w:r>
      <w:r>
        <w:t>。施工时间按昼间、夜间同负荷连续作业考虑</w:t>
      </w:r>
      <w:r>
        <w:rPr>
          <w:rFonts w:hint="eastAsia"/>
        </w:rPr>
        <w:t>，</w:t>
      </w:r>
      <w:r>
        <w:t>假设施工机械同时作业的情景，预测在施工场界处的噪声影响，见表</w:t>
      </w:r>
      <w:r>
        <w:rPr>
          <w:rFonts w:hint="eastAsia"/>
        </w:rPr>
        <w:t>6</w:t>
      </w:r>
      <w:r>
        <w:t>.1-</w:t>
      </w:r>
      <w:r>
        <w:rPr>
          <w:rFonts w:hint="eastAsia"/>
        </w:rPr>
        <w:t>7</w:t>
      </w:r>
      <w:r>
        <w:t>。</w:t>
      </w:r>
    </w:p>
    <w:p w14:paraId="78DD7CD3">
      <w:pPr>
        <w:pStyle w:val="904"/>
      </w:pPr>
      <w:r>
        <w:t xml:space="preserve">表 </w:t>
      </w:r>
      <w:r>
        <w:rPr>
          <w:rFonts w:hint="eastAsia"/>
        </w:rPr>
        <w:t>6</w:t>
      </w:r>
      <w:r>
        <w:t>.1-</w:t>
      </w:r>
      <w:r>
        <w:rPr>
          <w:rFonts w:hint="eastAsia"/>
        </w:rPr>
        <w:t>7</w:t>
      </w:r>
      <w:r>
        <w:t xml:space="preserve"> </w:t>
      </w:r>
      <w:r>
        <w:rPr>
          <w:rFonts w:hint="eastAsia"/>
        </w:rPr>
        <w:t>场站施工</w:t>
      </w:r>
      <w:r>
        <w:t>在施工厂界处的噪声级单位：dB(A)</w:t>
      </w:r>
    </w:p>
    <w:tbl>
      <w:tblPr>
        <w:tblStyle w:val="88"/>
        <w:tblW w:w="5009" w:type="pct"/>
        <w:jc w:val="center"/>
        <w:tblLayout w:type="fixed"/>
        <w:tblCellMar>
          <w:top w:w="0" w:type="dxa"/>
          <w:left w:w="0" w:type="dxa"/>
          <w:bottom w:w="0" w:type="dxa"/>
          <w:right w:w="0" w:type="dxa"/>
        </w:tblCellMar>
      </w:tblPr>
      <w:tblGrid>
        <w:gridCol w:w="2694"/>
        <w:gridCol w:w="1147"/>
        <w:gridCol w:w="1011"/>
        <w:gridCol w:w="1407"/>
        <w:gridCol w:w="1407"/>
        <w:gridCol w:w="1427"/>
      </w:tblGrid>
      <w:tr w14:paraId="2CC92343">
        <w:tblPrEx>
          <w:tblCellMar>
            <w:top w:w="0" w:type="dxa"/>
            <w:left w:w="0" w:type="dxa"/>
            <w:bottom w:w="0" w:type="dxa"/>
            <w:right w:w="0" w:type="dxa"/>
          </w:tblCellMar>
        </w:tblPrEx>
        <w:trPr>
          <w:trHeight w:val="340" w:hRule="atLeast"/>
          <w:jc w:val="center"/>
        </w:trPr>
        <w:tc>
          <w:tcPr>
            <w:tcW w:w="2693" w:type="dxa"/>
            <w:tcBorders>
              <w:top w:val="single" w:color="000000" w:sz="2" w:space="0"/>
              <w:left w:val="single" w:color="000000" w:sz="2" w:space="0"/>
              <w:bottom w:val="single" w:color="000000" w:sz="2" w:space="0"/>
              <w:right w:val="single" w:color="000000" w:sz="2" w:space="0"/>
            </w:tcBorders>
            <w:vAlign w:val="center"/>
          </w:tcPr>
          <w:p w14:paraId="33EC8DD4">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同时作业的机械组合</w:t>
            </w:r>
          </w:p>
        </w:tc>
        <w:tc>
          <w:tcPr>
            <w:tcW w:w="1146" w:type="dxa"/>
            <w:tcBorders>
              <w:top w:val="single" w:color="000000" w:sz="2" w:space="0"/>
              <w:left w:val="single" w:color="000000" w:sz="2" w:space="0"/>
              <w:bottom w:val="single" w:color="000000" w:sz="2" w:space="0"/>
              <w:right w:val="single" w:color="000000" w:sz="2" w:space="0"/>
            </w:tcBorders>
            <w:vAlign w:val="center"/>
          </w:tcPr>
          <w:p w14:paraId="2FE9AE24">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施工场界预</w:t>
            </w:r>
          </w:p>
          <w:p w14:paraId="5FBFB30D">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测值</w:t>
            </w:r>
          </w:p>
        </w:tc>
        <w:tc>
          <w:tcPr>
            <w:tcW w:w="1011" w:type="dxa"/>
            <w:tcBorders>
              <w:top w:val="single" w:color="000000" w:sz="2" w:space="0"/>
              <w:left w:val="single" w:color="000000" w:sz="2" w:space="0"/>
              <w:bottom w:val="single" w:color="000000" w:sz="2" w:space="0"/>
              <w:right w:val="single" w:color="000000" w:sz="2" w:space="0"/>
            </w:tcBorders>
            <w:vAlign w:val="center"/>
          </w:tcPr>
          <w:p w14:paraId="25626F10">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昼间标准</w:t>
            </w:r>
          </w:p>
        </w:tc>
        <w:tc>
          <w:tcPr>
            <w:tcW w:w="1406" w:type="dxa"/>
            <w:tcBorders>
              <w:top w:val="single" w:color="000000" w:sz="2" w:space="0"/>
              <w:left w:val="single" w:color="000000" w:sz="2" w:space="0"/>
              <w:bottom w:val="single" w:color="000000" w:sz="2" w:space="0"/>
              <w:right w:val="single" w:color="000000" w:sz="2" w:space="0"/>
            </w:tcBorders>
            <w:vAlign w:val="center"/>
          </w:tcPr>
          <w:p w14:paraId="176914A5">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昼间达标情况</w:t>
            </w:r>
          </w:p>
        </w:tc>
        <w:tc>
          <w:tcPr>
            <w:tcW w:w="1406" w:type="dxa"/>
            <w:tcBorders>
              <w:top w:val="single" w:color="000000" w:sz="2" w:space="0"/>
              <w:left w:val="single" w:color="000000" w:sz="2" w:space="0"/>
              <w:bottom w:val="single" w:color="000000" w:sz="2" w:space="0"/>
              <w:right w:val="single" w:color="000000" w:sz="2" w:space="0"/>
            </w:tcBorders>
            <w:vAlign w:val="center"/>
          </w:tcPr>
          <w:p w14:paraId="6B2E50B2">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夜间标准</w:t>
            </w:r>
          </w:p>
        </w:tc>
        <w:tc>
          <w:tcPr>
            <w:tcW w:w="1426" w:type="dxa"/>
            <w:tcBorders>
              <w:top w:val="single" w:color="000000" w:sz="2" w:space="0"/>
              <w:left w:val="single" w:color="000000" w:sz="2" w:space="0"/>
              <w:bottom w:val="single" w:color="000000" w:sz="2" w:space="0"/>
              <w:right w:val="single" w:color="000000" w:sz="2" w:space="0"/>
            </w:tcBorders>
            <w:vAlign w:val="center"/>
          </w:tcPr>
          <w:p w14:paraId="7B82A3B0">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夜间达标情况</w:t>
            </w:r>
          </w:p>
        </w:tc>
      </w:tr>
      <w:tr w14:paraId="651CDCA0">
        <w:tblPrEx>
          <w:tblCellMar>
            <w:top w:w="0" w:type="dxa"/>
            <w:left w:w="0" w:type="dxa"/>
            <w:bottom w:w="0" w:type="dxa"/>
            <w:right w:w="0" w:type="dxa"/>
          </w:tblCellMar>
        </w:tblPrEx>
        <w:trPr>
          <w:trHeight w:val="340" w:hRule="atLeast"/>
          <w:jc w:val="center"/>
        </w:trPr>
        <w:tc>
          <w:tcPr>
            <w:tcW w:w="9088" w:type="dxa"/>
            <w:gridSpan w:val="6"/>
            <w:tcBorders>
              <w:top w:val="single" w:color="000000" w:sz="2" w:space="0"/>
              <w:left w:val="single" w:color="000000" w:sz="2" w:space="0"/>
              <w:bottom w:val="single" w:color="000000" w:sz="2" w:space="0"/>
              <w:right w:val="single" w:color="000000" w:sz="2" w:space="0"/>
            </w:tcBorders>
            <w:vAlign w:val="center"/>
          </w:tcPr>
          <w:p w14:paraId="0BC44ABF">
            <w:pPr>
              <w:pStyle w:val="3084"/>
              <w:adjustRightInd w:val="0"/>
              <w:snapToGrid w:val="0"/>
              <w:spacing w:line="240" w:lineRule="auto"/>
              <w:jc w:val="center"/>
              <w:rPr>
                <w:rFonts w:ascii="Times New Roman" w:hAnsi="Times New Roman" w:eastAsia="宋体"/>
                <w:b w:val="0"/>
                <w:color w:val="auto"/>
                <w:szCs w:val="21"/>
              </w:rPr>
            </w:pPr>
            <w:r>
              <w:rPr>
                <w:rFonts w:hint="eastAsia" w:ascii="Times New Roman" w:hAnsi="Times New Roman" w:eastAsia="宋体"/>
                <w:b w:val="0"/>
                <w:color w:val="auto"/>
                <w:szCs w:val="21"/>
              </w:rPr>
              <w:t>场站施工</w:t>
            </w:r>
          </w:p>
        </w:tc>
      </w:tr>
      <w:tr w14:paraId="6A001BBD">
        <w:tblPrEx>
          <w:tblCellMar>
            <w:top w:w="0" w:type="dxa"/>
            <w:left w:w="0" w:type="dxa"/>
            <w:bottom w:w="0" w:type="dxa"/>
            <w:right w:w="0" w:type="dxa"/>
          </w:tblCellMar>
        </w:tblPrEx>
        <w:trPr>
          <w:trHeight w:val="340" w:hRule="atLeast"/>
          <w:jc w:val="center"/>
        </w:trPr>
        <w:tc>
          <w:tcPr>
            <w:tcW w:w="2693" w:type="dxa"/>
            <w:tcBorders>
              <w:top w:val="single" w:color="000000" w:sz="2" w:space="0"/>
              <w:left w:val="single" w:color="000000" w:sz="2" w:space="0"/>
              <w:bottom w:val="single" w:color="000000" w:sz="2" w:space="0"/>
              <w:right w:val="single" w:color="000000" w:sz="2" w:space="0"/>
            </w:tcBorders>
            <w:vAlign w:val="center"/>
          </w:tcPr>
          <w:p w14:paraId="53CAC573">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挖掘机×2</w:t>
            </w:r>
          </w:p>
          <w:p w14:paraId="4D0290D6">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装载机×2</w:t>
            </w:r>
          </w:p>
          <w:p w14:paraId="29BF8088">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运输车×2</w:t>
            </w:r>
          </w:p>
          <w:p w14:paraId="2CB8E671">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柴油发电机×</w:t>
            </w:r>
            <w:r>
              <w:rPr>
                <w:rFonts w:hint="eastAsia" w:ascii="Times New Roman" w:hAnsi="Times New Roman" w:eastAsia="宋体"/>
                <w:b w:val="0"/>
                <w:color w:val="auto"/>
                <w:szCs w:val="21"/>
              </w:rPr>
              <w:t>2</w:t>
            </w:r>
          </w:p>
          <w:p w14:paraId="2BB5EC9B">
            <w:pPr>
              <w:pStyle w:val="3084"/>
              <w:adjustRightInd w:val="0"/>
              <w:snapToGrid w:val="0"/>
              <w:spacing w:line="240" w:lineRule="auto"/>
              <w:jc w:val="center"/>
              <w:rPr>
                <w:rFonts w:ascii="Times New Roman" w:hAnsi="Times New Roman" w:eastAsia="宋体"/>
                <w:b w:val="0"/>
                <w:color w:val="auto"/>
                <w:szCs w:val="21"/>
              </w:rPr>
            </w:pPr>
            <w:r>
              <w:rPr>
                <w:rFonts w:hint="eastAsia" w:ascii="Times New Roman" w:hAnsi="Times New Roman" w:eastAsia="宋体"/>
                <w:b w:val="0"/>
                <w:color w:val="auto"/>
                <w:szCs w:val="21"/>
              </w:rPr>
              <w:t>混凝土搅拌机</w:t>
            </w:r>
            <w:r>
              <w:rPr>
                <w:rFonts w:ascii="Times New Roman" w:hAnsi="Times New Roman" w:eastAsia="宋体"/>
                <w:b w:val="0"/>
                <w:color w:val="auto"/>
                <w:szCs w:val="21"/>
              </w:rPr>
              <w:t>×</w:t>
            </w:r>
            <w:r>
              <w:rPr>
                <w:rFonts w:hint="eastAsia" w:ascii="Times New Roman" w:hAnsi="Times New Roman" w:eastAsia="宋体"/>
                <w:b w:val="0"/>
                <w:color w:val="auto"/>
                <w:szCs w:val="21"/>
              </w:rPr>
              <w:t>1</w:t>
            </w:r>
          </w:p>
          <w:p w14:paraId="78401048">
            <w:pPr>
              <w:pStyle w:val="3084"/>
              <w:adjustRightInd w:val="0"/>
              <w:snapToGrid w:val="0"/>
              <w:spacing w:line="240" w:lineRule="auto"/>
              <w:jc w:val="center"/>
              <w:rPr>
                <w:rFonts w:ascii="Times New Roman" w:hAnsi="Times New Roman" w:eastAsia="宋体"/>
                <w:b w:val="0"/>
                <w:color w:val="auto"/>
                <w:szCs w:val="21"/>
              </w:rPr>
            </w:pPr>
            <w:r>
              <w:rPr>
                <w:rFonts w:hint="eastAsia" w:ascii="Times New Roman" w:hAnsi="Times New Roman" w:eastAsia="宋体"/>
                <w:b w:val="0"/>
                <w:color w:val="auto"/>
                <w:szCs w:val="21"/>
              </w:rPr>
              <w:t>混凝土振捣棒</w:t>
            </w:r>
            <w:r>
              <w:rPr>
                <w:rFonts w:ascii="Times New Roman" w:hAnsi="Times New Roman" w:eastAsia="宋体"/>
                <w:b w:val="0"/>
                <w:color w:val="auto"/>
                <w:szCs w:val="21"/>
              </w:rPr>
              <w:t>×</w:t>
            </w:r>
            <w:r>
              <w:rPr>
                <w:rFonts w:hint="eastAsia" w:ascii="Times New Roman" w:hAnsi="Times New Roman" w:eastAsia="宋体"/>
                <w:b w:val="0"/>
                <w:color w:val="auto"/>
                <w:szCs w:val="21"/>
              </w:rPr>
              <w:t>1</w:t>
            </w:r>
          </w:p>
        </w:tc>
        <w:tc>
          <w:tcPr>
            <w:tcW w:w="1146" w:type="dxa"/>
            <w:tcBorders>
              <w:top w:val="single" w:color="000000" w:sz="2" w:space="0"/>
              <w:left w:val="single" w:color="000000" w:sz="2" w:space="0"/>
              <w:bottom w:val="single" w:color="000000" w:sz="2" w:space="0"/>
              <w:right w:val="single" w:color="000000" w:sz="2" w:space="0"/>
            </w:tcBorders>
            <w:vAlign w:val="center"/>
          </w:tcPr>
          <w:p w14:paraId="17B481A3">
            <w:pPr>
              <w:pStyle w:val="3084"/>
              <w:adjustRightInd w:val="0"/>
              <w:snapToGrid w:val="0"/>
              <w:spacing w:line="240" w:lineRule="auto"/>
              <w:jc w:val="center"/>
              <w:rPr>
                <w:rFonts w:ascii="Times New Roman" w:hAnsi="Times New Roman" w:eastAsia="宋体"/>
                <w:b w:val="0"/>
                <w:color w:val="auto"/>
                <w:szCs w:val="21"/>
              </w:rPr>
            </w:pPr>
            <w:r>
              <w:rPr>
                <w:rFonts w:hint="eastAsia" w:ascii="Times New Roman" w:hAnsi="Times New Roman" w:eastAsia="宋体"/>
                <w:b w:val="0"/>
                <w:color w:val="auto"/>
                <w:szCs w:val="21"/>
              </w:rPr>
              <w:t>82</w:t>
            </w:r>
          </w:p>
        </w:tc>
        <w:tc>
          <w:tcPr>
            <w:tcW w:w="1011" w:type="dxa"/>
            <w:tcBorders>
              <w:top w:val="single" w:color="000000" w:sz="2" w:space="0"/>
              <w:left w:val="single" w:color="000000" w:sz="2" w:space="0"/>
              <w:bottom w:val="single" w:color="000000" w:sz="2" w:space="0"/>
              <w:right w:val="single" w:color="000000" w:sz="2" w:space="0"/>
            </w:tcBorders>
            <w:vAlign w:val="center"/>
          </w:tcPr>
          <w:p w14:paraId="515F051E">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70</w:t>
            </w:r>
          </w:p>
        </w:tc>
        <w:tc>
          <w:tcPr>
            <w:tcW w:w="1406" w:type="dxa"/>
            <w:tcBorders>
              <w:top w:val="single" w:color="000000" w:sz="2" w:space="0"/>
              <w:left w:val="single" w:color="000000" w:sz="2" w:space="0"/>
              <w:bottom w:val="single" w:color="000000" w:sz="2" w:space="0"/>
              <w:right w:val="single" w:color="000000" w:sz="2" w:space="0"/>
            </w:tcBorders>
            <w:vAlign w:val="center"/>
          </w:tcPr>
          <w:p w14:paraId="0136600E">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超标</w:t>
            </w:r>
            <w:r>
              <w:rPr>
                <w:rFonts w:hint="eastAsia" w:ascii="Times New Roman" w:hAnsi="Times New Roman" w:eastAsia="宋体"/>
                <w:b w:val="0"/>
                <w:color w:val="auto"/>
                <w:szCs w:val="21"/>
              </w:rPr>
              <w:t>12</w:t>
            </w:r>
          </w:p>
        </w:tc>
        <w:tc>
          <w:tcPr>
            <w:tcW w:w="1406" w:type="dxa"/>
            <w:tcBorders>
              <w:top w:val="single" w:color="000000" w:sz="2" w:space="0"/>
              <w:left w:val="single" w:color="000000" w:sz="2" w:space="0"/>
              <w:bottom w:val="single" w:color="000000" w:sz="2" w:space="0"/>
              <w:right w:val="single" w:color="000000" w:sz="2" w:space="0"/>
            </w:tcBorders>
            <w:vAlign w:val="center"/>
          </w:tcPr>
          <w:p w14:paraId="5CF68FEB">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55</w:t>
            </w:r>
          </w:p>
        </w:tc>
        <w:tc>
          <w:tcPr>
            <w:tcW w:w="1426" w:type="dxa"/>
            <w:tcBorders>
              <w:top w:val="single" w:color="000000" w:sz="2" w:space="0"/>
              <w:left w:val="single" w:color="000000" w:sz="2" w:space="0"/>
              <w:bottom w:val="single" w:color="000000" w:sz="2" w:space="0"/>
              <w:right w:val="single" w:color="000000" w:sz="2" w:space="0"/>
            </w:tcBorders>
            <w:vAlign w:val="center"/>
          </w:tcPr>
          <w:p w14:paraId="059504C6">
            <w:pPr>
              <w:pStyle w:val="3084"/>
              <w:adjustRightInd w:val="0"/>
              <w:snapToGrid w:val="0"/>
              <w:spacing w:line="240" w:lineRule="auto"/>
              <w:jc w:val="center"/>
              <w:rPr>
                <w:rFonts w:ascii="Times New Roman" w:hAnsi="Times New Roman" w:eastAsia="宋体"/>
                <w:b w:val="0"/>
                <w:color w:val="auto"/>
                <w:szCs w:val="21"/>
              </w:rPr>
            </w:pPr>
            <w:r>
              <w:rPr>
                <w:rFonts w:ascii="Times New Roman" w:hAnsi="Times New Roman" w:eastAsia="宋体"/>
                <w:b w:val="0"/>
                <w:color w:val="auto"/>
                <w:szCs w:val="21"/>
              </w:rPr>
              <w:t>超标</w:t>
            </w:r>
            <w:r>
              <w:rPr>
                <w:rFonts w:hint="eastAsia" w:ascii="Times New Roman" w:hAnsi="Times New Roman" w:eastAsia="宋体"/>
                <w:b w:val="0"/>
                <w:color w:val="auto"/>
                <w:szCs w:val="21"/>
              </w:rPr>
              <w:t>27</w:t>
            </w:r>
          </w:p>
        </w:tc>
      </w:tr>
    </w:tbl>
    <w:p w14:paraId="61CD013B">
      <w:pPr>
        <w:pStyle w:val="35"/>
        <w:autoSpaceDE w:val="0"/>
        <w:autoSpaceDN w:val="0"/>
        <w:adjustRightInd w:val="0"/>
        <w:snapToGrid w:val="0"/>
        <w:spacing w:before="120" w:beforeLines="50" w:after="0" w:line="360" w:lineRule="auto"/>
        <w:ind w:firstLine="480" w:firstLineChars="200"/>
        <w:rPr>
          <w:sz w:val="24"/>
        </w:rPr>
      </w:pPr>
      <w:r>
        <w:rPr>
          <w:sz w:val="24"/>
        </w:rPr>
        <w:t>根据现场调查，</w:t>
      </w:r>
      <w:r>
        <w:rPr>
          <w:rFonts w:hint="eastAsia"/>
          <w:sz w:val="24"/>
        </w:rPr>
        <w:t>耒阳分输站</w:t>
      </w:r>
      <w:r>
        <w:rPr>
          <w:sz w:val="24"/>
        </w:rPr>
        <w:t>200m范围内有</w:t>
      </w:r>
      <w:r>
        <w:rPr>
          <w:rFonts w:hint="eastAsia"/>
          <w:sz w:val="24"/>
        </w:rPr>
        <w:t>1个</w:t>
      </w:r>
      <w:r>
        <w:rPr>
          <w:sz w:val="24"/>
        </w:rPr>
        <w:t>村庄</w:t>
      </w:r>
      <w:r>
        <w:rPr>
          <w:rFonts w:hint="eastAsia"/>
          <w:sz w:val="24"/>
        </w:rPr>
        <w:t>（铜角湾）</w:t>
      </w:r>
      <w:r>
        <w:rPr>
          <w:sz w:val="24"/>
        </w:rPr>
        <w:t>，在施工过程中，将会受到一定程度的施工噪声影响。</w:t>
      </w:r>
      <w:r>
        <w:rPr>
          <w:spacing w:val="-2"/>
          <w:sz w:val="24"/>
        </w:rPr>
        <w:t>本项目施工期间，敏感点背景值数据来源于声环境质量现状监测数据，</w:t>
      </w:r>
      <w:r>
        <w:rPr>
          <w:sz w:val="24"/>
        </w:rPr>
        <w:t>具体数据见表</w:t>
      </w:r>
      <w:r>
        <w:rPr>
          <w:rFonts w:hint="eastAsia"/>
          <w:sz w:val="24"/>
        </w:rPr>
        <w:t>6</w:t>
      </w:r>
      <w:r>
        <w:rPr>
          <w:sz w:val="24"/>
        </w:rPr>
        <w:t>.1-</w:t>
      </w:r>
      <w:r>
        <w:rPr>
          <w:rFonts w:hint="eastAsia"/>
          <w:sz w:val="24"/>
        </w:rPr>
        <w:t>8</w:t>
      </w:r>
      <w:r>
        <w:rPr>
          <w:sz w:val="24"/>
        </w:rPr>
        <w:t>。施工机械的噪声可近似视为点声源处理，根据点声源噪声衰减模式，估算距离声源不同距离处的噪声值。本项目在声环境敏感点附近均禁止夜间施工，因此仅预测昼间施工对声环境敏感点的影响程度，声敏感点昼间的影响情况见表</w:t>
      </w:r>
      <w:r>
        <w:rPr>
          <w:rFonts w:hint="eastAsia"/>
          <w:sz w:val="24"/>
        </w:rPr>
        <w:t>6</w:t>
      </w:r>
      <w:r>
        <w:rPr>
          <w:sz w:val="24"/>
        </w:rPr>
        <w:t>.1-</w:t>
      </w:r>
      <w:r>
        <w:rPr>
          <w:rFonts w:hint="eastAsia"/>
          <w:sz w:val="24"/>
        </w:rPr>
        <w:t>9</w:t>
      </w:r>
      <w:r>
        <w:rPr>
          <w:sz w:val="24"/>
        </w:rPr>
        <w:t>。</w:t>
      </w:r>
    </w:p>
    <w:p w14:paraId="1B5784E6">
      <w:pPr>
        <w:pStyle w:val="3083"/>
        <w:adjustRightInd w:val="0"/>
        <w:snapToGrid w:val="0"/>
        <w:rPr>
          <w:rFonts w:cs="Times New Roman"/>
        </w:rPr>
      </w:pPr>
      <w:r>
        <w:rPr>
          <w:rFonts w:cs="Times New Roman"/>
        </w:rPr>
        <w:t xml:space="preserve">表 </w:t>
      </w:r>
      <w:r>
        <w:rPr>
          <w:rFonts w:hint="eastAsia" w:cs="Times New Roman"/>
        </w:rPr>
        <w:t>6</w:t>
      </w:r>
      <w:r>
        <w:rPr>
          <w:rFonts w:cs="Times New Roman"/>
        </w:rPr>
        <w:t>.1-</w:t>
      </w:r>
      <w:r>
        <w:rPr>
          <w:rFonts w:hint="eastAsia" w:cs="Times New Roman"/>
        </w:rPr>
        <w:t>8</w:t>
      </w:r>
      <w:r>
        <w:rPr>
          <w:rFonts w:cs="Times New Roman"/>
        </w:rPr>
        <w:t xml:space="preserve">  施工期间敏感点背景值一览表   单位：dB(A)</w:t>
      </w:r>
    </w:p>
    <w:tbl>
      <w:tblPr>
        <w:tblStyle w:val="88"/>
        <w:tblW w:w="5006" w:type="pct"/>
        <w:jc w:val="center"/>
        <w:tblLayout w:type="fixed"/>
        <w:tblCellMar>
          <w:top w:w="0" w:type="dxa"/>
          <w:left w:w="0" w:type="dxa"/>
          <w:bottom w:w="0" w:type="dxa"/>
          <w:right w:w="0" w:type="dxa"/>
        </w:tblCellMar>
      </w:tblPr>
      <w:tblGrid>
        <w:gridCol w:w="1725"/>
        <w:gridCol w:w="1271"/>
        <w:gridCol w:w="1271"/>
        <w:gridCol w:w="1534"/>
        <w:gridCol w:w="1727"/>
        <w:gridCol w:w="1559"/>
      </w:tblGrid>
      <w:tr w14:paraId="500999AA">
        <w:tblPrEx>
          <w:tblCellMar>
            <w:top w:w="0" w:type="dxa"/>
            <w:left w:w="0" w:type="dxa"/>
            <w:bottom w:w="0" w:type="dxa"/>
            <w:right w:w="0" w:type="dxa"/>
          </w:tblCellMar>
        </w:tblPrEx>
        <w:trPr>
          <w:trHeight w:val="340" w:hRule="atLeast"/>
          <w:jc w:val="center"/>
        </w:trPr>
        <w:tc>
          <w:tcPr>
            <w:tcW w:w="1725" w:type="dxa"/>
            <w:vMerge w:val="restart"/>
            <w:tcBorders>
              <w:top w:val="single" w:color="000000" w:sz="2" w:space="0"/>
              <w:left w:val="single" w:color="000000" w:sz="2" w:space="0"/>
              <w:right w:val="single" w:color="000000" w:sz="2" w:space="0"/>
            </w:tcBorders>
            <w:vAlign w:val="center"/>
          </w:tcPr>
          <w:p w14:paraId="48722D0A">
            <w:pPr>
              <w:pStyle w:val="1018"/>
              <w:spacing w:before="103"/>
              <w:ind w:right="1"/>
              <w:jc w:val="center"/>
              <w:rPr>
                <w:sz w:val="21"/>
                <w:szCs w:val="21"/>
              </w:rPr>
            </w:pPr>
            <w:r>
              <w:rPr>
                <w:sz w:val="21"/>
                <w:szCs w:val="21"/>
              </w:rPr>
              <w:t>名称</w:t>
            </w:r>
          </w:p>
        </w:tc>
        <w:tc>
          <w:tcPr>
            <w:tcW w:w="2540" w:type="dxa"/>
            <w:gridSpan w:val="2"/>
            <w:tcBorders>
              <w:top w:val="single" w:color="000000" w:sz="2" w:space="0"/>
              <w:left w:val="single" w:color="000000" w:sz="2" w:space="0"/>
              <w:bottom w:val="single" w:color="000000" w:sz="2" w:space="0"/>
              <w:right w:val="single" w:color="000000" w:sz="2" w:space="0"/>
            </w:tcBorders>
            <w:vAlign w:val="center"/>
          </w:tcPr>
          <w:p w14:paraId="3085C896">
            <w:pPr>
              <w:pStyle w:val="1018"/>
              <w:spacing w:line="242" w:lineRule="exact"/>
              <w:jc w:val="center"/>
              <w:rPr>
                <w:sz w:val="21"/>
                <w:szCs w:val="21"/>
              </w:rPr>
            </w:pPr>
            <w:r>
              <w:rPr>
                <w:sz w:val="21"/>
                <w:szCs w:val="21"/>
              </w:rPr>
              <w:t>背景值</w:t>
            </w:r>
          </w:p>
        </w:tc>
        <w:tc>
          <w:tcPr>
            <w:tcW w:w="3259" w:type="dxa"/>
            <w:gridSpan w:val="2"/>
            <w:tcBorders>
              <w:top w:val="single" w:color="000000" w:sz="2" w:space="0"/>
              <w:left w:val="single" w:color="000000" w:sz="2" w:space="0"/>
              <w:bottom w:val="single" w:color="000000" w:sz="2" w:space="0"/>
              <w:right w:val="single" w:color="000000" w:sz="2" w:space="0"/>
            </w:tcBorders>
            <w:vAlign w:val="center"/>
          </w:tcPr>
          <w:p w14:paraId="060E94F3">
            <w:pPr>
              <w:pStyle w:val="1018"/>
              <w:spacing w:line="242" w:lineRule="exact"/>
              <w:jc w:val="center"/>
              <w:rPr>
                <w:sz w:val="21"/>
                <w:szCs w:val="21"/>
              </w:rPr>
            </w:pPr>
            <w:r>
              <w:rPr>
                <w:sz w:val="21"/>
                <w:szCs w:val="21"/>
              </w:rPr>
              <w:t>评价标准</w:t>
            </w:r>
          </w:p>
        </w:tc>
        <w:tc>
          <w:tcPr>
            <w:tcW w:w="1558" w:type="dxa"/>
            <w:vMerge w:val="restart"/>
            <w:tcBorders>
              <w:top w:val="single" w:color="000000" w:sz="2" w:space="0"/>
              <w:left w:val="single" w:color="000000" w:sz="2" w:space="0"/>
              <w:right w:val="single" w:color="000000" w:sz="2" w:space="0"/>
            </w:tcBorders>
            <w:vAlign w:val="center"/>
          </w:tcPr>
          <w:p w14:paraId="5D2777AF">
            <w:pPr>
              <w:pStyle w:val="1018"/>
              <w:spacing w:before="103"/>
              <w:jc w:val="center"/>
              <w:rPr>
                <w:sz w:val="21"/>
                <w:szCs w:val="21"/>
              </w:rPr>
            </w:pPr>
            <w:r>
              <w:rPr>
                <w:sz w:val="21"/>
                <w:szCs w:val="21"/>
              </w:rPr>
              <w:t>备注</w:t>
            </w:r>
          </w:p>
        </w:tc>
      </w:tr>
      <w:tr w14:paraId="48A64F27">
        <w:tblPrEx>
          <w:tblCellMar>
            <w:top w:w="0" w:type="dxa"/>
            <w:left w:w="0" w:type="dxa"/>
            <w:bottom w:w="0" w:type="dxa"/>
            <w:right w:w="0" w:type="dxa"/>
          </w:tblCellMar>
        </w:tblPrEx>
        <w:trPr>
          <w:trHeight w:val="340" w:hRule="atLeast"/>
          <w:jc w:val="center"/>
        </w:trPr>
        <w:tc>
          <w:tcPr>
            <w:tcW w:w="1725" w:type="dxa"/>
            <w:vMerge w:val="continue"/>
            <w:tcBorders>
              <w:left w:val="single" w:color="000000" w:sz="2" w:space="0"/>
              <w:bottom w:val="single" w:color="000000" w:sz="2" w:space="0"/>
              <w:right w:val="single" w:color="000000" w:sz="2" w:space="0"/>
            </w:tcBorders>
            <w:vAlign w:val="center"/>
          </w:tcPr>
          <w:p w14:paraId="5C986A1F"/>
        </w:tc>
        <w:tc>
          <w:tcPr>
            <w:tcW w:w="1270" w:type="dxa"/>
            <w:tcBorders>
              <w:top w:val="single" w:color="000000" w:sz="2" w:space="0"/>
              <w:left w:val="single" w:color="000000" w:sz="2" w:space="0"/>
              <w:bottom w:val="single" w:color="000000" w:sz="2" w:space="0"/>
              <w:right w:val="single" w:color="000000" w:sz="2" w:space="0"/>
            </w:tcBorders>
            <w:vAlign w:val="center"/>
          </w:tcPr>
          <w:p w14:paraId="7EE382A3">
            <w:pPr>
              <w:pStyle w:val="1018"/>
              <w:spacing w:line="240" w:lineRule="exact"/>
              <w:ind w:left="369"/>
              <w:rPr>
                <w:sz w:val="21"/>
                <w:szCs w:val="21"/>
              </w:rPr>
            </w:pPr>
            <w:r>
              <w:rPr>
                <w:sz w:val="21"/>
                <w:szCs w:val="21"/>
              </w:rPr>
              <w:t>昼间</w:t>
            </w:r>
          </w:p>
        </w:tc>
        <w:tc>
          <w:tcPr>
            <w:tcW w:w="1270" w:type="dxa"/>
            <w:tcBorders>
              <w:top w:val="single" w:color="000000" w:sz="2" w:space="0"/>
              <w:left w:val="single" w:color="000000" w:sz="2" w:space="0"/>
              <w:bottom w:val="single" w:color="000000" w:sz="2" w:space="0"/>
              <w:right w:val="single" w:color="000000" w:sz="2" w:space="0"/>
            </w:tcBorders>
            <w:vAlign w:val="center"/>
          </w:tcPr>
          <w:p w14:paraId="48848761">
            <w:pPr>
              <w:pStyle w:val="1018"/>
              <w:spacing w:line="240" w:lineRule="exact"/>
              <w:ind w:left="370"/>
              <w:rPr>
                <w:sz w:val="21"/>
                <w:szCs w:val="21"/>
              </w:rPr>
            </w:pPr>
            <w:r>
              <w:rPr>
                <w:sz w:val="21"/>
                <w:szCs w:val="21"/>
              </w:rPr>
              <w:t>夜间</w:t>
            </w:r>
          </w:p>
        </w:tc>
        <w:tc>
          <w:tcPr>
            <w:tcW w:w="1533" w:type="dxa"/>
            <w:tcBorders>
              <w:top w:val="single" w:color="000000" w:sz="2" w:space="0"/>
              <w:left w:val="single" w:color="000000" w:sz="2" w:space="0"/>
              <w:bottom w:val="single" w:color="000000" w:sz="2" w:space="0"/>
              <w:right w:val="single" w:color="000000" w:sz="2" w:space="0"/>
            </w:tcBorders>
            <w:vAlign w:val="center"/>
          </w:tcPr>
          <w:p w14:paraId="39B34303">
            <w:pPr>
              <w:pStyle w:val="1018"/>
              <w:spacing w:line="240" w:lineRule="exact"/>
              <w:ind w:right="3"/>
              <w:jc w:val="center"/>
              <w:rPr>
                <w:sz w:val="21"/>
                <w:szCs w:val="21"/>
              </w:rPr>
            </w:pPr>
            <w:r>
              <w:rPr>
                <w:sz w:val="21"/>
                <w:szCs w:val="21"/>
              </w:rPr>
              <w:t>昼间</w:t>
            </w:r>
          </w:p>
        </w:tc>
        <w:tc>
          <w:tcPr>
            <w:tcW w:w="1726" w:type="dxa"/>
            <w:tcBorders>
              <w:top w:val="single" w:color="000000" w:sz="2" w:space="0"/>
              <w:left w:val="single" w:color="000000" w:sz="2" w:space="0"/>
              <w:bottom w:val="single" w:color="000000" w:sz="2" w:space="0"/>
              <w:right w:val="single" w:color="000000" w:sz="2" w:space="0"/>
            </w:tcBorders>
            <w:vAlign w:val="center"/>
          </w:tcPr>
          <w:p w14:paraId="2CBD4F35">
            <w:pPr>
              <w:pStyle w:val="1018"/>
              <w:spacing w:line="240" w:lineRule="exact"/>
              <w:ind w:right="1"/>
              <w:jc w:val="center"/>
              <w:rPr>
                <w:sz w:val="21"/>
                <w:szCs w:val="21"/>
              </w:rPr>
            </w:pPr>
            <w:r>
              <w:rPr>
                <w:sz w:val="21"/>
                <w:szCs w:val="21"/>
              </w:rPr>
              <w:t>夜间</w:t>
            </w:r>
          </w:p>
        </w:tc>
        <w:tc>
          <w:tcPr>
            <w:tcW w:w="1558" w:type="dxa"/>
            <w:vMerge w:val="continue"/>
            <w:tcBorders>
              <w:left w:val="single" w:color="000000" w:sz="2" w:space="0"/>
              <w:bottom w:val="single" w:color="000000" w:sz="2" w:space="0"/>
              <w:right w:val="single" w:color="000000" w:sz="2" w:space="0"/>
            </w:tcBorders>
            <w:vAlign w:val="center"/>
          </w:tcPr>
          <w:p w14:paraId="36809B7A"/>
        </w:tc>
      </w:tr>
      <w:tr w14:paraId="6E0C3DB1">
        <w:tblPrEx>
          <w:tblCellMar>
            <w:top w:w="0" w:type="dxa"/>
            <w:left w:w="0" w:type="dxa"/>
            <w:bottom w:w="0" w:type="dxa"/>
            <w:right w:w="0" w:type="dxa"/>
          </w:tblCellMar>
        </w:tblPrEx>
        <w:trPr>
          <w:trHeight w:val="340" w:hRule="atLeast"/>
          <w:jc w:val="center"/>
        </w:trPr>
        <w:tc>
          <w:tcPr>
            <w:tcW w:w="1725" w:type="dxa"/>
            <w:tcBorders>
              <w:top w:val="single" w:color="000000" w:sz="2" w:space="0"/>
              <w:left w:val="single" w:color="000000" w:sz="2" w:space="0"/>
              <w:bottom w:val="single" w:color="000000" w:sz="2" w:space="0"/>
              <w:right w:val="single" w:color="000000" w:sz="2" w:space="0"/>
            </w:tcBorders>
            <w:vAlign w:val="center"/>
          </w:tcPr>
          <w:p w14:paraId="5550F7D7">
            <w:pPr>
              <w:widowControl/>
              <w:adjustRightInd w:val="0"/>
              <w:snapToGrid w:val="0"/>
              <w:contextualSpacing/>
              <w:jc w:val="center"/>
              <w:rPr>
                <w:szCs w:val="21"/>
              </w:rPr>
            </w:pPr>
            <w:r>
              <w:rPr>
                <w:rFonts w:hint="eastAsia"/>
                <w:szCs w:val="21"/>
              </w:rPr>
              <w:t>铜角湾</w:t>
            </w:r>
          </w:p>
        </w:tc>
        <w:tc>
          <w:tcPr>
            <w:tcW w:w="1270" w:type="dxa"/>
            <w:tcBorders>
              <w:top w:val="single" w:color="000000" w:sz="2" w:space="0"/>
              <w:left w:val="single" w:color="000000" w:sz="2" w:space="0"/>
              <w:bottom w:val="single" w:color="000000" w:sz="2" w:space="0"/>
              <w:right w:val="single" w:color="000000" w:sz="2" w:space="0"/>
            </w:tcBorders>
            <w:vAlign w:val="center"/>
          </w:tcPr>
          <w:p w14:paraId="7F30D5EF">
            <w:pPr>
              <w:pStyle w:val="1018"/>
              <w:spacing w:before="15"/>
              <w:jc w:val="center"/>
              <w:rPr>
                <w:sz w:val="21"/>
                <w:szCs w:val="21"/>
              </w:rPr>
            </w:pPr>
            <w:r>
              <w:rPr>
                <w:rFonts w:hint="eastAsia"/>
                <w:sz w:val="21"/>
                <w:szCs w:val="21"/>
              </w:rPr>
              <w:t>47</w:t>
            </w:r>
          </w:p>
        </w:tc>
        <w:tc>
          <w:tcPr>
            <w:tcW w:w="1270" w:type="dxa"/>
            <w:tcBorders>
              <w:top w:val="single" w:color="000000" w:sz="2" w:space="0"/>
              <w:left w:val="single" w:color="000000" w:sz="2" w:space="0"/>
              <w:bottom w:val="single" w:color="000000" w:sz="2" w:space="0"/>
              <w:right w:val="single" w:color="000000" w:sz="2" w:space="0"/>
            </w:tcBorders>
            <w:vAlign w:val="center"/>
          </w:tcPr>
          <w:p w14:paraId="65F44216">
            <w:pPr>
              <w:pStyle w:val="1018"/>
              <w:spacing w:before="15"/>
              <w:jc w:val="center"/>
              <w:rPr>
                <w:sz w:val="21"/>
                <w:szCs w:val="21"/>
              </w:rPr>
            </w:pPr>
            <w:r>
              <w:rPr>
                <w:rFonts w:hint="eastAsia"/>
                <w:sz w:val="21"/>
                <w:szCs w:val="21"/>
              </w:rPr>
              <w:t>44</w:t>
            </w:r>
          </w:p>
        </w:tc>
        <w:tc>
          <w:tcPr>
            <w:tcW w:w="1533" w:type="dxa"/>
            <w:tcBorders>
              <w:top w:val="single" w:color="000000" w:sz="2" w:space="0"/>
              <w:left w:val="single" w:color="000000" w:sz="2" w:space="0"/>
              <w:bottom w:val="single" w:color="000000" w:sz="2" w:space="0"/>
              <w:right w:val="single" w:color="000000" w:sz="2" w:space="0"/>
            </w:tcBorders>
            <w:vAlign w:val="center"/>
          </w:tcPr>
          <w:p w14:paraId="6F626F07">
            <w:pPr>
              <w:pStyle w:val="1018"/>
              <w:spacing w:before="13"/>
              <w:ind w:right="1"/>
              <w:jc w:val="center"/>
              <w:rPr>
                <w:i/>
                <w:iCs/>
                <w:color w:val="auto"/>
                <w:sz w:val="21"/>
                <w:szCs w:val="21"/>
                <w:u w:val="single"/>
              </w:rPr>
            </w:pPr>
            <w:r>
              <w:rPr>
                <w:rFonts w:hint="eastAsia"/>
                <w:i/>
                <w:iCs/>
                <w:color w:val="auto"/>
                <w:sz w:val="21"/>
                <w:u w:val="single"/>
              </w:rPr>
              <w:t>60</w:t>
            </w:r>
          </w:p>
        </w:tc>
        <w:tc>
          <w:tcPr>
            <w:tcW w:w="1726" w:type="dxa"/>
            <w:tcBorders>
              <w:top w:val="single" w:color="000000" w:sz="2" w:space="0"/>
              <w:left w:val="single" w:color="000000" w:sz="2" w:space="0"/>
              <w:bottom w:val="single" w:color="000000" w:sz="2" w:space="0"/>
              <w:right w:val="single" w:color="000000" w:sz="2" w:space="0"/>
            </w:tcBorders>
            <w:vAlign w:val="center"/>
          </w:tcPr>
          <w:p w14:paraId="04D03CC4">
            <w:pPr>
              <w:pStyle w:val="1018"/>
              <w:spacing w:before="13"/>
              <w:jc w:val="center"/>
              <w:rPr>
                <w:i/>
                <w:iCs/>
                <w:color w:val="auto"/>
                <w:sz w:val="21"/>
                <w:szCs w:val="21"/>
                <w:u w:val="single"/>
              </w:rPr>
            </w:pPr>
            <w:r>
              <w:rPr>
                <w:rFonts w:hint="eastAsia"/>
                <w:i/>
                <w:iCs/>
                <w:color w:val="auto"/>
                <w:sz w:val="21"/>
                <w:u w:val="single"/>
              </w:rPr>
              <w:t>50</w:t>
            </w:r>
          </w:p>
        </w:tc>
        <w:tc>
          <w:tcPr>
            <w:tcW w:w="1558" w:type="dxa"/>
            <w:tcBorders>
              <w:top w:val="single" w:color="000000" w:sz="2" w:space="0"/>
              <w:left w:val="single" w:color="000000" w:sz="2" w:space="0"/>
              <w:bottom w:val="single" w:color="000000" w:sz="2" w:space="0"/>
              <w:right w:val="single" w:color="000000" w:sz="2" w:space="0"/>
            </w:tcBorders>
            <w:vAlign w:val="center"/>
          </w:tcPr>
          <w:p w14:paraId="70D960A4">
            <w:pPr>
              <w:pStyle w:val="1018"/>
              <w:spacing w:line="240" w:lineRule="exact"/>
              <w:jc w:val="center"/>
              <w:rPr>
                <w:sz w:val="21"/>
                <w:szCs w:val="21"/>
              </w:rPr>
            </w:pPr>
            <w:r>
              <w:rPr>
                <w:rFonts w:hint="eastAsia"/>
                <w:sz w:val="21"/>
                <w:szCs w:val="21"/>
              </w:rPr>
              <w:t>实测</w:t>
            </w:r>
          </w:p>
        </w:tc>
      </w:tr>
    </w:tbl>
    <w:p w14:paraId="204B116C">
      <w:pPr>
        <w:spacing w:before="120" w:beforeLines="50"/>
        <w:ind w:left="2426"/>
        <w:jc w:val="left"/>
        <w:rPr>
          <w:szCs w:val="21"/>
        </w:rPr>
      </w:pPr>
      <w:r>
        <w:rPr>
          <w:rFonts w:eastAsia="黑体"/>
          <w:bCs/>
          <w:kern w:val="0"/>
          <w:sz w:val="22"/>
          <w:szCs w:val="22"/>
          <w:lang w:bidi="zh-CN"/>
        </w:rPr>
        <w:t>表</w:t>
      </w:r>
      <w:r>
        <w:rPr>
          <w:rFonts w:hint="eastAsia" w:eastAsia="黑体"/>
          <w:bCs/>
          <w:kern w:val="0"/>
          <w:sz w:val="22"/>
          <w:szCs w:val="22"/>
          <w:lang w:bidi="zh-CN"/>
        </w:rPr>
        <w:t>6</w:t>
      </w:r>
      <w:r>
        <w:rPr>
          <w:rFonts w:eastAsia="黑体"/>
          <w:bCs/>
          <w:kern w:val="0"/>
          <w:sz w:val="22"/>
          <w:szCs w:val="22"/>
          <w:lang w:bidi="zh-CN"/>
        </w:rPr>
        <w:t>.1-</w:t>
      </w:r>
      <w:r>
        <w:rPr>
          <w:rFonts w:hint="eastAsia" w:eastAsia="黑体"/>
          <w:bCs/>
          <w:kern w:val="0"/>
          <w:sz w:val="22"/>
          <w:szCs w:val="22"/>
          <w:lang w:bidi="zh-CN"/>
        </w:rPr>
        <w:t>9</w:t>
      </w:r>
      <w:r>
        <w:rPr>
          <w:rFonts w:eastAsia="黑体"/>
          <w:bCs/>
          <w:kern w:val="0"/>
          <w:sz w:val="22"/>
          <w:szCs w:val="22"/>
          <w:lang w:bidi="zh-CN"/>
        </w:rPr>
        <w:t xml:space="preserve">  不同施工阶段对敏感点声环境影响预测</w:t>
      </w:r>
    </w:p>
    <w:tbl>
      <w:tblPr>
        <w:tblStyle w:val="88"/>
        <w:tblW w:w="5015"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99"/>
        <w:gridCol w:w="973"/>
        <w:gridCol w:w="1379"/>
        <w:gridCol w:w="1210"/>
        <w:gridCol w:w="872"/>
        <w:gridCol w:w="996"/>
        <w:gridCol w:w="1021"/>
        <w:gridCol w:w="1052"/>
      </w:tblGrid>
      <w:tr w14:paraId="177116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597" w:type="dxa"/>
            <w:vMerge w:val="restart"/>
            <w:tcBorders>
              <w:tl2br w:val="nil"/>
              <w:tr2bl w:val="nil"/>
            </w:tcBorders>
            <w:vAlign w:val="center"/>
          </w:tcPr>
          <w:p w14:paraId="786A2E86">
            <w:pPr>
              <w:pStyle w:val="1018"/>
              <w:spacing w:before="16"/>
              <w:ind w:left="1"/>
              <w:jc w:val="center"/>
              <w:rPr>
                <w:sz w:val="21"/>
              </w:rPr>
            </w:pPr>
            <w:r>
              <w:rPr>
                <w:sz w:val="21"/>
              </w:rPr>
              <w:t>敏感点名称</w:t>
            </w:r>
          </w:p>
        </w:tc>
        <w:tc>
          <w:tcPr>
            <w:tcW w:w="973" w:type="dxa"/>
            <w:vMerge w:val="restart"/>
            <w:tcBorders>
              <w:tl2br w:val="nil"/>
              <w:tr2bl w:val="nil"/>
            </w:tcBorders>
            <w:vAlign w:val="center"/>
          </w:tcPr>
          <w:p w14:paraId="6D2D29EE">
            <w:pPr>
              <w:pStyle w:val="1018"/>
              <w:spacing w:before="16"/>
              <w:ind w:left="1"/>
              <w:jc w:val="center"/>
              <w:rPr>
                <w:sz w:val="21"/>
              </w:rPr>
            </w:pPr>
            <w:r>
              <w:rPr>
                <w:sz w:val="21"/>
              </w:rPr>
              <w:t>施工</w:t>
            </w:r>
            <w:r>
              <w:rPr>
                <w:rFonts w:hint="eastAsia"/>
                <w:sz w:val="21"/>
              </w:rPr>
              <w:t>项目</w:t>
            </w:r>
          </w:p>
        </w:tc>
        <w:tc>
          <w:tcPr>
            <w:tcW w:w="1378" w:type="dxa"/>
            <w:vMerge w:val="restart"/>
            <w:tcBorders>
              <w:tl2br w:val="nil"/>
              <w:tr2bl w:val="nil"/>
            </w:tcBorders>
            <w:vAlign w:val="center"/>
          </w:tcPr>
          <w:p w14:paraId="32A63D9B">
            <w:pPr>
              <w:pStyle w:val="1018"/>
              <w:spacing w:before="16"/>
              <w:ind w:left="1"/>
              <w:jc w:val="center"/>
              <w:rPr>
                <w:sz w:val="21"/>
              </w:rPr>
            </w:pPr>
            <w:r>
              <w:rPr>
                <w:sz w:val="21"/>
              </w:rPr>
              <w:t>相对施工机械</w:t>
            </w:r>
          </w:p>
          <w:p w14:paraId="5BAE76B6">
            <w:pPr>
              <w:pStyle w:val="1018"/>
              <w:spacing w:before="16"/>
              <w:ind w:left="1"/>
              <w:jc w:val="center"/>
              <w:rPr>
                <w:sz w:val="21"/>
              </w:rPr>
            </w:pPr>
            <w:r>
              <w:rPr>
                <w:sz w:val="21"/>
              </w:rPr>
              <w:t>最近距离/m</w:t>
            </w:r>
          </w:p>
        </w:tc>
        <w:tc>
          <w:tcPr>
            <w:tcW w:w="5150" w:type="dxa"/>
            <w:gridSpan w:val="5"/>
            <w:tcBorders>
              <w:tl2br w:val="nil"/>
              <w:tr2bl w:val="nil"/>
            </w:tcBorders>
            <w:vAlign w:val="center"/>
          </w:tcPr>
          <w:p w14:paraId="09266CCA">
            <w:pPr>
              <w:pStyle w:val="1018"/>
              <w:spacing w:before="16"/>
              <w:ind w:left="1"/>
              <w:jc w:val="center"/>
              <w:rPr>
                <w:sz w:val="21"/>
              </w:rPr>
            </w:pPr>
            <w:r>
              <w:rPr>
                <w:sz w:val="21"/>
              </w:rPr>
              <w:t>噪声预测结果，dB（A）</w:t>
            </w:r>
          </w:p>
        </w:tc>
      </w:tr>
      <w:tr w14:paraId="0E0C1F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597" w:type="dxa"/>
            <w:vMerge w:val="continue"/>
            <w:tcBorders>
              <w:tl2br w:val="nil"/>
              <w:tr2bl w:val="nil"/>
            </w:tcBorders>
            <w:vAlign w:val="center"/>
          </w:tcPr>
          <w:p w14:paraId="748D0670">
            <w:pPr>
              <w:pStyle w:val="1018"/>
              <w:spacing w:before="16"/>
              <w:ind w:left="1"/>
              <w:jc w:val="center"/>
              <w:rPr>
                <w:sz w:val="21"/>
              </w:rPr>
            </w:pPr>
          </w:p>
        </w:tc>
        <w:tc>
          <w:tcPr>
            <w:tcW w:w="973" w:type="dxa"/>
            <w:vMerge w:val="continue"/>
            <w:tcBorders>
              <w:tl2br w:val="nil"/>
              <w:tr2bl w:val="nil"/>
            </w:tcBorders>
            <w:vAlign w:val="center"/>
          </w:tcPr>
          <w:p w14:paraId="3B3C6844">
            <w:pPr>
              <w:pStyle w:val="1018"/>
              <w:spacing w:before="16"/>
              <w:ind w:left="1"/>
              <w:jc w:val="center"/>
              <w:rPr>
                <w:sz w:val="21"/>
              </w:rPr>
            </w:pPr>
          </w:p>
        </w:tc>
        <w:tc>
          <w:tcPr>
            <w:tcW w:w="1378" w:type="dxa"/>
            <w:vMerge w:val="continue"/>
            <w:tcBorders>
              <w:tl2br w:val="nil"/>
              <w:tr2bl w:val="nil"/>
            </w:tcBorders>
            <w:vAlign w:val="center"/>
          </w:tcPr>
          <w:p w14:paraId="0E659EFC">
            <w:pPr>
              <w:pStyle w:val="1018"/>
              <w:spacing w:before="16"/>
              <w:ind w:left="1"/>
              <w:jc w:val="center"/>
              <w:rPr>
                <w:sz w:val="21"/>
              </w:rPr>
            </w:pPr>
          </w:p>
        </w:tc>
        <w:tc>
          <w:tcPr>
            <w:tcW w:w="1209" w:type="dxa"/>
            <w:tcBorders>
              <w:tl2br w:val="nil"/>
              <w:tr2bl w:val="nil"/>
            </w:tcBorders>
            <w:vAlign w:val="center"/>
          </w:tcPr>
          <w:p w14:paraId="2F576E15">
            <w:pPr>
              <w:pStyle w:val="1018"/>
              <w:spacing w:before="16"/>
              <w:ind w:left="1"/>
              <w:jc w:val="center"/>
              <w:rPr>
                <w:sz w:val="21"/>
              </w:rPr>
            </w:pPr>
            <w:r>
              <w:rPr>
                <w:sz w:val="21"/>
              </w:rPr>
              <w:t>昼间背景值</w:t>
            </w:r>
          </w:p>
        </w:tc>
        <w:tc>
          <w:tcPr>
            <w:tcW w:w="872" w:type="dxa"/>
            <w:tcBorders>
              <w:tl2br w:val="nil"/>
              <w:tr2bl w:val="nil"/>
            </w:tcBorders>
            <w:vAlign w:val="center"/>
          </w:tcPr>
          <w:p w14:paraId="05A91319">
            <w:pPr>
              <w:pStyle w:val="1018"/>
              <w:spacing w:before="16"/>
              <w:ind w:left="1"/>
              <w:jc w:val="center"/>
              <w:rPr>
                <w:sz w:val="21"/>
              </w:rPr>
            </w:pPr>
            <w:r>
              <w:rPr>
                <w:sz w:val="21"/>
              </w:rPr>
              <w:t>贡献值</w:t>
            </w:r>
          </w:p>
        </w:tc>
        <w:tc>
          <w:tcPr>
            <w:tcW w:w="996" w:type="dxa"/>
            <w:tcBorders>
              <w:tl2br w:val="nil"/>
              <w:tr2bl w:val="nil"/>
            </w:tcBorders>
            <w:vAlign w:val="center"/>
          </w:tcPr>
          <w:p w14:paraId="01E3E457">
            <w:pPr>
              <w:pStyle w:val="1018"/>
              <w:spacing w:before="16"/>
              <w:ind w:left="1"/>
              <w:jc w:val="center"/>
              <w:rPr>
                <w:sz w:val="21"/>
              </w:rPr>
            </w:pPr>
            <w:r>
              <w:rPr>
                <w:sz w:val="21"/>
              </w:rPr>
              <w:t>预测值</w:t>
            </w:r>
          </w:p>
        </w:tc>
        <w:tc>
          <w:tcPr>
            <w:tcW w:w="1021" w:type="dxa"/>
            <w:tcBorders>
              <w:tl2br w:val="nil"/>
              <w:tr2bl w:val="nil"/>
            </w:tcBorders>
            <w:vAlign w:val="center"/>
          </w:tcPr>
          <w:p w14:paraId="7A96EC88">
            <w:pPr>
              <w:pStyle w:val="1018"/>
              <w:spacing w:before="16"/>
              <w:ind w:left="1"/>
              <w:jc w:val="center"/>
              <w:rPr>
                <w:sz w:val="21"/>
              </w:rPr>
            </w:pPr>
            <w:r>
              <w:rPr>
                <w:sz w:val="21"/>
              </w:rPr>
              <w:t>执行标准</w:t>
            </w:r>
          </w:p>
        </w:tc>
        <w:tc>
          <w:tcPr>
            <w:tcW w:w="1052" w:type="dxa"/>
            <w:tcBorders>
              <w:tl2br w:val="nil"/>
              <w:tr2bl w:val="nil"/>
            </w:tcBorders>
            <w:vAlign w:val="center"/>
          </w:tcPr>
          <w:p w14:paraId="3FA56A9C">
            <w:pPr>
              <w:pStyle w:val="1018"/>
              <w:spacing w:before="16"/>
              <w:ind w:left="1"/>
              <w:jc w:val="center"/>
              <w:rPr>
                <w:sz w:val="21"/>
              </w:rPr>
            </w:pPr>
            <w:r>
              <w:rPr>
                <w:sz w:val="21"/>
              </w:rPr>
              <w:t>超标情况</w:t>
            </w:r>
          </w:p>
        </w:tc>
      </w:tr>
      <w:tr w14:paraId="59A890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597" w:type="dxa"/>
            <w:tcBorders>
              <w:tl2br w:val="nil"/>
              <w:tr2bl w:val="nil"/>
            </w:tcBorders>
            <w:vAlign w:val="center"/>
          </w:tcPr>
          <w:p w14:paraId="40AA3FF7">
            <w:pPr>
              <w:widowControl/>
              <w:adjustRightInd w:val="0"/>
              <w:snapToGrid w:val="0"/>
              <w:contextualSpacing/>
              <w:jc w:val="center"/>
            </w:pPr>
            <w:r>
              <w:rPr>
                <w:rFonts w:hint="eastAsia"/>
                <w:szCs w:val="21"/>
              </w:rPr>
              <w:t>铜角湾</w:t>
            </w:r>
          </w:p>
        </w:tc>
        <w:tc>
          <w:tcPr>
            <w:tcW w:w="973" w:type="dxa"/>
            <w:tcBorders>
              <w:tl2br w:val="nil"/>
              <w:tr2bl w:val="nil"/>
            </w:tcBorders>
            <w:vAlign w:val="center"/>
          </w:tcPr>
          <w:p w14:paraId="1CFD53A4">
            <w:pPr>
              <w:pStyle w:val="1018"/>
              <w:spacing w:before="16"/>
              <w:ind w:left="1"/>
              <w:jc w:val="center"/>
              <w:rPr>
                <w:sz w:val="21"/>
              </w:rPr>
            </w:pPr>
            <w:r>
              <w:rPr>
                <w:rFonts w:hint="eastAsia"/>
                <w:sz w:val="21"/>
              </w:rPr>
              <w:t>场站施工</w:t>
            </w:r>
          </w:p>
        </w:tc>
        <w:tc>
          <w:tcPr>
            <w:tcW w:w="1378" w:type="dxa"/>
            <w:tcBorders>
              <w:tl2br w:val="nil"/>
              <w:tr2bl w:val="nil"/>
            </w:tcBorders>
            <w:vAlign w:val="center"/>
          </w:tcPr>
          <w:p w14:paraId="3985067A">
            <w:pPr>
              <w:pStyle w:val="1018"/>
              <w:spacing w:before="16"/>
              <w:ind w:left="1"/>
              <w:jc w:val="center"/>
              <w:rPr>
                <w:sz w:val="21"/>
              </w:rPr>
            </w:pPr>
            <w:r>
              <w:rPr>
                <w:rFonts w:hint="eastAsia"/>
                <w:sz w:val="21"/>
              </w:rPr>
              <w:t>190</w:t>
            </w:r>
          </w:p>
        </w:tc>
        <w:tc>
          <w:tcPr>
            <w:tcW w:w="1209" w:type="dxa"/>
            <w:tcBorders>
              <w:tl2br w:val="nil"/>
              <w:tr2bl w:val="nil"/>
            </w:tcBorders>
            <w:vAlign w:val="center"/>
          </w:tcPr>
          <w:p w14:paraId="24EEF7E0">
            <w:pPr>
              <w:pStyle w:val="1018"/>
              <w:spacing w:before="16"/>
              <w:ind w:left="1"/>
              <w:jc w:val="center"/>
              <w:rPr>
                <w:sz w:val="21"/>
              </w:rPr>
            </w:pPr>
            <w:r>
              <w:rPr>
                <w:rFonts w:hint="eastAsia"/>
                <w:sz w:val="21"/>
              </w:rPr>
              <w:t>47</w:t>
            </w:r>
          </w:p>
        </w:tc>
        <w:tc>
          <w:tcPr>
            <w:tcW w:w="872" w:type="dxa"/>
            <w:tcBorders>
              <w:tl2br w:val="nil"/>
              <w:tr2bl w:val="nil"/>
            </w:tcBorders>
            <w:vAlign w:val="center"/>
          </w:tcPr>
          <w:p w14:paraId="080954FC">
            <w:pPr>
              <w:pStyle w:val="1018"/>
              <w:spacing w:before="16"/>
              <w:ind w:left="1"/>
              <w:jc w:val="center"/>
              <w:rPr>
                <w:sz w:val="21"/>
              </w:rPr>
            </w:pPr>
            <w:r>
              <w:rPr>
                <w:rFonts w:hint="eastAsia"/>
                <w:sz w:val="21"/>
              </w:rPr>
              <w:t>28.45</w:t>
            </w:r>
          </w:p>
        </w:tc>
        <w:tc>
          <w:tcPr>
            <w:tcW w:w="996" w:type="dxa"/>
            <w:tcBorders>
              <w:tl2br w:val="nil"/>
              <w:tr2bl w:val="nil"/>
            </w:tcBorders>
            <w:vAlign w:val="center"/>
          </w:tcPr>
          <w:p w14:paraId="012E75A6">
            <w:pPr>
              <w:pStyle w:val="1018"/>
              <w:spacing w:before="16"/>
              <w:ind w:left="1"/>
              <w:jc w:val="center"/>
              <w:rPr>
                <w:sz w:val="21"/>
              </w:rPr>
            </w:pPr>
            <w:r>
              <w:rPr>
                <w:rFonts w:hint="eastAsia"/>
                <w:sz w:val="21"/>
              </w:rPr>
              <w:t>47.06</w:t>
            </w:r>
          </w:p>
        </w:tc>
        <w:tc>
          <w:tcPr>
            <w:tcW w:w="1021" w:type="dxa"/>
            <w:tcBorders>
              <w:tl2br w:val="nil"/>
              <w:tr2bl w:val="nil"/>
            </w:tcBorders>
            <w:vAlign w:val="center"/>
          </w:tcPr>
          <w:p w14:paraId="6530E85C">
            <w:pPr>
              <w:pStyle w:val="1018"/>
              <w:spacing w:before="16"/>
              <w:ind w:left="1"/>
              <w:jc w:val="center"/>
              <w:rPr>
                <w:i/>
                <w:iCs/>
                <w:color w:val="auto"/>
                <w:sz w:val="21"/>
                <w:u w:val="single"/>
              </w:rPr>
            </w:pPr>
            <w:r>
              <w:rPr>
                <w:rFonts w:hint="eastAsia"/>
                <w:i/>
                <w:iCs/>
                <w:color w:val="auto"/>
                <w:sz w:val="21"/>
                <w:u w:val="single"/>
              </w:rPr>
              <w:t>60</w:t>
            </w:r>
          </w:p>
        </w:tc>
        <w:tc>
          <w:tcPr>
            <w:tcW w:w="1052" w:type="dxa"/>
            <w:tcBorders>
              <w:tl2br w:val="nil"/>
              <w:tr2bl w:val="nil"/>
            </w:tcBorders>
            <w:vAlign w:val="center"/>
          </w:tcPr>
          <w:p w14:paraId="0D6F2564">
            <w:pPr>
              <w:pStyle w:val="1018"/>
              <w:spacing w:before="16"/>
              <w:ind w:left="1"/>
              <w:jc w:val="center"/>
              <w:rPr>
                <w:i/>
                <w:iCs/>
                <w:color w:val="auto"/>
                <w:sz w:val="21"/>
                <w:u w:val="single"/>
              </w:rPr>
            </w:pPr>
            <w:r>
              <w:rPr>
                <w:rFonts w:hint="eastAsia"/>
                <w:i/>
                <w:iCs/>
                <w:color w:val="auto"/>
                <w:sz w:val="21"/>
                <w:u w:val="single"/>
              </w:rPr>
              <w:t>达标</w:t>
            </w:r>
          </w:p>
        </w:tc>
      </w:tr>
    </w:tbl>
    <w:p w14:paraId="4E1A5947">
      <w:pPr>
        <w:pStyle w:val="234"/>
        <w:spacing w:before="120" w:beforeLines="50"/>
        <w:rPr>
          <w:i/>
          <w:iCs/>
          <w:color w:val="auto"/>
          <w:u w:val="single"/>
        </w:rPr>
      </w:pPr>
      <w:r>
        <w:t>由上表可知，</w:t>
      </w:r>
      <w:r>
        <w:rPr>
          <w:rFonts w:hint="eastAsia"/>
        </w:rPr>
        <w:t>场站</w:t>
      </w:r>
      <w:r>
        <w:t>施工时，叠加背景值后，</w:t>
      </w:r>
      <w:r>
        <w:rPr>
          <w:i/>
          <w:iCs/>
          <w:color w:val="auto"/>
          <w:u w:val="single"/>
        </w:rPr>
        <w:t>敏感目标昼间声环境质量满足《声环境质量标准》（GB3096-2008）</w:t>
      </w:r>
      <w:r>
        <w:rPr>
          <w:rFonts w:hint="eastAsia"/>
          <w:i/>
          <w:iCs/>
          <w:color w:val="auto"/>
          <w:u w:val="single"/>
        </w:rPr>
        <w:t>2</w:t>
      </w:r>
      <w:r>
        <w:rPr>
          <w:i/>
          <w:iCs/>
          <w:color w:val="auto"/>
          <w:u w:val="single"/>
        </w:rPr>
        <w:t>类标准</w:t>
      </w:r>
      <w:r>
        <w:rPr>
          <w:rFonts w:hint="eastAsia"/>
          <w:i/>
          <w:iCs/>
          <w:color w:val="auto"/>
          <w:u w:val="single"/>
        </w:rPr>
        <w:t>。</w:t>
      </w:r>
    </w:p>
    <w:p w14:paraId="1FFED334">
      <w:pPr>
        <w:pStyle w:val="234"/>
        <w:rPr>
          <w:i/>
          <w:iCs/>
          <w:color w:val="auto"/>
          <w:u w:val="single"/>
        </w:rPr>
      </w:pPr>
      <w:r>
        <w:rPr>
          <w:rFonts w:hint="eastAsia"/>
        </w:rPr>
        <w:t>此外，28号阀室动火连接需进行放空，放空时噪声值可达95</w:t>
      </w:r>
      <w:r>
        <w:t>dB(A)~</w:t>
      </w:r>
      <w:r>
        <w:rPr>
          <w:rFonts w:hint="eastAsia"/>
        </w:rPr>
        <w:t>105</w:t>
      </w:r>
      <w:r>
        <w:t>dB(A)</w:t>
      </w:r>
      <w:r>
        <w:rPr>
          <w:rFonts w:hint="eastAsia"/>
        </w:rPr>
        <w:t>，距离28号阀室放空区最近的敏感目标为南侧150m的蒋家冲和西侧150m的里王村，经距离衰减后对敏感目标的贡献值为53.51</w:t>
      </w:r>
      <w:r>
        <w:t>dB(A)</w:t>
      </w:r>
      <w:r>
        <w:rPr>
          <w:rFonts w:hint="eastAsia"/>
        </w:rPr>
        <w:t>，放空活动设置在昼间，叠加背景值（类比铜角湾实测数据）后预测值为54.39</w:t>
      </w:r>
      <w:r>
        <w:t>dB(A)</w:t>
      </w:r>
      <w:r>
        <w:rPr>
          <w:rFonts w:hint="eastAsia"/>
        </w:rPr>
        <w:t>，</w:t>
      </w:r>
      <w:r>
        <w:rPr>
          <w:rFonts w:hint="eastAsia"/>
          <w:i/>
          <w:iCs/>
          <w:color w:val="auto"/>
          <w:u w:val="single"/>
        </w:rPr>
        <w:t>可满足《声环境质量标准》（GB3096-2008）2类标准</w:t>
      </w:r>
      <w:r>
        <w:rPr>
          <w:i/>
          <w:iCs/>
          <w:color w:val="auto"/>
          <w:u w:val="single"/>
        </w:rPr>
        <w:t>。</w:t>
      </w:r>
    </w:p>
    <w:p w14:paraId="5716AF22">
      <w:pPr>
        <w:pStyle w:val="5"/>
        <w:rPr>
          <w:color w:val="auto"/>
        </w:rPr>
      </w:pPr>
      <w:r>
        <w:rPr>
          <w:color w:val="auto"/>
        </w:rPr>
        <w:t>施工期固体废物环境影响分析</w:t>
      </w:r>
    </w:p>
    <w:p w14:paraId="537A362E">
      <w:pPr>
        <w:pStyle w:val="234"/>
      </w:pPr>
      <w:r>
        <w:t>施工期产生的固体废物主要为施工废料</w:t>
      </w:r>
      <w:r>
        <w:rPr>
          <w:rFonts w:hint="eastAsia"/>
        </w:rPr>
        <w:t>、清管废渣、建筑垃圾</w:t>
      </w:r>
      <w:r>
        <w:t>、</w:t>
      </w:r>
      <w:r>
        <w:rPr>
          <w:rFonts w:hint="eastAsia"/>
        </w:rPr>
        <w:t>废油漆桶、</w:t>
      </w:r>
      <w:r>
        <w:t>生活垃圾等。</w:t>
      </w:r>
    </w:p>
    <w:p w14:paraId="2701EBA1">
      <w:pPr>
        <w:pStyle w:val="234"/>
        <w:rPr>
          <w:kern w:val="0"/>
        </w:rPr>
      </w:pPr>
      <w:r>
        <w:t>（1）</w:t>
      </w:r>
      <w:r>
        <w:rPr>
          <w:kern w:val="0"/>
        </w:rPr>
        <w:t>施工废料</w:t>
      </w:r>
    </w:p>
    <w:p w14:paraId="7664CC5A">
      <w:pPr>
        <w:pStyle w:val="234"/>
      </w:pPr>
      <w:r>
        <w:t>根据工程分析</w:t>
      </w:r>
      <w:r>
        <w:rPr>
          <w:rFonts w:hint="eastAsia"/>
        </w:rPr>
        <w:t>，本工程</w:t>
      </w:r>
      <w:r>
        <w:t>施工废料包括</w:t>
      </w:r>
      <w:r>
        <w:rPr>
          <w:rFonts w:hint="eastAsia"/>
        </w:rPr>
        <w:t>废焊条、废焊渣、防腐作业中产生的废防腐材料等</w:t>
      </w:r>
      <w:r>
        <w:t>，整个施工期施工</w:t>
      </w:r>
      <w:r>
        <w:rPr>
          <w:rFonts w:hint="eastAsia"/>
        </w:rPr>
        <w:t>废料产生</w:t>
      </w:r>
      <w:r>
        <w:t>总量约</w:t>
      </w:r>
      <w:r>
        <w:rPr>
          <w:rFonts w:hint="eastAsia"/>
        </w:rPr>
        <w:t>0.15</w:t>
      </w:r>
      <w:r>
        <w:t>t。施工废料部分回收利用，剩余废料交由工业废物回收单位处置</w:t>
      </w:r>
      <w:r>
        <w:rPr>
          <w:kern w:val="0"/>
        </w:rPr>
        <w:t>。</w:t>
      </w:r>
      <w:r>
        <w:t>本工程施工废料全部得到有效的处理和处置，不会对周围环境产生影响。</w:t>
      </w:r>
    </w:p>
    <w:p w14:paraId="551F2E9C">
      <w:pPr>
        <w:pStyle w:val="234"/>
      </w:pPr>
      <w:r>
        <w:t>（</w:t>
      </w:r>
      <w:r>
        <w:rPr>
          <w:rFonts w:hint="eastAsia"/>
        </w:rPr>
        <w:t>2</w:t>
      </w:r>
      <w:r>
        <w:t>）</w:t>
      </w:r>
      <w:r>
        <w:rPr>
          <w:rFonts w:hint="eastAsia"/>
        </w:rPr>
        <w:t>清管废渣</w:t>
      </w:r>
    </w:p>
    <w:p w14:paraId="7AD7EF94">
      <w:pPr>
        <w:pStyle w:val="234"/>
      </w:pPr>
      <w:r>
        <w:rPr>
          <w:rFonts w:hint="eastAsia"/>
        </w:rPr>
        <w:t>根据工程分析，本工程清管废渣产生量为0.02kg，主要为焊渣和氧化铁等，及时清运至环卫部门指定地点集中处置</w:t>
      </w:r>
    </w:p>
    <w:p w14:paraId="7459CEB9">
      <w:pPr>
        <w:pStyle w:val="234"/>
      </w:pPr>
      <w:r>
        <w:rPr>
          <w:rFonts w:hint="eastAsia"/>
        </w:rPr>
        <w:t>（3）建筑垃圾</w:t>
      </w:r>
    </w:p>
    <w:p w14:paraId="0513661D">
      <w:pPr>
        <w:pStyle w:val="234"/>
      </w:pPr>
      <w:r>
        <w:rPr>
          <w:rFonts w:hint="eastAsia"/>
        </w:rPr>
        <w:t>本工程管线无拆迁工程，仅在28号阀室改造和耒阳分输站建设过程中产生少量建筑垃圾，经估算，建筑垃圾产生量为25t，建筑垃圾清运至当地政府指定建筑垃圾消纳场进行处理。</w:t>
      </w:r>
    </w:p>
    <w:p w14:paraId="1B615E6A">
      <w:pPr>
        <w:pStyle w:val="234"/>
      </w:pPr>
      <w:r>
        <w:rPr>
          <w:rFonts w:hint="eastAsia"/>
        </w:rPr>
        <w:t>（4）废油漆桶</w:t>
      </w:r>
    </w:p>
    <w:p w14:paraId="02A9C927">
      <w:pPr>
        <w:pStyle w:val="234"/>
      </w:pPr>
      <w:r>
        <w:rPr>
          <w:rFonts w:hint="eastAsia"/>
        </w:rPr>
        <w:t>耒阳分输站设备涂色和标识涂刷过程会产生少量废油漆桶，属于危险废物，涂装作业结束后及时委托有资质单位拉运处理。</w:t>
      </w:r>
    </w:p>
    <w:p w14:paraId="58AC20D8">
      <w:pPr>
        <w:pStyle w:val="234"/>
      </w:pPr>
      <w:r>
        <w:t>（</w:t>
      </w:r>
      <w:r>
        <w:rPr>
          <w:rFonts w:hint="eastAsia"/>
        </w:rPr>
        <w:t>5</w:t>
      </w:r>
      <w:r>
        <w:t>）生活垃圾</w:t>
      </w:r>
    </w:p>
    <w:p w14:paraId="3AF5E6D7">
      <w:pPr>
        <w:pStyle w:val="234"/>
      </w:pPr>
      <w:r>
        <w:t>根据工程分析</w:t>
      </w:r>
      <w:r>
        <w:rPr>
          <w:rFonts w:hint="eastAsia"/>
        </w:rPr>
        <w:t>，</w:t>
      </w:r>
      <w:r>
        <w:t>本工程施工期间生活垃圾产生为</w:t>
      </w:r>
      <w:r>
        <w:rPr>
          <w:rFonts w:hint="eastAsia"/>
        </w:rPr>
        <w:t>3.24</w:t>
      </w:r>
      <w:r>
        <w:t>t，</w:t>
      </w:r>
      <w:r>
        <w:rPr>
          <w:rFonts w:hint="eastAsia"/>
        </w:rPr>
        <w:t>施工生活垃圾</w:t>
      </w:r>
      <w:r>
        <w:t>主要是瓜果皮、菜渣、剩饭、塑料、废纸等，施工人员住宿依托租用当地村庄民房，</w:t>
      </w:r>
      <w:r>
        <w:rPr>
          <w:rFonts w:hint="eastAsia"/>
        </w:rPr>
        <w:t>施工期生活垃圾</w:t>
      </w:r>
      <w:r>
        <w:t>经分类收集后，交当地环卫部门处置，不会对周围环境产生影响。</w:t>
      </w:r>
    </w:p>
    <w:p w14:paraId="3AD36045">
      <w:pPr>
        <w:pStyle w:val="234"/>
        <w:rPr>
          <w:bCs/>
        </w:rPr>
      </w:pPr>
      <w:r>
        <w:rPr>
          <w:bCs/>
        </w:rPr>
        <w:t>综上，本工程施工期产生的固体废物均可得到妥善处置，不会对周围环境产生影响。</w:t>
      </w:r>
    </w:p>
    <w:p w14:paraId="68044F19">
      <w:pPr>
        <w:pStyle w:val="4"/>
      </w:pPr>
      <w:bookmarkStart w:id="203" w:name="_Toc30702"/>
      <w:r>
        <w:t>营运期环境影响预测与评价</w:t>
      </w:r>
      <w:bookmarkEnd w:id="203"/>
    </w:p>
    <w:p w14:paraId="1DCF27B8">
      <w:pPr>
        <w:pStyle w:val="5"/>
        <w:rPr>
          <w:color w:val="auto"/>
        </w:rPr>
      </w:pPr>
      <w:r>
        <w:rPr>
          <w:color w:val="auto"/>
        </w:rPr>
        <w:t xml:space="preserve"> 环境空气影响评价</w:t>
      </w:r>
    </w:p>
    <w:p w14:paraId="1049D35F">
      <w:pPr>
        <w:pStyle w:val="7"/>
      </w:pPr>
      <w:r>
        <w:rPr>
          <w:rFonts w:hint="eastAsia"/>
        </w:rPr>
        <w:t xml:space="preserve"> </w:t>
      </w:r>
      <w:r>
        <w:t>正常工况</w:t>
      </w:r>
    </w:p>
    <w:p w14:paraId="7DCC3BD5">
      <w:pPr>
        <w:pStyle w:val="234"/>
        <w:rPr>
          <w:highlight w:val="none"/>
        </w:rPr>
      </w:pPr>
      <w:r>
        <w:t>本工程输气管道均为密闭输送，正常工况时无废气产生。天然气在管道内存在一定的压力，输送至站场后进行过滤分离、调压等过程中压力将有所变化，随着压力的变化会有少量的</w:t>
      </w:r>
      <w:r>
        <w:rPr>
          <w:highlight w:val="none"/>
        </w:rPr>
        <w:t>无组织天然气从</w:t>
      </w:r>
      <w:r>
        <w:rPr>
          <w:i/>
          <w:iCs/>
          <w:color w:val="auto"/>
          <w:highlight w:val="none"/>
          <w:u w:val="single"/>
        </w:rPr>
        <w:t>阀门、法兰</w:t>
      </w:r>
      <w:r>
        <w:rPr>
          <w:highlight w:val="none"/>
        </w:rPr>
        <w:t>连接件等处动静密点泄漏出来散逸至大气中，动静密封点无组织排放的天然气中主要污染因子为非甲烷总烃。</w:t>
      </w:r>
    </w:p>
    <w:p w14:paraId="14B1FFC7">
      <w:pPr>
        <w:pStyle w:val="234"/>
      </w:pPr>
      <w:r>
        <w:rPr>
          <w:rFonts w:hint="default" w:ascii="Times New Roman" w:hAnsi="Times New Roman" w:cs="Times New Roman"/>
          <w:i/>
          <w:iCs/>
          <w:color w:val="auto"/>
          <w:highlight w:val="none"/>
          <w:u w:val="single"/>
        </w:rPr>
        <w:t>本工程为三级评价，根据《环境影响评价技术导则 大气环境》（</w:t>
      </w:r>
      <w:r>
        <w:rPr>
          <w:rFonts w:hint="default" w:ascii="Times New Roman" w:hAnsi="Times New Roman" w:eastAsia="TimesNewRomanPSMT" w:cs="Times New Roman"/>
          <w:i/>
          <w:iCs/>
          <w:color w:val="auto"/>
          <w:highlight w:val="none"/>
          <w:u w:val="single"/>
        </w:rPr>
        <w:t>HJ 2.2-2018</w:t>
      </w:r>
      <w:r>
        <w:rPr>
          <w:rFonts w:hint="default" w:ascii="Times New Roman" w:hAnsi="Times New Roman" w:cs="Times New Roman"/>
          <w:i/>
          <w:iCs/>
          <w:color w:val="auto"/>
          <w:highlight w:val="none"/>
          <w:u w:val="single"/>
        </w:rPr>
        <w:t>）</w:t>
      </w:r>
      <w:r>
        <w:rPr>
          <w:rFonts w:hint="default" w:ascii="Times New Roman" w:hAnsi="Times New Roman" w:eastAsia="TimesNewRomanPSMT" w:cs="Times New Roman"/>
          <w:i/>
          <w:iCs/>
          <w:color w:val="auto"/>
          <w:highlight w:val="none"/>
          <w:u w:val="single"/>
        </w:rPr>
        <w:t>8.1.3“</w:t>
      </w:r>
      <w:r>
        <w:rPr>
          <w:rFonts w:hint="default" w:ascii="Times New Roman" w:hAnsi="Times New Roman" w:cs="Times New Roman"/>
          <w:i/>
          <w:iCs/>
          <w:color w:val="auto"/>
          <w:highlight w:val="none"/>
          <w:u w:val="single"/>
        </w:rPr>
        <w:t>三级评价项目不进行进一步预测与评价</w:t>
      </w:r>
      <w:r>
        <w:rPr>
          <w:rFonts w:hint="default" w:ascii="Times New Roman" w:hAnsi="Times New Roman" w:eastAsia="TimesNewRomanPSMT" w:cs="Times New Roman"/>
          <w:i/>
          <w:iCs/>
          <w:color w:val="auto"/>
          <w:highlight w:val="none"/>
          <w:u w:val="single"/>
        </w:rPr>
        <w:t>”</w:t>
      </w:r>
      <w:r>
        <w:rPr>
          <w:rFonts w:hint="default" w:ascii="Times New Roman" w:hAnsi="Times New Roman" w:cs="Times New Roman"/>
          <w:i/>
          <w:iCs/>
          <w:color w:val="auto"/>
          <w:highlight w:val="none"/>
          <w:u w:val="single"/>
        </w:rPr>
        <w:t>，</w:t>
      </w:r>
      <w:r>
        <w:rPr>
          <w:highlight w:val="none"/>
        </w:rPr>
        <w:t>根据附</w:t>
      </w:r>
      <w:r>
        <w:t>录</w:t>
      </w:r>
      <w:r>
        <w:rPr>
          <w:rFonts w:eastAsia="TimesNewRomanPSMT"/>
        </w:rPr>
        <w:t>A</w:t>
      </w:r>
      <w:r>
        <w:t>推荐模型中的AERSCREEN模式估算出</w:t>
      </w:r>
      <w:r>
        <w:rPr>
          <w:rFonts w:hint="eastAsia"/>
        </w:rPr>
        <w:t>耒阳分输站和28号阀室</w:t>
      </w:r>
      <w:r>
        <w:t>正常工况下无组织排放的非甲烷总烃在下风向不同距离处浓度。</w:t>
      </w:r>
    </w:p>
    <w:p w14:paraId="7DB6DB62">
      <w:pPr>
        <w:pStyle w:val="234"/>
      </w:pPr>
      <w:r>
        <w:t>（1）污染源参数</w:t>
      </w:r>
    </w:p>
    <w:p w14:paraId="7F38EBE1">
      <w:pPr>
        <w:pStyle w:val="234"/>
      </w:pPr>
      <w:r>
        <w:t>根据对本工程的性质和环境要素分析可知，本工程运行期大气污染源主要为</w:t>
      </w:r>
      <w:r>
        <w:rPr>
          <w:rFonts w:hint="eastAsia"/>
        </w:rPr>
        <w:t>耒阳分输站和28号阀室</w:t>
      </w:r>
      <w:r>
        <w:t>无组织排放的非甲烷总烃。矩形面源参数见表6.2-1。</w:t>
      </w:r>
    </w:p>
    <w:p w14:paraId="05BA3CD2">
      <w:pPr>
        <w:pStyle w:val="904"/>
      </w:pPr>
      <w:r>
        <w:t>表6.2-1  矩形面源参数表</w:t>
      </w:r>
    </w:p>
    <w:tbl>
      <w:tblPr>
        <w:tblStyle w:val="1396"/>
        <w:tblW w:w="92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5"/>
        <w:gridCol w:w="915"/>
        <w:gridCol w:w="800"/>
        <w:gridCol w:w="993"/>
        <w:gridCol w:w="987"/>
        <w:gridCol w:w="1175"/>
        <w:gridCol w:w="799"/>
        <w:gridCol w:w="727"/>
        <w:gridCol w:w="1388"/>
      </w:tblGrid>
      <w:tr w14:paraId="66235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5" w:type="dxa"/>
            <w:vAlign w:val="center"/>
          </w:tcPr>
          <w:p w14:paraId="7FA4C410">
            <w:pPr>
              <w:pStyle w:val="1343"/>
            </w:pPr>
            <w:r>
              <w:t>污染源</w:t>
            </w:r>
          </w:p>
        </w:tc>
        <w:tc>
          <w:tcPr>
            <w:tcW w:w="915" w:type="dxa"/>
            <w:vAlign w:val="center"/>
          </w:tcPr>
          <w:p w14:paraId="7F91AF3C">
            <w:pPr>
              <w:pStyle w:val="1343"/>
            </w:pPr>
            <w:r>
              <w:t>面源</w:t>
            </w:r>
          </w:p>
          <w:p w14:paraId="375EE9B3">
            <w:pPr>
              <w:pStyle w:val="1343"/>
            </w:pPr>
            <w:r>
              <w:t>海拔</w:t>
            </w:r>
          </w:p>
          <w:p w14:paraId="27F5BC6C">
            <w:pPr>
              <w:pStyle w:val="1343"/>
            </w:pPr>
            <w:r>
              <w:t>高度</w:t>
            </w:r>
          </w:p>
          <w:p w14:paraId="5AF23FB1">
            <w:pPr>
              <w:pStyle w:val="1343"/>
            </w:pPr>
            <w:r>
              <w:t>（m）</w:t>
            </w:r>
          </w:p>
        </w:tc>
        <w:tc>
          <w:tcPr>
            <w:tcW w:w="800" w:type="dxa"/>
            <w:vAlign w:val="center"/>
          </w:tcPr>
          <w:p w14:paraId="7F972F6F">
            <w:pPr>
              <w:pStyle w:val="1343"/>
            </w:pPr>
            <w:r>
              <w:t>面源</w:t>
            </w:r>
          </w:p>
          <w:p w14:paraId="0546AB3C">
            <w:pPr>
              <w:pStyle w:val="1343"/>
            </w:pPr>
            <w:r>
              <w:t>长度（m）</w:t>
            </w:r>
          </w:p>
        </w:tc>
        <w:tc>
          <w:tcPr>
            <w:tcW w:w="993" w:type="dxa"/>
            <w:vAlign w:val="center"/>
          </w:tcPr>
          <w:p w14:paraId="43AF5BB7">
            <w:pPr>
              <w:pStyle w:val="1343"/>
            </w:pPr>
            <w:r>
              <w:t>面源</w:t>
            </w:r>
          </w:p>
          <w:p w14:paraId="28ABCF66">
            <w:pPr>
              <w:pStyle w:val="1343"/>
            </w:pPr>
            <w:r>
              <w:t>宽度（m）</w:t>
            </w:r>
          </w:p>
        </w:tc>
        <w:tc>
          <w:tcPr>
            <w:tcW w:w="987" w:type="dxa"/>
            <w:vAlign w:val="center"/>
          </w:tcPr>
          <w:p w14:paraId="3A01D62E">
            <w:pPr>
              <w:pStyle w:val="1343"/>
            </w:pPr>
            <w:r>
              <w:t>与正北向夹角（°）</w:t>
            </w:r>
          </w:p>
        </w:tc>
        <w:tc>
          <w:tcPr>
            <w:tcW w:w="1175" w:type="dxa"/>
            <w:vAlign w:val="center"/>
          </w:tcPr>
          <w:p w14:paraId="689B9636">
            <w:pPr>
              <w:pStyle w:val="1343"/>
            </w:pPr>
            <w:r>
              <w:t>面源</w:t>
            </w:r>
          </w:p>
          <w:p w14:paraId="74AE82B7">
            <w:pPr>
              <w:pStyle w:val="1343"/>
            </w:pPr>
            <w:r>
              <w:t>有效</w:t>
            </w:r>
          </w:p>
          <w:p w14:paraId="772716D1">
            <w:pPr>
              <w:pStyle w:val="1343"/>
            </w:pPr>
            <w:r>
              <w:t>排放高度（m）</w:t>
            </w:r>
          </w:p>
        </w:tc>
        <w:tc>
          <w:tcPr>
            <w:tcW w:w="799" w:type="dxa"/>
            <w:vAlign w:val="center"/>
          </w:tcPr>
          <w:p w14:paraId="3A79C812">
            <w:pPr>
              <w:pStyle w:val="1343"/>
            </w:pPr>
            <w:r>
              <w:t>年排放小时数</w:t>
            </w:r>
          </w:p>
        </w:tc>
        <w:tc>
          <w:tcPr>
            <w:tcW w:w="727" w:type="dxa"/>
            <w:vAlign w:val="center"/>
          </w:tcPr>
          <w:p w14:paraId="57E5FA07">
            <w:pPr>
              <w:pStyle w:val="1343"/>
            </w:pPr>
            <w:r>
              <w:t>排放工况</w:t>
            </w:r>
          </w:p>
        </w:tc>
        <w:tc>
          <w:tcPr>
            <w:tcW w:w="1388" w:type="dxa"/>
            <w:vAlign w:val="center"/>
          </w:tcPr>
          <w:p w14:paraId="0AEF56BE">
            <w:pPr>
              <w:pStyle w:val="1343"/>
            </w:pPr>
            <w:r>
              <w:t>非甲烷总烃排放速率（kg/h）</w:t>
            </w:r>
          </w:p>
        </w:tc>
      </w:tr>
      <w:tr w14:paraId="6015E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5" w:type="dxa"/>
            <w:vAlign w:val="center"/>
          </w:tcPr>
          <w:p w14:paraId="677FC3F7">
            <w:pPr>
              <w:pStyle w:val="1343"/>
            </w:pPr>
            <w:r>
              <w:rPr>
                <w:rFonts w:hint="eastAsia"/>
              </w:rPr>
              <w:t>耒阳分输站</w:t>
            </w:r>
          </w:p>
        </w:tc>
        <w:tc>
          <w:tcPr>
            <w:tcW w:w="915" w:type="dxa"/>
            <w:vAlign w:val="center"/>
          </w:tcPr>
          <w:p w14:paraId="114DC81D">
            <w:pPr>
              <w:pStyle w:val="1343"/>
            </w:pPr>
            <w:r>
              <w:t>1</w:t>
            </w:r>
            <w:r>
              <w:rPr>
                <w:rFonts w:hint="eastAsia"/>
              </w:rPr>
              <w:t>2</w:t>
            </w:r>
            <w:r>
              <w:t>5</w:t>
            </w:r>
          </w:p>
        </w:tc>
        <w:tc>
          <w:tcPr>
            <w:tcW w:w="800" w:type="dxa"/>
            <w:vAlign w:val="center"/>
          </w:tcPr>
          <w:p w14:paraId="648BC09A">
            <w:pPr>
              <w:pStyle w:val="1343"/>
            </w:pPr>
            <w:r>
              <w:rPr>
                <w:rFonts w:hint="eastAsia"/>
              </w:rPr>
              <w:t>80</w:t>
            </w:r>
          </w:p>
        </w:tc>
        <w:tc>
          <w:tcPr>
            <w:tcW w:w="993" w:type="dxa"/>
            <w:vAlign w:val="center"/>
          </w:tcPr>
          <w:p w14:paraId="7CF41FD5">
            <w:pPr>
              <w:pStyle w:val="1343"/>
            </w:pPr>
            <w:r>
              <w:rPr>
                <w:rFonts w:hint="eastAsia"/>
              </w:rPr>
              <w:t>70</w:t>
            </w:r>
          </w:p>
        </w:tc>
        <w:tc>
          <w:tcPr>
            <w:tcW w:w="987" w:type="dxa"/>
            <w:vAlign w:val="center"/>
          </w:tcPr>
          <w:p w14:paraId="7389D941">
            <w:pPr>
              <w:pStyle w:val="1343"/>
            </w:pPr>
            <w:r>
              <w:rPr>
                <w:rFonts w:hint="eastAsia"/>
              </w:rPr>
              <w:t>80</w:t>
            </w:r>
          </w:p>
        </w:tc>
        <w:tc>
          <w:tcPr>
            <w:tcW w:w="1175" w:type="dxa"/>
            <w:vAlign w:val="center"/>
          </w:tcPr>
          <w:p w14:paraId="10206E81">
            <w:pPr>
              <w:pStyle w:val="1343"/>
            </w:pPr>
            <w:r>
              <w:t>1.5</w:t>
            </w:r>
          </w:p>
        </w:tc>
        <w:tc>
          <w:tcPr>
            <w:tcW w:w="799" w:type="dxa"/>
            <w:vAlign w:val="center"/>
          </w:tcPr>
          <w:p w14:paraId="5476D8A1">
            <w:pPr>
              <w:pStyle w:val="1343"/>
            </w:pPr>
            <w:r>
              <w:t>8760</w:t>
            </w:r>
          </w:p>
        </w:tc>
        <w:tc>
          <w:tcPr>
            <w:tcW w:w="727" w:type="dxa"/>
            <w:vAlign w:val="center"/>
          </w:tcPr>
          <w:p w14:paraId="5619C06F">
            <w:pPr>
              <w:pStyle w:val="1343"/>
            </w:pPr>
            <w:r>
              <w:t>连续排放</w:t>
            </w:r>
          </w:p>
        </w:tc>
        <w:tc>
          <w:tcPr>
            <w:tcW w:w="1388" w:type="dxa"/>
            <w:vAlign w:val="center"/>
          </w:tcPr>
          <w:p w14:paraId="51E369C6">
            <w:pPr>
              <w:pStyle w:val="1343"/>
              <w:rPr>
                <w:rFonts w:hint="default" w:eastAsia="宋体"/>
                <w:i/>
                <w:iCs/>
                <w:color w:val="auto"/>
                <w:highlight w:val="none"/>
                <w:u w:val="single"/>
                <w:lang w:val="en-US" w:eastAsia="zh-CN"/>
              </w:rPr>
            </w:pPr>
            <w:r>
              <w:rPr>
                <w:rFonts w:hint="eastAsia"/>
                <w:i/>
                <w:iCs/>
                <w:color w:val="auto"/>
                <w:highlight w:val="none"/>
                <w:u w:val="single"/>
                <w:lang w:val="en-US" w:eastAsia="zh-CN"/>
              </w:rPr>
              <w:t>0.0028</w:t>
            </w:r>
          </w:p>
        </w:tc>
      </w:tr>
      <w:tr w14:paraId="65C84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5" w:type="dxa"/>
            <w:vAlign w:val="center"/>
          </w:tcPr>
          <w:p w14:paraId="19E79A93">
            <w:pPr>
              <w:pStyle w:val="1343"/>
            </w:pPr>
            <w:r>
              <w:rPr>
                <w:rFonts w:hint="eastAsia"/>
              </w:rPr>
              <w:t>28号阀室</w:t>
            </w:r>
          </w:p>
        </w:tc>
        <w:tc>
          <w:tcPr>
            <w:tcW w:w="915" w:type="dxa"/>
            <w:vAlign w:val="center"/>
          </w:tcPr>
          <w:p w14:paraId="342F0BD9">
            <w:pPr>
              <w:pStyle w:val="1343"/>
            </w:pPr>
            <w:r>
              <w:rPr>
                <w:rFonts w:hint="eastAsia"/>
              </w:rPr>
              <w:t>10</w:t>
            </w:r>
            <w:r>
              <w:t>0</w:t>
            </w:r>
          </w:p>
        </w:tc>
        <w:tc>
          <w:tcPr>
            <w:tcW w:w="800" w:type="dxa"/>
            <w:vAlign w:val="center"/>
          </w:tcPr>
          <w:p w14:paraId="6D2A8997">
            <w:pPr>
              <w:pStyle w:val="1343"/>
            </w:pPr>
            <w:r>
              <w:rPr>
                <w:rFonts w:hint="eastAsia"/>
              </w:rPr>
              <w:t>24</w:t>
            </w:r>
          </w:p>
        </w:tc>
        <w:tc>
          <w:tcPr>
            <w:tcW w:w="993" w:type="dxa"/>
            <w:vAlign w:val="center"/>
          </w:tcPr>
          <w:p w14:paraId="62CAF1D6">
            <w:pPr>
              <w:pStyle w:val="1343"/>
            </w:pPr>
            <w:r>
              <w:rPr>
                <w:rFonts w:hint="eastAsia"/>
              </w:rPr>
              <w:t>18</w:t>
            </w:r>
          </w:p>
        </w:tc>
        <w:tc>
          <w:tcPr>
            <w:tcW w:w="987" w:type="dxa"/>
            <w:vAlign w:val="center"/>
          </w:tcPr>
          <w:p w14:paraId="7FAC974F">
            <w:pPr>
              <w:pStyle w:val="1343"/>
            </w:pPr>
            <w:r>
              <w:t>0</w:t>
            </w:r>
          </w:p>
        </w:tc>
        <w:tc>
          <w:tcPr>
            <w:tcW w:w="1175" w:type="dxa"/>
            <w:vAlign w:val="center"/>
          </w:tcPr>
          <w:p w14:paraId="65608BD9">
            <w:pPr>
              <w:pStyle w:val="1343"/>
            </w:pPr>
            <w:r>
              <w:t>1.5</w:t>
            </w:r>
          </w:p>
        </w:tc>
        <w:tc>
          <w:tcPr>
            <w:tcW w:w="799" w:type="dxa"/>
            <w:vAlign w:val="center"/>
          </w:tcPr>
          <w:p w14:paraId="3BC2D426">
            <w:pPr>
              <w:pStyle w:val="1343"/>
            </w:pPr>
            <w:r>
              <w:t>8760</w:t>
            </w:r>
          </w:p>
        </w:tc>
        <w:tc>
          <w:tcPr>
            <w:tcW w:w="727" w:type="dxa"/>
            <w:vAlign w:val="center"/>
          </w:tcPr>
          <w:p w14:paraId="1C54F247">
            <w:pPr>
              <w:pStyle w:val="1343"/>
            </w:pPr>
            <w:r>
              <w:t>连续排放</w:t>
            </w:r>
          </w:p>
        </w:tc>
        <w:tc>
          <w:tcPr>
            <w:tcW w:w="1388" w:type="dxa"/>
            <w:vAlign w:val="center"/>
          </w:tcPr>
          <w:p w14:paraId="79655608">
            <w:pPr>
              <w:pStyle w:val="1343"/>
              <w:rPr>
                <w:rFonts w:hint="default" w:eastAsia="宋体"/>
                <w:i/>
                <w:iCs/>
                <w:color w:val="auto"/>
                <w:highlight w:val="none"/>
                <w:u w:val="single"/>
                <w:lang w:val="en-US" w:eastAsia="zh-CN"/>
              </w:rPr>
            </w:pPr>
            <w:r>
              <w:rPr>
                <w:rFonts w:hint="eastAsia"/>
                <w:i/>
                <w:iCs/>
                <w:color w:val="auto"/>
                <w:highlight w:val="none"/>
                <w:u w:val="single"/>
                <w:lang w:val="en-US" w:eastAsia="zh-CN"/>
              </w:rPr>
              <w:t>0.00012</w:t>
            </w:r>
          </w:p>
        </w:tc>
      </w:tr>
    </w:tbl>
    <w:p w14:paraId="2E72BB88">
      <w:pPr>
        <w:pStyle w:val="234"/>
        <w:spacing w:before="120" w:beforeLines="50"/>
      </w:pPr>
      <w:r>
        <w:t>（2）估算模型参数</w:t>
      </w:r>
    </w:p>
    <w:p w14:paraId="696605E5">
      <w:pPr>
        <w:pStyle w:val="234"/>
      </w:pPr>
      <w:r>
        <w:t>本工程大气环境影响评价估算模型所用参数见表6.2-2</w:t>
      </w:r>
      <w:r>
        <w:rPr>
          <w:rFonts w:hint="eastAsia"/>
        </w:rPr>
        <w:t>。</w:t>
      </w:r>
    </w:p>
    <w:p w14:paraId="15493EE7">
      <w:pPr>
        <w:pStyle w:val="904"/>
      </w:pPr>
      <w:r>
        <w:t>表6.2-2  估算模型参数一览表</w:t>
      </w:r>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36"/>
        <w:gridCol w:w="3863"/>
        <w:gridCol w:w="1756"/>
        <w:gridCol w:w="2125"/>
      </w:tblGrid>
      <w:tr w14:paraId="07C98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2863" w:type="pct"/>
            <w:gridSpan w:val="2"/>
            <w:vMerge w:val="restart"/>
            <w:vAlign w:val="center"/>
          </w:tcPr>
          <w:p w14:paraId="3F8A6B20">
            <w:pPr>
              <w:pStyle w:val="1343"/>
            </w:pPr>
            <w:r>
              <w:t>参数</w:t>
            </w:r>
          </w:p>
        </w:tc>
        <w:tc>
          <w:tcPr>
            <w:tcW w:w="2137" w:type="pct"/>
            <w:gridSpan w:val="2"/>
            <w:vAlign w:val="center"/>
          </w:tcPr>
          <w:p w14:paraId="345596FA">
            <w:pPr>
              <w:pStyle w:val="1343"/>
            </w:pPr>
            <w:r>
              <w:t>参数取值</w:t>
            </w:r>
          </w:p>
        </w:tc>
      </w:tr>
      <w:tr w14:paraId="19557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2863" w:type="pct"/>
            <w:gridSpan w:val="2"/>
            <w:vMerge w:val="continue"/>
            <w:vAlign w:val="center"/>
          </w:tcPr>
          <w:p w14:paraId="69FD527D">
            <w:pPr>
              <w:pStyle w:val="1343"/>
            </w:pPr>
          </w:p>
        </w:tc>
        <w:tc>
          <w:tcPr>
            <w:tcW w:w="1756" w:type="dxa"/>
            <w:vAlign w:val="center"/>
          </w:tcPr>
          <w:p w14:paraId="07B31641">
            <w:pPr>
              <w:pStyle w:val="1343"/>
            </w:pPr>
            <w:r>
              <w:rPr>
                <w:rFonts w:hint="eastAsia"/>
              </w:rPr>
              <w:t>耒阳分输站</w:t>
            </w:r>
          </w:p>
        </w:tc>
        <w:tc>
          <w:tcPr>
            <w:tcW w:w="2125" w:type="dxa"/>
            <w:vAlign w:val="center"/>
          </w:tcPr>
          <w:p w14:paraId="37078C78">
            <w:pPr>
              <w:pStyle w:val="1343"/>
            </w:pPr>
            <w:r>
              <w:rPr>
                <w:rFonts w:hint="eastAsia"/>
              </w:rPr>
              <w:t>28号阀室</w:t>
            </w:r>
          </w:p>
        </w:tc>
      </w:tr>
      <w:tr w14:paraId="20E56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736" w:type="pct"/>
            <w:vMerge w:val="restart"/>
            <w:tcMar>
              <w:left w:w="0" w:type="dxa"/>
              <w:right w:w="0" w:type="dxa"/>
            </w:tcMar>
            <w:vAlign w:val="center"/>
          </w:tcPr>
          <w:p w14:paraId="16E7FC62">
            <w:pPr>
              <w:pStyle w:val="1343"/>
            </w:pPr>
            <w:r>
              <w:t>城市/农村选项</w:t>
            </w:r>
          </w:p>
        </w:tc>
        <w:tc>
          <w:tcPr>
            <w:tcW w:w="2127" w:type="pct"/>
            <w:tcMar>
              <w:left w:w="0" w:type="dxa"/>
              <w:right w:w="0" w:type="dxa"/>
            </w:tcMar>
            <w:vAlign w:val="center"/>
          </w:tcPr>
          <w:p w14:paraId="7A83B9F6">
            <w:pPr>
              <w:pStyle w:val="1343"/>
            </w:pPr>
            <w:r>
              <w:t>城市/农村</w:t>
            </w:r>
          </w:p>
        </w:tc>
        <w:tc>
          <w:tcPr>
            <w:tcW w:w="1756" w:type="dxa"/>
            <w:vAlign w:val="center"/>
          </w:tcPr>
          <w:p w14:paraId="46B9908B">
            <w:pPr>
              <w:pStyle w:val="1343"/>
            </w:pPr>
            <w:r>
              <w:t>农村</w:t>
            </w:r>
          </w:p>
        </w:tc>
        <w:tc>
          <w:tcPr>
            <w:tcW w:w="2125" w:type="dxa"/>
            <w:vAlign w:val="center"/>
          </w:tcPr>
          <w:p w14:paraId="749120D2">
            <w:pPr>
              <w:pStyle w:val="1343"/>
            </w:pPr>
            <w:r>
              <w:t>农村</w:t>
            </w:r>
          </w:p>
        </w:tc>
      </w:tr>
      <w:tr w14:paraId="57E16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736" w:type="pct"/>
            <w:vMerge w:val="continue"/>
            <w:tcMar>
              <w:left w:w="0" w:type="dxa"/>
              <w:right w:w="0" w:type="dxa"/>
            </w:tcMar>
            <w:vAlign w:val="center"/>
          </w:tcPr>
          <w:p w14:paraId="5048E506">
            <w:pPr>
              <w:pStyle w:val="1343"/>
            </w:pPr>
          </w:p>
        </w:tc>
        <w:tc>
          <w:tcPr>
            <w:tcW w:w="2127" w:type="pct"/>
            <w:tcMar>
              <w:left w:w="0" w:type="dxa"/>
              <w:right w:w="0" w:type="dxa"/>
            </w:tcMar>
            <w:vAlign w:val="center"/>
          </w:tcPr>
          <w:p w14:paraId="2E19E0A1">
            <w:pPr>
              <w:pStyle w:val="1343"/>
            </w:pPr>
            <w:r>
              <w:t>人口数（城市选项时）</w:t>
            </w:r>
          </w:p>
        </w:tc>
        <w:tc>
          <w:tcPr>
            <w:tcW w:w="1756" w:type="dxa"/>
            <w:vAlign w:val="center"/>
          </w:tcPr>
          <w:p w14:paraId="7D48C90B">
            <w:pPr>
              <w:pStyle w:val="1343"/>
            </w:pPr>
            <w:r>
              <w:t>/</w:t>
            </w:r>
          </w:p>
        </w:tc>
        <w:tc>
          <w:tcPr>
            <w:tcW w:w="2125" w:type="dxa"/>
            <w:vAlign w:val="center"/>
          </w:tcPr>
          <w:p w14:paraId="0F70F7F5">
            <w:pPr>
              <w:pStyle w:val="1343"/>
            </w:pPr>
            <w:r>
              <w:t>/</w:t>
            </w:r>
          </w:p>
        </w:tc>
      </w:tr>
      <w:tr w14:paraId="6A1D5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2863" w:type="pct"/>
            <w:gridSpan w:val="2"/>
            <w:tcMar>
              <w:left w:w="0" w:type="dxa"/>
              <w:right w:w="0" w:type="dxa"/>
            </w:tcMar>
            <w:vAlign w:val="center"/>
          </w:tcPr>
          <w:p w14:paraId="67F4396C">
            <w:pPr>
              <w:pStyle w:val="1343"/>
            </w:pPr>
            <w:r>
              <w:t>最高环境温度/℃</w:t>
            </w:r>
          </w:p>
        </w:tc>
        <w:tc>
          <w:tcPr>
            <w:tcW w:w="1756" w:type="dxa"/>
            <w:vAlign w:val="center"/>
          </w:tcPr>
          <w:p w14:paraId="318ACF5F">
            <w:pPr>
              <w:pStyle w:val="1343"/>
            </w:pPr>
            <w:r>
              <w:rPr>
                <w:rFonts w:hint="eastAsia"/>
              </w:rPr>
              <w:t>41.1</w:t>
            </w:r>
          </w:p>
        </w:tc>
        <w:tc>
          <w:tcPr>
            <w:tcW w:w="2125" w:type="dxa"/>
            <w:vAlign w:val="center"/>
          </w:tcPr>
          <w:p w14:paraId="505021D4">
            <w:pPr>
              <w:pStyle w:val="1343"/>
            </w:pPr>
            <w:r>
              <w:rPr>
                <w:rFonts w:hint="eastAsia"/>
              </w:rPr>
              <w:t>41.1</w:t>
            </w:r>
          </w:p>
        </w:tc>
      </w:tr>
      <w:tr w14:paraId="123C8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2863" w:type="pct"/>
            <w:gridSpan w:val="2"/>
            <w:tcMar>
              <w:left w:w="0" w:type="dxa"/>
              <w:right w:w="0" w:type="dxa"/>
            </w:tcMar>
            <w:vAlign w:val="center"/>
          </w:tcPr>
          <w:p w14:paraId="48DB4A19">
            <w:pPr>
              <w:pStyle w:val="1343"/>
            </w:pPr>
            <w:r>
              <w:t>最低环境温度/℃</w:t>
            </w:r>
          </w:p>
        </w:tc>
        <w:tc>
          <w:tcPr>
            <w:tcW w:w="1756" w:type="dxa"/>
            <w:vAlign w:val="center"/>
          </w:tcPr>
          <w:p w14:paraId="1E42A358">
            <w:pPr>
              <w:pStyle w:val="1343"/>
            </w:pPr>
            <w:r>
              <w:t>-</w:t>
            </w:r>
            <w:r>
              <w:rPr>
                <w:rFonts w:hint="eastAsia"/>
              </w:rPr>
              <w:t>3.5</w:t>
            </w:r>
          </w:p>
        </w:tc>
        <w:tc>
          <w:tcPr>
            <w:tcW w:w="2125" w:type="dxa"/>
            <w:vAlign w:val="center"/>
          </w:tcPr>
          <w:p w14:paraId="1A27E6D5">
            <w:pPr>
              <w:pStyle w:val="1343"/>
            </w:pPr>
            <w:r>
              <w:t>-</w:t>
            </w:r>
            <w:r>
              <w:rPr>
                <w:rFonts w:hint="eastAsia"/>
              </w:rPr>
              <w:t>3.5</w:t>
            </w:r>
          </w:p>
        </w:tc>
      </w:tr>
      <w:tr w14:paraId="1CB24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2863" w:type="pct"/>
            <w:gridSpan w:val="2"/>
            <w:tcMar>
              <w:left w:w="0" w:type="dxa"/>
              <w:right w:w="0" w:type="dxa"/>
            </w:tcMar>
            <w:vAlign w:val="center"/>
          </w:tcPr>
          <w:p w14:paraId="57F1ED5F">
            <w:pPr>
              <w:pStyle w:val="1343"/>
            </w:pPr>
            <w:r>
              <w:t>土地利用类型</w:t>
            </w:r>
          </w:p>
        </w:tc>
        <w:tc>
          <w:tcPr>
            <w:tcW w:w="1756" w:type="dxa"/>
            <w:vAlign w:val="center"/>
          </w:tcPr>
          <w:p w14:paraId="3C432A68">
            <w:pPr>
              <w:pStyle w:val="1343"/>
            </w:pPr>
            <w:r>
              <w:rPr>
                <w:rFonts w:hint="eastAsia"/>
              </w:rPr>
              <w:t>落叶林</w:t>
            </w:r>
          </w:p>
        </w:tc>
        <w:tc>
          <w:tcPr>
            <w:tcW w:w="2125" w:type="dxa"/>
            <w:vAlign w:val="center"/>
          </w:tcPr>
          <w:p w14:paraId="7CDF72D7">
            <w:pPr>
              <w:pStyle w:val="1343"/>
            </w:pPr>
            <w:r>
              <w:rPr>
                <w:rFonts w:hint="eastAsia"/>
              </w:rPr>
              <w:t>农作地</w:t>
            </w:r>
          </w:p>
        </w:tc>
      </w:tr>
      <w:tr w14:paraId="4C06A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2863" w:type="pct"/>
            <w:gridSpan w:val="2"/>
            <w:tcMar>
              <w:left w:w="0" w:type="dxa"/>
              <w:right w:w="0" w:type="dxa"/>
            </w:tcMar>
            <w:vAlign w:val="center"/>
          </w:tcPr>
          <w:p w14:paraId="7F914525">
            <w:pPr>
              <w:pStyle w:val="1343"/>
            </w:pPr>
            <w:r>
              <w:t>区域湿度条件</w:t>
            </w:r>
          </w:p>
        </w:tc>
        <w:tc>
          <w:tcPr>
            <w:tcW w:w="1756" w:type="dxa"/>
            <w:vAlign w:val="center"/>
          </w:tcPr>
          <w:p w14:paraId="772D005E">
            <w:pPr>
              <w:pStyle w:val="1343"/>
            </w:pPr>
            <w:r>
              <w:rPr>
                <w:rFonts w:hint="eastAsia"/>
              </w:rPr>
              <w:t>潮湿气候</w:t>
            </w:r>
          </w:p>
        </w:tc>
        <w:tc>
          <w:tcPr>
            <w:tcW w:w="2125" w:type="dxa"/>
            <w:vAlign w:val="center"/>
          </w:tcPr>
          <w:p w14:paraId="3D1ECD6E">
            <w:pPr>
              <w:pStyle w:val="1343"/>
            </w:pPr>
            <w:r>
              <w:rPr>
                <w:rFonts w:hint="eastAsia"/>
              </w:rPr>
              <w:t>潮湿气候</w:t>
            </w:r>
          </w:p>
        </w:tc>
      </w:tr>
      <w:tr w14:paraId="57EEE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736" w:type="pct"/>
            <w:vMerge w:val="restart"/>
            <w:tcMar>
              <w:left w:w="0" w:type="dxa"/>
              <w:right w:w="0" w:type="dxa"/>
            </w:tcMar>
            <w:vAlign w:val="center"/>
          </w:tcPr>
          <w:p w14:paraId="717440EE">
            <w:pPr>
              <w:pStyle w:val="1343"/>
            </w:pPr>
            <w:r>
              <w:t>是否考虑地形</w:t>
            </w:r>
          </w:p>
        </w:tc>
        <w:tc>
          <w:tcPr>
            <w:tcW w:w="2127" w:type="pct"/>
            <w:tcMar>
              <w:left w:w="0" w:type="dxa"/>
              <w:right w:w="0" w:type="dxa"/>
            </w:tcMar>
            <w:vAlign w:val="center"/>
          </w:tcPr>
          <w:p w14:paraId="6B14A581">
            <w:pPr>
              <w:pStyle w:val="1343"/>
            </w:pPr>
            <w:r>
              <w:t>考虑地形</w:t>
            </w:r>
          </w:p>
        </w:tc>
        <w:tc>
          <w:tcPr>
            <w:tcW w:w="1756" w:type="dxa"/>
            <w:vAlign w:val="center"/>
          </w:tcPr>
          <w:p w14:paraId="6EAC9A28">
            <w:pPr>
              <w:pStyle w:val="1343"/>
            </w:pPr>
            <w:r>
              <w:rPr>
                <w:rFonts w:hint="eastAsia"/>
              </w:rPr>
              <w:t>考虑</w:t>
            </w:r>
          </w:p>
        </w:tc>
        <w:tc>
          <w:tcPr>
            <w:tcW w:w="2125" w:type="dxa"/>
            <w:vAlign w:val="center"/>
          </w:tcPr>
          <w:p w14:paraId="0BC3C28A">
            <w:pPr>
              <w:pStyle w:val="1343"/>
            </w:pPr>
            <w:r>
              <w:rPr>
                <w:rFonts w:hint="eastAsia"/>
              </w:rPr>
              <w:t>考虑</w:t>
            </w:r>
          </w:p>
        </w:tc>
      </w:tr>
      <w:tr w14:paraId="773D0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736" w:type="pct"/>
            <w:vMerge w:val="continue"/>
            <w:tcMar>
              <w:left w:w="0" w:type="dxa"/>
              <w:right w:w="0" w:type="dxa"/>
            </w:tcMar>
            <w:vAlign w:val="center"/>
          </w:tcPr>
          <w:p w14:paraId="635510BA">
            <w:pPr>
              <w:pStyle w:val="1343"/>
            </w:pPr>
          </w:p>
        </w:tc>
        <w:tc>
          <w:tcPr>
            <w:tcW w:w="2127" w:type="pct"/>
            <w:tcMar>
              <w:left w:w="0" w:type="dxa"/>
              <w:right w:w="0" w:type="dxa"/>
            </w:tcMar>
            <w:vAlign w:val="center"/>
          </w:tcPr>
          <w:p w14:paraId="65F82F23">
            <w:pPr>
              <w:pStyle w:val="1343"/>
            </w:pPr>
            <w:r>
              <w:t>地形数据分辨率</w:t>
            </w:r>
          </w:p>
        </w:tc>
        <w:tc>
          <w:tcPr>
            <w:tcW w:w="1756" w:type="dxa"/>
            <w:vAlign w:val="center"/>
          </w:tcPr>
          <w:p w14:paraId="7E9489D1">
            <w:pPr>
              <w:pStyle w:val="1343"/>
            </w:pPr>
            <w:r>
              <w:t>90</w:t>
            </w:r>
          </w:p>
        </w:tc>
        <w:tc>
          <w:tcPr>
            <w:tcW w:w="2125" w:type="dxa"/>
            <w:vAlign w:val="center"/>
          </w:tcPr>
          <w:p w14:paraId="5FEE3247">
            <w:pPr>
              <w:pStyle w:val="1343"/>
            </w:pPr>
            <w:r>
              <w:t>90</w:t>
            </w:r>
          </w:p>
        </w:tc>
      </w:tr>
      <w:tr w14:paraId="7B75B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736" w:type="pct"/>
            <w:vMerge w:val="restart"/>
            <w:tcMar>
              <w:left w:w="0" w:type="dxa"/>
              <w:right w:w="0" w:type="dxa"/>
            </w:tcMar>
            <w:vAlign w:val="center"/>
          </w:tcPr>
          <w:p w14:paraId="786B0198">
            <w:pPr>
              <w:pStyle w:val="1343"/>
            </w:pPr>
            <w:r>
              <w:t>是否考虑岸线熏烟</w:t>
            </w:r>
          </w:p>
        </w:tc>
        <w:tc>
          <w:tcPr>
            <w:tcW w:w="2127" w:type="pct"/>
            <w:tcMar>
              <w:left w:w="0" w:type="dxa"/>
              <w:right w:w="0" w:type="dxa"/>
            </w:tcMar>
            <w:vAlign w:val="center"/>
          </w:tcPr>
          <w:p w14:paraId="01170354">
            <w:pPr>
              <w:pStyle w:val="1343"/>
            </w:pPr>
            <w:r>
              <w:t>考虑岸线熏烟</w:t>
            </w:r>
          </w:p>
        </w:tc>
        <w:tc>
          <w:tcPr>
            <w:tcW w:w="1756" w:type="dxa"/>
            <w:vAlign w:val="center"/>
          </w:tcPr>
          <w:p w14:paraId="29159491">
            <w:pPr>
              <w:pStyle w:val="1343"/>
            </w:pPr>
            <w:r>
              <w:rPr>
                <w:rFonts w:hint="eastAsia"/>
              </w:rPr>
              <w:t>不考虑</w:t>
            </w:r>
          </w:p>
        </w:tc>
        <w:tc>
          <w:tcPr>
            <w:tcW w:w="2125" w:type="dxa"/>
            <w:vAlign w:val="center"/>
          </w:tcPr>
          <w:p w14:paraId="05D36812">
            <w:pPr>
              <w:pStyle w:val="1343"/>
            </w:pPr>
            <w:r>
              <w:rPr>
                <w:rFonts w:hint="eastAsia"/>
              </w:rPr>
              <w:t>不考虑</w:t>
            </w:r>
          </w:p>
        </w:tc>
      </w:tr>
      <w:tr w14:paraId="0BE1C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736" w:type="pct"/>
            <w:vMerge w:val="continue"/>
            <w:tcMar>
              <w:left w:w="0" w:type="dxa"/>
              <w:right w:w="0" w:type="dxa"/>
            </w:tcMar>
            <w:vAlign w:val="center"/>
          </w:tcPr>
          <w:p w14:paraId="210631CE">
            <w:pPr>
              <w:pStyle w:val="1343"/>
            </w:pPr>
          </w:p>
        </w:tc>
        <w:tc>
          <w:tcPr>
            <w:tcW w:w="2127" w:type="pct"/>
            <w:tcMar>
              <w:left w:w="0" w:type="dxa"/>
              <w:right w:w="0" w:type="dxa"/>
            </w:tcMar>
            <w:vAlign w:val="center"/>
          </w:tcPr>
          <w:p w14:paraId="32BCD30F">
            <w:pPr>
              <w:pStyle w:val="1343"/>
            </w:pPr>
            <w:r>
              <w:t>岸线距离/km</w:t>
            </w:r>
          </w:p>
        </w:tc>
        <w:tc>
          <w:tcPr>
            <w:tcW w:w="1756" w:type="dxa"/>
            <w:vAlign w:val="center"/>
          </w:tcPr>
          <w:p w14:paraId="6623DA3C">
            <w:pPr>
              <w:pStyle w:val="1343"/>
            </w:pPr>
            <w:r>
              <w:t>/</w:t>
            </w:r>
          </w:p>
        </w:tc>
        <w:tc>
          <w:tcPr>
            <w:tcW w:w="2125" w:type="dxa"/>
            <w:vAlign w:val="center"/>
          </w:tcPr>
          <w:p w14:paraId="6E9D36FE">
            <w:pPr>
              <w:pStyle w:val="1343"/>
            </w:pPr>
            <w:r>
              <w:t>/</w:t>
            </w:r>
          </w:p>
        </w:tc>
      </w:tr>
      <w:tr w14:paraId="5296B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jc w:val="center"/>
        </w:trPr>
        <w:tc>
          <w:tcPr>
            <w:tcW w:w="736" w:type="pct"/>
            <w:vMerge w:val="continue"/>
            <w:tcMar>
              <w:left w:w="0" w:type="dxa"/>
              <w:right w:w="0" w:type="dxa"/>
            </w:tcMar>
            <w:vAlign w:val="center"/>
          </w:tcPr>
          <w:p w14:paraId="2B6AD026">
            <w:pPr>
              <w:pStyle w:val="1343"/>
            </w:pPr>
          </w:p>
        </w:tc>
        <w:tc>
          <w:tcPr>
            <w:tcW w:w="2127" w:type="pct"/>
            <w:tcMar>
              <w:left w:w="0" w:type="dxa"/>
              <w:right w:w="0" w:type="dxa"/>
            </w:tcMar>
            <w:vAlign w:val="center"/>
          </w:tcPr>
          <w:p w14:paraId="6C53C728">
            <w:pPr>
              <w:pStyle w:val="1343"/>
            </w:pPr>
            <w:r>
              <w:t>岸线方向/°</w:t>
            </w:r>
          </w:p>
        </w:tc>
        <w:tc>
          <w:tcPr>
            <w:tcW w:w="1756" w:type="dxa"/>
            <w:vAlign w:val="center"/>
          </w:tcPr>
          <w:p w14:paraId="1F304F54">
            <w:pPr>
              <w:pStyle w:val="1343"/>
            </w:pPr>
            <w:r>
              <w:t>/</w:t>
            </w:r>
          </w:p>
        </w:tc>
        <w:tc>
          <w:tcPr>
            <w:tcW w:w="2125" w:type="dxa"/>
            <w:vAlign w:val="center"/>
          </w:tcPr>
          <w:p w14:paraId="1CD92143">
            <w:pPr>
              <w:pStyle w:val="1343"/>
            </w:pPr>
            <w:r>
              <w:t>/</w:t>
            </w:r>
          </w:p>
        </w:tc>
      </w:tr>
    </w:tbl>
    <w:p w14:paraId="6D8D0C14">
      <w:pPr>
        <w:pStyle w:val="234"/>
        <w:spacing w:before="120" w:beforeLines="50"/>
      </w:pPr>
      <w:r>
        <w:t>（3）估算结果</w:t>
      </w:r>
    </w:p>
    <w:p w14:paraId="5F91266D">
      <w:pPr>
        <w:pStyle w:val="234"/>
      </w:pPr>
      <w:r>
        <w:t>根据估算结果，</w:t>
      </w:r>
      <w:r>
        <w:rPr>
          <w:rFonts w:hint="eastAsia"/>
        </w:rPr>
        <w:t>耒阳分输站和28号阀室</w:t>
      </w:r>
      <w:r>
        <w:t>无组织排放非甲烷总烃预测结果见表6.2-3，</w:t>
      </w:r>
      <w:r>
        <w:rPr>
          <w:rFonts w:hint="eastAsia"/>
        </w:rPr>
        <w:t>耒阳分输站和28号阀室</w:t>
      </w:r>
      <w:r>
        <w:t>无组织非甲烷总烃最大落地浓度均满足《</w:t>
      </w:r>
      <w:r>
        <w:rPr>
          <w:rFonts w:hint="eastAsia"/>
        </w:rPr>
        <w:t>大气污染物综合排放标准</w:t>
      </w:r>
      <w:r>
        <w:t>》(</w:t>
      </w:r>
      <w:r>
        <w:rPr>
          <w:rFonts w:hint="eastAsia"/>
        </w:rPr>
        <w:t>GB16297-1996</w:t>
      </w:r>
      <w:r>
        <w:t>)表2中</w:t>
      </w:r>
      <w:r>
        <w:rPr>
          <w:rFonts w:hint="eastAsia"/>
        </w:rPr>
        <w:t>非甲烷总烃</w:t>
      </w:r>
      <w:r>
        <w:t>厂界监控点浓度限值。</w:t>
      </w:r>
    </w:p>
    <w:p w14:paraId="0CC0961E">
      <w:pPr>
        <w:pStyle w:val="904"/>
        <w:rPr>
          <w:i/>
          <w:iCs/>
          <w:color w:val="auto"/>
          <w:highlight w:val="none"/>
          <w:u w:val="single"/>
        </w:rPr>
      </w:pPr>
      <w:r>
        <w:rPr>
          <w:i/>
          <w:iCs/>
          <w:color w:val="auto"/>
          <w:highlight w:val="none"/>
          <w:u w:val="single"/>
        </w:rPr>
        <w:t>表6.2-3  本工程无组织排放非甲烷总烃估算结果表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1"/>
        <w:gridCol w:w="1628"/>
        <w:gridCol w:w="1488"/>
        <w:gridCol w:w="1477"/>
        <w:gridCol w:w="1581"/>
        <w:gridCol w:w="1561"/>
      </w:tblGrid>
      <w:tr w14:paraId="317FC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pct"/>
            <w:vMerge w:val="restart"/>
            <w:vAlign w:val="center"/>
          </w:tcPr>
          <w:p w14:paraId="1CFD9518">
            <w:pPr>
              <w:pStyle w:val="1343"/>
              <w:rPr>
                <w:i/>
                <w:iCs/>
                <w:color w:val="auto"/>
                <w:highlight w:val="none"/>
                <w:u w:val="single"/>
              </w:rPr>
            </w:pPr>
            <w:r>
              <w:rPr>
                <w:i/>
                <w:iCs/>
                <w:color w:val="auto"/>
                <w:highlight w:val="none"/>
                <w:u w:val="single"/>
              </w:rPr>
              <w:t>下方向距离（m）</w:t>
            </w:r>
          </w:p>
        </w:tc>
        <w:tc>
          <w:tcPr>
            <w:tcW w:w="1677" w:type="pct"/>
            <w:gridSpan w:val="2"/>
            <w:vAlign w:val="center"/>
          </w:tcPr>
          <w:p w14:paraId="741F3F1F">
            <w:pPr>
              <w:pStyle w:val="1343"/>
              <w:rPr>
                <w:i/>
                <w:iCs/>
                <w:color w:val="auto"/>
                <w:highlight w:val="none"/>
                <w:u w:val="single"/>
              </w:rPr>
            </w:pPr>
            <w:r>
              <w:rPr>
                <w:rFonts w:hint="eastAsia"/>
                <w:i/>
                <w:iCs/>
                <w:color w:val="auto"/>
                <w:highlight w:val="none"/>
                <w:u w:val="single"/>
              </w:rPr>
              <w:t>耒阳分输站</w:t>
            </w:r>
          </w:p>
        </w:tc>
        <w:tc>
          <w:tcPr>
            <w:tcW w:w="795" w:type="pct"/>
            <w:vMerge w:val="restart"/>
            <w:vAlign w:val="center"/>
          </w:tcPr>
          <w:p w14:paraId="5C023789">
            <w:pPr>
              <w:pStyle w:val="1343"/>
              <w:rPr>
                <w:i/>
                <w:iCs/>
                <w:color w:val="auto"/>
                <w:highlight w:val="none"/>
                <w:u w:val="single"/>
              </w:rPr>
            </w:pPr>
            <w:r>
              <w:rPr>
                <w:i/>
                <w:iCs/>
                <w:color w:val="auto"/>
                <w:highlight w:val="none"/>
                <w:u w:val="single"/>
              </w:rPr>
              <w:t>下方向距离（m）</w:t>
            </w:r>
          </w:p>
        </w:tc>
        <w:tc>
          <w:tcPr>
            <w:tcW w:w="1691" w:type="pct"/>
            <w:gridSpan w:val="2"/>
            <w:vAlign w:val="center"/>
          </w:tcPr>
          <w:p w14:paraId="0B378D7C">
            <w:pPr>
              <w:pStyle w:val="1343"/>
              <w:rPr>
                <w:i/>
                <w:iCs/>
                <w:color w:val="auto"/>
                <w:highlight w:val="none"/>
                <w:u w:val="single"/>
              </w:rPr>
            </w:pPr>
            <w:r>
              <w:rPr>
                <w:rFonts w:hint="eastAsia"/>
                <w:i/>
                <w:iCs/>
                <w:color w:val="auto"/>
                <w:highlight w:val="none"/>
                <w:u w:val="single"/>
              </w:rPr>
              <w:t>28号阀室</w:t>
            </w:r>
          </w:p>
        </w:tc>
      </w:tr>
      <w:tr w14:paraId="0F442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pct"/>
            <w:vMerge w:val="continue"/>
            <w:vAlign w:val="center"/>
          </w:tcPr>
          <w:p w14:paraId="58885F98">
            <w:pPr>
              <w:pStyle w:val="1343"/>
              <w:rPr>
                <w:i/>
                <w:iCs/>
                <w:color w:val="auto"/>
                <w:highlight w:val="none"/>
                <w:u w:val="single"/>
              </w:rPr>
            </w:pPr>
          </w:p>
        </w:tc>
        <w:tc>
          <w:tcPr>
            <w:tcW w:w="876" w:type="pct"/>
            <w:tcBorders>
              <w:bottom w:val="single" w:color="auto" w:sz="4" w:space="0"/>
            </w:tcBorders>
            <w:vAlign w:val="center"/>
          </w:tcPr>
          <w:p w14:paraId="06BBFDBC">
            <w:pPr>
              <w:pStyle w:val="1343"/>
              <w:rPr>
                <w:i/>
                <w:iCs/>
                <w:color w:val="auto"/>
                <w:highlight w:val="none"/>
                <w:u w:val="single"/>
              </w:rPr>
            </w:pPr>
            <w:r>
              <w:rPr>
                <w:i/>
                <w:iCs/>
                <w:color w:val="auto"/>
                <w:highlight w:val="none"/>
                <w:u w:val="single"/>
              </w:rPr>
              <w:t>浓度（</w:t>
            </w:r>
            <w:r>
              <w:rPr>
                <w:rFonts w:hint="eastAsia"/>
                <w:i/>
                <w:iCs/>
                <w:color w:val="auto"/>
                <w:highlight w:val="none"/>
                <w:u w:val="single"/>
              </w:rPr>
              <w:t>m</w:t>
            </w:r>
            <w:r>
              <w:rPr>
                <w:i/>
                <w:iCs/>
                <w:color w:val="auto"/>
                <w:highlight w:val="none"/>
                <w:u w:val="single"/>
              </w:rPr>
              <w:t>g/m</w:t>
            </w:r>
            <w:r>
              <w:rPr>
                <w:i/>
                <w:iCs/>
                <w:color w:val="auto"/>
                <w:highlight w:val="none"/>
                <w:u w:val="single"/>
                <w:vertAlign w:val="superscript"/>
              </w:rPr>
              <w:t>3</w:t>
            </w:r>
            <w:r>
              <w:rPr>
                <w:i/>
                <w:iCs/>
                <w:color w:val="auto"/>
                <w:highlight w:val="none"/>
                <w:u w:val="single"/>
              </w:rPr>
              <w:t>）</w:t>
            </w:r>
          </w:p>
        </w:tc>
        <w:tc>
          <w:tcPr>
            <w:tcW w:w="801" w:type="pct"/>
            <w:vAlign w:val="center"/>
          </w:tcPr>
          <w:p w14:paraId="666972B8">
            <w:pPr>
              <w:pStyle w:val="1343"/>
              <w:rPr>
                <w:i/>
                <w:iCs/>
                <w:color w:val="auto"/>
                <w:highlight w:val="none"/>
                <w:u w:val="single"/>
              </w:rPr>
            </w:pPr>
            <w:r>
              <w:rPr>
                <w:i/>
                <w:iCs/>
                <w:color w:val="auto"/>
                <w:highlight w:val="none"/>
                <w:u w:val="single"/>
              </w:rPr>
              <w:t>占标率（%）</w:t>
            </w:r>
          </w:p>
        </w:tc>
        <w:tc>
          <w:tcPr>
            <w:tcW w:w="795" w:type="pct"/>
            <w:vMerge w:val="continue"/>
            <w:vAlign w:val="center"/>
          </w:tcPr>
          <w:p w14:paraId="3FF0F3FB">
            <w:pPr>
              <w:pStyle w:val="1343"/>
              <w:rPr>
                <w:i/>
                <w:iCs/>
                <w:color w:val="auto"/>
                <w:highlight w:val="none"/>
                <w:u w:val="single"/>
              </w:rPr>
            </w:pPr>
          </w:p>
        </w:tc>
        <w:tc>
          <w:tcPr>
            <w:tcW w:w="851" w:type="pct"/>
            <w:tcBorders>
              <w:bottom w:val="single" w:color="auto" w:sz="4" w:space="0"/>
            </w:tcBorders>
            <w:vAlign w:val="center"/>
          </w:tcPr>
          <w:p w14:paraId="38B64A3D">
            <w:pPr>
              <w:pStyle w:val="1343"/>
              <w:rPr>
                <w:i/>
                <w:iCs/>
                <w:color w:val="auto"/>
                <w:highlight w:val="none"/>
                <w:u w:val="single"/>
              </w:rPr>
            </w:pPr>
            <w:r>
              <w:rPr>
                <w:i/>
                <w:iCs/>
                <w:color w:val="auto"/>
                <w:highlight w:val="none"/>
                <w:u w:val="single"/>
              </w:rPr>
              <w:t>浓度（</w:t>
            </w:r>
            <w:r>
              <w:rPr>
                <w:rFonts w:hint="eastAsia"/>
                <w:i/>
                <w:iCs/>
                <w:color w:val="auto"/>
                <w:highlight w:val="none"/>
                <w:u w:val="single"/>
              </w:rPr>
              <w:t>m</w:t>
            </w:r>
            <w:r>
              <w:rPr>
                <w:i/>
                <w:iCs/>
                <w:color w:val="auto"/>
                <w:highlight w:val="none"/>
                <w:u w:val="single"/>
              </w:rPr>
              <w:t>g/m</w:t>
            </w:r>
            <w:r>
              <w:rPr>
                <w:i/>
                <w:iCs/>
                <w:color w:val="auto"/>
                <w:highlight w:val="none"/>
                <w:u w:val="single"/>
                <w:vertAlign w:val="superscript"/>
              </w:rPr>
              <w:t>3</w:t>
            </w:r>
            <w:r>
              <w:rPr>
                <w:i/>
                <w:iCs/>
                <w:color w:val="auto"/>
                <w:highlight w:val="none"/>
                <w:u w:val="single"/>
              </w:rPr>
              <w:t>）</w:t>
            </w:r>
          </w:p>
        </w:tc>
        <w:tc>
          <w:tcPr>
            <w:tcW w:w="840" w:type="pct"/>
            <w:tcBorders>
              <w:bottom w:val="single" w:color="auto" w:sz="4" w:space="0"/>
            </w:tcBorders>
            <w:vAlign w:val="center"/>
          </w:tcPr>
          <w:p w14:paraId="17A9A67C">
            <w:pPr>
              <w:pStyle w:val="1343"/>
              <w:rPr>
                <w:i/>
                <w:iCs/>
                <w:color w:val="auto"/>
                <w:highlight w:val="none"/>
                <w:u w:val="single"/>
              </w:rPr>
            </w:pPr>
            <w:r>
              <w:rPr>
                <w:i/>
                <w:iCs/>
                <w:color w:val="auto"/>
                <w:highlight w:val="none"/>
                <w:u w:val="single"/>
              </w:rPr>
              <w:t>占标率（%）</w:t>
            </w:r>
          </w:p>
        </w:tc>
      </w:tr>
      <w:tr w14:paraId="55DEB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pct"/>
            <w:vAlign w:val="center"/>
          </w:tcPr>
          <w:p w14:paraId="6FE6405A">
            <w:pPr>
              <w:pStyle w:val="1343"/>
              <w:rPr>
                <w:i/>
                <w:iCs/>
                <w:color w:val="auto"/>
                <w:highlight w:val="none"/>
                <w:u w:val="single"/>
              </w:rPr>
            </w:pPr>
            <w:r>
              <w:rPr>
                <w:i/>
                <w:iCs/>
                <w:color w:val="auto"/>
                <w:highlight w:val="none"/>
                <w:u w:val="single"/>
              </w:rPr>
              <w:t>10</w:t>
            </w:r>
          </w:p>
        </w:tc>
        <w:tc>
          <w:tcPr>
            <w:tcW w:w="876" w:type="pct"/>
            <w:tcBorders>
              <w:top w:val="single" w:color="auto" w:sz="4" w:space="0"/>
              <w:left w:val="nil"/>
              <w:bottom w:val="single" w:color="auto" w:sz="4" w:space="0"/>
              <w:right w:val="nil"/>
            </w:tcBorders>
            <w:shd w:val="clear" w:color="auto" w:fill="auto"/>
            <w:vAlign w:val="center"/>
          </w:tcPr>
          <w:p w14:paraId="4C39498A">
            <w:pPr>
              <w:pStyle w:val="1343"/>
              <w:rPr>
                <w:rFonts w:eastAsia="等线"/>
                <w:i/>
                <w:iCs/>
                <w:color w:val="auto"/>
                <w:highlight w:val="none"/>
                <w:u w:val="single"/>
              </w:rPr>
            </w:pPr>
            <w:r>
              <w:rPr>
                <w:rFonts w:hint="eastAsia" w:eastAsia="等线"/>
                <w:i/>
                <w:iCs/>
                <w:color w:val="auto"/>
                <w:highlight w:val="none"/>
                <w:u w:val="single"/>
              </w:rPr>
              <w:t>6.98E-03</w:t>
            </w:r>
          </w:p>
        </w:tc>
        <w:tc>
          <w:tcPr>
            <w:tcW w:w="1488" w:type="dxa"/>
            <w:vAlign w:val="center"/>
          </w:tcPr>
          <w:p w14:paraId="68A36C85">
            <w:pPr>
              <w:pStyle w:val="1343"/>
              <w:rPr>
                <w:i/>
                <w:iCs/>
                <w:color w:val="auto"/>
                <w:highlight w:val="none"/>
                <w:u w:val="single"/>
              </w:rPr>
            </w:pPr>
            <w:r>
              <w:rPr>
                <w:rFonts w:hint="eastAsia"/>
                <w:i/>
                <w:iCs/>
                <w:color w:val="auto"/>
                <w:highlight w:val="none"/>
                <w:u w:val="single"/>
              </w:rPr>
              <w:t>0.35</w:t>
            </w:r>
          </w:p>
        </w:tc>
        <w:tc>
          <w:tcPr>
            <w:tcW w:w="795" w:type="pct"/>
            <w:vAlign w:val="center"/>
          </w:tcPr>
          <w:p w14:paraId="786315F5">
            <w:pPr>
              <w:pStyle w:val="1343"/>
              <w:rPr>
                <w:i/>
                <w:iCs/>
                <w:color w:val="auto"/>
                <w:highlight w:val="none"/>
                <w:u w:val="single"/>
              </w:rPr>
            </w:pPr>
            <w:r>
              <w:rPr>
                <w:i/>
                <w:iCs/>
                <w:color w:val="auto"/>
                <w:highlight w:val="none"/>
                <w:u w:val="single"/>
              </w:rPr>
              <w:t>10</w:t>
            </w:r>
          </w:p>
        </w:tc>
        <w:tc>
          <w:tcPr>
            <w:tcW w:w="1581" w:type="dxa"/>
            <w:tcBorders>
              <w:top w:val="single" w:color="auto" w:sz="4" w:space="0"/>
              <w:left w:val="nil"/>
              <w:bottom w:val="single" w:color="auto" w:sz="4" w:space="0"/>
              <w:right w:val="single" w:color="auto" w:sz="4" w:space="0"/>
            </w:tcBorders>
            <w:shd w:val="clear" w:color="auto" w:fill="auto"/>
            <w:vAlign w:val="center"/>
          </w:tcPr>
          <w:p w14:paraId="538E4F32">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1.50E-03</w:t>
            </w:r>
          </w:p>
        </w:tc>
        <w:tc>
          <w:tcPr>
            <w:tcW w:w="1561" w:type="dxa"/>
            <w:tcBorders>
              <w:top w:val="single" w:color="auto" w:sz="4" w:space="0"/>
              <w:left w:val="single" w:color="auto" w:sz="4" w:space="0"/>
              <w:bottom w:val="single" w:color="auto" w:sz="4" w:space="0"/>
              <w:right w:val="single" w:color="auto" w:sz="4" w:space="0"/>
            </w:tcBorders>
            <w:shd w:val="clear" w:color="auto" w:fill="auto"/>
            <w:vAlign w:val="center"/>
          </w:tcPr>
          <w:p w14:paraId="4D14EADC">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0.08</w:t>
            </w:r>
          </w:p>
        </w:tc>
      </w:tr>
      <w:tr w14:paraId="66966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pct"/>
            <w:vAlign w:val="center"/>
          </w:tcPr>
          <w:p w14:paraId="4EC8D87A">
            <w:pPr>
              <w:pStyle w:val="1343"/>
              <w:rPr>
                <w:i/>
                <w:iCs/>
                <w:color w:val="auto"/>
                <w:highlight w:val="none"/>
                <w:u w:val="single"/>
              </w:rPr>
            </w:pPr>
            <w:r>
              <w:rPr>
                <w:i/>
                <w:iCs/>
                <w:color w:val="auto"/>
                <w:highlight w:val="none"/>
                <w:u w:val="single"/>
              </w:rPr>
              <w:t>25</w:t>
            </w:r>
          </w:p>
        </w:tc>
        <w:tc>
          <w:tcPr>
            <w:tcW w:w="876" w:type="pct"/>
            <w:tcBorders>
              <w:top w:val="single" w:color="auto" w:sz="4" w:space="0"/>
              <w:left w:val="nil"/>
              <w:bottom w:val="single" w:color="auto" w:sz="4" w:space="0"/>
              <w:right w:val="nil"/>
            </w:tcBorders>
            <w:shd w:val="clear" w:color="auto" w:fill="auto"/>
            <w:vAlign w:val="center"/>
          </w:tcPr>
          <w:p w14:paraId="1E56BF18">
            <w:pPr>
              <w:pStyle w:val="1343"/>
              <w:rPr>
                <w:rFonts w:eastAsia="等线"/>
                <w:i/>
                <w:iCs/>
                <w:color w:val="auto"/>
                <w:highlight w:val="none"/>
                <w:u w:val="single"/>
              </w:rPr>
            </w:pPr>
            <w:r>
              <w:rPr>
                <w:rFonts w:hint="eastAsia" w:eastAsia="等线"/>
                <w:i/>
                <w:iCs/>
                <w:color w:val="auto"/>
                <w:highlight w:val="none"/>
                <w:u w:val="single"/>
              </w:rPr>
              <w:t>8.39E-03</w:t>
            </w:r>
          </w:p>
        </w:tc>
        <w:tc>
          <w:tcPr>
            <w:tcW w:w="1488" w:type="dxa"/>
            <w:vAlign w:val="center"/>
          </w:tcPr>
          <w:p w14:paraId="0FBF691E">
            <w:pPr>
              <w:pStyle w:val="1343"/>
              <w:rPr>
                <w:rFonts w:hint="default" w:eastAsia="宋体"/>
                <w:i/>
                <w:iCs/>
                <w:color w:val="auto"/>
                <w:highlight w:val="none"/>
                <w:u w:val="single"/>
                <w:lang w:val="en-US" w:eastAsia="zh-CN"/>
              </w:rPr>
            </w:pPr>
            <w:r>
              <w:rPr>
                <w:rFonts w:hint="eastAsia"/>
                <w:i/>
                <w:iCs/>
                <w:color w:val="auto"/>
                <w:highlight w:val="none"/>
                <w:u w:val="single"/>
                <w:lang w:val="en-US" w:eastAsia="zh-CN"/>
              </w:rPr>
              <w:t>0.42</w:t>
            </w:r>
          </w:p>
        </w:tc>
        <w:tc>
          <w:tcPr>
            <w:tcW w:w="795" w:type="pct"/>
            <w:vAlign w:val="center"/>
          </w:tcPr>
          <w:p w14:paraId="42F30FC0">
            <w:pPr>
              <w:pStyle w:val="1343"/>
              <w:rPr>
                <w:rFonts w:hint="default" w:eastAsia="宋体"/>
                <w:i/>
                <w:iCs/>
                <w:color w:val="auto"/>
                <w:highlight w:val="none"/>
                <w:u w:val="single"/>
                <w:lang w:val="en-US" w:eastAsia="zh-CN"/>
              </w:rPr>
            </w:pPr>
            <w:r>
              <w:rPr>
                <w:rFonts w:hint="eastAsia"/>
                <w:i/>
                <w:iCs/>
                <w:color w:val="auto"/>
                <w:highlight w:val="none"/>
                <w:u w:val="single"/>
                <w:lang w:val="en-US" w:eastAsia="zh-CN"/>
              </w:rPr>
              <w:t>18</w:t>
            </w:r>
          </w:p>
        </w:tc>
        <w:tc>
          <w:tcPr>
            <w:tcW w:w="1581" w:type="dxa"/>
            <w:tcBorders>
              <w:top w:val="single" w:color="auto" w:sz="4" w:space="0"/>
              <w:left w:val="nil"/>
              <w:bottom w:val="single" w:color="auto" w:sz="4" w:space="0"/>
              <w:right w:val="single" w:color="auto" w:sz="4" w:space="0"/>
            </w:tcBorders>
            <w:shd w:val="clear" w:color="auto" w:fill="auto"/>
            <w:vAlign w:val="center"/>
          </w:tcPr>
          <w:p w14:paraId="073F0EBC">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1.79E-03</w:t>
            </w:r>
          </w:p>
        </w:tc>
        <w:tc>
          <w:tcPr>
            <w:tcW w:w="1561" w:type="dxa"/>
            <w:tcBorders>
              <w:top w:val="single" w:color="auto" w:sz="4" w:space="0"/>
              <w:left w:val="single" w:color="auto" w:sz="4" w:space="0"/>
              <w:bottom w:val="single" w:color="auto" w:sz="4" w:space="0"/>
              <w:right w:val="single" w:color="auto" w:sz="4" w:space="0"/>
            </w:tcBorders>
            <w:shd w:val="clear" w:color="auto" w:fill="auto"/>
            <w:vAlign w:val="center"/>
          </w:tcPr>
          <w:p w14:paraId="1150D679">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0.09</w:t>
            </w:r>
          </w:p>
        </w:tc>
      </w:tr>
      <w:tr w14:paraId="4075A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pct"/>
            <w:vAlign w:val="center"/>
          </w:tcPr>
          <w:p w14:paraId="3EE2AAEE">
            <w:pPr>
              <w:pStyle w:val="1343"/>
              <w:rPr>
                <w:i/>
                <w:iCs/>
                <w:color w:val="auto"/>
                <w:highlight w:val="none"/>
                <w:u w:val="single"/>
              </w:rPr>
            </w:pPr>
            <w:r>
              <w:rPr>
                <w:i/>
                <w:iCs/>
                <w:color w:val="auto"/>
                <w:highlight w:val="none"/>
                <w:u w:val="single"/>
              </w:rPr>
              <w:t>50</w:t>
            </w:r>
          </w:p>
        </w:tc>
        <w:tc>
          <w:tcPr>
            <w:tcW w:w="876" w:type="pct"/>
            <w:tcBorders>
              <w:top w:val="single" w:color="auto" w:sz="4" w:space="0"/>
              <w:left w:val="nil"/>
              <w:bottom w:val="single" w:color="auto" w:sz="4" w:space="0"/>
              <w:right w:val="nil"/>
            </w:tcBorders>
            <w:shd w:val="clear" w:color="auto" w:fill="auto"/>
            <w:vAlign w:val="center"/>
          </w:tcPr>
          <w:p w14:paraId="42AB3F32">
            <w:pPr>
              <w:pStyle w:val="1343"/>
              <w:rPr>
                <w:rFonts w:eastAsia="等线"/>
                <w:i/>
                <w:iCs/>
                <w:color w:val="auto"/>
                <w:highlight w:val="none"/>
                <w:u w:val="single"/>
              </w:rPr>
            </w:pPr>
            <w:r>
              <w:rPr>
                <w:rFonts w:hint="eastAsia" w:eastAsia="等线"/>
                <w:i/>
                <w:iCs/>
                <w:color w:val="auto"/>
                <w:highlight w:val="none"/>
                <w:u w:val="single"/>
              </w:rPr>
              <w:t>1.04E-02</w:t>
            </w:r>
          </w:p>
        </w:tc>
        <w:tc>
          <w:tcPr>
            <w:tcW w:w="1488" w:type="dxa"/>
            <w:vAlign w:val="center"/>
          </w:tcPr>
          <w:p w14:paraId="452F2B8F">
            <w:pPr>
              <w:pStyle w:val="1343"/>
              <w:rPr>
                <w:rFonts w:hint="default" w:eastAsia="宋体"/>
                <w:i/>
                <w:iCs/>
                <w:color w:val="auto"/>
                <w:highlight w:val="none"/>
                <w:u w:val="single"/>
                <w:lang w:val="en-US" w:eastAsia="zh-CN"/>
              </w:rPr>
            </w:pPr>
            <w:r>
              <w:rPr>
                <w:rFonts w:hint="eastAsia"/>
                <w:i/>
                <w:iCs/>
                <w:color w:val="auto"/>
                <w:highlight w:val="none"/>
                <w:u w:val="single"/>
                <w:lang w:val="en-US" w:eastAsia="zh-CN"/>
              </w:rPr>
              <w:t>0.52</w:t>
            </w:r>
          </w:p>
        </w:tc>
        <w:tc>
          <w:tcPr>
            <w:tcW w:w="795" w:type="pct"/>
            <w:vAlign w:val="center"/>
          </w:tcPr>
          <w:p w14:paraId="272F8439">
            <w:pPr>
              <w:pStyle w:val="1343"/>
              <w:rPr>
                <w:rFonts w:hint="default" w:eastAsia="宋体"/>
                <w:i/>
                <w:iCs/>
                <w:color w:val="auto"/>
                <w:highlight w:val="none"/>
                <w:u w:val="single"/>
                <w:lang w:val="en-US" w:eastAsia="zh-CN"/>
              </w:rPr>
            </w:pPr>
            <w:r>
              <w:rPr>
                <w:rFonts w:hint="eastAsia"/>
                <w:i/>
                <w:iCs/>
                <w:color w:val="auto"/>
                <w:highlight w:val="none"/>
                <w:u w:val="single"/>
                <w:lang w:val="en-US" w:eastAsia="zh-CN"/>
              </w:rPr>
              <w:t>25</w:t>
            </w:r>
          </w:p>
        </w:tc>
        <w:tc>
          <w:tcPr>
            <w:tcW w:w="1581" w:type="dxa"/>
            <w:tcBorders>
              <w:top w:val="single" w:color="auto" w:sz="4" w:space="0"/>
              <w:left w:val="nil"/>
              <w:bottom w:val="single" w:color="auto" w:sz="4" w:space="0"/>
              <w:right w:val="single" w:color="auto" w:sz="4" w:space="0"/>
            </w:tcBorders>
            <w:shd w:val="clear" w:color="auto" w:fill="auto"/>
            <w:vAlign w:val="center"/>
          </w:tcPr>
          <w:p w14:paraId="537782C4">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1.63E-03</w:t>
            </w:r>
          </w:p>
        </w:tc>
        <w:tc>
          <w:tcPr>
            <w:tcW w:w="1561" w:type="dxa"/>
            <w:tcBorders>
              <w:top w:val="single" w:color="auto" w:sz="4" w:space="0"/>
              <w:left w:val="single" w:color="auto" w:sz="4" w:space="0"/>
              <w:bottom w:val="single" w:color="auto" w:sz="4" w:space="0"/>
              <w:right w:val="single" w:color="auto" w:sz="4" w:space="0"/>
            </w:tcBorders>
            <w:shd w:val="clear" w:color="auto" w:fill="auto"/>
            <w:vAlign w:val="center"/>
          </w:tcPr>
          <w:p w14:paraId="7967B0CB">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0.08</w:t>
            </w:r>
          </w:p>
        </w:tc>
      </w:tr>
      <w:tr w14:paraId="4EB10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pct"/>
            <w:vAlign w:val="center"/>
          </w:tcPr>
          <w:p w14:paraId="7121C6BC">
            <w:pPr>
              <w:pStyle w:val="1343"/>
              <w:rPr>
                <w:rFonts w:hint="default" w:eastAsia="宋体"/>
                <w:i/>
                <w:iCs/>
                <w:color w:val="auto"/>
                <w:highlight w:val="none"/>
                <w:u w:val="single"/>
                <w:lang w:val="en-US" w:eastAsia="zh-CN"/>
              </w:rPr>
            </w:pPr>
            <w:r>
              <w:rPr>
                <w:rFonts w:hint="eastAsia"/>
                <w:i/>
                <w:iCs/>
                <w:color w:val="auto"/>
                <w:highlight w:val="none"/>
                <w:u w:val="single"/>
                <w:lang w:val="en-US" w:eastAsia="zh-CN"/>
              </w:rPr>
              <w:t>54</w:t>
            </w:r>
          </w:p>
        </w:tc>
        <w:tc>
          <w:tcPr>
            <w:tcW w:w="1628" w:type="dxa"/>
            <w:tcBorders>
              <w:top w:val="single" w:color="auto" w:sz="4" w:space="0"/>
              <w:left w:val="nil"/>
              <w:bottom w:val="single" w:color="auto" w:sz="4" w:space="0"/>
              <w:right w:val="nil"/>
            </w:tcBorders>
            <w:shd w:val="clear" w:color="auto" w:fill="auto"/>
            <w:vAlign w:val="center"/>
          </w:tcPr>
          <w:p w14:paraId="219866D8">
            <w:pPr>
              <w:pStyle w:val="1343"/>
              <w:rPr>
                <w:i/>
                <w:iCs/>
                <w:color w:val="auto"/>
                <w:highlight w:val="none"/>
                <w:u w:val="single"/>
              </w:rPr>
            </w:pPr>
            <w:r>
              <w:rPr>
                <w:rFonts w:hint="eastAsia"/>
                <w:i/>
                <w:iCs/>
                <w:color w:val="auto"/>
                <w:highlight w:val="none"/>
                <w:u w:val="single"/>
              </w:rPr>
              <w:t>1.06E-02</w:t>
            </w:r>
          </w:p>
        </w:tc>
        <w:tc>
          <w:tcPr>
            <w:tcW w:w="1488" w:type="dxa"/>
            <w:vAlign w:val="center"/>
          </w:tcPr>
          <w:p w14:paraId="2FF0E739">
            <w:pPr>
              <w:pStyle w:val="1343"/>
              <w:rPr>
                <w:rFonts w:hint="default" w:eastAsia="宋体"/>
                <w:i/>
                <w:iCs/>
                <w:color w:val="auto"/>
                <w:highlight w:val="none"/>
                <w:u w:val="single"/>
                <w:lang w:val="en-US" w:eastAsia="zh-CN"/>
              </w:rPr>
            </w:pPr>
            <w:r>
              <w:rPr>
                <w:rFonts w:hint="eastAsia"/>
                <w:i/>
                <w:iCs/>
                <w:color w:val="auto"/>
                <w:highlight w:val="none"/>
                <w:u w:val="single"/>
                <w:lang w:val="en-US" w:eastAsia="zh-CN"/>
              </w:rPr>
              <w:t>0.53</w:t>
            </w:r>
          </w:p>
        </w:tc>
        <w:tc>
          <w:tcPr>
            <w:tcW w:w="795" w:type="pct"/>
            <w:vAlign w:val="center"/>
          </w:tcPr>
          <w:p w14:paraId="15E0DFF9">
            <w:pPr>
              <w:pStyle w:val="1343"/>
              <w:rPr>
                <w:rFonts w:hint="default" w:eastAsia="宋体"/>
                <w:i/>
                <w:iCs/>
                <w:color w:val="auto"/>
                <w:highlight w:val="none"/>
                <w:u w:val="single"/>
                <w:lang w:val="en-US" w:eastAsia="zh-CN"/>
              </w:rPr>
            </w:pPr>
            <w:r>
              <w:rPr>
                <w:rFonts w:hint="eastAsia"/>
                <w:i/>
                <w:iCs/>
                <w:color w:val="auto"/>
                <w:highlight w:val="none"/>
                <w:u w:val="single"/>
                <w:lang w:val="en-US" w:eastAsia="zh-CN"/>
              </w:rPr>
              <w:t>50</w:t>
            </w:r>
          </w:p>
        </w:tc>
        <w:tc>
          <w:tcPr>
            <w:tcW w:w="1581" w:type="dxa"/>
            <w:tcBorders>
              <w:top w:val="single" w:color="auto" w:sz="4" w:space="0"/>
              <w:left w:val="nil"/>
              <w:bottom w:val="single" w:color="auto" w:sz="4" w:space="0"/>
              <w:right w:val="single" w:color="auto" w:sz="4" w:space="0"/>
            </w:tcBorders>
            <w:shd w:val="clear" w:color="auto" w:fill="auto"/>
            <w:vAlign w:val="center"/>
          </w:tcPr>
          <w:p w14:paraId="40CEC5CA">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9.05E-04</w:t>
            </w:r>
          </w:p>
        </w:tc>
        <w:tc>
          <w:tcPr>
            <w:tcW w:w="1561" w:type="dxa"/>
            <w:tcBorders>
              <w:top w:val="single" w:color="auto" w:sz="4" w:space="0"/>
              <w:left w:val="single" w:color="auto" w:sz="4" w:space="0"/>
              <w:bottom w:val="single" w:color="auto" w:sz="4" w:space="0"/>
              <w:right w:val="single" w:color="auto" w:sz="4" w:space="0"/>
            </w:tcBorders>
            <w:shd w:val="clear" w:color="auto" w:fill="auto"/>
            <w:vAlign w:val="center"/>
          </w:tcPr>
          <w:p w14:paraId="55DA7EF8">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0.05</w:t>
            </w:r>
          </w:p>
        </w:tc>
      </w:tr>
      <w:tr w14:paraId="058F2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pct"/>
            <w:vAlign w:val="center"/>
          </w:tcPr>
          <w:p w14:paraId="0AF817C4">
            <w:pPr>
              <w:pStyle w:val="1343"/>
              <w:rPr>
                <w:rFonts w:hint="default"/>
                <w:i/>
                <w:iCs/>
                <w:color w:val="auto"/>
                <w:highlight w:val="none"/>
                <w:u w:val="single"/>
                <w:lang w:val="en-US" w:eastAsia="zh-CN"/>
              </w:rPr>
            </w:pPr>
            <w:r>
              <w:rPr>
                <w:rFonts w:hint="eastAsia"/>
                <w:i/>
                <w:iCs/>
                <w:color w:val="auto"/>
                <w:highlight w:val="none"/>
                <w:u w:val="single"/>
                <w:lang w:val="en-US" w:eastAsia="zh-CN"/>
              </w:rPr>
              <w:t>75</w:t>
            </w:r>
          </w:p>
        </w:tc>
        <w:tc>
          <w:tcPr>
            <w:tcW w:w="1628" w:type="dxa"/>
            <w:tcBorders>
              <w:top w:val="single" w:color="auto" w:sz="4" w:space="0"/>
              <w:left w:val="nil"/>
              <w:bottom w:val="single" w:color="auto" w:sz="4" w:space="0"/>
              <w:right w:val="nil"/>
            </w:tcBorders>
            <w:shd w:val="clear" w:color="auto" w:fill="auto"/>
            <w:vAlign w:val="center"/>
          </w:tcPr>
          <w:p w14:paraId="4346AE6B">
            <w:pPr>
              <w:pStyle w:val="1343"/>
              <w:rPr>
                <w:rFonts w:hint="eastAsia"/>
                <w:i/>
                <w:iCs/>
                <w:color w:val="auto"/>
                <w:highlight w:val="none"/>
                <w:u w:val="single"/>
              </w:rPr>
            </w:pPr>
            <w:r>
              <w:rPr>
                <w:rFonts w:hint="eastAsia"/>
                <w:i/>
                <w:iCs/>
                <w:color w:val="auto"/>
                <w:highlight w:val="none"/>
                <w:u w:val="single"/>
              </w:rPr>
              <w:t>8.76E-03</w:t>
            </w:r>
          </w:p>
        </w:tc>
        <w:tc>
          <w:tcPr>
            <w:tcW w:w="1488" w:type="dxa"/>
            <w:vAlign w:val="center"/>
          </w:tcPr>
          <w:p w14:paraId="24749A7B">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0.44</w:t>
            </w:r>
          </w:p>
        </w:tc>
        <w:tc>
          <w:tcPr>
            <w:tcW w:w="795" w:type="pct"/>
            <w:vAlign w:val="center"/>
          </w:tcPr>
          <w:p w14:paraId="5093792E">
            <w:pPr>
              <w:pStyle w:val="1343"/>
              <w:rPr>
                <w:rFonts w:hint="default" w:eastAsia="宋体"/>
                <w:i/>
                <w:iCs/>
                <w:color w:val="auto"/>
                <w:highlight w:val="none"/>
                <w:u w:val="single"/>
                <w:lang w:val="en-US" w:eastAsia="zh-CN"/>
              </w:rPr>
            </w:pPr>
            <w:r>
              <w:rPr>
                <w:rFonts w:hint="eastAsia"/>
                <w:i/>
                <w:iCs/>
                <w:color w:val="auto"/>
                <w:highlight w:val="none"/>
                <w:u w:val="single"/>
                <w:lang w:val="en-US" w:eastAsia="zh-CN"/>
              </w:rPr>
              <w:t>75</w:t>
            </w:r>
          </w:p>
        </w:tc>
        <w:tc>
          <w:tcPr>
            <w:tcW w:w="1581" w:type="dxa"/>
            <w:tcBorders>
              <w:top w:val="single" w:color="auto" w:sz="4" w:space="0"/>
              <w:left w:val="nil"/>
              <w:bottom w:val="single" w:color="auto" w:sz="4" w:space="0"/>
              <w:right w:val="single" w:color="auto" w:sz="4" w:space="0"/>
            </w:tcBorders>
            <w:shd w:val="clear" w:color="auto" w:fill="auto"/>
            <w:vAlign w:val="center"/>
          </w:tcPr>
          <w:p w14:paraId="5D5F5280">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5.68E-04</w:t>
            </w:r>
          </w:p>
        </w:tc>
        <w:tc>
          <w:tcPr>
            <w:tcW w:w="1561" w:type="dxa"/>
            <w:tcBorders>
              <w:top w:val="single" w:color="auto" w:sz="4" w:space="0"/>
              <w:left w:val="single" w:color="auto" w:sz="4" w:space="0"/>
              <w:bottom w:val="single" w:color="auto" w:sz="4" w:space="0"/>
              <w:right w:val="single" w:color="auto" w:sz="4" w:space="0"/>
            </w:tcBorders>
            <w:shd w:val="clear" w:color="auto" w:fill="auto"/>
            <w:vAlign w:val="center"/>
          </w:tcPr>
          <w:p w14:paraId="48061483">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0.03</w:t>
            </w:r>
          </w:p>
        </w:tc>
      </w:tr>
      <w:tr w14:paraId="1C2A9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pct"/>
            <w:vAlign w:val="center"/>
          </w:tcPr>
          <w:p w14:paraId="2461E920">
            <w:pPr>
              <w:pStyle w:val="1343"/>
              <w:rPr>
                <w:i/>
                <w:iCs/>
                <w:color w:val="auto"/>
                <w:highlight w:val="none"/>
                <w:u w:val="single"/>
              </w:rPr>
            </w:pPr>
            <w:r>
              <w:rPr>
                <w:i/>
                <w:iCs/>
                <w:color w:val="auto"/>
                <w:highlight w:val="none"/>
                <w:u w:val="single"/>
              </w:rPr>
              <w:t>100</w:t>
            </w:r>
          </w:p>
        </w:tc>
        <w:tc>
          <w:tcPr>
            <w:tcW w:w="1628" w:type="dxa"/>
            <w:tcBorders>
              <w:top w:val="single" w:color="auto" w:sz="4" w:space="0"/>
              <w:left w:val="nil"/>
              <w:bottom w:val="single" w:color="auto" w:sz="4" w:space="0"/>
              <w:right w:val="nil"/>
            </w:tcBorders>
            <w:shd w:val="clear" w:color="auto" w:fill="auto"/>
            <w:vAlign w:val="center"/>
          </w:tcPr>
          <w:p w14:paraId="76330FDA">
            <w:pPr>
              <w:pStyle w:val="1343"/>
              <w:rPr>
                <w:i/>
                <w:iCs/>
                <w:color w:val="auto"/>
                <w:highlight w:val="none"/>
                <w:u w:val="single"/>
              </w:rPr>
            </w:pPr>
            <w:r>
              <w:rPr>
                <w:rFonts w:hint="eastAsia"/>
                <w:i/>
                <w:iCs/>
                <w:color w:val="auto"/>
                <w:highlight w:val="none"/>
                <w:u w:val="single"/>
              </w:rPr>
              <w:t>6.52E-03</w:t>
            </w:r>
          </w:p>
        </w:tc>
        <w:tc>
          <w:tcPr>
            <w:tcW w:w="1488" w:type="dxa"/>
            <w:vAlign w:val="center"/>
          </w:tcPr>
          <w:p w14:paraId="7FCF692A">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0.33</w:t>
            </w:r>
          </w:p>
        </w:tc>
        <w:tc>
          <w:tcPr>
            <w:tcW w:w="795" w:type="pct"/>
            <w:vAlign w:val="center"/>
          </w:tcPr>
          <w:p w14:paraId="0C5E676F">
            <w:pPr>
              <w:pStyle w:val="1343"/>
              <w:rPr>
                <w:i/>
                <w:iCs/>
                <w:color w:val="auto"/>
                <w:highlight w:val="none"/>
                <w:u w:val="single"/>
              </w:rPr>
            </w:pPr>
            <w:r>
              <w:rPr>
                <w:i/>
                <w:iCs/>
                <w:color w:val="auto"/>
                <w:highlight w:val="none"/>
                <w:u w:val="single"/>
              </w:rPr>
              <w:t>100</w:t>
            </w:r>
          </w:p>
        </w:tc>
        <w:tc>
          <w:tcPr>
            <w:tcW w:w="1581" w:type="dxa"/>
            <w:tcBorders>
              <w:top w:val="single" w:color="auto" w:sz="4" w:space="0"/>
              <w:left w:val="nil"/>
              <w:bottom w:val="single" w:color="auto" w:sz="4" w:space="0"/>
              <w:right w:val="single" w:color="auto" w:sz="4" w:space="0"/>
            </w:tcBorders>
            <w:shd w:val="clear" w:color="auto" w:fill="auto"/>
            <w:vAlign w:val="center"/>
          </w:tcPr>
          <w:p w14:paraId="4470DEE6">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3.98E-04</w:t>
            </w:r>
          </w:p>
        </w:tc>
        <w:tc>
          <w:tcPr>
            <w:tcW w:w="1561" w:type="dxa"/>
            <w:tcBorders>
              <w:top w:val="single" w:color="auto" w:sz="4" w:space="0"/>
              <w:left w:val="single" w:color="auto" w:sz="4" w:space="0"/>
              <w:bottom w:val="single" w:color="auto" w:sz="4" w:space="0"/>
              <w:right w:val="single" w:color="auto" w:sz="4" w:space="0"/>
            </w:tcBorders>
            <w:shd w:val="clear" w:color="auto" w:fill="auto"/>
            <w:vAlign w:val="center"/>
          </w:tcPr>
          <w:p w14:paraId="636D2831">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0.02</w:t>
            </w:r>
          </w:p>
        </w:tc>
      </w:tr>
      <w:tr w14:paraId="17347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pct"/>
            <w:vAlign w:val="center"/>
          </w:tcPr>
          <w:p w14:paraId="11CFD446">
            <w:pPr>
              <w:pStyle w:val="1343"/>
              <w:rPr>
                <w:i/>
                <w:iCs/>
                <w:color w:val="auto"/>
                <w:highlight w:val="none"/>
                <w:u w:val="single"/>
              </w:rPr>
            </w:pPr>
            <w:r>
              <w:rPr>
                <w:i/>
                <w:iCs/>
                <w:color w:val="auto"/>
                <w:highlight w:val="none"/>
                <w:u w:val="single"/>
              </w:rPr>
              <w:t>125</w:t>
            </w:r>
          </w:p>
        </w:tc>
        <w:tc>
          <w:tcPr>
            <w:tcW w:w="1628" w:type="dxa"/>
            <w:tcBorders>
              <w:top w:val="single" w:color="auto" w:sz="4" w:space="0"/>
              <w:left w:val="nil"/>
              <w:bottom w:val="single" w:color="auto" w:sz="4" w:space="0"/>
              <w:right w:val="nil"/>
            </w:tcBorders>
            <w:shd w:val="clear" w:color="auto" w:fill="auto"/>
            <w:vAlign w:val="center"/>
          </w:tcPr>
          <w:p w14:paraId="113DBF88">
            <w:pPr>
              <w:pStyle w:val="1343"/>
              <w:rPr>
                <w:i/>
                <w:iCs/>
                <w:color w:val="auto"/>
                <w:highlight w:val="none"/>
                <w:u w:val="single"/>
              </w:rPr>
            </w:pPr>
            <w:r>
              <w:rPr>
                <w:rFonts w:hint="eastAsia"/>
                <w:i/>
                <w:iCs/>
                <w:color w:val="auto"/>
                <w:highlight w:val="none"/>
                <w:u w:val="single"/>
              </w:rPr>
              <w:t>5.19E-03</w:t>
            </w:r>
          </w:p>
        </w:tc>
        <w:tc>
          <w:tcPr>
            <w:tcW w:w="1488" w:type="dxa"/>
            <w:vAlign w:val="center"/>
          </w:tcPr>
          <w:p w14:paraId="328C34A2">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0.26</w:t>
            </w:r>
          </w:p>
        </w:tc>
        <w:tc>
          <w:tcPr>
            <w:tcW w:w="795" w:type="pct"/>
            <w:vAlign w:val="center"/>
          </w:tcPr>
          <w:p w14:paraId="44D2083C">
            <w:pPr>
              <w:pStyle w:val="1343"/>
              <w:rPr>
                <w:i/>
                <w:iCs/>
                <w:color w:val="auto"/>
                <w:highlight w:val="none"/>
                <w:u w:val="single"/>
              </w:rPr>
            </w:pPr>
            <w:r>
              <w:rPr>
                <w:i/>
                <w:iCs/>
                <w:color w:val="auto"/>
                <w:highlight w:val="none"/>
                <w:u w:val="single"/>
              </w:rPr>
              <w:t>125</w:t>
            </w:r>
          </w:p>
        </w:tc>
        <w:tc>
          <w:tcPr>
            <w:tcW w:w="1581" w:type="dxa"/>
            <w:tcBorders>
              <w:top w:val="single" w:color="auto" w:sz="4" w:space="0"/>
              <w:left w:val="nil"/>
              <w:bottom w:val="single" w:color="auto" w:sz="4" w:space="0"/>
              <w:right w:val="single" w:color="auto" w:sz="4" w:space="0"/>
            </w:tcBorders>
            <w:shd w:val="clear" w:color="auto" w:fill="auto"/>
            <w:vAlign w:val="center"/>
          </w:tcPr>
          <w:p w14:paraId="63D8F7D4">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3.00E-04</w:t>
            </w:r>
          </w:p>
        </w:tc>
        <w:tc>
          <w:tcPr>
            <w:tcW w:w="1561" w:type="dxa"/>
            <w:tcBorders>
              <w:top w:val="single" w:color="auto" w:sz="4" w:space="0"/>
              <w:left w:val="single" w:color="auto" w:sz="4" w:space="0"/>
              <w:bottom w:val="single" w:color="auto" w:sz="4" w:space="0"/>
              <w:right w:val="single" w:color="auto" w:sz="4" w:space="0"/>
            </w:tcBorders>
            <w:shd w:val="clear" w:color="auto" w:fill="auto"/>
            <w:vAlign w:val="center"/>
          </w:tcPr>
          <w:p w14:paraId="1C197CE4">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0.01</w:t>
            </w:r>
          </w:p>
        </w:tc>
      </w:tr>
      <w:tr w14:paraId="4F0C7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pct"/>
            <w:vAlign w:val="center"/>
          </w:tcPr>
          <w:p w14:paraId="7ECA9033">
            <w:pPr>
              <w:pStyle w:val="1343"/>
              <w:rPr>
                <w:i/>
                <w:iCs/>
                <w:color w:val="auto"/>
                <w:highlight w:val="none"/>
                <w:u w:val="single"/>
              </w:rPr>
            </w:pPr>
            <w:r>
              <w:rPr>
                <w:i/>
                <w:iCs/>
                <w:color w:val="auto"/>
                <w:highlight w:val="none"/>
                <w:u w:val="single"/>
              </w:rPr>
              <w:t>150</w:t>
            </w:r>
          </w:p>
        </w:tc>
        <w:tc>
          <w:tcPr>
            <w:tcW w:w="1628" w:type="dxa"/>
            <w:tcBorders>
              <w:top w:val="single" w:color="auto" w:sz="4" w:space="0"/>
              <w:left w:val="nil"/>
              <w:bottom w:val="single" w:color="auto" w:sz="4" w:space="0"/>
              <w:right w:val="nil"/>
            </w:tcBorders>
            <w:shd w:val="clear" w:color="auto" w:fill="auto"/>
            <w:vAlign w:val="center"/>
          </w:tcPr>
          <w:p w14:paraId="6AE5F6C1">
            <w:pPr>
              <w:pStyle w:val="1343"/>
              <w:rPr>
                <w:i/>
                <w:iCs/>
                <w:color w:val="auto"/>
                <w:highlight w:val="none"/>
                <w:u w:val="single"/>
              </w:rPr>
            </w:pPr>
            <w:r>
              <w:rPr>
                <w:rFonts w:hint="eastAsia"/>
                <w:i/>
                <w:iCs/>
                <w:color w:val="auto"/>
                <w:highlight w:val="none"/>
                <w:u w:val="single"/>
              </w:rPr>
              <w:t>4.29E-03</w:t>
            </w:r>
          </w:p>
        </w:tc>
        <w:tc>
          <w:tcPr>
            <w:tcW w:w="1488" w:type="dxa"/>
            <w:vAlign w:val="center"/>
          </w:tcPr>
          <w:p w14:paraId="31918DD5">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0.21</w:t>
            </w:r>
          </w:p>
        </w:tc>
        <w:tc>
          <w:tcPr>
            <w:tcW w:w="795" w:type="pct"/>
            <w:vAlign w:val="center"/>
          </w:tcPr>
          <w:p w14:paraId="50A47AC8">
            <w:pPr>
              <w:pStyle w:val="1343"/>
              <w:rPr>
                <w:i/>
                <w:iCs/>
                <w:color w:val="auto"/>
                <w:highlight w:val="none"/>
                <w:u w:val="single"/>
              </w:rPr>
            </w:pPr>
            <w:r>
              <w:rPr>
                <w:i/>
                <w:iCs/>
                <w:color w:val="auto"/>
                <w:highlight w:val="none"/>
                <w:u w:val="single"/>
              </w:rPr>
              <w:t>150</w:t>
            </w:r>
          </w:p>
        </w:tc>
        <w:tc>
          <w:tcPr>
            <w:tcW w:w="1581" w:type="dxa"/>
            <w:tcBorders>
              <w:top w:val="single" w:color="auto" w:sz="4" w:space="0"/>
              <w:left w:val="nil"/>
              <w:bottom w:val="single" w:color="auto" w:sz="4" w:space="0"/>
              <w:right w:val="single" w:color="auto" w:sz="4" w:space="0"/>
            </w:tcBorders>
            <w:shd w:val="clear" w:color="auto" w:fill="auto"/>
            <w:vAlign w:val="center"/>
          </w:tcPr>
          <w:p w14:paraId="02E751F5">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2.37E-04</w:t>
            </w:r>
          </w:p>
        </w:tc>
        <w:tc>
          <w:tcPr>
            <w:tcW w:w="1561" w:type="dxa"/>
            <w:tcBorders>
              <w:top w:val="single" w:color="auto" w:sz="4" w:space="0"/>
              <w:left w:val="single" w:color="auto" w:sz="4" w:space="0"/>
              <w:bottom w:val="single" w:color="auto" w:sz="4" w:space="0"/>
              <w:right w:val="single" w:color="auto" w:sz="4" w:space="0"/>
            </w:tcBorders>
            <w:shd w:val="clear" w:color="auto" w:fill="auto"/>
            <w:vAlign w:val="center"/>
          </w:tcPr>
          <w:p w14:paraId="0AD55B00">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0.01</w:t>
            </w:r>
          </w:p>
        </w:tc>
      </w:tr>
      <w:tr w14:paraId="3152E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pct"/>
            <w:vAlign w:val="center"/>
          </w:tcPr>
          <w:p w14:paraId="02BB9185">
            <w:pPr>
              <w:pStyle w:val="1343"/>
              <w:rPr>
                <w:i/>
                <w:iCs/>
                <w:color w:val="auto"/>
                <w:highlight w:val="none"/>
                <w:u w:val="single"/>
              </w:rPr>
            </w:pPr>
            <w:r>
              <w:rPr>
                <w:i/>
                <w:iCs/>
                <w:color w:val="auto"/>
                <w:highlight w:val="none"/>
                <w:u w:val="single"/>
              </w:rPr>
              <w:t>175</w:t>
            </w:r>
          </w:p>
        </w:tc>
        <w:tc>
          <w:tcPr>
            <w:tcW w:w="1628" w:type="dxa"/>
            <w:tcBorders>
              <w:top w:val="single" w:color="auto" w:sz="4" w:space="0"/>
              <w:left w:val="nil"/>
              <w:bottom w:val="single" w:color="auto" w:sz="4" w:space="0"/>
              <w:right w:val="nil"/>
            </w:tcBorders>
            <w:shd w:val="clear" w:color="auto" w:fill="auto"/>
            <w:vAlign w:val="center"/>
          </w:tcPr>
          <w:p w14:paraId="2D23358A">
            <w:pPr>
              <w:pStyle w:val="1343"/>
              <w:rPr>
                <w:i/>
                <w:iCs/>
                <w:color w:val="auto"/>
                <w:highlight w:val="none"/>
                <w:u w:val="single"/>
              </w:rPr>
            </w:pPr>
            <w:r>
              <w:rPr>
                <w:rFonts w:hint="eastAsia"/>
                <w:i/>
                <w:iCs/>
                <w:color w:val="auto"/>
                <w:highlight w:val="none"/>
                <w:u w:val="single"/>
              </w:rPr>
              <w:t>3.64E-03</w:t>
            </w:r>
          </w:p>
        </w:tc>
        <w:tc>
          <w:tcPr>
            <w:tcW w:w="1488" w:type="dxa"/>
            <w:vAlign w:val="center"/>
          </w:tcPr>
          <w:p w14:paraId="7609DEE6">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0.18</w:t>
            </w:r>
          </w:p>
        </w:tc>
        <w:tc>
          <w:tcPr>
            <w:tcW w:w="795" w:type="pct"/>
            <w:vAlign w:val="center"/>
          </w:tcPr>
          <w:p w14:paraId="003F7245">
            <w:pPr>
              <w:pStyle w:val="1343"/>
              <w:rPr>
                <w:i/>
                <w:iCs/>
                <w:color w:val="auto"/>
                <w:highlight w:val="none"/>
                <w:u w:val="single"/>
              </w:rPr>
            </w:pPr>
            <w:r>
              <w:rPr>
                <w:i/>
                <w:iCs/>
                <w:color w:val="auto"/>
                <w:highlight w:val="none"/>
                <w:u w:val="single"/>
              </w:rPr>
              <w:t>175</w:t>
            </w:r>
          </w:p>
        </w:tc>
        <w:tc>
          <w:tcPr>
            <w:tcW w:w="1581" w:type="dxa"/>
            <w:tcBorders>
              <w:top w:val="single" w:color="auto" w:sz="4" w:space="0"/>
              <w:left w:val="nil"/>
              <w:bottom w:val="single" w:color="auto" w:sz="4" w:space="0"/>
              <w:right w:val="single" w:color="auto" w:sz="4" w:space="0"/>
            </w:tcBorders>
            <w:shd w:val="clear" w:color="auto" w:fill="auto"/>
            <w:vAlign w:val="center"/>
          </w:tcPr>
          <w:p w14:paraId="0C0A57FE">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1.93E-04</w:t>
            </w:r>
          </w:p>
        </w:tc>
        <w:tc>
          <w:tcPr>
            <w:tcW w:w="1561" w:type="dxa"/>
            <w:tcBorders>
              <w:top w:val="single" w:color="auto" w:sz="4" w:space="0"/>
              <w:left w:val="single" w:color="auto" w:sz="4" w:space="0"/>
              <w:bottom w:val="single" w:color="auto" w:sz="4" w:space="0"/>
              <w:right w:val="single" w:color="auto" w:sz="4" w:space="0"/>
            </w:tcBorders>
            <w:shd w:val="clear" w:color="auto" w:fill="auto"/>
            <w:vAlign w:val="center"/>
          </w:tcPr>
          <w:p w14:paraId="43A8FE2B">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0.01</w:t>
            </w:r>
          </w:p>
        </w:tc>
      </w:tr>
      <w:tr w14:paraId="6C650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pct"/>
            <w:vAlign w:val="center"/>
          </w:tcPr>
          <w:p w14:paraId="18E94A2D">
            <w:pPr>
              <w:pStyle w:val="1343"/>
              <w:rPr>
                <w:i/>
                <w:iCs/>
                <w:color w:val="auto"/>
                <w:highlight w:val="none"/>
                <w:u w:val="single"/>
              </w:rPr>
            </w:pPr>
            <w:r>
              <w:rPr>
                <w:i/>
                <w:iCs/>
                <w:color w:val="auto"/>
                <w:highlight w:val="none"/>
                <w:u w:val="single"/>
              </w:rPr>
              <w:t>200</w:t>
            </w:r>
          </w:p>
        </w:tc>
        <w:tc>
          <w:tcPr>
            <w:tcW w:w="1628" w:type="dxa"/>
            <w:tcBorders>
              <w:top w:val="single" w:color="auto" w:sz="4" w:space="0"/>
              <w:left w:val="nil"/>
              <w:bottom w:val="single" w:color="auto" w:sz="4" w:space="0"/>
              <w:right w:val="nil"/>
            </w:tcBorders>
            <w:shd w:val="clear" w:color="auto" w:fill="auto"/>
            <w:vAlign w:val="center"/>
          </w:tcPr>
          <w:p w14:paraId="04D85B76">
            <w:pPr>
              <w:pStyle w:val="1343"/>
              <w:rPr>
                <w:i/>
                <w:iCs/>
                <w:color w:val="auto"/>
                <w:highlight w:val="none"/>
                <w:u w:val="single"/>
              </w:rPr>
            </w:pPr>
            <w:r>
              <w:rPr>
                <w:rFonts w:hint="eastAsia"/>
                <w:i/>
                <w:iCs/>
                <w:color w:val="auto"/>
                <w:highlight w:val="none"/>
                <w:u w:val="single"/>
              </w:rPr>
              <w:t>3.64E-03</w:t>
            </w:r>
          </w:p>
        </w:tc>
        <w:tc>
          <w:tcPr>
            <w:tcW w:w="1488" w:type="dxa"/>
            <w:vAlign w:val="center"/>
          </w:tcPr>
          <w:p w14:paraId="2F87067A">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0.16</w:t>
            </w:r>
          </w:p>
        </w:tc>
        <w:tc>
          <w:tcPr>
            <w:tcW w:w="795" w:type="pct"/>
            <w:vAlign w:val="center"/>
          </w:tcPr>
          <w:p w14:paraId="5D53A5BC">
            <w:pPr>
              <w:pStyle w:val="1343"/>
              <w:rPr>
                <w:i/>
                <w:iCs/>
                <w:color w:val="auto"/>
                <w:highlight w:val="none"/>
                <w:u w:val="single"/>
              </w:rPr>
            </w:pPr>
            <w:r>
              <w:rPr>
                <w:i/>
                <w:iCs/>
                <w:color w:val="auto"/>
                <w:highlight w:val="none"/>
                <w:u w:val="single"/>
              </w:rPr>
              <w:t>200</w:t>
            </w:r>
          </w:p>
        </w:tc>
        <w:tc>
          <w:tcPr>
            <w:tcW w:w="1581" w:type="dxa"/>
            <w:tcBorders>
              <w:top w:val="single" w:color="auto" w:sz="4" w:space="0"/>
              <w:left w:val="nil"/>
              <w:bottom w:val="single" w:color="auto" w:sz="4" w:space="0"/>
              <w:right w:val="single" w:color="auto" w:sz="4" w:space="0"/>
            </w:tcBorders>
            <w:shd w:val="clear" w:color="auto" w:fill="auto"/>
            <w:vAlign w:val="center"/>
          </w:tcPr>
          <w:p w14:paraId="1338E172">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1.62E-04</w:t>
            </w:r>
          </w:p>
        </w:tc>
        <w:tc>
          <w:tcPr>
            <w:tcW w:w="1561" w:type="dxa"/>
            <w:tcBorders>
              <w:top w:val="single" w:color="auto" w:sz="4" w:space="0"/>
              <w:left w:val="single" w:color="auto" w:sz="4" w:space="0"/>
              <w:bottom w:val="single" w:color="auto" w:sz="4" w:space="0"/>
              <w:right w:val="single" w:color="auto" w:sz="4" w:space="0"/>
            </w:tcBorders>
            <w:shd w:val="clear" w:color="auto" w:fill="auto"/>
            <w:vAlign w:val="center"/>
          </w:tcPr>
          <w:p w14:paraId="7AA1E529">
            <w:pPr>
              <w:pStyle w:val="1343"/>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rPr>
              <w:t>0.01</w:t>
            </w:r>
          </w:p>
        </w:tc>
      </w:tr>
      <w:tr w14:paraId="4EC89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pct"/>
            <w:vAlign w:val="center"/>
          </w:tcPr>
          <w:p w14:paraId="3E58FC67">
            <w:pPr>
              <w:pStyle w:val="1343"/>
              <w:rPr>
                <w:i/>
                <w:iCs/>
                <w:color w:val="auto"/>
                <w:highlight w:val="none"/>
                <w:u w:val="single"/>
              </w:rPr>
            </w:pPr>
            <w:r>
              <w:rPr>
                <w:i/>
                <w:iCs/>
                <w:color w:val="auto"/>
                <w:highlight w:val="none"/>
                <w:u w:val="single"/>
              </w:rPr>
              <w:t>下风向最大浓度及占标率</w:t>
            </w:r>
          </w:p>
        </w:tc>
        <w:tc>
          <w:tcPr>
            <w:tcW w:w="876" w:type="pct"/>
            <w:tcBorders>
              <w:top w:val="single" w:color="auto" w:sz="4" w:space="0"/>
            </w:tcBorders>
            <w:vAlign w:val="center"/>
          </w:tcPr>
          <w:p w14:paraId="7BC6D407">
            <w:pPr>
              <w:pStyle w:val="1343"/>
              <w:rPr>
                <w:rFonts w:eastAsia="等线"/>
                <w:i/>
                <w:iCs/>
                <w:color w:val="auto"/>
                <w:highlight w:val="none"/>
                <w:u w:val="single"/>
              </w:rPr>
            </w:pPr>
            <w:r>
              <w:rPr>
                <w:rFonts w:hint="eastAsia"/>
                <w:i/>
                <w:iCs/>
                <w:color w:val="auto"/>
                <w:highlight w:val="none"/>
                <w:u w:val="single"/>
              </w:rPr>
              <w:t>1.06E-02</w:t>
            </w:r>
          </w:p>
        </w:tc>
        <w:tc>
          <w:tcPr>
            <w:tcW w:w="801" w:type="pct"/>
            <w:vAlign w:val="center"/>
          </w:tcPr>
          <w:p w14:paraId="3F47EDDB">
            <w:pPr>
              <w:pStyle w:val="1343"/>
              <w:rPr>
                <w:rFonts w:hint="default" w:eastAsia="宋体"/>
                <w:i/>
                <w:iCs/>
                <w:color w:val="auto"/>
                <w:highlight w:val="none"/>
                <w:u w:val="single"/>
                <w:lang w:val="en-US" w:eastAsia="zh-CN"/>
              </w:rPr>
            </w:pPr>
            <w:r>
              <w:rPr>
                <w:rFonts w:hint="eastAsia"/>
                <w:i/>
                <w:iCs/>
                <w:color w:val="auto"/>
                <w:highlight w:val="none"/>
                <w:u w:val="single"/>
                <w:lang w:val="en-US" w:eastAsia="zh-CN"/>
              </w:rPr>
              <w:t>0.53</w:t>
            </w:r>
          </w:p>
        </w:tc>
        <w:tc>
          <w:tcPr>
            <w:tcW w:w="795" w:type="pct"/>
            <w:vAlign w:val="center"/>
          </w:tcPr>
          <w:p w14:paraId="3959B64E">
            <w:pPr>
              <w:pStyle w:val="1343"/>
              <w:rPr>
                <w:i/>
                <w:iCs/>
                <w:color w:val="auto"/>
                <w:highlight w:val="none"/>
                <w:u w:val="single"/>
              </w:rPr>
            </w:pPr>
            <w:r>
              <w:rPr>
                <w:i/>
                <w:iCs/>
                <w:color w:val="auto"/>
                <w:highlight w:val="none"/>
                <w:u w:val="single"/>
              </w:rPr>
              <w:t>下风向最大浓度及占标率</w:t>
            </w:r>
          </w:p>
        </w:tc>
        <w:tc>
          <w:tcPr>
            <w:tcW w:w="851" w:type="pct"/>
            <w:tcBorders>
              <w:top w:val="single" w:color="auto" w:sz="4" w:space="0"/>
            </w:tcBorders>
            <w:vAlign w:val="center"/>
          </w:tcPr>
          <w:p w14:paraId="20C15A6C">
            <w:pPr>
              <w:pStyle w:val="1343"/>
              <w:rPr>
                <w:i/>
                <w:iCs/>
                <w:color w:val="auto"/>
                <w:highlight w:val="none"/>
                <w:u w:val="single"/>
              </w:rPr>
            </w:pPr>
            <w:r>
              <w:rPr>
                <w:rFonts w:hint="eastAsia" w:ascii="Times New Roman" w:hAnsi="Times New Roman" w:eastAsia="宋体" w:cs="Times New Roman"/>
                <w:i/>
                <w:iCs/>
                <w:color w:val="auto"/>
                <w:highlight w:val="none"/>
                <w:u w:val="single"/>
              </w:rPr>
              <w:t>1.79E-03</w:t>
            </w:r>
          </w:p>
        </w:tc>
        <w:tc>
          <w:tcPr>
            <w:tcW w:w="840" w:type="pct"/>
            <w:tcBorders>
              <w:top w:val="single" w:color="auto" w:sz="4" w:space="0"/>
            </w:tcBorders>
            <w:vAlign w:val="center"/>
          </w:tcPr>
          <w:p w14:paraId="6BDB30E6">
            <w:pPr>
              <w:pStyle w:val="1343"/>
              <w:rPr>
                <w:rFonts w:hint="default" w:eastAsia="宋体"/>
                <w:i/>
                <w:iCs/>
                <w:color w:val="auto"/>
                <w:highlight w:val="none"/>
                <w:u w:val="single"/>
                <w:lang w:val="en-US" w:eastAsia="zh-CN"/>
              </w:rPr>
            </w:pPr>
            <w:r>
              <w:rPr>
                <w:rFonts w:hint="eastAsia"/>
                <w:i/>
                <w:iCs/>
                <w:color w:val="auto"/>
                <w:highlight w:val="none"/>
                <w:u w:val="single"/>
                <w:lang w:val="en-US" w:eastAsia="zh-CN"/>
              </w:rPr>
              <w:t>0.09</w:t>
            </w:r>
          </w:p>
        </w:tc>
      </w:tr>
      <w:tr w14:paraId="2A6A1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pct"/>
            <w:vAlign w:val="center"/>
          </w:tcPr>
          <w:p w14:paraId="6451698F">
            <w:pPr>
              <w:pStyle w:val="1343"/>
              <w:rPr>
                <w:i/>
                <w:iCs/>
                <w:color w:val="auto"/>
                <w:highlight w:val="none"/>
                <w:u w:val="single"/>
              </w:rPr>
            </w:pPr>
            <w:r>
              <w:rPr>
                <w:i/>
                <w:iCs/>
                <w:color w:val="auto"/>
                <w:highlight w:val="none"/>
                <w:u w:val="single"/>
              </w:rPr>
              <w:t>下风向最大浓度出现距离</w:t>
            </w:r>
          </w:p>
        </w:tc>
        <w:tc>
          <w:tcPr>
            <w:tcW w:w="1677" w:type="pct"/>
            <w:gridSpan w:val="2"/>
            <w:vAlign w:val="center"/>
          </w:tcPr>
          <w:p w14:paraId="5C654514">
            <w:pPr>
              <w:pStyle w:val="1343"/>
              <w:rPr>
                <w:rFonts w:hint="default" w:eastAsia="宋体"/>
                <w:i/>
                <w:iCs/>
                <w:color w:val="auto"/>
                <w:highlight w:val="none"/>
                <w:u w:val="single"/>
                <w:lang w:val="en-US" w:eastAsia="zh-CN"/>
              </w:rPr>
            </w:pPr>
            <w:r>
              <w:rPr>
                <w:rFonts w:hint="eastAsia"/>
                <w:i/>
                <w:iCs/>
                <w:color w:val="auto"/>
                <w:highlight w:val="none"/>
                <w:u w:val="single"/>
                <w:lang w:val="en-US" w:eastAsia="zh-CN"/>
              </w:rPr>
              <w:t>54</w:t>
            </w:r>
          </w:p>
        </w:tc>
        <w:tc>
          <w:tcPr>
            <w:tcW w:w="795" w:type="pct"/>
            <w:vAlign w:val="center"/>
          </w:tcPr>
          <w:p w14:paraId="205057D7">
            <w:pPr>
              <w:pStyle w:val="1343"/>
              <w:rPr>
                <w:i/>
                <w:iCs/>
                <w:color w:val="auto"/>
                <w:highlight w:val="none"/>
                <w:u w:val="single"/>
              </w:rPr>
            </w:pPr>
            <w:r>
              <w:rPr>
                <w:i/>
                <w:iCs/>
                <w:color w:val="auto"/>
                <w:highlight w:val="none"/>
                <w:u w:val="single"/>
              </w:rPr>
              <w:t>下风向最大浓度出现距离</w:t>
            </w:r>
          </w:p>
        </w:tc>
        <w:tc>
          <w:tcPr>
            <w:tcW w:w="1691" w:type="pct"/>
            <w:gridSpan w:val="2"/>
            <w:vAlign w:val="center"/>
          </w:tcPr>
          <w:p w14:paraId="16955062">
            <w:pPr>
              <w:pStyle w:val="1343"/>
              <w:rPr>
                <w:rFonts w:hint="default" w:eastAsia="宋体"/>
                <w:i/>
                <w:iCs/>
                <w:color w:val="auto"/>
                <w:highlight w:val="none"/>
                <w:u w:val="single"/>
                <w:lang w:val="en-US" w:eastAsia="zh-CN"/>
              </w:rPr>
            </w:pPr>
            <w:r>
              <w:rPr>
                <w:rFonts w:hint="eastAsia"/>
                <w:i/>
                <w:iCs/>
                <w:color w:val="auto"/>
                <w:highlight w:val="none"/>
                <w:u w:val="single"/>
                <w:lang w:val="en-US" w:eastAsia="zh-CN"/>
              </w:rPr>
              <w:t>18</w:t>
            </w:r>
          </w:p>
        </w:tc>
      </w:tr>
      <w:tr w14:paraId="3C25B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pct"/>
            <w:vAlign w:val="center"/>
          </w:tcPr>
          <w:p w14:paraId="1A725215">
            <w:pPr>
              <w:pStyle w:val="1343"/>
              <w:rPr>
                <w:i/>
                <w:iCs/>
                <w:color w:val="auto"/>
                <w:highlight w:val="none"/>
                <w:u w:val="single"/>
              </w:rPr>
            </w:pPr>
            <w:r>
              <w:rPr>
                <w:i/>
                <w:iCs/>
                <w:color w:val="auto"/>
                <w:highlight w:val="none"/>
                <w:u w:val="single"/>
              </w:rPr>
              <w:t>D</w:t>
            </w:r>
            <w:r>
              <w:rPr>
                <w:i/>
                <w:iCs/>
                <w:color w:val="auto"/>
                <w:highlight w:val="none"/>
                <w:u w:val="single"/>
                <w:vertAlign w:val="subscript"/>
              </w:rPr>
              <w:t>10</w:t>
            </w:r>
            <w:r>
              <w:rPr>
                <w:i/>
                <w:iCs/>
                <w:color w:val="auto"/>
                <w:highlight w:val="none"/>
                <w:u w:val="single"/>
              </w:rPr>
              <w:t>%最远距离/m</w:t>
            </w:r>
          </w:p>
        </w:tc>
        <w:tc>
          <w:tcPr>
            <w:tcW w:w="1677" w:type="pct"/>
            <w:gridSpan w:val="2"/>
            <w:vAlign w:val="center"/>
          </w:tcPr>
          <w:p w14:paraId="75098383">
            <w:pPr>
              <w:pStyle w:val="1343"/>
              <w:rPr>
                <w:i/>
                <w:iCs/>
                <w:color w:val="auto"/>
                <w:highlight w:val="none"/>
                <w:u w:val="single"/>
              </w:rPr>
            </w:pPr>
            <w:r>
              <w:rPr>
                <w:i/>
                <w:iCs/>
                <w:color w:val="auto"/>
                <w:highlight w:val="none"/>
                <w:u w:val="single"/>
              </w:rPr>
              <w:t>未出现</w:t>
            </w:r>
          </w:p>
        </w:tc>
        <w:tc>
          <w:tcPr>
            <w:tcW w:w="795" w:type="pct"/>
            <w:vAlign w:val="center"/>
          </w:tcPr>
          <w:p w14:paraId="43B32783">
            <w:pPr>
              <w:pStyle w:val="1343"/>
              <w:rPr>
                <w:i/>
                <w:iCs/>
                <w:color w:val="auto"/>
                <w:highlight w:val="none"/>
                <w:u w:val="single"/>
              </w:rPr>
            </w:pPr>
            <w:r>
              <w:rPr>
                <w:i/>
                <w:iCs/>
                <w:color w:val="auto"/>
                <w:highlight w:val="none"/>
                <w:u w:val="single"/>
              </w:rPr>
              <w:t>D</w:t>
            </w:r>
            <w:r>
              <w:rPr>
                <w:i/>
                <w:iCs/>
                <w:color w:val="auto"/>
                <w:highlight w:val="none"/>
                <w:u w:val="single"/>
                <w:vertAlign w:val="subscript"/>
              </w:rPr>
              <w:t>10</w:t>
            </w:r>
            <w:r>
              <w:rPr>
                <w:i/>
                <w:iCs/>
                <w:color w:val="auto"/>
                <w:highlight w:val="none"/>
                <w:u w:val="single"/>
              </w:rPr>
              <w:t>%最远距离/m</w:t>
            </w:r>
          </w:p>
        </w:tc>
        <w:tc>
          <w:tcPr>
            <w:tcW w:w="1691" w:type="pct"/>
            <w:gridSpan w:val="2"/>
            <w:vAlign w:val="center"/>
          </w:tcPr>
          <w:p w14:paraId="38091324">
            <w:pPr>
              <w:pStyle w:val="1343"/>
              <w:rPr>
                <w:i/>
                <w:iCs/>
                <w:color w:val="auto"/>
                <w:highlight w:val="none"/>
                <w:u w:val="single"/>
              </w:rPr>
            </w:pPr>
            <w:r>
              <w:rPr>
                <w:i/>
                <w:iCs/>
                <w:color w:val="auto"/>
                <w:highlight w:val="none"/>
                <w:u w:val="single"/>
              </w:rPr>
              <w:t>未出现</w:t>
            </w:r>
          </w:p>
        </w:tc>
      </w:tr>
    </w:tbl>
    <w:p w14:paraId="43529727">
      <w:pPr>
        <w:pStyle w:val="234"/>
        <w:spacing w:before="120" w:beforeLines="50"/>
      </w:pPr>
      <w:r>
        <w:rPr>
          <w:rFonts w:hint="eastAsia"/>
        </w:rPr>
        <w:t>由上表可知，</w:t>
      </w:r>
      <w:r>
        <w:t>本工程运营期各站场无组织排放的非甲烷总烃下风向最大浓度远小于厂界浓度限值2.0mg/m</w:t>
      </w:r>
      <w:r>
        <w:rPr>
          <w:vertAlign w:val="superscript"/>
        </w:rPr>
        <w:t>3</w:t>
      </w:r>
      <w:r>
        <w:t>，</w:t>
      </w:r>
      <w:r>
        <w:rPr>
          <w:rFonts w:hint="eastAsia"/>
        </w:rPr>
        <w:t>由此推算，各站场厂界处非甲烷总烃能够</w:t>
      </w:r>
      <w:r>
        <w:t>满足《</w:t>
      </w:r>
      <w:r>
        <w:rPr>
          <w:rFonts w:hint="eastAsia"/>
        </w:rPr>
        <w:t>大气污染物综合排放标准</w:t>
      </w:r>
      <w:r>
        <w:t>》(</w:t>
      </w:r>
      <w:r>
        <w:rPr>
          <w:rFonts w:hint="eastAsia"/>
        </w:rPr>
        <w:t>GB16297-1996</w:t>
      </w:r>
      <w:r>
        <w:t>)表2中</w:t>
      </w:r>
      <w:r>
        <w:rPr>
          <w:rFonts w:hint="eastAsia"/>
        </w:rPr>
        <w:t>非甲烷总烃</w:t>
      </w:r>
      <w:r>
        <w:t>厂界监控点浓度限值</w:t>
      </w:r>
      <w:r>
        <w:rPr>
          <w:rFonts w:hint="eastAsia"/>
        </w:rPr>
        <w:t>。</w:t>
      </w:r>
    </w:p>
    <w:p w14:paraId="1948692F">
      <w:pPr>
        <w:pStyle w:val="234"/>
      </w:pPr>
      <w:r>
        <w:t>（4）污染物排放量核算</w:t>
      </w:r>
    </w:p>
    <w:p w14:paraId="65079076">
      <w:pPr>
        <w:pStyle w:val="234"/>
        <w:rPr>
          <w:rStyle w:val="1627"/>
          <w:rFonts w:ascii="Times New Roman" w:hAnsi="Times New Roman" w:eastAsia="宋体" w:cs="Times New Roman"/>
          <w:b w:val="0"/>
          <w:bCs w:val="0"/>
        </w:rPr>
      </w:pPr>
      <w:r>
        <w:t>本工程</w:t>
      </w:r>
      <w:r>
        <w:rPr>
          <w:rStyle w:val="1627"/>
          <w:rFonts w:ascii="Times New Roman" w:hAnsi="Times New Roman" w:eastAsia="宋体" w:cs="Times New Roman"/>
          <w:b w:val="0"/>
          <w:bCs w:val="0"/>
        </w:rPr>
        <w:t>无组织大气污染物排放量核算见表6.2-4。</w:t>
      </w:r>
    </w:p>
    <w:p w14:paraId="7F771B74">
      <w:pPr>
        <w:pStyle w:val="904"/>
        <w:rPr>
          <w:rStyle w:val="1627"/>
          <w:rFonts w:ascii="Times New Roman" w:hAnsi="Times New Roman" w:cs="Times New Roman"/>
          <w:b w:val="0"/>
          <w:bCs w:val="0"/>
          <w:kern w:val="0"/>
        </w:rPr>
      </w:pPr>
      <w:r>
        <w:rPr>
          <w:rStyle w:val="1627"/>
          <w:rFonts w:ascii="Times New Roman" w:hAnsi="Times New Roman" w:cs="Times New Roman"/>
          <w:b w:val="0"/>
          <w:bCs w:val="0"/>
          <w:kern w:val="0"/>
        </w:rPr>
        <w:t>表6.2-4   本工程无组织大气污染物排放量核算表</w:t>
      </w:r>
    </w:p>
    <w:tbl>
      <w:tblPr>
        <w:tblStyle w:val="8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695"/>
        <w:gridCol w:w="858"/>
        <w:gridCol w:w="709"/>
        <w:gridCol w:w="992"/>
        <w:gridCol w:w="3260"/>
        <w:gridCol w:w="1227"/>
        <w:gridCol w:w="904"/>
      </w:tblGrid>
      <w:tr w14:paraId="6F34E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dxa"/>
            <w:vMerge w:val="restart"/>
            <w:vAlign w:val="center"/>
          </w:tcPr>
          <w:p w14:paraId="5A828050">
            <w:pPr>
              <w:pStyle w:val="1343"/>
            </w:pPr>
            <w:r>
              <w:t>序号</w:t>
            </w:r>
          </w:p>
        </w:tc>
        <w:tc>
          <w:tcPr>
            <w:tcW w:w="695" w:type="dxa"/>
            <w:vMerge w:val="restart"/>
            <w:vAlign w:val="center"/>
          </w:tcPr>
          <w:p w14:paraId="326153A6">
            <w:pPr>
              <w:pStyle w:val="1343"/>
            </w:pPr>
            <w:r>
              <w:t>排放口编号</w:t>
            </w:r>
          </w:p>
        </w:tc>
        <w:tc>
          <w:tcPr>
            <w:tcW w:w="858" w:type="dxa"/>
            <w:vMerge w:val="restart"/>
            <w:vAlign w:val="center"/>
          </w:tcPr>
          <w:p w14:paraId="4104A0D2">
            <w:pPr>
              <w:pStyle w:val="1343"/>
            </w:pPr>
            <w:r>
              <w:t>产污环节</w:t>
            </w:r>
          </w:p>
        </w:tc>
        <w:tc>
          <w:tcPr>
            <w:tcW w:w="709" w:type="dxa"/>
            <w:vMerge w:val="restart"/>
            <w:vAlign w:val="center"/>
          </w:tcPr>
          <w:p w14:paraId="7FDEF3BD">
            <w:pPr>
              <w:pStyle w:val="1343"/>
            </w:pPr>
            <w:r>
              <w:t>污染物</w:t>
            </w:r>
          </w:p>
        </w:tc>
        <w:tc>
          <w:tcPr>
            <w:tcW w:w="992" w:type="dxa"/>
            <w:vMerge w:val="restart"/>
            <w:vAlign w:val="center"/>
          </w:tcPr>
          <w:p w14:paraId="167DAA73">
            <w:pPr>
              <w:pStyle w:val="1343"/>
            </w:pPr>
            <w:r>
              <w:t>主要污染防治措施</w:t>
            </w:r>
          </w:p>
        </w:tc>
        <w:tc>
          <w:tcPr>
            <w:tcW w:w="4487" w:type="dxa"/>
            <w:gridSpan w:val="2"/>
            <w:vAlign w:val="center"/>
          </w:tcPr>
          <w:p w14:paraId="70C9A7FD">
            <w:pPr>
              <w:pStyle w:val="1343"/>
            </w:pPr>
            <w:r>
              <w:t>国家或地方污染物排放标准</w:t>
            </w:r>
          </w:p>
        </w:tc>
        <w:tc>
          <w:tcPr>
            <w:tcW w:w="904" w:type="dxa"/>
            <w:vMerge w:val="restart"/>
            <w:vAlign w:val="center"/>
          </w:tcPr>
          <w:p w14:paraId="1332E507">
            <w:pPr>
              <w:pStyle w:val="1343"/>
            </w:pPr>
            <w:r>
              <w:t>年排放量（t/a）</w:t>
            </w:r>
          </w:p>
        </w:tc>
      </w:tr>
      <w:tr w14:paraId="7DE14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dxa"/>
            <w:vMerge w:val="continue"/>
            <w:vAlign w:val="center"/>
          </w:tcPr>
          <w:p w14:paraId="7FD68CF1">
            <w:pPr>
              <w:pStyle w:val="1343"/>
            </w:pPr>
          </w:p>
        </w:tc>
        <w:tc>
          <w:tcPr>
            <w:tcW w:w="695" w:type="dxa"/>
            <w:vMerge w:val="continue"/>
            <w:vAlign w:val="center"/>
          </w:tcPr>
          <w:p w14:paraId="7766467C">
            <w:pPr>
              <w:pStyle w:val="1343"/>
            </w:pPr>
          </w:p>
        </w:tc>
        <w:tc>
          <w:tcPr>
            <w:tcW w:w="858" w:type="dxa"/>
            <w:vMerge w:val="continue"/>
            <w:vAlign w:val="center"/>
          </w:tcPr>
          <w:p w14:paraId="300268AB">
            <w:pPr>
              <w:pStyle w:val="1343"/>
            </w:pPr>
          </w:p>
        </w:tc>
        <w:tc>
          <w:tcPr>
            <w:tcW w:w="709" w:type="dxa"/>
            <w:vMerge w:val="continue"/>
            <w:vAlign w:val="center"/>
          </w:tcPr>
          <w:p w14:paraId="4019C33E">
            <w:pPr>
              <w:pStyle w:val="1343"/>
            </w:pPr>
          </w:p>
        </w:tc>
        <w:tc>
          <w:tcPr>
            <w:tcW w:w="992" w:type="dxa"/>
            <w:vMerge w:val="continue"/>
            <w:vAlign w:val="center"/>
          </w:tcPr>
          <w:p w14:paraId="44CAAE29">
            <w:pPr>
              <w:pStyle w:val="1343"/>
            </w:pPr>
          </w:p>
        </w:tc>
        <w:tc>
          <w:tcPr>
            <w:tcW w:w="3260" w:type="dxa"/>
            <w:vAlign w:val="center"/>
          </w:tcPr>
          <w:p w14:paraId="4302A7C8">
            <w:pPr>
              <w:pStyle w:val="1343"/>
            </w:pPr>
            <w:r>
              <w:t>标准名称</w:t>
            </w:r>
          </w:p>
        </w:tc>
        <w:tc>
          <w:tcPr>
            <w:tcW w:w="1227" w:type="dxa"/>
            <w:vAlign w:val="center"/>
          </w:tcPr>
          <w:p w14:paraId="65E6C0C1">
            <w:pPr>
              <w:pStyle w:val="1343"/>
            </w:pPr>
            <w:r>
              <w:t>浓度限值（mg/m</w:t>
            </w:r>
            <w:r>
              <w:rPr>
                <w:vertAlign w:val="superscript"/>
              </w:rPr>
              <w:t>3</w:t>
            </w:r>
            <w:r>
              <w:t>）</w:t>
            </w:r>
          </w:p>
        </w:tc>
        <w:tc>
          <w:tcPr>
            <w:tcW w:w="904" w:type="dxa"/>
            <w:vMerge w:val="continue"/>
            <w:vAlign w:val="center"/>
          </w:tcPr>
          <w:p w14:paraId="709444BA">
            <w:pPr>
              <w:pStyle w:val="1343"/>
            </w:pPr>
          </w:p>
        </w:tc>
      </w:tr>
      <w:tr w14:paraId="26D95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427" w:type="dxa"/>
            <w:vAlign w:val="center"/>
          </w:tcPr>
          <w:p w14:paraId="22812D97">
            <w:pPr>
              <w:pStyle w:val="1343"/>
            </w:pPr>
            <w:r>
              <w:t>1</w:t>
            </w:r>
          </w:p>
        </w:tc>
        <w:tc>
          <w:tcPr>
            <w:tcW w:w="695" w:type="dxa"/>
            <w:vAlign w:val="center"/>
          </w:tcPr>
          <w:p w14:paraId="18DF47FE">
            <w:pPr>
              <w:pStyle w:val="1343"/>
            </w:pPr>
            <w:r>
              <w:rPr>
                <w:rFonts w:hint="eastAsia"/>
              </w:rPr>
              <w:t>耒阳分输站</w:t>
            </w:r>
          </w:p>
        </w:tc>
        <w:tc>
          <w:tcPr>
            <w:tcW w:w="858" w:type="dxa"/>
            <w:vAlign w:val="center"/>
          </w:tcPr>
          <w:p w14:paraId="3230722E">
            <w:pPr>
              <w:pStyle w:val="1343"/>
            </w:pPr>
            <w:r>
              <w:t>站场烃类无组织挥发</w:t>
            </w:r>
          </w:p>
        </w:tc>
        <w:tc>
          <w:tcPr>
            <w:tcW w:w="709" w:type="dxa"/>
            <w:vAlign w:val="center"/>
          </w:tcPr>
          <w:p w14:paraId="3838ABB3">
            <w:pPr>
              <w:pStyle w:val="1343"/>
            </w:pPr>
            <w:r>
              <w:t>非甲烷总烃</w:t>
            </w:r>
          </w:p>
        </w:tc>
        <w:tc>
          <w:tcPr>
            <w:tcW w:w="992" w:type="dxa"/>
            <w:vAlign w:val="center"/>
          </w:tcPr>
          <w:p w14:paraId="669EED59">
            <w:pPr>
              <w:pStyle w:val="1343"/>
            </w:pPr>
            <w:r>
              <w:t>加强检测及管理</w:t>
            </w:r>
          </w:p>
        </w:tc>
        <w:tc>
          <w:tcPr>
            <w:tcW w:w="3260" w:type="dxa"/>
            <w:vAlign w:val="center"/>
          </w:tcPr>
          <w:p w14:paraId="73653DF7">
            <w:pPr>
              <w:pStyle w:val="1343"/>
            </w:pPr>
            <w:r>
              <w:t>《</w:t>
            </w:r>
            <w:r>
              <w:rPr>
                <w:rFonts w:hint="eastAsia"/>
              </w:rPr>
              <w:t>大气污染物综合排放标准</w:t>
            </w:r>
            <w:r>
              <w:t>》(</w:t>
            </w:r>
            <w:r>
              <w:rPr>
                <w:rFonts w:hint="eastAsia"/>
              </w:rPr>
              <w:t>GB16297-1996</w:t>
            </w:r>
            <w:r>
              <w:t>)表2厂界监控点浓度限值</w:t>
            </w:r>
          </w:p>
        </w:tc>
        <w:tc>
          <w:tcPr>
            <w:tcW w:w="1227" w:type="dxa"/>
            <w:vAlign w:val="center"/>
          </w:tcPr>
          <w:p w14:paraId="199D3C56">
            <w:pPr>
              <w:pStyle w:val="1343"/>
              <w:rPr>
                <w:highlight w:val="none"/>
              </w:rPr>
            </w:pPr>
            <w:r>
              <w:rPr>
                <w:highlight w:val="none"/>
              </w:rPr>
              <w:t>2.0</w:t>
            </w:r>
          </w:p>
        </w:tc>
        <w:tc>
          <w:tcPr>
            <w:tcW w:w="904" w:type="dxa"/>
            <w:vAlign w:val="center"/>
          </w:tcPr>
          <w:p w14:paraId="6078AA43">
            <w:pPr>
              <w:pStyle w:val="1343"/>
              <w:rPr>
                <w:rFonts w:hint="default" w:eastAsia="宋体"/>
                <w:i/>
                <w:iCs/>
                <w:color w:val="auto"/>
                <w:highlight w:val="none"/>
                <w:u w:val="single"/>
                <w:lang w:val="en-US" w:eastAsia="zh-CN"/>
              </w:rPr>
            </w:pPr>
            <w:r>
              <w:rPr>
                <w:rFonts w:hint="eastAsia"/>
                <w:i/>
                <w:iCs/>
                <w:color w:val="auto"/>
                <w:highlight w:val="none"/>
                <w:u w:val="single"/>
              </w:rPr>
              <w:t>0.</w:t>
            </w:r>
            <w:r>
              <w:rPr>
                <w:rFonts w:hint="eastAsia"/>
                <w:i/>
                <w:iCs/>
                <w:color w:val="auto"/>
                <w:highlight w:val="none"/>
                <w:u w:val="single"/>
                <w:lang w:val="en-US" w:eastAsia="zh-CN"/>
              </w:rPr>
              <w:t>024</w:t>
            </w:r>
          </w:p>
        </w:tc>
      </w:tr>
      <w:tr w14:paraId="112EE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427" w:type="dxa"/>
            <w:vAlign w:val="center"/>
          </w:tcPr>
          <w:p w14:paraId="29D97980">
            <w:pPr>
              <w:pStyle w:val="1343"/>
            </w:pPr>
            <w:r>
              <w:rPr>
                <w:rFonts w:hint="eastAsia"/>
              </w:rPr>
              <w:t>2</w:t>
            </w:r>
          </w:p>
        </w:tc>
        <w:tc>
          <w:tcPr>
            <w:tcW w:w="695" w:type="dxa"/>
            <w:vAlign w:val="center"/>
          </w:tcPr>
          <w:p w14:paraId="53F214BA">
            <w:pPr>
              <w:pStyle w:val="1343"/>
            </w:pPr>
            <w:r>
              <w:rPr>
                <w:rFonts w:hint="eastAsia"/>
              </w:rPr>
              <w:t>28号阀室</w:t>
            </w:r>
          </w:p>
        </w:tc>
        <w:tc>
          <w:tcPr>
            <w:tcW w:w="858" w:type="dxa"/>
            <w:vAlign w:val="center"/>
          </w:tcPr>
          <w:p w14:paraId="2648A4AE">
            <w:pPr>
              <w:pStyle w:val="1343"/>
            </w:pPr>
            <w:r>
              <w:t>站场烃类无组织挥发</w:t>
            </w:r>
          </w:p>
        </w:tc>
        <w:tc>
          <w:tcPr>
            <w:tcW w:w="709" w:type="dxa"/>
            <w:vAlign w:val="center"/>
          </w:tcPr>
          <w:p w14:paraId="0ABF3A4E">
            <w:pPr>
              <w:pStyle w:val="1343"/>
            </w:pPr>
            <w:r>
              <w:t>非甲烷总烃</w:t>
            </w:r>
          </w:p>
        </w:tc>
        <w:tc>
          <w:tcPr>
            <w:tcW w:w="992" w:type="dxa"/>
            <w:vAlign w:val="center"/>
          </w:tcPr>
          <w:p w14:paraId="33C83534">
            <w:pPr>
              <w:pStyle w:val="1343"/>
            </w:pPr>
            <w:r>
              <w:t>加强检测及管理</w:t>
            </w:r>
          </w:p>
        </w:tc>
        <w:tc>
          <w:tcPr>
            <w:tcW w:w="3260" w:type="dxa"/>
            <w:vAlign w:val="center"/>
          </w:tcPr>
          <w:p w14:paraId="47488388">
            <w:pPr>
              <w:pStyle w:val="1343"/>
            </w:pPr>
            <w:r>
              <w:t>《</w:t>
            </w:r>
            <w:r>
              <w:rPr>
                <w:rFonts w:hint="eastAsia"/>
              </w:rPr>
              <w:t>大气污染物综合排放标准</w:t>
            </w:r>
            <w:r>
              <w:t>》(</w:t>
            </w:r>
            <w:r>
              <w:rPr>
                <w:rFonts w:hint="eastAsia"/>
              </w:rPr>
              <w:t>GB16297-1996</w:t>
            </w:r>
            <w:r>
              <w:t>)表2厂界监控点浓度限值</w:t>
            </w:r>
          </w:p>
        </w:tc>
        <w:tc>
          <w:tcPr>
            <w:tcW w:w="1227" w:type="dxa"/>
            <w:vAlign w:val="center"/>
          </w:tcPr>
          <w:p w14:paraId="22645752">
            <w:pPr>
              <w:pStyle w:val="1343"/>
              <w:rPr>
                <w:highlight w:val="none"/>
              </w:rPr>
            </w:pPr>
            <w:r>
              <w:rPr>
                <w:highlight w:val="none"/>
              </w:rPr>
              <w:t>2.0</w:t>
            </w:r>
          </w:p>
        </w:tc>
        <w:tc>
          <w:tcPr>
            <w:tcW w:w="904" w:type="dxa"/>
            <w:vAlign w:val="center"/>
          </w:tcPr>
          <w:p w14:paraId="030EDFC2">
            <w:pPr>
              <w:pStyle w:val="1343"/>
              <w:rPr>
                <w:rFonts w:hint="default" w:eastAsia="宋体"/>
                <w:i/>
                <w:iCs/>
                <w:color w:val="auto"/>
                <w:highlight w:val="none"/>
                <w:u w:val="single"/>
                <w:lang w:val="en-US" w:eastAsia="zh-CN"/>
              </w:rPr>
            </w:pPr>
            <w:r>
              <w:rPr>
                <w:rFonts w:hint="eastAsia"/>
                <w:i/>
                <w:iCs/>
                <w:color w:val="auto"/>
                <w:highlight w:val="none"/>
                <w:u w:val="single"/>
              </w:rPr>
              <w:t>0.0</w:t>
            </w:r>
            <w:r>
              <w:rPr>
                <w:rFonts w:hint="eastAsia"/>
                <w:i/>
                <w:iCs/>
                <w:color w:val="auto"/>
                <w:highlight w:val="none"/>
                <w:u w:val="single"/>
                <w:lang w:val="en-US" w:eastAsia="zh-CN"/>
              </w:rPr>
              <w:t>01</w:t>
            </w:r>
          </w:p>
        </w:tc>
      </w:tr>
      <w:tr w14:paraId="4C94C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72" w:type="dxa"/>
            <w:gridSpan w:val="8"/>
            <w:vAlign w:val="center"/>
          </w:tcPr>
          <w:p w14:paraId="4F6998ED">
            <w:pPr>
              <w:pStyle w:val="1343"/>
            </w:pPr>
            <w:r>
              <w:t>无组织排放总计</w:t>
            </w:r>
          </w:p>
        </w:tc>
      </w:tr>
      <w:tr w14:paraId="15C1D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89" w:type="dxa"/>
            <w:gridSpan w:val="4"/>
            <w:vAlign w:val="center"/>
          </w:tcPr>
          <w:p w14:paraId="1CB64506">
            <w:pPr>
              <w:pStyle w:val="1343"/>
            </w:pPr>
            <w:r>
              <w:t>无组织排放总计</w:t>
            </w:r>
          </w:p>
        </w:tc>
        <w:tc>
          <w:tcPr>
            <w:tcW w:w="4252" w:type="dxa"/>
            <w:gridSpan w:val="2"/>
            <w:vAlign w:val="center"/>
          </w:tcPr>
          <w:p w14:paraId="264F04B8">
            <w:pPr>
              <w:pStyle w:val="1343"/>
            </w:pPr>
            <w:r>
              <w:t>非甲烷总烃</w:t>
            </w:r>
          </w:p>
        </w:tc>
        <w:tc>
          <w:tcPr>
            <w:tcW w:w="2131" w:type="dxa"/>
            <w:gridSpan w:val="2"/>
            <w:vAlign w:val="center"/>
          </w:tcPr>
          <w:p w14:paraId="4E00E25C">
            <w:pPr>
              <w:pStyle w:val="1343"/>
              <w:rPr>
                <w:rFonts w:hint="default" w:eastAsia="宋体"/>
                <w:highlight w:val="none"/>
                <w:lang w:val="en-US" w:eastAsia="zh-CN"/>
              </w:rPr>
            </w:pPr>
            <w:r>
              <w:rPr>
                <w:rFonts w:hint="eastAsia"/>
                <w:i/>
                <w:iCs/>
                <w:color w:val="auto"/>
                <w:highlight w:val="none"/>
                <w:u w:val="single"/>
                <w:lang w:val="en-US" w:eastAsia="zh-CN"/>
              </w:rPr>
              <w:t>0.025</w:t>
            </w:r>
          </w:p>
        </w:tc>
      </w:tr>
    </w:tbl>
    <w:p w14:paraId="7C114443">
      <w:pPr>
        <w:pStyle w:val="7"/>
        <w:spacing w:before="120" w:beforeLines="50"/>
      </w:pPr>
      <w:r>
        <w:rPr>
          <w:rFonts w:hint="eastAsia"/>
        </w:rPr>
        <w:t xml:space="preserve"> </w:t>
      </w:r>
      <w:r>
        <w:t>非</w:t>
      </w:r>
      <w:r>
        <w:tab/>
      </w:r>
      <w:r>
        <w:t>正常工况</w:t>
      </w:r>
    </w:p>
    <w:p w14:paraId="60392DFB">
      <w:pPr>
        <w:pStyle w:val="234"/>
      </w:pPr>
      <w:r>
        <w:t>非正常工况下，</w:t>
      </w:r>
      <w:r>
        <w:rPr>
          <w:rFonts w:hint="eastAsia"/>
        </w:rPr>
        <w:t>包括耒阳</w:t>
      </w:r>
      <w:r>
        <w:t>分输站过滤分离器检修放空废气</w:t>
      </w:r>
      <w:r>
        <w:rPr>
          <w:rFonts w:hint="eastAsia"/>
        </w:rPr>
        <w:t>、</w:t>
      </w:r>
      <w:r>
        <w:t>系统超压放空废气</w:t>
      </w:r>
      <w:r>
        <w:rPr>
          <w:rFonts w:hint="eastAsia"/>
        </w:rPr>
        <w:t>和备用柴油发电机燃烧烟气。</w:t>
      </w:r>
    </w:p>
    <w:p w14:paraId="6B1A8A64">
      <w:pPr>
        <w:pStyle w:val="234"/>
      </w:pPr>
      <w:r>
        <w:t>（</w:t>
      </w:r>
      <w:r>
        <w:rPr>
          <w:rFonts w:hint="eastAsia"/>
        </w:rPr>
        <w:t>1</w:t>
      </w:r>
      <w:r>
        <w:t>）过滤分离器检修放空废气</w:t>
      </w:r>
    </w:p>
    <w:p w14:paraId="5897B23E">
      <w:pPr>
        <w:pStyle w:val="234"/>
      </w:pPr>
      <w:r>
        <w:rPr>
          <w:rFonts w:hint="eastAsia"/>
        </w:rPr>
        <w:t>耒阳</w:t>
      </w:r>
      <w:r>
        <w:t>分输站过滤分离器一般每年需要进行</w:t>
      </w:r>
      <w:r>
        <w:rPr>
          <w:rFonts w:hint="eastAsia"/>
        </w:rPr>
        <w:t>2</w:t>
      </w:r>
      <w:r>
        <w:t>次定期检修，分离器检修</w:t>
      </w:r>
      <w:r>
        <w:rPr>
          <w:rFonts w:hint="eastAsia"/>
        </w:rPr>
        <w:t>泄漏</w:t>
      </w:r>
      <w:r>
        <w:t>的少量天然气将通过工艺站场</w:t>
      </w:r>
      <w:r>
        <w:rPr>
          <w:rFonts w:hint="eastAsia"/>
        </w:rPr>
        <w:t>新建15m高</w:t>
      </w:r>
      <w:r>
        <w:t>放空</w:t>
      </w:r>
      <w:r>
        <w:rPr>
          <w:rFonts w:hint="eastAsia"/>
        </w:rPr>
        <w:t>立管</w:t>
      </w:r>
      <w:r>
        <w:t>直接排放</w:t>
      </w:r>
      <w:r>
        <w:rPr>
          <w:rFonts w:hint="eastAsia"/>
        </w:rPr>
        <w:t>。根据工程分析，本工程过滤分离器检修放空废气中</w:t>
      </w:r>
      <w:r>
        <w:t>天然气排放量约为20m</w:t>
      </w:r>
      <w:r>
        <w:rPr>
          <w:vertAlign w:val="superscript"/>
        </w:rPr>
        <w:t>3</w:t>
      </w:r>
      <w:r>
        <w:t>/次</w:t>
      </w:r>
      <w:r>
        <w:rPr>
          <w:rFonts w:hint="eastAsia"/>
        </w:rPr>
        <w:t>，非甲烷总烃排放量为0.002t/a</w:t>
      </w:r>
      <w:r>
        <w:t>，排放量较少，对周边</w:t>
      </w:r>
      <w:r>
        <w:rPr>
          <w:rFonts w:hint="eastAsia"/>
        </w:rPr>
        <w:t>大气</w:t>
      </w:r>
      <w:r>
        <w:t>环境影响较小。</w:t>
      </w:r>
    </w:p>
    <w:p w14:paraId="35FED4FA">
      <w:pPr>
        <w:pStyle w:val="234"/>
      </w:pPr>
      <w:r>
        <w:t>（</w:t>
      </w:r>
      <w:r>
        <w:rPr>
          <w:rFonts w:hint="eastAsia"/>
        </w:rPr>
        <w:t>2</w:t>
      </w:r>
      <w:r>
        <w:t>）超压放空废气</w:t>
      </w:r>
    </w:p>
    <w:p w14:paraId="3CC6B965">
      <w:pPr>
        <w:pStyle w:val="234"/>
      </w:pPr>
      <w:r>
        <w:t>本工程系统超压将排放一定的天然气，放空频率为1～2次/年，且持续时间约15min左右</w:t>
      </w:r>
      <w:r>
        <w:rPr>
          <w:rFonts w:hint="eastAsia"/>
        </w:rPr>
        <w:t>，天然气放空量约2000m</w:t>
      </w:r>
      <w:r>
        <w:rPr>
          <w:rFonts w:hint="eastAsia"/>
          <w:vertAlign w:val="superscript"/>
        </w:rPr>
        <w:t>3</w:t>
      </w:r>
      <w:r>
        <w:rPr>
          <w:rFonts w:hint="eastAsia"/>
        </w:rPr>
        <w:t>/次，经计算，超压放空废气非甲烷总烃排放量为0.242t/a。耒阳</w:t>
      </w:r>
      <w:r>
        <w:t>分输站系统超压废气放空通过工艺站场</w:t>
      </w:r>
      <w:r>
        <w:rPr>
          <w:rFonts w:hint="eastAsia"/>
        </w:rPr>
        <w:t>新建15m高</w:t>
      </w:r>
      <w:r>
        <w:t>放空</w:t>
      </w:r>
      <w:r>
        <w:rPr>
          <w:rFonts w:hint="eastAsia"/>
        </w:rPr>
        <w:t>立管</w:t>
      </w:r>
      <w:r>
        <w:t>直接排放。超压时产生的天然气对环境有短时的影响，待放空结束后可恢复正常，该影响将随之消失。</w:t>
      </w:r>
    </w:p>
    <w:p w14:paraId="7B80E608">
      <w:pPr>
        <w:pStyle w:val="234"/>
        <w:rPr>
          <w:rFonts w:hint="eastAsia"/>
          <w:i/>
          <w:iCs/>
          <w:color w:val="auto"/>
          <w:u w:val="single"/>
          <w:lang w:val="en-US" w:eastAsia="zh-CN"/>
        </w:rPr>
      </w:pPr>
      <w:r>
        <w:rPr>
          <w:rFonts w:hint="eastAsia"/>
          <w:i/>
          <w:iCs/>
          <w:color w:val="auto"/>
          <w:u w:val="single"/>
          <w:lang w:val="en-US" w:eastAsia="zh-CN"/>
        </w:rPr>
        <w:t>非正常情况下放空废气通过站场外15m高放空立管排放，由于天然气密度较轻，对敏感点来说，从落地浓度达到最大到稀释达标，一般不会超过3min~5min，不会对周围环境造成明显的不利影响，对周围环境的影响也将会更小。</w:t>
      </w:r>
    </w:p>
    <w:p w14:paraId="49BC5AB7">
      <w:pPr>
        <w:pStyle w:val="23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i/>
          <w:iCs/>
          <w:color w:val="auto"/>
          <w:u w:val="single"/>
          <w:lang w:val="en-US" w:eastAsia="zh-CN"/>
        </w:rPr>
      </w:pPr>
      <w:r>
        <w:rPr>
          <w:rFonts w:hint="default" w:ascii="Times New Roman" w:hAnsi="Times New Roman" w:eastAsia="宋体" w:cs="Times New Roman"/>
          <w:i/>
          <w:iCs/>
          <w:color w:val="auto"/>
          <w:u w:val="single"/>
          <w:lang w:val="en-US" w:eastAsia="zh-CN"/>
        </w:rPr>
        <w:t>①</w:t>
      </w:r>
      <w:r>
        <w:rPr>
          <w:rFonts w:hint="eastAsia"/>
          <w:i/>
          <w:iCs/>
          <w:color w:val="auto"/>
          <w:u w:val="single"/>
          <w:lang w:val="en-US" w:eastAsia="zh-CN"/>
        </w:rPr>
        <w:t>铜角湾：距离本项目耒阳分输站最近的敏感目标为铜角湾，位于放空立管东侧190m，场界东侧220m，分布有居民约130人，耒阳分输站工艺设备区设30m的防火间距，放空立管设置60m的防火间距，当地常年主导风为西北风，铜角湾位于侧风向，且有山体和树林阻隔，受非正常情况放空废气的影响较小。</w:t>
      </w:r>
    </w:p>
    <w:p w14:paraId="1ECC542F">
      <w:pPr>
        <w:pStyle w:val="23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eastAsia="宋体"/>
          <w:i/>
          <w:iCs/>
          <w:color w:val="auto"/>
          <w:u w:val="single"/>
          <w:lang w:val="en-US" w:eastAsia="zh-CN"/>
        </w:rPr>
      </w:pPr>
      <w:r>
        <w:rPr>
          <w:rFonts w:hint="default" w:ascii="Times New Roman" w:hAnsi="Times New Roman" w:eastAsia="宋体" w:cs="Times New Roman"/>
          <w:i/>
          <w:iCs/>
          <w:color w:val="auto"/>
          <w:u w:val="single"/>
          <w:lang w:val="en-US" w:eastAsia="zh-CN"/>
        </w:rPr>
        <w:t>②</w:t>
      </w:r>
      <w:r>
        <w:rPr>
          <w:rFonts w:hint="eastAsia"/>
          <w:i/>
          <w:iCs/>
          <w:color w:val="auto"/>
          <w:u w:val="single"/>
          <w:lang w:val="en-US" w:eastAsia="zh-CN"/>
        </w:rPr>
        <w:t>曾家：位于放空立管和厂界东南侧340m，分布有居民约110人，耒阳分输站工艺设备区设30m的防火间距，放空立管设置60m的防火间距，当地常年主导风为西北风，曾家位于下风向，但有山体和树林阻隔，受非正常情况放空废气的影响较小。</w:t>
      </w:r>
    </w:p>
    <w:p w14:paraId="25A305FD">
      <w:pPr>
        <w:pStyle w:val="23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eastAsia="宋体"/>
          <w:i/>
          <w:iCs/>
          <w:color w:val="auto"/>
          <w:u w:val="single"/>
          <w:lang w:val="en-US" w:eastAsia="zh-CN"/>
        </w:rPr>
      </w:pPr>
      <w:r>
        <w:rPr>
          <w:rFonts w:hint="default" w:ascii="Times New Roman" w:hAnsi="Times New Roman" w:eastAsia="宋体" w:cs="Times New Roman"/>
          <w:i/>
          <w:iCs/>
          <w:color w:val="auto"/>
          <w:u w:val="single"/>
          <w:lang w:val="en-US" w:eastAsia="zh-CN"/>
        </w:rPr>
        <w:t>③</w:t>
      </w:r>
      <w:r>
        <w:rPr>
          <w:rFonts w:hint="eastAsia"/>
          <w:i/>
          <w:iCs/>
          <w:color w:val="auto"/>
          <w:u w:val="single"/>
          <w:lang w:val="en-US" w:eastAsia="zh-CN"/>
        </w:rPr>
        <w:t>蒋家冲：位于放空立管西北侧350m，场界西北侧290m，分布有居民约80人，耒阳分输站工艺设备区设30m的防火间距，放空立管设置60m的防火间距，当地常年主导风为西北风，蒋家冲位于上风向，且有山体和树林阻隔，受非正常情况放空废气的影响较小。</w:t>
      </w:r>
    </w:p>
    <w:p w14:paraId="649284E7">
      <w:pPr>
        <w:pStyle w:val="234"/>
      </w:pPr>
      <w:r>
        <w:rPr>
          <w:rFonts w:hint="eastAsia"/>
        </w:rPr>
        <w:t>根据建设单位同类项目运行情况，非正常工况放空次数少，排放持续时间短，放空排放天然气量很少，项目所在地区较为空旷，空气流通条件较好，放空天然气在短时间内得到稀释、扩散。因此，非正常工况下放空天然气</w:t>
      </w:r>
      <w:r>
        <w:t>对周边</w:t>
      </w:r>
      <w:r>
        <w:rPr>
          <w:rFonts w:hint="eastAsia"/>
        </w:rPr>
        <w:t>大气</w:t>
      </w:r>
      <w:r>
        <w:t>环境影响较小。</w:t>
      </w:r>
    </w:p>
    <w:p w14:paraId="3BE75BAB">
      <w:pPr>
        <w:pStyle w:val="234"/>
      </w:pPr>
      <w:r>
        <w:rPr>
          <w:rFonts w:hint="eastAsia"/>
        </w:rPr>
        <w:t>（3）柴油发电机燃烧烟气</w:t>
      </w:r>
    </w:p>
    <w:p w14:paraId="4AFE4F6F">
      <w:pPr>
        <w:pStyle w:val="234"/>
      </w:pPr>
      <w:r>
        <w:rPr>
          <w:rFonts w:hint="eastAsia"/>
        </w:rPr>
        <w:t>耒阳分输站自备一台柴油发电机组，在停电时作为备用电源启动，柴油发电机运转时产生燃烧烟气，主要污染物为SO</w:t>
      </w:r>
      <w:r>
        <w:rPr>
          <w:rFonts w:hint="eastAsia"/>
          <w:vertAlign w:val="subscript"/>
        </w:rPr>
        <w:t>2</w:t>
      </w:r>
      <w:r>
        <w:rPr>
          <w:rFonts w:hint="eastAsia"/>
        </w:rPr>
        <w:t>、NO</w:t>
      </w:r>
      <w:r>
        <w:rPr>
          <w:rFonts w:hint="eastAsia"/>
          <w:vertAlign w:val="subscript"/>
        </w:rPr>
        <w:t>X</w:t>
      </w:r>
      <w:r>
        <w:rPr>
          <w:rFonts w:hint="eastAsia"/>
        </w:rPr>
        <w:t>、颗粒物，因运转时间较短，污染物产生量很少，对周围环境空气的影响很小。</w:t>
      </w:r>
    </w:p>
    <w:p w14:paraId="143EA295">
      <w:pPr>
        <w:pStyle w:val="7"/>
      </w:pPr>
      <w:r>
        <w:rPr>
          <w:rFonts w:hint="eastAsia"/>
        </w:rPr>
        <w:t>大气环境防护距离</w:t>
      </w:r>
    </w:p>
    <w:p w14:paraId="2378B478">
      <w:pPr>
        <w:pStyle w:val="234"/>
      </w:pPr>
      <w:r>
        <w:rPr>
          <w:rFonts w:hint="eastAsia"/>
        </w:rPr>
        <w:t>根据估算模式估算结果，本工程大气环境影响评价等级</w:t>
      </w:r>
      <w:r>
        <w:rPr>
          <w:rFonts w:hint="eastAsia"/>
          <w:highlight w:val="none"/>
        </w:rPr>
        <w:t>为</w:t>
      </w:r>
      <w:r>
        <w:rPr>
          <w:rFonts w:hint="eastAsia"/>
          <w:color w:val="FF0000"/>
          <w:highlight w:val="none"/>
          <w:lang w:val="en-US" w:eastAsia="zh-CN"/>
        </w:rPr>
        <w:t>三</w:t>
      </w:r>
      <w:r>
        <w:rPr>
          <w:rFonts w:hint="eastAsia"/>
          <w:color w:val="FF0000"/>
          <w:highlight w:val="none"/>
        </w:rPr>
        <w:t>级评价</w:t>
      </w:r>
      <w:r>
        <w:rPr>
          <w:rFonts w:hint="eastAsia"/>
          <w:highlight w:val="none"/>
        </w:rPr>
        <w:t>，无需设</w:t>
      </w:r>
      <w:r>
        <w:rPr>
          <w:rFonts w:hint="eastAsia"/>
        </w:rPr>
        <w:t>置大气环境防护距离。</w:t>
      </w:r>
    </w:p>
    <w:p w14:paraId="2D91A8B9">
      <w:pPr>
        <w:pStyle w:val="7"/>
      </w:pPr>
      <w:r>
        <w:t>小结</w:t>
      </w:r>
    </w:p>
    <w:p w14:paraId="7D2B2FB1">
      <w:pPr>
        <w:pStyle w:val="234"/>
      </w:pPr>
      <w:r>
        <w:t>本工程运营期各站场无组织排放的非甲烷总烃</w:t>
      </w:r>
      <w:r>
        <w:rPr>
          <w:rFonts w:hint="eastAsia"/>
        </w:rPr>
        <w:t>能够</w:t>
      </w:r>
      <w:r>
        <w:t>满足《</w:t>
      </w:r>
      <w:r>
        <w:rPr>
          <w:rFonts w:hint="eastAsia"/>
        </w:rPr>
        <w:t>大气污染物综合排放标准</w:t>
      </w:r>
      <w:r>
        <w:t>》(</w:t>
      </w:r>
      <w:r>
        <w:rPr>
          <w:rFonts w:hint="eastAsia"/>
        </w:rPr>
        <w:t>GB16297-1996</w:t>
      </w:r>
      <w:r>
        <w:t>)表2中厂界监控点浓度限值，各站场排放的污染物对</w:t>
      </w:r>
      <w:r>
        <w:rPr>
          <w:rFonts w:hint="eastAsia"/>
        </w:rPr>
        <w:t>大气</w:t>
      </w:r>
      <w:r>
        <w:t>环境的影响较小，运营期管道密闭输送，无废气产生。工程建设对</w:t>
      </w:r>
      <w:r>
        <w:rPr>
          <w:rFonts w:hint="eastAsia"/>
        </w:rPr>
        <w:t>周边</w:t>
      </w:r>
      <w:r>
        <w:t>环境空气质量影响很小</w:t>
      </w:r>
      <w:r>
        <w:rPr>
          <w:rFonts w:hint="eastAsia"/>
        </w:rPr>
        <w:t>，环境影响可以接受</w:t>
      </w:r>
      <w:r>
        <w:t>。</w:t>
      </w:r>
    </w:p>
    <w:p w14:paraId="71459841">
      <w:pPr>
        <w:pStyle w:val="5"/>
        <w:rPr>
          <w:color w:val="auto"/>
        </w:rPr>
      </w:pPr>
      <w:r>
        <w:rPr>
          <w:color w:val="auto"/>
        </w:rPr>
        <w:t xml:space="preserve"> 地表水环境影响评价</w:t>
      </w:r>
    </w:p>
    <w:p w14:paraId="0FAC7D63">
      <w:pPr>
        <w:pStyle w:val="234"/>
      </w:pPr>
      <w:r>
        <w:t>运营期由于采用密闭输气工艺，正常情况下无生产废水产生。本工程</w:t>
      </w:r>
      <w:r>
        <w:rPr>
          <w:rFonts w:hint="eastAsia"/>
        </w:rPr>
        <w:t>依托的28号阀室及新建耒阳分输站均为无人值守站，耒阳分输站仅巡检人员会产生少量生活污水，排入站内撬装卫生间，定期委托拉运处理，不会对周围地表水环境产生影响</w:t>
      </w:r>
      <w:r>
        <w:t>。</w:t>
      </w:r>
    </w:p>
    <w:p w14:paraId="75AF3A2D">
      <w:pPr>
        <w:pStyle w:val="234"/>
      </w:pPr>
      <w:r>
        <w:t>正常工况下，由于输气管线是全封闭系统，采用防腐层和阴极保护联合方式，输运的天然气不会与管线</w:t>
      </w:r>
      <w:r>
        <w:rPr>
          <w:rFonts w:hint="eastAsia"/>
        </w:rPr>
        <w:t>附近</w:t>
      </w:r>
      <w:r>
        <w:t>的</w:t>
      </w:r>
      <w:r>
        <w:rPr>
          <w:rFonts w:hint="eastAsia"/>
        </w:rPr>
        <w:t>地表</w:t>
      </w:r>
      <w:r>
        <w:t>水体之间发生联系，运营期对</w:t>
      </w:r>
      <w:r>
        <w:rPr>
          <w:rFonts w:hint="eastAsia"/>
        </w:rPr>
        <w:t>管线附近的坑塘</w:t>
      </w:r>
      <w:r>
        <w:t>不会造成影响</w:t>
      </w:r>
      <w:r>
        <w:rPr>
          <w:rFonts w:hint="eastAsia"/>
        </w:rPr>
        <w:t>。</w:t>
      </w:r>
      <w:r>
        <w:t>由于天然气密度比空气小，沸点极低</w:t>
      </w:r>
      <w:r>
        <w:rPr>
          <w:rFonts w:hint="eastAsia"/>
        </w:rPr>
        <w:t>（</w:t>
      </w:r>
      <w:r>
        <w:t>-161.5℃</w:t>
      </w:r>
      <w:r>
        <w:rPr>
          <w:rFonts w:hint="eastAsia"/>
        </w:rPr>
        <w:t>）</w:t>
      </w:r>
      <w:r>
        <w:t>，且几乎不溶于水，</w:t>
      </w:r>
      <w:r>
        <w:rPr>
          <w:rFonts w:hint="eastAsia"/>
        </w:rPr>
        <w:t>因此，在输气管线</w:t>
      </w:r>
      <w:r>
        <w:t>发生泄漏事故</w:t>
      </w:r>
      <w:r>
        <w:rPr>
          <w:rFonts w:hint="eastAsia"/>
        </w:rPr>
        <w:t>时</w:t>
      </w:r>
      <w:r>
        <w:t>，天然气对水质的直接影响很小。</w:t>
      </w:r>
    </w:p>
    <w:p w14:paraId="3554F148">
      <w:pPr>
        <w:pStyle w:val="234"/>
      </w:pPr>
      <w:r>
        <w:rPr>
          <w:rFonts w:hint="eastAsia"/>
        </w:rPr>
        <w:t>本工程</w:t>
      </w:r>
      <w:r>
        <w:t>运营管理中要制定严格有效的日常管理和抢险维修制度，加强日常巡检和各种内外检测工作，做好应急抢险演练，及时发现第三方施工、地质灾害等危及管道安全</w:t>
      </w:r>
      <w:r>
        <w:rPr>
          <w:rFonts w:hint="eastAsia"/>
        </w:rPr>
        <w:t>运行</w:t>
      </w:r>
      <w:r>
        <w:t>的现象，提高应对管道风险能力。同时对植被破坏地段及时修复，将环境风险的影响降到最低。</w:t>
      </w:r>
    </w:p>
    <w:p w14:paraId="689F3A34">
      <w:pPr>
        <w:pStyle w:val="234"/>
      </w:pPr>
      <w:r>
        <w:t>采取以上措施后</w:t>
      </w:r>
      <w:r>
        <w:rPr>
          <w:rFonts w:hint="eastAsia"/>
        </w:rPr>
        <w:t>，</w:t>
      </w:r>
      <w:r>
        <w:t>本工程运营期对周边</w:t>
      </w:r>
      <w:r>
        <w:rPr>
          <w:rFonts w:hint="eastAsia"/>
        </w:rPr>
        <w:t>地表</w:t>
      </w:r>
      <w:r>
        <w:t>水环境影响较小。</w:t>
      </w:r>
    </w:p>
    <w:p w14:paraId="24C6C9A3">
      <w:pPr>
        <w:pStyle w:val="5"/>
        <w:rPr>
          <w:color w:val="auto"/>
        </w:rPr>
      </w:pPr>
      <w:r>
        <w:rPr>
          <w:color w:val="auto"/>
        </w:rPr>
        <w:t xml:space="preserve"> 地下水环境影响评价</w:t>
      </w:r>
    </w:p>
    <w:p w14:paraId="206057D9">
      <w:pPr>
        <w:pStyle w:val="234"/>
      </w:pPr>
      <w:r>
        <w:t>运营期管线埋设于地下，管道输送介质为天然气，</w:t>
      </w:r>
      <w:r>
        <w:rPr>
          <w:rFonts w:hint="eastAsia"/>
        </w:rPr>
        <w:t>主要成分</w:t>
      </w:r>
      <w:r>
        <w:t>为不含水的甲烷气体，运营期间无废水产生。</w:t>
      </w:r>
      <w:r>
        <w:rPr>
          <w:rFonts w:hint="eastAsia"/>
        </w:rPr>
        <w:t>管道防腐设计严格按照相关规定，采用外防腐层和阴极保护联合保护的方案对管道进行保护</w:t>
      </w:r>
      <w:r>
        <w:t>，因此</w:t>
      </w:r>
      <w:r>
        <w:rPr>
          <w:rFonts w:hint="eastAsia"/>
        </w:rPr>
        <w:t>，</w:t>
      </w:r>
      <w:r>
        <w:t>正常状态下</w:t>
      </w:r>
      <w:r>
        <w:rPr>
          <w:rFonts w:hint="eastAsia"/>
        </w:rPr>
        <w:t>本工程</w:t>
      </w:r>
      <w:r>
        <w:t>对地下水环境无影响。</w:t>
      </w:r>
    </w:p>
    <w:p w14:paraId="7B847B8B">
      <w:pPr>
        <w:pStyle w:val="234"/>
      </w:pPr>
      <w:r>
        <w:t>运营期事故状态下当管线发生破损(由于腐蚀、焊接缺陷、位移变形、外力破损等)发生天然气</w:t>
      </w:r>
      <w:r>
        <w:rPr>
          <w:rFonts w:hint="eastAsia"/>
        </w:rPr>
        <w:t>泄漏</w:t>
      </w:r>
      <w:r>
        <w:t>时，绝大部分天然气会通过包气带向外散逸，仅可能有极少量天然气体会滞留于土壤孔隙中。由于天然气难溶于水，因此即使发生降雨时，天然气也难以随雨水向下入渗进入含水层。同时考虑到区域包气带岩土层天然防渗性能较好，可以有效防止污染物下渗污染地下水。因此事故状态下管线破损不会对区域地下水环境产生不良影响。</w:t>
      </w:r>
    </w:p>
    <w:p w14:paraId="5579D958">
      <w:pPr>
        <w:pStyle w:val="234"/>
      </w:pPr>
      <w:r>
        <w:rPr>
          <w:rFonts w:hint="eastAsia"/>
        </w:rPr>
        <w:t>运营期产生的分离器检修废渣排入工艺装置区西侧地下排污池中，排污池池壁为混凝土；废滤芯及废铅酸蓄电池在耒阳分输站东北角危废暂存间储存，排污池及危废暂存间的建设均符合《危险废物贮存污染控制标准》（GB18597-2023）标准要求，正常运营工况下不会发生泄漏从而影响地下水环境。柴油发电机常规储存140L柴油，正常状况下不会发生泄漏，且柴油发电机房地面为混凝土，门口设门槛，若发生泄漏可控制在发电机房内，且不会渗入地下。因此本工程暂存的危险废物及危险物质不会对地下水环境造成影响。</w:t>
      </w:r>
    </w:p>
    <w:p w14:paraId="4783403D">
      <w:pPr>
        <w:pStyle w:val="234"/>
      </w:pPr>
      <w:r>
        <w:t>综上所述，本工程运营期对地下水环境影响较小。</w:t>
      </w:r>
    </w:p>
    <w:p w14:paraId="04B79786">
      <w:pPr>
        <w:pStyle w:val="5"/>
        <w:rPr>
          <w:color w:val="auto"/>
        </w:rPr>
      </w:pPr>
      <w:r>
        <w:rPr>
          <w:color w:val="auto"/>
        </w:rPr>
        <w:t xml:space="preserve"> 声环境影响评价</w:t>
      </w:r>
    </w:p>
    <w:p w14:paraId="7D0E5A63">
      <w:pPr>
        <w:pStyle w:val="7"/>
      </w:pPr>
      <w:r>
        <w:rPr>
          <w:rFonts w:hint="eastAsia"/>
        </w:rPr>
        <w:t xml:space="preserve"> </w:t>
      </w:r>
      <w:r>
        <w:t>运营期主要噪声源</w:t>
      </w:r>
    </w:p>
    <w:p w14:paraId="0CD5838A">
      <w:pPr>
        <w:pStyle w:val="234"/>
      </w:pPr>
      <w:r>
        <w:t>本工程运营期主要噪声源为</w:t>
      </w:r>
      <w:r>
        <w:rPr>
          <w:rFonts w:hint="eastAsia"/>
        </w:rPr>
        <w:t>耒阳分输站新建</w:t>
      </w:r>
      <w:r>
        <w:t>过滤分离器机械设备</w:t>
      </w:r>
      <w:r>
        <w:rPr>
          <w:rFonts w:hint="eastAsia"/>
        </w:rPr>
        <w:t>、无</w:t>
      </w:r>
      <w:r>
        <w:t>压缩机等加压设备。另放空管在放空时，由于压力较大，产生瞬时峰值噪声，</w:t>
      </w:r>
      <w:r>
        <w:rPr>
          <w:rFonts w:hint="eastAsia"/>
        </w:rPr>
        <w:t>噪声值可达95dB(A)~105dB(A)。</w:t>
      </w:r>
      <w:r>
        <w:t>由于放空属于非正常工况，每次持续</w:t>
      </w:r>
      <w:r>
        <w:rPr>
          <w:rFonts w:hint="eastAsia"/>
        </w:rPr>
        <w:t>很短</w:t>
      </w:r>
      <w:r>
        <w:t>，不作为日常噪声源强。运营期场站正常工况</w:t>
      </w:r>
      <w:r>
        <w:rPr>
          <w:rFonts w:hint="eastAsia"/>
        </w:rPr>
        <w:t>下</w:t>
      </w:r>
      <w:r>
        <w:t>主要噪声源见表6.2-5。</w:t>
      </w:r>
    </w:p>
    <w:p w14:paraId="3C9FD41E">
      <w:pPr>
        <w:pStyle w:val="904"/>
      </w:pPr>
      <w:r>
        <w:t xml:space="preserve">表6.2-5 </w:t>
      </w:r>
      <w:r>
        <w:rPr>
          <w:rFonts w:hint="eastAsia"/>
        </w:rPr>
        <w:t>耒阳分输</w:t>
      </w:r>
      <w:r>
        <w:t>站正常工况下主要</w:t>
      </w:r>
      <w:r>
        <w:rPr>
          <w:rFonts w:hint="eastAsia"/>
        </w:rPr>
        <w:t>新增</w:t>
      </w:r>
      <w:r>
        <w:t>噪声源一览表</w:t>
      </w:r>
    </w:p>
    <w:tbl>
      <w:tblPr>
        <w:tblStyle w:val="88"/>
        <w:tblW w:w="49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35"/>
        <w:gridCol w:w="1326"/>
        <w:gridCol w:w="1597"/>
        <w:gridCol w:w="670"/>
        <w:gridCol w:w="692"/>
        <w:gridCol w:w="702"/>
        <w:gridCol w:w="1060"/>
        <w:gridCol w:w="1151"/>
        <w:gridCol w:w="949"/>
      </w:tblGrid>
      <w:tr w14:paraId="538A0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5" w:type="pct"/>
            <w:vMerge w:val="restart"/>
            <w:vAlign w:val="center"/>
          </w:tcPr>
          <w:p w14:paraId="6D16CFDC">
            <w:pPr>
              <w:jc w:val="center"/>
            </w:pPr>
            <w:r>
              <w:t>序号</w:t>
            </w:r>
          </w:p>
        </w:tc>
        <w:tc>
          <w:tcPr>
            <w:tcW w:w="738" w:type="pct"/>
            <w:vMerge w:val="restart"/>
            <w:vAlign w:val="center"/>
          </w:tcPr>
          <w:p w14:paraId="354261BE">
            <w:pPr>
              <w:jc w:val="center"/>
            </w:pPr>
            <w:r>
              <w:t>设备名称</w:t>
            </w:r>
          </w:p>
        </w:tc>
        <w:tc>
          <w:tcPr>
            <w:tcW w:w="889" w:type="pct"/>
            <w:vMerge w:val="restart"/>
            <w:vAlign w:val="center"/>
          </w:tcPr>
          <w:p w14:paraId="354A7D5D">
            <w:pPr>
              <w:jc w:val="center"/>
            </w:pPr>
            <w:r>
              <w:rPr>
                <w:rFonts w:hint="eastAsia"/>
              </w:rPr>
              <w:t>型号</w:t>
            </w:r>
          </w:p>
        </w:tc>
        <w:tc>
          <w:tcPr>
            <w:tcW w:w="1149" w:type="pct"/>
            <w:gridSpan w:val="3"/>
            <w:vAlign w:val="center"/>
          </w:tcPr>
          <w:p w14:paraId="037AADF5">
            <w:pPr>
              <w:jc w:val="center"/>
            </w:pPr>
            <w:r>
              <w:rPr>
                <w:rFonts w:hint="eastAsia"/>
              </w:rPr>
              <w:t>空间相对位置*/</w:t>
            </w:r>
            <w:r>
              <w:t>m</w:t>
            </w:r>
          </w:p>
        </w:tc>
        <w:tc>
          <w:tcPr>
            <w:tcW w:w="590" w:type="pct"/>
            <w:vMerge w:val="restart"/>
            <w:vAlign w:val="center"/>
          </w:tcPr>
          <w:p w14:paraId="64D1B94C">
            <w:pPr>
              <w:snapToGrid w:val="0"/>
              <w:jc w:val="center"/>
            </w:pPr>
            <w:r>
              <w:rPr>
                <w:rFonts w:hint="eastAsia"/>
              </w:rPr>
              <w:t>声源源强</w:t>
            </w:r>
            <w:r>
              <w:t>（dB（A））</w:t>
            </w:r>
          </w:p>
        </w:tc>
        <w:tc>
          <w:tcPr>
            <w:tcW w:w="641" w:type="pct"/>
            <w:vMerge w:val="restart"/>
            <w:vAlign w:val="center"/>
          </w:tcPr>
          <w:p w14:paraId="1826D6E2">
            <w:pPr>
              <w:jc w:val="center"/>
            </w:pPr>
            <w:r>
              <w:rPr>
                <w:rFonts w:hint="eastAsia"/>
              </w:rPr>
              <w:t>声源控制</w:t>
            </w:r>
          </w:p>
          <w:p w14:paraId="356E34C9">
            <w:pPr>
              <w:jc w:val="center"/>
            </w:pPr>
            <w:r>
              <w:t>措施</w:t>
            </w:r>
          </w:p>
        </w:tc>
        <w:tc>
          <w:tcPr>
            <w:tcW w:w="524" w:type="pct"/>
            <w:vMerge w:val="restart"/>
            <w:vAlign w:val="center"/>
          </w:tcPr>
          <w:p w14:paraId="28EBF72D">
            <w:pPr>
              <w:jc w:val="center"/>
            </w:pPr>
            <w:r>
              <w:rPr>
                <w:rFonts w:hint="eastAsia"/>
              </w:rPr>
              <w:t>运行时段</w:t>
            </w:r>
          </w:p>
        </w:tc>
      </w:tr>
      <w:tr w14:paraId="79765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5" w:type="pct"/>
            <w:vMerge w:val="continue"/>
            <w:vAlign w:val="center"/>
          </w:tcPr>
          <w:p w14:paraId="5CC1A746">
            <w:pPr>
              <w:jc w:val="center"/>
            </w:pPr>
          </w:p>
        </w:tc>
        <w:tc>
          <w:tcPr>
            <w:tcW w:w="738" w:type="pct"/>
            <w:vMerge w:val="continue"/>
            <w:vAlign w:val="center"/>
          </w:tcPr>
          <w:p w14:paraId="3C7CC749">
            <w:pPr>
              <w:jc w:val="center"/>
            </w:pPr>
          </w:p>
        </w:tc>
        <w:tc>
          <w:tcPr>
            <w:tcW w:w="889" w:type="pct"/>
            <w:vMerge w:val="continue"/>
            <w:vAlign w:val="center"/>
          </w:tcPr>
          <w:p w14:paraId="5D266175">
            <w:pPr>
              <w:jc w:val="center"/>
            </w:pPr>
          </w:p>
        </w:tc>
        <w:tc>
          <w:tcPr>
            <w:tcW w:w="373" w:type="pct"/>
            <w:vAlign w:val="center"/>
          </w:tcPr>
          <w:p w14:paraId="296F4344">
            <w:pPr>
              <w:jc w:val="center"/>
            </w:pPr>
            <w:r>
              <w:rPr>
                <w:rFonts w:hint="eastAsia"/>
              </w:rPr>
              <w:t>X</w:t>
            </w:r>
          </w:p>
        </w:tc>
        <w:tc>
          <w:tcPr>
            <w:tcW w:w="385" w:type="pct"/>
            <w:vAlign w:val="center"/>
          </w:tcPr>
          <w:p w14:paraId="455D48B9">
            <w:pPr>
              <w:jc w:val="center"/>
            </w:pPr>
            <w:r>
              <w:rPr>
                <w:rFonts w:hint="eastAsia"/>
              </w:rPr>
              <w:t>Y</w:t>
            </w:r>
          </w:p>
        </w:tc>
        <w:tc>
          <w:tcPr>
            <w:tcW w:w="390" w:type="pct"/>
            <w:vAlign w:val="center"/>
          </w:tcPr>
          <w:p w14:paraId="62551867">
            <w:pPr>
              <w:jc w:val="center"/>
            </w:pPr>
            <w:r>
              <w:rPr>
                <w:rFonts w:hint="eastAsia"/>
              </w:rPr>
              <w:t>Z</w:t>
            </w:r>
          </w:p>
        </w:tc>
        <w:tc>
          <w:tcPr>
            <w:tcW w:w="590" w:type="pct"/>
            <w:vMerge w:val="continue"/>
            <w:vAlign w:val="center"/>
          </w:tcPr>
          <w:p w14:paraId="68253DAD">
            <w:pPr>
              <w:snapToGrid w:val="0"/>
              <w:jc w:val="center"/>
            </w:pPr>
          </w:p>
        </w:tc>
        <w:tc>
          <w:tcPr>
            <w:tcW w:w="641" w:type="pct"/>
            <w:vMerge w:val="continue"/>
            <w:vAlign w:val="center"/>
          </w:tcPr>
          <w:p w14:paraId="10FAC57B">
            <w:pPr>
              <w:jc w:val="center"/>
            </w:pPr>
          </w:p>
        </w:tc>
        <w:tc>
          <w:tcPr>
            <w:tcW w:w="524" w:type="pct"/>
            <w:vMerge w:val="continue"/>
            <w:vAlign w:val="center"/>
          </w:tcPr>
          <w:p w14:paraId="5938836E">
            <w:pPr>
              <w:jc w:val="center"/>
            </w:pPr>
          </w:p>
        </w:tc>
      </w:tr>
      <w:tr w14:paraId="4D056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5" w:type="pct"/>
            <w:vAlign w:val="center"/>
          </w:tcPr>
          <w:p w14:paraId="1300229B">
            <w:pPr>
              <w:jc w:val="center"/>
            </w:pPr>
            <w:r>
              <w:rPr>
                <w:rFonts w:hint="eastAsia"/>
              </w:rPr>
              <w:t>声源</w:t>
            </w:r>
            <w:r>
              <w:t>1</w:t>
            </w:r>
          </w:p>
        </w:tc>
        <w:tc>
          <w:tcPr>
            <w:tcW w:w="738" w:type="pct"/>
            <w:vAlign w:val="center"/>
          </w:tcPr>
          <w:p w14:paraId="62A67A85">
            <w:pPr>
              <w:jc w:val="center"/>
            </w:pPr>
            <w:r>
              <w:t>过滤分离器</w:t>
            </w:r>
          </w:p>
        </w:tc>
        <w:tc>
          <w:tcPr>
            <w:tcW w:w="889" w:type="pct"/>
            <w:vAlign w:val="center"/>
          </w:tcPr>
          <w:p w14:paraId="7896A8C9">
            <w:pPr>
              <w:jc w:val="center"/>
            </w:pPr>
            <w:r>
              <w:rPr>
                <w:rFonts w:hint="eastAsia"/>
                <w:szCs w:val="21"/>
              </w:rPr>
              <w:t xml:space="preserve">Q=50000Nm³/h </w:t>
            </w:r>
          </w:p>
        </w:tc>
        <w:tc>
          <w:tcPr>
            <w:tcW w:w="373" w:type="pct"/>
            <w:vAlign w:val="center"/>
          </w:tcPr>
          <w:p w14:paraId="304B8E2E">
            <w:pPr>
              <w:jc w:val="center"/>
            </w:pPr>
            <w:r>
              <w:rPr>
                <w:rFonts w:hint="eastAsia"/>
              </w:rPr>
              <w:t>25</w:t>
            </w:r>
          </w:p>
        </w:tc>
        <w:tc>
          <w:tcPr>
            <w:tcW w:w="385" w:type="pct"/>
            <w:vAlign w:val="center"/>
          </w:tcPr>
          <w:p w14:paraId="3DE06965">
            <w:pPr>
              <w:jc w:val="center"/>
            </w:pPr>
            <w:r>
              <w:rPr>
                <w:rFonts w:hint="eastAsia"/>
              </w:rPr>
              <w:t>95</w:t>
            </w:r>
          </w:p>
        </w:tc>
        <w:tc>
          <w:tcPr>
            <w:tcW w:w="390" w:type="pct"/>
            <w:vAlign w:val="center"/>
          </w:tcPr>
          <w:p w14:paraId="7BC428CD">
            <w:pPr>
              <w:jc w:val="center"/>
            </w:pPr>
            <w:r>
              <w:t>1.0</w:t>
            </w:r>
          </w:p>
        </w:tc>
        <w:tc>
          <w:tcPr>
            <w:tcW w:w="590" w:type="pct"/>
            <w:vAlign w:val="center"/>
          </w:tcPr>
          <w:p w14:paraId="0547066A">
            <w:pPr>
              <w:jc w:val="center"/>
            </w:pPr>
            <w:r>
              <w:t>75</w:t>
            </w:r>
          </w:p>
        </w:tc>
        <w:tc>
          <w:tcPr>
            <w:tcW w:w="641" w:type="pct"/>
            <w:vMerge w:val="restart"/>
            <w:vAlign w:val="center"/>
          </w:tcPr>
          <w:p w14:paraId="4FBDCA52">
            <w:pPr>
              <w:jc w:val="center"/>
            </w:pPr>
            <w:r>
              <w:rPr>
                <w:rFonts w:hint="eastAsia"/>
              </w:rPr>
              <w:t>选用低噪声设备，</w:t>
            </w:r>
            <w:r>
              <w:t>安装减振装置</w:t>
            </w:r>
          </w:p>
        </w:tc>
        <w:tc>
          <w:tcPr>
            <w:tcW w:w="524" w:type="pct"/>
            <w:vAlign w:val="center"/>
          </w:tcPr>
          <w:p w14:paraId="1E418FC7">
            <w:pPr>
              <w:jc w:val="center"/>
            </w:pPr>
            <w:r>
              <w:rPr>
                <w:rFonts w:hint="eastAsia"/>
              </w:rPr>
              <w:t>2</w:t>
            </w:r>
            <w:r>
              <w:t>4</w:t>
            </w:r>
            <w:r>
              <w:rPr>
                <w:rFonts w:hint="eastAsia"/>
              </w:rPr>
              <w:t>h</w:t>
            </w:r>
            <w:r>
              <w:t>/d</w:t>
            </w:r>
          </w:p>
        </w:tc>
      </w:tr>
      <w:tr w14:paraId="45DA8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5" w:type="pct"/>
            <w:vAlign w:val="center"/>
          </w:tcPr>
          <w:p w14:paraId="0CEFBB6D">
            <w:pPr>
              <w:jc w:val="center"/>
            </w:pPr>
            <w:r>
              <w:rPr>
                <w:rFonts w:hint="eastAsia"/>
              </w:rPr>
              <w:t>声源2</w:t>
            </w:r>
          </w:p>
        </w:tc>
        <w:tc>
          <w:tcPr>
            <w:tcW w:w="738" w:type="pct"/>
            <w:vAlign w:val="center"/>
          </w:tcPr>
          <w:p w14:paraId="758B38C6">
            <w:pPr>
              <w:jc w:val="center"/>
            </w:pPr>
            <w:r>
              <w:t>过滤分离器</w:t>
            </w:r>
          </w:p>
        </w:tc>
        <w:tc>
          <w:tcPr>
            <w:tcW w:w="889" w:type="pct"/>
            <w:vAlign w:val="center"/>
          </w:tcPr>
          <w:p w14:paraId="20E827BC">
            <w:pPr>
              <w:jc w:val="center"/>
            </w:pPr>
            <w:r>
              <w:rPr>
                <w:rFonts w:hint="eastAsia"/>
                <w:szCs w:val="21"/>
              </w:rPr>
              <w:t xml:space="preserve">Q=50000Nm³/h </w:t>
            </w:r>
          </w:p>
        </w:tc>
        <w:tc>
          <w:tcPr>
            <w:tcW w:w="373" w:type="pct"/>
            <w:vAlign w:val="center"/>
          </w:tcPr>
          <w:p w14:paraId="6FD50AD5">
            <w:pPr>
              <w:jc w:val="center"/>
            </w:pPr>
            <w:r>
              <w:rPr>
                <w:rFonts w:hint="eastAsia"/>
              </w:rPr>
              <w:t>30</w:t>
            </w:r>
          </w:p>
        </w:tc>
        <w:tc>
          <w:tcPr>
            <w:tcW w:w="385" w:type="pct"/>
            <w:vAlign w:val="center"/>
          </w:tcPr>
          <w:p w14:paraId="5129115D">
            <w:pPr>
              <w:jc w:val="center"/>
            </w:pPr>
            <w:r>
              <w:rPr>
                <w:rFonts w:hint="eastAsia"/>
              </w:rPr>
              <w:t>97</w:t>
            </w:r>
          </w:p>
        </w:tc>
        <w:tc>
          <w:tcPr>
            <w:tcW w:w="390" w:type="pct"/>
            <w:vAlign w:val="center"/>
          </w:tcPr>
          <w:p w14:paraId="3C62C324">
            <w:pPr>
              <w:jc w:val="center"/>
            </w:pPr>
            <w:r>
              <w:t>1.0</w:t>
            </w:r>
          </w:p>
        </w:tc>
        <w:tc>
          <w:tcPr>
            <w:tcW w:w="590" w:type="pct"/>
            <w:vAlign w:val="center"/>
          </w:tcPr>
          <w:p w14:paraId="3D1E0F9D">
            <w:pPr>
              <w:jc w:val="center"/>
            </w:pPr>
            <w:r>
              <w:t>75</w:t>
            </w:r>
          </w:p>
        </w:tc>
        <w:tc>
          <w:tcPr>
            <w:tcW w:w="641" w:type="pct"/>
            <w:vMerge w:val="continue"/>
            <w:vAlign w:val="center"/>
          </w:tcPr>
          <w:p w14:paraId="38EB9EBD">
            <w:pPr>
              <w:jc w:val="center"/>
            </w:pPr>
          </w:p>
        </w:tc>
        <w:tc>
          <w:tcPr>
            <w:tcW w:w="524" w:type="pct"/>
            <w:vAlign w:val="center"/>
          </w:tcPr>
          <w:p w14:paraId="1F50003A">
            <w:pPr>
              <w:jc w:val="center"/>
            </w:pPr>
            <w:r>
              <w:rPr>
                <w:rFonts w:hint="eastAsia"/>
              </w:rPr>
              <w:t>2</w:t>
            </w:r>
            <w:r>
              <w:t>4</w:t>
            </w:r>
            <w:r>
              <w:rPr>
                <w:rFonts w:hint="eastAsia"/>
              </w:rPr>
              <w:t>h</w:t>
            </w:r>
            <w:r>
              <w:t>/d</w:t>
            </w:r>
          </w:p>
        </w:tc>
      </w:tr>
      <w:tr w14:paraId="687C6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5" w:type="pct"/>
            <w:vAlign w:val="center"/>
          </w:tcPr>
          <w:p w14:paraId="16DE2933">
            <w:pPr>
              <w:jc w:val="center"/>
            </w:pPr>
            <w:r>
              <w:rPr>
                <w:rFonts w:hint="eastAsia"/>
              </w:rPr>
              <w:t>声源3</w:t>
            </w:r>
          </w:p>
        </w:tc>
        <w:tc>
          <w:tcPr>
            <w:tcW w:w="738" w:type="pct"/>
            <w:vAlign w:val="center"/>
          </w:tcPr>
          <w:p w14:paraId="3EA2CD4C">
            <w:pPr>
              <w:jc w:val="center"/>
            </w:pPr>
            <w:r>
              <w:rPr>
                <w:rFonts w:hint="eastAsia"/>
              </w:rPr>
              <w:t>调压串</w:t>
            </w:r>
          </w:p>
        </w:tc>
        <w:tc>
          <w:tcPr>
            <w:tcW w:w="889" w:type="pct"/>
            <w:vAlign w:val="center"/>
          </w:tcPr>
          <w:p w14:paraId="06CDEA59">
            <w:pPr>
              <w:jc w:val="center"/>
              <w:rPr>
                <w:szCs w:val="21"/>
              </w:rPr>
            </w:pPr>
            <w:r>
              <w:rPr>
                <w:rFonts w:hint="eastAsia"/>
                <w:szCs w:val="21"/>
              </w:rPr>
              <w:t>Q=50000Nm³/h</w:t>
            </w:r>
          </w:p>
        </w:tc>
        <w:tc>
          <w:tcPr>
            <w:tcW w:w="373" w:type="pct"/>
            <w:vAlign w:val="center"/>
          </w:tcPr>
          <w:p w14:paraId="6D06D46B">
            <w:pPr>
              <w:jc w:val="center"/>
            </w:pPr>
            <w:r>
              <w:rPr>
                <w:rFonts w:hint="eastAsia"/>
              </w:rPr>
              <w:t>25</w:t>
            </w:r>
          </w:p>
        </w:tc>
        <w:tc>
          <w:tcPr>
            <w:tcW w:w="385" w:type="pct"/>
            <w:vAlign w:val="center"/>
          </w:tcPr>
          <w:p w14:paraId="598216A4">
            <w:pPr>
              <w:jc w:val="center"/>
            </w:pPr>
            <w:r>
              <w:rPr>
                <w:rFonts w:hint="eastAsia"/>
              </w:rPr>
              <w:t>70</w:t>
            </w:r>
          </w:p>
        </w:tc>
        <w:tc>
          <w:tcPr>
            <w:tcW w:w="390" w:type="pct"/>
            <w:vAlign w:val="center"/>
          </w:tcPr>
          <w:p w14:paraId="7C2D6D50">
            <w:pPr>
              <w:jc w:val="center"/>
            </w:pPr>
            <w:r>
              <w:t>1.0</w:t>
            </w:r>
          </w:p>
        </w:tc>
        <w:tc>
          <w:tcPr>
            <w:tcW w:w="590" w:type="pct"/>
            <w:vAlign w:val="center"/>
          </w:tcPr>
          <w:p w14:paraId="62897E0A">
            <w:pPr>
              <w:jc w:val="center"/>
            </w:pPr>
            <w:r>
              <w:t>70</w:t>
            </w:r>
          </w:p>
        </w:tc>
        <w:tc>
          <w:tcPr>
            <w:tcW w:w="641" w:type="pct"/>
            <w:vMerge w:val="continue"/>
            <w:vAlign w:val="center"/>
          </w:tcPr>
          <w:p w14:paraId="111F2E70">
            <w:pPr>
              <w:jc w:val="center"/>
            </w:pPr>
          </w:p>
        </w:tc>
        <w:tc>
          <w:tcPr>
            <w:tcW w:w="524" w:type="pct"/>
            <w:vAlign w:val="center"/>
          </w:tcPr>
          <w:p w14:paraId="654D7A04">
            <w:pPr>
              <w:jc w:val="center"/>
            </w:pPr>
            <w:r>
              <w:rPr>
                <w:rFonts w:hint="eastAsia"/>
              </w:rPr>
              <w:t>2</w:t>
            </w:r>
            <w:r>
              <w:t>4</w:t>
            </w:r>
            <w:r>
              <w:rPr>
                <w:rFonts w:hint="eastAsia"/>
              </w:rPr>
              <w:t>h</w:t>
            </w:r>
            <w:r>
              <w:t>/d</w:t>
            </w:r>
          </w:p>
        </w:tc>
      </w:tr>
      <w:tr w14:paraId="5E333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5" w:type="pct"/>
            <w:vAlign w:val="center"/>
          </w:tcPr>
          <w:p w14:paraId="0AB66853">
            <w:pPr>
              <w:jc w:val="center"/>
            </w:pPr>
            <w:r>
              <w:rPr>
                <w:rFonts w:hint="eastAsia"/>
              </w:rPr>
              <w:t>声源4</w:t>
            </w:r>
          </w:p>
        </w:tc>
        <w:tc>
          <w:tcPr>
            <w:tcW w:w="738" w:type="pct"/>
            <w:vAlign w:val="center"/>
          </w:tcPr>
          <w:p w14:paraId="1C5C4A1D">
            <w:pPr>
              <w:jc w:val="center"/>
            </w:pPr>
            <w:r>
              <w:rPr>
                <w:rFonts w:hint="eastAsia"/>
              </w:rPr>
              <w:t>调压串</w:t>
            </w:r>
          </w:p>
        </w:tc>
        <w:tc>
          <w:tcPr>
            <w:tcW w:w="889" w:type="pct"/>
            <w:vAlign w:val="center"/>
          </w:tcPr>
          <w:p w14:paraId="712964D0">
            <w:pPr>
              <w:jc w:val="center"/>
              <w:rPr>
                <w:szCs w:val="21"/>
              </w:rPr>
            </w:pPr>
            <w:r>
              <w:rPr>
                <w:rFonts w:hint="eastAsia"/>
                <w:szCs w:val="21"/>
              </w:rPr>
              <w:t>Q=50000Nm³/h</w:t>
            </w:r>
          </w:p>
        </w:tc>
        <w:tc>
          <w:tcPr>
            <w:tcW w:w="373" w:type="pct"/>
            <w:vAlign w:val="center"/>
          </w:tcPr>
          <w:p w14:paraId="33618969">
            <w:pPr>
              <w:jc w:val="center"/>
            </w:pPr>
            <w:r>
              <w:rPr>
                <w:rFonts w:hint="eastAsia"/>
              </w:rPr>
              <w:t>30</w:t>
            </w:r>
          </w:p>
        </w:tc>
        <w:tc>
          <w:tcPr>
            <w:tcW w:w="385" w:type="pct"/>
            <w:vAlign w:val="center"/>
          </w:tcPr>
          <w:p w14:paraId="121F7697">
            <w:pPr>
              <w:jc w:val="center"/>
            </w:pPr>
            <w:r>
              <w:rPr>
                <w:rFonts w:hint="eastAsia"/>
              </w:rPr>
              <w:t>75</w:t>
            </w:r>
          </w:p>
        </w:tc>
        <w:tc>
          <w:tcPr>
            <w:tcW w:w="390" w:type="pct"/>
            <w:vAlign w:val="center"/>
          </w:tcPr>
          <w:p w14:paraId="468CDA93">
            <w:pPr>
              <w:jc w:val="center"/>
            </w:pPr>
            <w:r>
              <w:t>1.0</w:t>
            </w:r>
          </w:p>
        </w:tc>
        <w:tc>
          <w:tcPr>
            <w:tcW w:w="590" w:type="pct"/>
            <w:vAlign w:val="center"/>
          </w:tcPr>
          <w:p w14:paraId="4A1D808B">
            <w:pPr>
              <w:jc w:val="center"/>
            </w:pPr>
            <w:r>
              <w:t>70</w:t>
            </w:r>
          </w:p>
        </w:tc>
        <w:tc>
          <w:tcPr>
            <w:tcW w:w="641" w:type="pct"/>
            <w:vMerge w:val="continue"/>
            <w:vAlign w:val="center"/>
          </w:tcPr>
          <w:p w14:paraId="571AC4E9">
            <w:pPr>
              <w:jc w:val="center"/>
            </w:pPr>
          </w:p>
        </w:tc>
        <w:tc>
          <w:tcPr>
            <w:tcW w:w="524" w:type="pct"/>
            <w:vAlign w:val="center"/>
          </w:tcPr>
          <w:p w14:paraId="1A002CFA">
            <w:pPr>
              <w:jc w:val="center"/>
            </w:pPr>
            <w:r>
              <w:rPr>
                <w:rFonts w:hint="eastAsia"/>
              </w:rPr>
              <w:t>2</w:t>
            </w:r>
            <w:r>
              <w:t>4</w:t>
            </w:r>
            <w:r>
              <w:rPr>
                <w:rFonts w:hint="eastAsia"/>
              </w:rPr>
              <w:t>h</w:t>
            </w:r>
            <w:r>
              <w:t>/d</w:t>
            </w:r>
          </w:p>
        </w:tc>
      </w:tr>
      <w:tr w14:paraId="24756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5" w:type="pct"/>
            <w:vAlign w:val="center"/>
          </w:tcPr>
          <w:p w14:paraId="5ABEF35C">
            <w:pPr>
              <w:jc w:val="center"/>
            </w:pPr>
            <w:r>
              <w:rPr>
                <w:rFonts w:hint="eastAsia"/>
              </w:rPr>
              <w:t>声源5</w:t>
            </w:r>
          </w:p>
        </w:tc>
        <w:tc>
          <w:tcPr>
            <w:tcW w:w="738" w:type="pct"/>
            <w:vAlign w:val="center"/>
          </w:tcPr>
          <w:p w14:paraId="6CCDCC29">
            <w:pPr>
              <w:jc w:val="center"/>
            </w:pPr>
            <w:r>
              <w:rPr>
                <w:rFonts w:hint="eastAsia"/>
              </w:rPr>
              <w:t>计量撬</w:t>
            </w:r>
          </w:p>
        </w:tc>
        <w:tc>
          <w:tcPr>
            <w:tcW w:w="889" w:type="pct"/>
            <w:vAlign w:val="center"/>
          </w:tcPr>
          <w:p w14:paraId="2EA4C581">
            <w:pPr>
              <w:jc w:val="center"/>
              <w:rPr>
                <w:szCs w:val="21"/>
              </w:rPr>
            </w:pPr>
            <w:r>
              <w:rPr>
                <w:rFonts w:hint="eastAsia"/>
                <w:szCs w:val="21"/>
              </w:rPr>
              <w:t>Q=50000Nm³/h</w:t>
            </w:r>
          </w:p>
        </w:tc>
        <w:tc>
          <w:tcPr>
            <w:tcW w:w="373" w:type="pct"/>
            <w:vAlign w:val="center"/>
          </w:tcPr>
          <w:p w14:paraId="74A8C7C8">
            <w:pPr>
              <w:jc w:val="center"/>
            </w:pPr>
            <w:r>
              <w:rPr>
                <w:rFonts w:hint="eastAsia"/>
              </w:rPr>
              <w:t>25</w:t>
            </w:r>
          </w:p>
        </w:tc>
        <w:tc>
          <w:tcPr>
            <w:tcW w:w="385" w:type="pct"/>
            <w:vAlign w:val="center"/>
          </w:tcPr>
          <w:p w14:paraId="4892129E">
            <w:pPr>
              <w:jc w:val="center"/>
            </w:pPr>
            <w:r>
              <w:rPr>
                <w:rFonts w:hint="eastAsia"/>
              </w:rPr>
              <w:t>85</w:t>
            </w:r>
          </w:p>
        </w:tc>
        <w:tc>
          <w:tcPr>
            <w:tcW w:w="390" w:type="pct"/>
            <w:vAlign w:val="center"/>
          </w:tcPr>
          <w:p w14:paraId="6D2E5AA3">
            <w:pPr>
              <w:jc w:val="center"/>
            </w:pPr>
            <w:r>
              <w:t>1.0</w:t>
            </w:r>
          </w:p>
        </w:tc>
        <w:tc>
          <w:tcPr>
            <w:tcW w:w="590" w:type="pct"/>
            <w:vAlign w:val="center"/>
          </w:tcPr>
          <w:p w14:paraId="5F5EB70A">
            <w:pPr>
              <w:jc w:val="center"/>
            </w:pPr>
            <w:r>
              <w:t>70</w:t>
            </w:r>
          </w:p>
        </w:tc>
        <w:tc>
          <w:tcPr>
            <w:tcW w:w="641" w:type="pct"/>
            <w:vMerge w:val="continue"/>
            <w:vAlign w:val="center"/>
          </w:tcPr>
          <w:p w14:paraId="2740CDED">
            <w:pPr>
              <w:jc w:val="center"/>
            </w:pPr>
          </w:p>
        </w:tc>
        <w:tc>
          <w:tcPr>
            <w:tcW w:w="524" w:type="pct"/>
            <w:vAlign w:val="center"/>
          </w:tcPr>
          <w:p w14:paraId="1548FC30">
            <w:pPr>
              <w:jc w:val="center"/>
            </w:pPr>
            <w:r>
              <w:rPr>
                <w:rFonts w:hint="eastAsia"/>
              </w:rPr>
              <w:t>2</w:t>
            </w:r>
            <w:r>
              <w:t>4</w:t>
            </w:r>
            <w:r>
              <w:rPr>
                <w:rFonts w:hint="eastAsia"/>
              </w:rPr>
              <w:t>h</w:t>
            </w:r>
            <w:r>
              <w:t>/d</w:t>
            </w:r>
          </w:p>
        </w:tc>
      </w:tr>
      <w:tr w14:paraId="093B0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9"/>
            <w:vAlign w:val="center"/>
          </w:tcPr>
          <w:p w14:paraId="635D03AA">
            <w:r>
              <w:rPr>
                <w:rFonts w:hint="eastAsia"/>
              </w:rPr>
              <w:t>注：以耒阳分输站西南角为（0,0）所确定的各设备空间相对位置坐标，正东为X、正北为Y轴。</w:t>
            </w:r>
          </w:p>
        </w:tc>
      </w:tr>
    </w:tbl>
    <w:p w14:paraId="03116119">
      <w:pPr>
        <w:pStyle w:val="7"/>
        <w:spacing w:before="120" w:beforeLines="50"/>
      </w:pPr>
      <w:r>
        <w:rPr>
          <w:rFonts w:hint="eastAsia"/>
        </w:rPr>
        <w:t xml:space="preserve"> </w:t>
      </w:r>
      <w:r>
        <w:t>预测内容</w:t>
      </w:r>
    </w:p>
    <w:p w14:paraId="2499306E">
      <w:pPr>
        <w:pStyle w:val="234"/>
      </w:pPr>
      <w:r>
        <w:t>（1）</w:t>
      </w:r>
      <w:r>
        <w:rPr>
          <w:rFonts w:hint="eastAsia"/>
        </w:rPr>
        <w:t>耒阳分输站</w:t>
      </w:r>
      <w:r>
        <w:t>厂界周边200m范围内声环境敏感目标</w:t>
      </w:r>
      <w:r>
        <w:rPr>
          <w:rFonts w:hint="eastAsia"/>
        </w:rPr>
        <w:t>为东侧190m的铜角湾</w:t>
      </w:r>
      <w:r>
        <w:t>。正常工况下，本次评价对站场厂界</w:t>
      </w:r>
      <w:r>
        <w:rPr>
          <w:rFonts w:hint="eastAsia"/>
        </w:rPr>
        <w:t>及敏感目标处</w:t>
      </w:r>
      <w:r>
        <w:t>的声环境影响进行预测，预测各厂界</w:t>
      </w:r>
      <w:r>
        <w:rPr>
          <w:rFonts w:hint="eastAsia"/>
        </w:rPr>
        <w:t>及环境敏感目标处的</w:t>
      </w:r>
      <w:r>
        <w:t>噪声值、区域声环境达标情况，并绘制等声级线图。给出项目建成后不同类别的声环境功能区内受影响的人口分布、噪声超标的范围和程度。</w:t>
      </w:r>
    </w:p>
    <w:p w14:paraId="65BCAE6E">
      <w:pPr>
        <w:pStyle w:val="234"/>
      </w:pPr>
      <w:r>
        <w:t>（2）非正常工况（系统超压放空</w:t>
      </w:r>
      <w:r>
        <w:rPr>
          <w:rFonts w:hint="eastAsia"/>
        </w:rPr>
        <w:t>）耒阳分输站</w:t>
      </w:r>
      <w:r>
        <w:t>的偶发噪声对周边声环境的影响。</w:t>
      </w:r>
    </w:p>
    <w:p w14:paraId="47AF8E36">
      <w:pPr>
        <w:pStyle w:val="7"/>
      </w:pPr>
      <w:r>
        <w:rPr>
          <w:rFonts w:hint="eastAsia"/>
        </w:rPr>
        <w:t xml:space="preserve"> </w:t>
      </w:r>
      <w:r>
        <w:t>预测模式</w:t>
      </w:r>
    </w:p>
    <w:p w14:paraId="41E1B994">
      <w:pPr>
        <w:pStyle w:val="234"/>
      </w:pPr>
      <w:r>
        <w:t>本预测计算采用《环境影响评价技术导则</w:t>
      </w:r>
      <w:r>
        <w:rPr>
          <w:rFonts w:hint="eastAsia"/>
        </w:rPr>
        <w:t xml:space="preserve"> </w:t>
      </w:r>
      <w:r>
        <w:t>声环境》(HJ 2.4-20</w:t>
      </w:r>
      <w:r>
        <w:rPr>
          <w:rFonts w:hint="eastAsia"/>
        </w:rPr>
        <w:t>21</w:t>
      </w:r>
      <w:r>
        <w:t>）中推荐的</w:t>
      </w:r>
      <w:r>
        <w:rPr>
          <w:rFonts w:hint="eastAsia"/>
        </w:rPr>
        <w:t>户外声传播的衰减</w:t>
      </w:r>
      <w:r>
        <w:t>模式</w:t>
      </w:r>
      <w:r>
        <w:rPr>
          <w:rFonts w:hint="eastAsia"/>
        </w:rPr>
        <w:t>，</w:t>
      </w:r>
      <w:r>
        <w:t>在只考虑几何发散衰减时</w:t>
      </w:r>
      <w:r>
        <w:rPr>
          <w:rFonts w:hint="eastAsia"/>
        </w:rPr>
        <w:t>，</w:t>
      </w:r>
      <w:r>
        <w:t>噪声衰减公式如下：</w:t>
      </w:r>
    </w:p>
    <w:p w14:paraId="4D969925">
      <w:pPr>
        <w:pStyle w:val="234"/>
        <w:jc w:val="center"/>
        <w:rPr>
          <w:i/>
          <w:vertAlign w:val="subscript"/>
        </w:rPr>
      </w:pPr>
      <w:r>
        <w:rPr>
          <w:i/>
        </w:rPr>
        <w:t>L</w:t>
      </w:r>
      <w:r>
        <w:rPr>
          <w:rFonts w:hint="eastAsia"/>
          <w:i/>
          <w:vertAlign w:val="subscript"/>
        </w:rPr>
        <w:t>A</w:t>
      </w:r>
      <w:r>
        <w:t>(</w:t>
      </w:r>
      <w:r>
        <w:rPr>
          <w:i/>
        </w:rPr>
        <w:t>r</w:t>
      </w:r>
      <w:r>
        <w:t>)=</w:t>
      </w:r>
      <w:r>
        <w:rPr>
          <w:i/>
        </w:rPr>
        <w:t>L</w:t>
      </w:r>
      <w:r>
        <w:rPr>
          <w:rFonts w:hint="eastAsia"/>
          <w:i/>
          <w:vertAlign w:val="subscript"/>
        </w:rPr>
        <w:t>A</w:t>
      </w:r>
      <w:r>
        <w:t>(</w:t>
      </w:r>
      <w:r>
        <w:rPr>
          <w:i/>
        </w:rPr>
        <w:t>r</w:t>
      </w:r>
      <w:r>
        <w:rPr>
          <w:vertAlign w:val="subscript"/>
        </w:rPr>
        <w:t>0</w:t>
      </w:r>
      <w:r>
        <w:t>)</w:t>
      </w:r>
      <w:r>
        <w:rPr>
          <w:rFonts w:hint="eastAsia"/>
        </w:rPr>
        <w:t>-</w:t>
      </w:r>
      <w:r>
        <w:rPr>
          <w:rFonts w:hint="eastAsia"/>
          <w:i/>
        </w:rPr>
        <w:t>20lg（r/r</w:t>
      </w:r>
      <w:r>
        <w:rPr>
          <w:rFonts w:hint="eastAsia"/>
          <w:i/>
          <w:vertAlign w:val="subscript"/>
        </w:rPr>
        <w:t>0</w:t>
      </w:r>
      <w:r>
        <w:rPr>
          <w:rFonts w:hint="eastAsia"/>
          <w:i/>
        </w:rPr>
        <w:t>）</w:t>
      </w:r>
    </w:p>
    <w:p w14:paraId="057C2BE8">
      <w:pPr>
        <w:pStyle w:val="234"/>
      </w:pPr>
      <w:r>
        <w:t>式中：</w:t>
      </w:r>
      <w:r>
        <w:rPr>
          <w:i/>
        </w:rPr>
        <w:t>L</w:t>
      </w:r>
      <w:r>
        <w:rPr>
          <w:vertAlign w:val="subscript"/>
        </w:rPr>
        <w:t>A</w:t>
      </w:r>
      <w:r>
        <w:t>(</w:t>
      </w:r>
      <w:r>
        <w:rPr>
          <w:i/>
        </w:rPr>
        <w:t>r</w:t>
      </w:r>
      <w:r>
        <w:t>)——距声源</w:t>
      </w:r>
      <w:r>
        <w:rPr>
          <w:i/>
        </w:rPr>
        <w:t>r</w:t>
      </w:r>
      <w:r>
        <w:t>处的A声级，dB(A)；</w:t>
      </w:r>
    </w:p>
    <w:p w14:paraId="5740DC0D">
      <w:pPr>
        <w:pStyle w:val="234"/>
        <w:ind w:firstLine="1200" w:firstLineChars="500"/>
      </w:pPr>
      <w:r>
        <w:rPr>
          <w:i/>
        </w:rPr>
        <w:t>L</w:t>
      </w:r>
      <w:r>
        <w:rPr>
          <w:vertAlign w:val="subscript"/>
        </w:rPr>
        <w:t>A</w:t>
      </w:r>
      <w:r>
        <w:t>(</w:t>
      </w:r>
      <w:r>
        <w:rPr>
          <w:i/>
        </w:rPr>
        <w:t>r</w:t>
      </w:r>
      <w:r>
        <w:rPr>
          <w:vertAlign w:val="subscript"/>
        </w:rPr>
        <w:t>0</w:t>
      </w:r>
      <w:r>
        <w:t>)——参考位置</w:t>
      </w:r>
      <w:r>
        <w:rPr>
          <w:i/>
        </w:rPr>
        <w:t>r</w:t>
      </w:r>
      <w:r>
        <w:rPr>
          <w:vertAlign w:val="subscript"/>
        </w:rPr>
        <w:t>0</w:t>
      </w:r>
      <w:r>
        <w:t>处的A声级，dB(A)；</w:t>
      </w:r>
    </w:p>
    <w:p w14:paraId="3FB78845">
      <w:pPr>
        <w:pStyle w:val="234"/>
        <w:ind w:firstLine="1200" w:firstLineChars="500"/>
      </w:pPr>
      <w:r>
        <w:rPr>
          <w:rFonts w:hint="eastAsia"/>
          <w:i/>
          <w:iCs/>
        </w:rPr>
        <w:t>r</w:t>
      </w:r>
      <w:r>
        <w:t>——预测点距声源的距离；</w:t>
      </w:r>
    </w:p>
    <w:p w14:paraId="36F64B4C">
      <w:pPr>
        <w:pStyle w:val="234"/>
        <w:ind w:firstLine="1200" w:firstLineChars="500"/>
      </w:pPr>
      <w:r>
        <w:rPr>
          <w:i/>
          <w:iCs/>
        </w:rPr>
        <w:t>r</w:t>
      </w:r>
      <w:r>
        <w:rPr>
          <w:i/>
          <w:iCs/>
          <w:vertAlign w:val="subscript"/>
        </w:rPr>
        <w:t>0</w:t>
      </w:r>
      <w:r>
        <w:t>——参考位置距声源的距离。</w:t>
      </w:r>
    </w:p>
    <w:p w14:paraId="7EF1950F">
      <w:pPr>
        <w:pStyle w:val="234"/>
      </w:pPr>
      <w:r>
        <w:rPr>
          <w:rFonts w:hint="eastAsia"/>
        </w:rPr>
        <w:t>多声源叠加模式</w:t>
      </w:r>
    </w:p>
    <w:p w14:paraId="04F54923">
      <w:pPr>
        <w:adjustRightInd w:val="0"/>
        <w:snapToGrid w:val="0"/>
        <w:spacing w:line="360" w:lineRule="auto"/>
        <w:ind w:firstLine="420" w:firstLineChars="200"/>
        <w:jc w:val="center"/>
        <w:rPr>
          <w:kern w:val="0"/>
          <w:sz w:val="24"/>
        </w:rPr>
      </w:pPr>
      <w:r>
        <w:drawing>
          <wp:inline distT="0" distB="0" distL="0" distR="0">
            <wp:extent cx="1143000" cy="428625"/>
            <wp:effectExtent l="0" t="0" r="0" b="9525"/>
            <wp:docPr id="7" name="图片 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1143000" cy="428625"/>
                    </a:xfrm>
                    <a:prstGeom prst="rect">
                      <a:avLst/>
                    </a:prstGeom>
                    <a:noFill/>
                    <a:ln>
                      <a:noFill/>
                    </a:ln>
                    <a:effectLst/>
                  </pic:spPr>
                </pic:pic>
              </a:graphicData>
            </a:graphic>
          </wp:inline>
        </w:drawing>
      </w:r>
    </w:p>
    <w:p w14:paraId="6B52280A">
      <w:pPr>
        <w:autoSpaceDE w:val="0"/>
        <w:autoSpaceDN w:val="0"/>
        <w:adjustRightInd w:val="0"/>
        <w:jc w:val="left"/>
        <w:rPr>
          <w:rFonts w:ascii="宋体" w:cs="宋体"/>
          <w:kern w:val="0"/>
          <w:sz w:val="24"/>
        </w:rPr>
      </w:pPr>
    </w:p>
    <w:p w14:paraId="58CF54CC">
      <w:pPr>
        <w:adjustRightInd w:val="0"/>
        <w:snapToGrid w:val="0"/>
        <w:spacing w:line="360" w:lineRule="auto"/>
        <w:ind w:firstLine="480" w:firstLineChars="200"/>
        <w:rPr>
          <w:kern w:val="0"/>
          <w:sz w:val="24"/>
        </w:rPr>
      </w:pPr>
      <w:r>
        <w:rPr>
          <w:rFonts w:hint="eastAsia"/>
          <w:kern w:val="0"/>
          <w:sz w:val="24"/>
        </w:rPr>
        <w:t>式中：</w:t>
      </w:r>
      <w:r>
        <w:rPr>
          <w:i/>
          <w:kern w:val="0"/>
          <w:sz w:val="24"/>
        </w:rPr>
        <w:t>L</w:t>
      </w:r>
      <w:r>
        <w:rPr>
          <w:kern w:val="0"/>
          <w:sz w:val="24"/>
        </w:rPr>
        <w:t>——</w:t>
      </w:r>
      <w:r>
        <w:rPr>
          <w:rFonts w:hint="eastAsia"/>
          <w:kern w:val="0"/>
          <w:sz w:val="24"/>
        </w:rPr>
        <w:t>叠加后总声压级，</w:t>
      </w:r>
      <w:r>
        <w:rPr>
          <w:kern w:val="0"/>
          <w:sz w:val="24"/>
        </w:rPr>
        <w:t>dB(A)</w:t>
      </w:r>
      <w:r>
        <w:rPr>
          <w:rFonts w:hint="eastAsia"/>
          <w:kern w:val="0"/>
          <w:sz w:val="24"/>
        </w:rPr>
        <w:t>；</w:t>
      </w:r>
    </w:p>
    <w:p w14:paraId="6BD442B6">
      <w:pPr>
        <w:adjustRightInd w:val="0"/>
        <w:snapToGrid w:val="0"/>
        <w:spacing w:line="360" w:lineRule="auto"/>
        <w:ind w:firstLine="1200" w:firstLineChars="500"/>
        <w:rPr>
          <w:kern w:val="0"/>
          <w:sz w:val="24"/>
        </w:rPr>
      </w:pPr>
      <w:r>
        <w:rPr>
          <w:i/>
          <w:kern w:val="0"/>
          <w:sz w:val="24"/>
        </w:rPr>
        <w:t>Li</w:t>
      </w:r>
      <w:r>
        <w:rPr>
          <w:kern w:val="0"/>
          <w:sz w:val="24"/>
        </w:rPr>
        <w:t>——</w:t>
      </w:r>
      <w:r>
        <w:rPr>
          <w:rFonts w:hint="eastAsia"/>
          <w:kern w:val="0"/>
          <w:sz w:val="24"/>
        </w:rPr>
        <w:t>各声源的对某点的声压值，</w:t>
      </w:r>
      <w:r>
        <w:rPr>
          <w:kern w:val="0"/>
          <w:sz w:val="24"/>
        </w:rPr>
        <w:t>dB(A)</w:t>
      </w:r>
      <w:r>
        <w:rPr>
          <w:rFonts w:hint="eastAsia"/>
          <w:kern w:val="0"/>
          <w:sz w:val="24"/>
        </w:rPr>
        <w:t>；</w:t>
      </w:r>
    </w:p>
    <w:p w14:paraId="5D1AB343">
      <w:pPr>
        <w:adjustRightInd w:val="0"/>
        <w:snapToGrid w:val="0"/>
        <w:spacing w:line="360" w:lineRule="auto"/>
        <w:ind w:firstLine="1200" w:firstLineChars="500"/>
        <w:rPr>
          <w:kern w:val="0"/>
          <w:sz w:val="24"/>
        </w:rPr>
      </w:pPr>
      <w:r>
        <w:rPr>
          <w:i/>
          <w:kern w:val="0"/>
          <w:sz w:val="24"/>
        </w:rPr>
        <w:t>m</w:t>
      </w:r>
      <w:r>
        <w:rPr>
          <w:kern w:val="0"/>
          <w:sz w:val="24"/>
        </w:rPr>
        <w:t>——</w:t>
      </w:r>
      <w:r>
        <w:rPr>
          <w:rFonts w:hint="eastAsia"/>
          <w:kern w:val="0"/>
          <w:sz w:val="24"/>
        </w:rPr>
        <w:t>声源个数。</w:t>
      </w:r>
    </w:p>
    <w:p w14:paraId="20E65780">
      <w:pPr>
        <w:pStyle w:val="7"/>
      </w:pPr>
      <w:r>
        <w:t>预测及评价结果</w:t>
      </w:r>
    </w:p>
    <w:p w14:paraId="470EDAB9">
      <w:pPr>
        <w:pStyle w:val="234"/>
      </w:pPr>
      <w:r>
        <w:t>（1）正常工况</w:t>
      </w:r>
    </w:p>
    <w:p w14:paraId="544B5D0E">
      <w:pPr>
        <w:pStyle w:val="234"/>
      </w:pPr>
      <w:r>
        <w:rPr>
          <w:rFonts w:hint="eastAsia"/>
        </w:rPr>
        <w:t>根据《环境影响评价技术导则 声环境》(HJ 2.4-2021），将耒阳分输站主要噪声源代入计算模型，结合场站平面布置情况，可计算出场站厂界噪声贡献值及环境敏感目标处的预测值，场站</w:t>
      </w:r>
      <w:r>
        <w:t>厂界噪声贡献值预测结果见表6.2-6</w:t>
      </w:r>
      <w:r>
        <w:rPr>
          <w:rFonts w:hint="eastAsia"/>
        </w:rPr>
        <w:t>，敏感目标声环境预测值见表6.2-7，等声级线图见</w:t>
      </w:r>
      <w:r>
        <w:t>图6.2-</w:t>
      </w:r>
      <w:r>
        <w:rPr>
          <w:rFonts w:hint="eastAsia"/>
        </w:rPr>
        <w:t>1</w:t>
      </w:r>
      <w:r>
        <w:t>。</w:t>
      </w:r>
    </w:p>
    <w:p w14:paraId="28430BE6">
      <w:pPr>
        <w:pStyle w:val="904"/>
      </w:pPr>
      <w:r>
        <w:t>表6.2-6  正常工况</w:t>
      </w:r>
      <w:r>
        <w:rPr>
          <w:rFonts w:hint="eastAsia"/>
        </w:rPr>
        <w:t>耒阳分输</w:t>
      </w:r>
      <w:r>
        <w:t>站厂界噪声贡献值</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3"/>
        <w:gridCol w:w="1683"/>
        <w:gridCol w:w="1367"/>
        <w:gridCol w:w="1536"/>
        <w:gridCol w:w="1533"/>
        <w:gridCol w:w="1954"/>
      </w:tblGrid>
      <w:tr w14:paraId="0D1B0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Merge w:val="restart"/>
            <w:vAlign w:val="center"/>
          </w:tcPr>
          <w:p w14:paraId="4A030D72">
            <w:pPr>
              <w:pStyle w:val="1343"/>
            </w:pPr>
            <w:bookmarkStart w:id="204" w:name="_Hlk118894113"/>
            <w:r>
              <w:rPr>
                <w:rFonts w:hint="eastAsia"/>
              </w:rPr>
              <w:t>序号</w:t>
            </w:r>
          </w:p>
        </w:tc>
        <w:tc>
          <w:tcPr>
            <w:tcW w:w="906" w:type="pct"/>
            <w:vMerge w:val="restart"/>
            <w:vAlign w:val="center"/>
          </w:tcPr>
          <w:p w14:paraId="5811F7E9">
            <w:pPr>
              <w:pStyle w:val="1343"/>
            </w:pPr>
            <w:r>
              <w:rPr>
                <w:rFonts w:hint="eastAsia"/>
              </w:rPr>
              <w:t>站场厂界</w:t>
            </w:r>
          </w:p>
        </w:tc>
        <w:tc>
          <w:tcPr>
            <w:tcW w:w="1563" w:type="pct"/>
            <w:gridSpan w:val="2"/>
            <w:vAlign w:val="center"/>
          </w:tcPr>
          <w:p w14:paraId="53CC3AAD">
            <w:pPr>
              <w:pStyle w:val="1343"/>
            </w:pPr>
            <w:r>
              <w:rPr>
                <w:rFonts w:hint="eastAsia"/>
              </w:rPr>
              <w:t>厂界噪声贡献值</w:t>
            </w:r>
          </w:p>
          <w:p w14:paraId="6B05A722">
            <w:pPr>
              <w:pStyle w:val="1343"/>
            </w:pPr>
            <w:r>
              <w:t>dB（A）</w:t>
            </w:r>
          </w:p>
        </w:tc>
        <w:tc>
          <w:tcPr>
            <w:tcW w:w="1877" w:type="pct"/>
            <w:gridSpan w:val="2"/>
            <w:vAlign w:val="center"/>
          </w:tcPr>
          <w:p w14:paraId="5F15E7E7">
            <w:pPr>
              <w:pStyle w:val="1343"/>
            </w:pPr>
            <w:r>
              <w:rPr>
                <w:rFonts w:hint="eastAsia"/>
              </w:rPr>
              <w:t>噪声标准</w:t>
            </w:r>
            <w:r>
              <w:t>/dB（A）</w:t>
            </w:r>
          </w:p>
        </w:tc>
      </w:tr>
      <w:tr w14:paraId="22B23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Merge w:val="continue"/>
            <w:vAlign w:val="center"/>
          </w:tcPr>
          <w:p w14:paraId="152842EB">
            <w:pPr>
              <w:pStyle w:val="1343"/>
            </w:pPr>
          </w:p>
        </w:tc>
        <w:tc>
          <w:tcPr>
            <w:tcW w:w="906" w:type="pct"/>
            <w:vMerge w:val="continue"/>
            <w:vAlign w:val="center"/>
          </w:tcPr>
          <w:p w14:paraId="07624B5F">
            <w:pPr>
              <w:pStyle w:val="1343"/>
            </w:pPr>
          </w:p>
        </w:tc>
        <w:tc>
          <w:tcPr>
            <w:tcW w:w="736" w:type="pct"/>
            <w:vAlign w:val="center"/>
          </w:tcPr>
          <w:p w14:paraId="2BCA7C53">
            <w:pPr>
              <w:pStyle w:val="1343"/>
            </w:pPr>
            <w:r>
              <w:rPr>
                <w:rFonts w:hint="eastAsia"/>
              </w:rPr>
              <w:t>昼间</w:t>
            </w:r>
          </w:p>
        </w:tc>
        <w:tc>
          <w:tcPr>
            <w:tcW w:w="827" w:type="pct"/>
            <w:vAlign w:val="center"/>
          </w:tcPr>
          <w:p w14:paraId="44E60AFD">
            <w:pPr>
              <w:pStyle w:val="1343"/>
            </w:pPr>
            <w:r>
              <w:rPr>
                <w:rFonts w:hint="eastAsia"/>
              </w:rPr>
              <w:t>夜间</w:t>
            </w:r>
          </w:p>
        </w:tc>
        <w:tc>
          <w:tcPr>
            <w:tcW w:w="825" w:type="pct"/>
            <w:vAlign w:val="center"/>
          </w:tcPr>
          <w:p w14:paraId="7BCB88F4">
            <w:pPr>
              <w:pStyle w:val="1343"/>
            </w:pPr>
            <w:r>
              <w:rPr>
                <w:rFonts w:hint="eastAsia"/>
              </w:rPr>
              <w:t>昼间</w:t>
            </w:r>
          </w:p>
        </w:tc>
        <w:tc>
          <w:tcPr>
            <w:tcW w:w="1051" w:type="pct"/>
            <w:vAlign w:val="center"/>
          </w:tcPr>
          <w:p w14:paraId="12787299">
            <w:pPr>
              <w:pStyle w:val="1343"/>
            </w:pPr>
            <w:r>
              <w:rPr>
                <w:rFonts w:hint="eastAsia"/>
              </w:rPr>
              <w:t>夜间</w:t>
            </w:r>
          </w:p>
        </w:tc>
      </w:tr>
      <w:tr w14:paraId="6D844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Align w:val="center"/>
          </w:tcPr>
          <w:p w14:paraId="1CEEF296">
            <w:pPr>
              <w:pStyle w:val="1343"/>
            </w:pPr>
            <w:r>
              <w:rPr>
                <w:rFonts w:hint="eastAsia"/>
              </w:rPr>
              <w:t>1</w:t>
            </w:r>
          </w:p>
        </w:tc>
        <w:tc>
          <w:tcPr>
            <w:tcW w:w="906" w:type="pct"/>
            <w:vAlign w:val="center"/>
          </w:tcPr>
          <w:p w14:paraId="744395AC">
            <w:pPr>
              <w:pStyle w:val="1343"/>
            </w:pPr>
            <w:r>
              <w:rPr>
                <w:rFonts w:hint="eastAsia"/>
              </w:rPr>
              <w:t>东厂界</w:t>
            </w:r>
          </w:p>
        </w:tc>
        <w:tc>
          <w:tcPr>
            <w:tcW w:w="736" w:type="pct"/>
            <w:vAlign w:val="center"/>
          </w:tcPr>
          <w:p w14:paraId="48405B9A">
            <w:pPr>
              <w:pStyle w:val="1343"/>
            </w:pPr>
            <w:r>
              <w:rPr>
                <w:rFonts w:hint="eastAsia"/>
              </w:rPr>
              <w:t>43.75</w:t>
            </w:r>
          </w:p>
        </w:tc>
        <w:tc>
          <w:tcPr>
            <w:tcW w:w="827" w:type="pct"/>
            <w:vAlign w:val="center"/>
          </w:tcPr>
          <w:p w14:paraId="4782F4FE">
            <w:pPr>
              <w:pStyle w:val="1343"/>
            </w:pPr>
            <w:r>
              <w:rPr>
                <w:rFonts w:hint="eastAsia"/>
              </w:rPr>
              <w:t>43.75</w:t>
            </w:r>
          </w:p>
        </w:tc>
        <w:tc>
          <w:tcPr>
            <w:tcW w:w="825" w:type="pct"/>
            <w:vAlign w:val="center"/>
          </w:tcPr>
          <w:p w14:paraId="36E1C9E5">
            <w:pPr>
              <w:pStyle w:val="1343"/>
            </w:pPr>
            <w:r>
              <w:t>60</w:t>
            </w:r>
          </w:p>
        </w:tc>
        <w:tc>
          <w:tcPr>
            <w:tcW w:w="1051" w:type="pct"/>
            <w:vAlign w:val="center"/>
          </w:tcPr>
          <w:p w14:paraId="36B690A4">
            <w:pPr>
              <w:pStyle w:val="1343"/>
            </w:pPr>
            <w:r>
              <w:t>50</w:t>
            </w:r>
          </w:p>
        </w:tc>
      </w:tr>
      <w:tr w14:paraId="359B8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Align w:val="center"/>
          </w:tcPr>
          <w:p w14:paraId="596B813C">
            <w:pPr>
              <w:pStyle w:val="1343"/>
            </w:pPr>
            <w:r>
              <w:rPr>
                <w:rFonts w:hint="eastAsia"/>
              </w:rPr>
              <w:t>2</w:t>
            </w:r>
          </w:p>
        </w:tc>
        <w:tc>
          <w:tcPr>
            <w:tcW w:w="906" w:type="pct"/>
            <w:vAlign w:val="center"/>
          </w:tcPr>
          <w:p w14:paraId="37F1C4E8">
            <w:pPr>
              <w:pStyle w:val="1343"/>
            </w:pPr>
            <w:r>
              <w:rPr>
                <w:rFonts w:hint="eastAsia"/>
              </w:rPr>
              <w:t>南厂界</w:t>
            </w:r>
          </w:p>
        </w:tc>
        <w:tc>
          <w:tcPr>
            <w:tcW w:w="736" w:type="pct"/>
            <w:vAlign w:val="center"/>
          </w:tcPr>
          <w:p w14:paraId="2D61337B">
            <w:pPr>
              <w:pStyle w:val="1343"/>
            </w:pPr>
            <w:r>
              <w:rPr>
                <w:rFonts w:hint="eastAsia"/>
              </w:rPr>
              <w:t>45.59</w:t>
            </w:r>
          </w:p>
        </w:tc>
        <w:tc>
          <w:tcPr>
            <w:tcW w:w="827" w:type="pct"/>
            <w:vAlign w:val="center"/>
          </w:tcPr>
          <w:p w14:paraId="3B8AADB8">
            <w:pPr>
              <w:pStyle w:val="1343"/>
            </w:pPr>
            <w:r>
              <w:rPr>
                <w:rFonts w:hint="eastAsia"/>
              </w:rPr>
              <w:t>45.59</w:t>
            </w:r>
          </w:p>
        </w:tc>
        <w:tc>
          <w:tcPr>
            <w:tcW w:w="825" w:type="pct"/>
            <w:vAlign w:val="center"/>
          </w:tcPr>
          <w:p w14:paraId="57E77D58">
            <w:pPr>
              <w:pStyle w:val="1343"/>
            </w:pPr>
            <w:r>
              <w:t>60</w:t>
            </w:r>
          </w:p>
        </w:tc>
        <w:tc>
          <w:tcPr>
            <w:tcW w:w="1051" w:type="pct"/>
            <w:vAlign w:val="center"/>
          </w:tcPr>
          <w:p w14:paraId="2534129D">
            <w:pPr>
              <w:pStyle w:val="1343"/>
            </w:pPr>
            <w:r>
              <w:t>50</w:t>
            </w:r>
          </w:p>
        </w:tc>
      </w:tr>
      <w:tr w14:paraId="3A718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Align w:val="center"/>
          </w:tcPr>
          <w:p w14:paraId="4AF4535A">
            <w:pPr>
              <w:pStyle w:val="1343"/>
            </w:pPr>
            <w:r>
              <w:rPr>
                <w:rFonts w:hint="eastAsia"/>
              </w:rPr>
              <w:t>3</w:t>
            </w:r>
          </w:p>
        </w:tc>
        <w:tc>
          <w:tcPr>
            <w:tcW w:w="906" w:type="pct"/>
            <w:vAlign w:val="center"/>
          </w:tcPr>
          <w:p w14:paraId="47FBAAB5">
            <w:pPr>
              <w:pStyle w:val="1343"/>
            </w:pPr>
            <w:r>
              <w:rPr>
                <w:rFonts w:hint="eastAsia"/>
              </w:rPr>
              <w:t>西厂界</w:t>
            </w:r>
          </w:p>
        </w:tc>
        <w:tc>
          <w:tcPr>
            <w:tcW w:w="736" w:type="pct"/>
            <w:vAlign w:val="center"/>
          </w:tcPr>
          <w:p w14:paraId="0C89B443">
            <w:pPr>
              <w:pStyle w:val="1343"/>
            </w:pPr>
            <w:r>
              <w:rPr>
                <w:rFonts w:hint="eastAsia"/>
              </w:rPr>
              <w:t>34.71</w:t>
            </w:r>
          </w:p>
        </w:tc>
        <w:tc>
          <w:tcPr>
            <w:tcW w:w="827" w:type="pct"/>
            <w:vAlign w:val="center"/>
          </w:tcPr>
          <w:p w14:paraId="68B3B52E">
            <w:pPr>
              <w:pStyle w:val="1343"/>
            </w:pPr>
            <w:r>
              <w:rPr>
                <w:rFonts w:hint="eastAsia"/>
              </w:rPr>
              <w:t>34.71</w:t>
            </w:r>
          </w:p>
        </w:tc>
        <w:tc>
          <w:tcPr>
            <w:tcW w:w="825" w:type="pct"/>
            <w:vAlign w:val="center"/>
          </w:tcPr>
          <w:p w14:paraId="0FFD082C">
            <w:pPr>
              <w:pStyle w:val="1343"/>
            </w:pPr>
            <w:r>
              <w:t>60</w:t>
            </w:r>
          </w:p>
        </w:tc>
        <w:tc>
          <w:tcPr>
            <w:tcW w:w="1051" w:type="pct"/>
            <w:vAlign w:val="center"/>
          </w:tcPr>
          <w:p w14:paraId="2FF53110">
            <w:pPr>
              <w:pStyle w:val="1343"/>
            </w:pPr>
            <w:r>
              <w:t>50</w:t>
            </w:r>
          </w:p>
        </w:tc>
      </w:tr>
      <w:tr w14:paraId="33F05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3" w:type="pct"/>
            <w:vAlign w:val="center"/>
          </w:tcPr>
          <w:p w14:paraId="70F2EBCD">
            <w:pPr>
              <w:pStyle w:val="1343"/>
            </w:pPr>
            <w:r>
              <w:rPr>
                <w:rFonts w:hint="eastAsia"/>
              </w:rPr>
              <w:t>4</w:t>
            </w:r>
          </w:p>
        </w:tc>
        <w:tc>
          <w:tcPr>
            <w:tcW w:w="906" w:type="pct"/>
            <w:vAlign w:val="center"/>
          </w:tcPr>
          <w:p w14:paraId="45E0F462">
            <w:pPr>
              <w:pStyle w:val="1343"/>
            </w:pPr>
            <w:r>
              <w:rPr>
                <w:rFonts w:hint="eastAsia"/>
              </w:rPr>
              <w:t>北厂界</w:t>
            </w:r>
          </w:p>
        </w:tc>
        <w:tc>
          <w:tcPr>
            <w:tcW w:w="736" w:type="pct"/>
            <w:vAlign w:val="center"/>
          </w:tcPr>
          <w:p w14:paraId="285761A0">
            <w:pPr>
              <w:pStyle w:val="1343"/>
            </w:pPr>
            <w:r>
              <w:rPr>
                <w:rFonts w:hint="eastAsia"/>
              </w:rPr>
              <w:t>42.52</w:t>
            </w:r>
          </w:p>
        </w:tc>
        <w:tc>
          <w:tcPr>
            <w:tcW w:w="827" w:type="pct"/>
            <w:vAlign w:val="center"/>
          </w:tcPr>
          <w:p w14:paraId="69955308">
            <w:pPr>
              <w:pStyle w:val="1343"/>
            </w:pPr>
            <w:r>
              <w:rPr>
                <w:rFonts w:hint="eastAsia"/>
              </w:rPr>
              <w:t>42.52</w:t>
            </w:r>
          </w:p>
        </w:tc>
        <w:tc>
          <w:tcPr>
            <w:tcW w:w="825" w:type="pct"/>
            <w:vAlign w:val="center"/>
          </w:tcPr>
          <w:p w14:paraId="146B1E58">
            <w:pPr>
              <w:pStyle w:val="1343"/>
            </w:pPr>
            <w:r>
              <w:t>60</w:t>
            </w:r>
          </w:p>
        </w:tc>
        <w:tc>
          <w:tcPr>
            <w:tcW w:w="1051" w:type="pct"/>
            <w:vAlign w:val="center"/>
          </w:tcPr>
          <w:p w14:paraId="7ACD05F2">
            <w:pPr>
              <w:pStyle w:val="1343"/>
            </w:pPr>
            <w:r>
              <w:t>50</w:t>
            </w:r>
          </w:p>
        </w:tc>
      </w:tr>
      <w:bookmarkEnd w:id="204"/>
    </w:tbl>
    <w:p w14:paraId="3EB06553">
      <w:pPr>
        <w:pStyle w:val="234"/>
        <w:spacing w:before="120" w:beforeLines="50"/>
        <w:rPr>
          <w:bCs/>
        </w:rPr>
      </w:pPr>
      <w:r>
        <w:rPr>
          <w:rFonts w:hint="eastAsia"/>
        </w:rPr>
        <w:t>由上表可知，耒阳分输站厂界</w:t>
      </w:r>
      <w:r>
        <w:t>昼夜间噪声预测点</w:t>
      </w:r>
      <w:r>
        <w:rPr>
          <w:rFonts w:hint="eastAsia"/>
        </w:rPr>
        <w:t>贡献</w:t>
      </w:r>
      <w:r>
        <w:t>值均低于《工业企业厂界环境噪声排放标准》（GB12348-2008）2类标准要求：昼间≤60dB</w:t>
      </w:r>
      <w:r>
        <w:rPr>
          <w:bCs/>
        </w:rPr>
        <w:t>(A)</w:t>
      </w:r>
      <w:r>
        <w:t>，夜间≤50dB</w:t>
      </w:r>
      <w:r>
        <w:rPr>
          <w:bCs/>
        </w:rPr>
        <w:t>(A)</w:t>
      </w:r>
      <w:r>
        <w:rPr>
          <w:rFonts w:hint="eastAsia"/>
          <w:bCs/>
        </w:rPr>
        <w:t>。</w:t>
      </w:r>
    </w:p>
    <w:p w14:paraId="4EAA2C20">
      <w:pPr>
        <w:pStyle w:val="234"/>
        <w:spacing w:before="120" w:beforeLines="50"/>
        <w:rPr>
          <w:bCs/>
        </w:rPr>
      </w:pPr>
      <w:r>
        <w:rPr>
          <w:rFonts w:hint="eastAsia"/>
          <w:bCs/>
        </w:rPr>
        <w:t>耒阳分输站200m范围内仅有铜角湾一处声环境敏感目标，位于场站东侧190m处，根据2023年8月11日至8月12日声环境质量现状实测数据，铜角湾昼间声环境最大值为47dB(A)，夜间声环境最大值为44</w:t>
      </w:r>
      <w:r>
        <w:t>dB(A)</w:t>
      </w:r>
      <w:r>
        <w:rPr>
          <w:rFonts w:hint="eastAsia"/>
        </w:rPr>
        <w:t>，</w:t>
      </w:r>
      <w:r>
        <w:rPr>
          <w:rFonts w:hint="eastAsia"/>
          <w:i/>
          <w:iCs/>
          <w:color w:val="auto"/>
          <w:u w:val="single"/>
        </w:rPr>
        <w:t>均满足</w:t>
      </w:r>
      <w:r>
        <w:rPr>
          <w:i/>
          <w:iCs/>
          <w:color w:val="auto"/>
          <w:u w:val="single"/>
        </w:rPr>
        <w:t>《声环境质量标准》（GB3096-2008）</w:t>
      </w:r>
      <w:r>
        <w:rPr>
          <w:rFonts w:hint="eastAsia"/>
          <w:i/>
          <w:iCs/>
          <w:color w:val="auto"/>
          <w:u w:val="single"/>
        </w:rPr>
        <w:t>2</w:t>
      </w:r>
      <w:r>
        <w:rPr>
          <w:i/>
          <w:iCs/>
          <w:color w:val="auto"/>
          <w:u w:val="single"/>
        </w:rPr>
        <w:t>类标准</w:t>
      </w:r>
      <w:r>
        <w:rPr>
          <w:rFonts w:hint="eastAsia"/>
        </w:rPr>
        <w:t>。铜角湾声环境预测值见下表。</w:t>
      </w:r>
    </w:p>
    <w:p w14:paraId="7F8B97F4">
      <w:pPr>
        <w:spacing w:before="120" w:beforeLines="50"/>
        <w:ind w:left="2426"/>
        <w:jc w:val="left"/>
        <w:rPr>
          <w:szCs w:val="21"/>
        </w:rPr>
      </w:pPr>
      <w:r>
        <w:rPr>
          <w:rFonts w:eastAsia="黑体"/>
          <w:bCs/>
          <w:kern w:val="0"/>
          <w:sz w:val="22"/>
          <w:szCs w:val="22"/>
          <w:lang w:bidi="zh-CN"/>
        </w:rPr>
        <w:t>表</w:t>
      </w:r>
      <w:r>
        <w:rPr>
          <w:rFonts w:hint="eastAsia" w:eastAsia="黑体"/>
          <w:bCs/>
          <w:kern w:val="0"/>
          <w:sz w:val="22"/>
          <w:szCs w:val="22"/>
          <w:lang w:bidi="zh-CN"/>
        </w:rPr>
        <w:t>6</w:t>
      </w:r>
      <w:r>
        <w:rPr>
          <w:rFonts w:eastAsia="黑体"/>
          <w:bCs/>
          <w:kern w:val="0"/>
          <w:sz w:val="22"/>
          <w:szCs w:val="22"/>
          <w:lang w:bidi="zh-CN"/>
        </w:rPr>
        <w:t>.</w:t>
      </w:r>
      <w:r>
        <w:rPr>
          <w:rFonts w:hint="eastAsia" w:eastAsia="黑体"/>
          <w:bCs/>
          <w:kern w:val="0"/>
          <w:sz w:val="22"/>
          <w:szCs w:val="22"/>
          <w:lang w:bidi="zh-CN"/>
        </w:rPr>
        <w:t>2-7</w:t>
      </w:r>
      <w:r>
        <w:rPr>
          <w:rFonts w:eastAsia="黑体"/>
          <w:bCs/>
          <w:kern w:val="0"/>
          <w:sz w:val="22"/>
          <w:szCs w:val="22"/>
          <w:lang w:bidi="zh-CN"/>
        </w:rPr>
        <w:t xml:space="preserve">  </w:t>
      </w:r>
      <w:r>
        <w:rPr>
          <w:rFonts w:hint="eastAsia" w:eastAsia="黑体"/>
          <w:bCs/>
          <w:kern w:val="0"/>
          <w:sz w:val="22"/>
          <w:szCs w:val="22"/>
          <w:lang w:bidi="zh-CN"/>
        </w:rPr>
        <w:t>运营期耒阳分输站</w:t>
      </w:r>
      <w:r>
        <w:rPr>
          <w:rFonts w:eastAsia="黑体"/>
          <w:bCs/>
          <w:kern w:val="0"/>
          <w:sz w:val="22"/>
          <w:szCs w:val="22"/>
          <w:lang w:bidi="zh-CN"/>
        </w:rPr>
        <w:t>对敏感点声环境影响预测</w:t>
      </w:r>
    </w:p>
    <w:tbl>
      <w:tblPr>
        <w:tblStyle w:val="88"/>
        <w:tblW w:w="507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36"/>
        <w:gridCol w:w="835"/>
        <w:gridCol w:w="1011"/>
        <w:gridCol w:w="1307"/>
        <w:gridCol w:w="1307"/>
        <w:gridCol w:w="1307"/>
        <w:gridCol w:w="1307"/>
        <w:gridCol w:w="1307"/>
      </w:tblGrid>
      <w:tr w14:paraId="71F8F9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835" w:type="dxa"/>
            <w:vMerge w:val="restart"/>
            <w:tcBorders>
              <w:tl2br w:val="nil"/>
              <w:tr2bl w:val="nil"/>
            </w:tcBorders>
            <w:vAlign w:val="center"/>
          </w:tcPr>
          <w:p w14:paraId="7F690CBD">
            <w:pPr>
              <w:pStyle w:val="1018"/>
              <w:spacing w:before="16"/>
              <w:ind w:left="1"/>
              <w:jc w:val="center"/>
              <w:rPr>
                <w:sz w:val="21"/>
              </w:rPr>
            </w:pPr>
            <w:r>
              <w:rPr>
                <w:sz w:val="21"/>
              </w:rPr>
              <w:t>敏感点名称</w:t>
            </w:r>
          </w:p>
        </w:tc>
        <w:tc>
          <w:tcPr>
            <w:tcW w:w="835" w:type="dxa"/>
            <w:vMerge w:val="restart"/>
            <w:tcBorders>
              <w:tl2br w:val="nil"/>
              <w:tr2bl w:val="nil"/>
            </w:tcBorders>
            <w:vAlign w:val="center"/>
          </w:tcPr>
          <w:p w14:paraId="2A69792E">
            <w:pPr>
              <w:pStyle w:val="1018"/>
              <w:spacing w:before="16"/>
              <w:ind w:left="1"/>
              <w:jc w:val="center"/>
              <w:rPr>
                <w:sz w:val="21"/>
              </w:rPr>
            </w:pPr>
            <w:r>
              <w:rPr>
                <w:sz w:val="21"/>
              </w:rPr>
              <w:t>相对距离/m</w:t>
            </w:r>
          </w:p>
        </w:tc>
        <w:tc>
          <w:tcPr>
            <w:tcW w:w="1011" w:type="dxa"/>
            <w:vMerge w:val="restart"/>
            <w:tcBorders>
              <w:tl2br w:val="nil"/>
              <w:tr2bl w:val="nil"/>
            </w:tcBorders>
            <w:vAlign w:val="center"/>
          </w:tcPr>
          <w:p w14:paraId="2C4D0B60">
            <w:pPr>
              <w:pStyle w:val="1018"/>
              <w:spacing w:before="16"/>
              <w:ind w:left="1"/>
              <w:jc w:val="center"/>
              <w:rPr>
                <w:sz w:val="21"/>
              </w:rPr>
            </w:pPr>
            <w:r>
              <w:rPr>
                <w:rFonts w:hint="eastAsia"/>
                <w:sz w:val="21"/>
              </w:rPr>
              <w:t>预测时段</w:t>
            </w:r>
          </w:p>
        </w:tc>
        <w:tc>
          <w:tcPr>
            <w:tcW w:w="6530" w:type="dxa"/>
            <w:gridSpan w:val="5"/>
            <w:tcBorders>
              <w:tl2br w:val="nil"/>
              <w:tr2bl w:val="nil"/>
            </w:tcBorders>
            <w:vAlign w:val="center"/>
          </w:tcPr>
          <w:p w14:paraId="7B3D62C5">
            <w:pPr>
              <w:pStyle w:val="1018"/>
              <w:spacing w:before="16"/>
              <w:ind w:left="1"/>
              <w:jc w:val="center"/>
              <w:rPr>
                <w:sz w:val="21"/>
              </w:rPr>
            </w:pPr>
            <w:r>
              <w:rPr>
                <w:sz w:val="21"/>
              </w:rPr>
              <w:t>噪声预测结果，dB（A）</w:t>
            </w:r>
          </w:p>
        </w:tc>
      </w:tr>
      <w:tr w14:paraId="3A169B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835" w:type="dxa"/>
            <w:vMerge w:val="continue"/>
            <w:tcBorders>
              <w:tl2br w:val="nil"/>
              <w:tr2bl w:val="nil"/>
            </w:tcBorders>
            <w:vAlign w:val="center"/>
          </w:tcPr>
          <w:p w14:paraId="4AFF3681">
            <w:pPr>
              <w:pStyle w:val="1018"/>
              <w:spacing w:before="16"/>
              <w:ind w:left="1"/>
              <w:jc w:val="center"/>
              <w:rPr>
                <w:sz w:val="21"/>
              </w:rPr>
            </w:pPr>
          </w:p>
        </w:tc>
        <w:tc>
          <w:tcPr>
            <w:tcW w:w="835" w:type="dxa"/>
            <w:vMerge w:val="continue"/>
            <w:tcBorders>
              <w:tl2br w:val="nil"/>
              <w:tr2bl w:val="nil"/>
            </w:tcBorders>
            <w:vAlign w:val="center"/>
          </w:tcPr>
          <w:p w14:paraId="60D8B903">
            <w:pPr>
              <w:pStyle w:val="1018"/>
              <w:spacing w:before="16"/>
              <w:ind w:left="1"/>
              <w:jc w:val="center"/>
              <w:rPr>
                <w:sz w:val="21"/>
              </w:rPr>
            </w:pPr>
          </w:p>
        </w:tc>
        <w:tc>
          <w:tcPr>
            <w:tcW w:w="1011" w:type="dxa"/>
            <w:vMerge w:val="continue"/>
            <w:tcBorders>
              <w:tl2br w:val="nil"/>
              <w:tr2bl w:val="nil"/>
            </w:tcBorders>
            <w:vAlign w:val="center"/>
          </w:tcPr>
          <w:p w14:paraId="70059955">
            <w:pPr>
              <w:pStyle w:val="1018"/>
              <w:spacing w:before="16"/>
              <w:ind w:left="1"/>
              <w:jc w:val="center"/>
              <w:rPr>
                <w:sz w:val="21"/>
              </w:rPr>
            </w:pPr>
          </w:p>
        </w:tc>
        <w:tc>
          <w:tcPr>
            <w:tcW w:w="1306" w:type="dxa"/>
            <w:tcBorders>
              <w:tl2br w:val="nil"/>
              <w:tr2bl w:val="nil"/>
            </w:tcBorders>
            <w:vAlign w:val="center"/>
          </w:tcPr>
          <w:p w14:paraId="585D64E6">
            <w:pPr>
              <w:pStyle w:val="1018"/>
              <w:spacing w:before="16"/>
              <w:ind w:left="1"/>
              <w:jc w:val="center"/>
              <w:rPr>
                <w:sz w:val="21"/>
              </w:rPr>
            </w:pPr>
            <w:r>
              <w:rPr>
                <w:sz w:val="21"/>
              </w:rPr>
              <w:t>背景值</w:t>
            </w:r>
          </w:p>
        </w:tc>
        <w:tc>
          <w:tcPr>
            <w:tcW w:w="1306" w:type="dxa"/>
            <w:tcBorders>
              <w:tl2br w:val="nil"/>
              <w:tr2bl w:val="nil"/>
            </w:tcBorders>
            <w:vAlign w:val="center"/>
          </w:tcPr>
          <w:p w14:paraId="60DBDEA2">
            <w:pPr>
              <w:pStyle w:val="1018"/>
              <w:spacing w:before="16"/>
              <w:ind w:left="1"/>
              <w:jc w:val="center"/>
              <w:rPr>
                <w:sz w:val="21"/>
              </w:rPr>
            </w:pPr>
            <w:r>
              <w:rPr>
                <w:sz w:val="21"/>
              </w:rPr>
              <w:t>贡献值</w:t>
            </w:r>
          </w:p>
        </w:tc>
        <w:tc>
          <w:tcPr>
            <w:tcW w:w="1306" w:type="dxa"/>
            <w:tcBorders>
              <w:tl2br w:val="nil"/>
              <w:tr2bl w:val="nil"/>
            </w:tcBorders>
            <w:vAlign w:val="center"/>
          </w:tcPr>
          <w:p w14:paraId="7611376E">
            <w:pPr>
              <w:pStyle w:val="1018"/>
              <w:spacing w:before="16"/>
              <w:ind w:left="1"/>
              <w:jc w:val="center"/>
              <w:rPr>
                <w:sz w:val="21"/>
              </w:rPr>
            </w:pPr>
            <w:r>
              <w:rPr>
                <w:sz w:val="21"/>
              </w:rPr>
              <w:t>预测值</w:t>
            </w:r>
          </w:p>
        </w:tc>
        <w:tc>
          <w:tcPr>
            <w:tcW w:w="1306" w:type="dxa"/>
            <w:tcBorders>
              <w:tl2br w:val="nil"/>
              <w:tr2bl w:val="nil"/>
            </w:tcBorders>
            <w:vAlign w:val="center"/>
          </w:tcPr>
          <w:p w14:paraId="700650D6">
            <w:pPr>
              <w:pStyle w:val="1018"/>
              <w:spacing w:before="16"/>
              <w:ind w:left="1"/>
              <w:jc w:val="center"/>
              <w:rPr>
                <w:sz w:val="21"/>
              </w:rPr>
            </w:pPr>
            <w:r>
              <w:rPr>
                <w:sz w:val="21"/>
              </w:rPr>
              <w:t>执行标准</w:t>
            </w:r>
          </w:p>
        </w:tc>
        <w:tc>
          <w:tcPr>
            <w:tcW w:w="1306" w:type="dxa"/>
            <w:tcBorders>
              <w:tl2br w:val="nil"/>
              <w:tr2bl w:val="nil"/>
            </w:tcBorders>
            <w:vAlign w:val="center"/>
          </w:tcPr>
          <w:p w14:paraId="3FFCBD3E">
            <w:pPr>
              <w:pStyle w:val="1018"/>
              <w:spacing w:before="16"/>
              <w:ind w:left="1"/>
              <w:jc w:val="center"/>
              <w:rPr>
                <w:sz w:val="21"/>
              </w:rPr>
            </w:pPr>
            <w:r>
              <w:rPr>
                <w:sz w:val="21"/>
              </w:rPr>
              <w:t>超标情况</w:t>
            </w:r>
          </w:p>
        </w:tc>
      </w:tr>
      <w:tr w14:paraId="26FAA7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835" w:type="dxa"/>
            <w:vMerge w:val="restart"/>
            <w:tcBorders>
              <w:tl2br w:val="nil"/>
              <w:tr2bl w:val="nil"/>
            </w:tcBorders>
            <w:vAlign w:val="center"/>
          </w:tcPr>
          <w:p w14:paraId="3C26C2BB">
            <w:pPr>
              <w:pStyle w:val="1018"/>
              <w:spacing w:before="16"/>
              <w:ind w:left="1"/>
              <w:jc w:val="center"/>
              <w:rPr>
                <w:sz w:val="21"/>
              </w:rPr>
            </w:pPr>
            <w:r>
              <w:rPr>
                <w:rFonts w:hint="eastAsia"/>
                <w:sz w:val="21"/>
              </w:rPr>
              <w:t>铜角湾</w:t>
            </w:r>
          </w:p>
        </w:tc>
        <w:tc>
          <w:tcPr>
            <w:tcW w:w="835" w:type="dxa"/>
            <w:vMerge w:val="restart"/>
            <w:tcBorders>
              <w:tl2br w:val="nil"/>
              <w:tr2bl w:val="nil"/>
            </w:tcBorders>
            <w:vAlign w:val="center"/>
          </w:tcPr>
          <w:p w14:paraId="26FD7E26">
            <w:pPr>
              <w:pStyle w:val="1018"/>
              <w:spacing w:before="16"/>
              <w:ind w:left="1"/>
              <w:jc w:val="center"/>
              <w:rPr>
                <w:sz w:val="21"/>
              </w:rPr>
            </w:pPr>
            <w:r>
              <w:rPr>
                <w:rFonts w:hint="eastAsia"/>
                <w:sz w:val="21"/>
              </w:rPr>
              <w:t>190</w:t>
            </w:r>
          </w:p>
        </w:tc>
        <w:tc>
          <w:tcPr>
            <w:tcW w:w="1011" w:type="dxa"/>
            <w:tcBorders>
              <w:tl2br w:val="nil"/>
              <w:tr2bl w:val="nil"/>
            </w:tcBorders>
            <w:vAlign w:val="center"/>
          </w:tcPr>
          <w:p w14:paraId="3EBD42A1">
            <w:pPr>
              <w:pStyle w:val="1018"/>
              <w:spacing w:before="16"/>
              <w:ind w:left="1"/>
              <w:jc w:val="center"/>
              <w:rPr>
                <w:sz w:val="21"/>
              </w:rPr>
            </w:pPr>
            <w:r>
              <w:rPr>
                <w:rFonts w:hint="eastAsia"/>
                <w:sz w:val="21"/>
              </w:rPr>
              <w:t>昼间</w:t>
            </w:r>
          </w:p>
        </w:tc>
        <w:tc>
          <w:tcPr>
            <w:tcW w:w="1306" w:type="dxa"/>
            <w:tcBorders>
              <w:tl2br w:val="nil"/>
              <w:tr2bl w:val="nil"/>
            </w:tcBorders>
            <w:vAlign w:val="center"/>
          </w:tcPr>
          <w:p w14:paraId="5C2B771A">
            <w:pPr>
              <w:pStyle w:val="1018"/>
              <w:spacing w:before="16"/>
              <w:ind w:left="1"/>
              <w:jc w:val="center"/>
              <w:rPr>
                <w:sz w:val="21"/>
              </w:rPr>
            </w:pPr>
            <w:r>
              <w:rPr>
                <w:rFonts w:hint="eastAsia"/>
                <w:sz w:val="21"/>
              </w:rPr>
              <w:t>47</w:t>
            </w:r>
          </w:p>
        </w:tc>
        <w:tc>
          <w:tcPr>
            <w:tcW w:w="1306" w:type="dxa"/>
            <w:tcBorders>
              <w:tl2br w:val="nil"/>
              <w:tr2bl w:val="nil"/>
            </w:tcBorders>
            <w:vAlign w:val="center"/>
          </w:tcPr>
          <w:p w14:paraId="5C49D380">
            <w:pPr>
              <w:pStyle w:val="1018"/>
              <w:spacing w:before="16"/>
              <w:ind w:left="1"/>
              <w:jc w:val="center"/>
              <w:rPr>
                <w:sz w:val="21"/>
              </w:rPr>
            </w:pPr>
            <w:r>
              <w:rPr>
                <w:rFonts w:hint="eastAsia"/>
                <w:sz w:val="21"/>
              </w:rPr>
              <w:t>18.06</w:t>
            </w:r>
          </w:p>
        </w:tc>
        <w:tc>
          <w:tcPr>
            <w:tcW w:w="1306" w:type="dxa"/>
            <w:tcBorders>
              <w:tl2br w:val="nil"/>
              <w:tr2bl w:val="nil"/>
            </w:tcBorders>
            <w:vAlign w:val="center"/>
          </w:tcPr>
          <w:p w14:paraId="72B4D63C">
            <w:pPr>
              <w:pStyle w:val="1018"/>
              <w:spacing w:before="16"/>
              <w:ind w:left="1"/>
              <w:jc w:val="center"/>
              <w:rPr>
                <w:sz w:val="21"/>
              </w:rPr>
            </w:pPr>
            <w:r>
              <w:rPr>
                <w:rFonts w:hint="eastAsia"/>
                <w:sz w:val="21"/>
              </w:rPr>
              <w:t>47.01</w:t>
            </w:r>
          </w:p>
        </w:tc>
        <w:tc>
          <w:tcPr>
            <w:tcW w:w="1306" w:type="dxa"/>
            <w:tcBorders>
              <w:tl2br w:val="nil"/>
              <w:tr2bl w:val="nil"/>
            </w:tcBorders>
            <w:vAlign w:val="center"/>
          </w:tcPr>
          <w:p w14:paraId="66CB7398">
            <w:pPr>
              <w:pStyle w:val="1018"/>
              <w:spacing w:before="16"/>
              <w:ind w:left="1"/>
              <w:jc w:val="center"/>
              <w:rPr>
                <w:i/>
                <w:iCs/>
                <w:color w:val="auto"/>
                <w:sz w:val="21"/>
                <w:u w:val="single"/>
              </w:rPr>
            </w:pPr>
            <w:r>
              <w:rPr>
                <w:rFonts w:hint="eastAsia"/>
                <w:i/>
                <w:iCs/>
                <w:color w:val="auto"/>
                <w:sz w:val="21"/>
                <w:u w:val="single"/>
              </w:rPr>
              <w:t>60</w:t>
            </w:r>
          </w:p>
        </w:tc>
        <w:tc>
          <w:tcPr>
            <w:tcW w:w="1306" w:type="dxa"/>
            <w:tcBorders>
              <w:tl2br w:val="nil"/>
              <w:tr2bl w:val="nil"/>
            </w:tcBorders>
            <w:vAlign w:val="center"/>
          </w:tcPr>
          <w:p w14:paraId="36224DAA">
            <w:pPr>
              <w:pStyle w:val="1018"/>
              <w:spacing w:before="16"/>
              <w:ind w:left="1"/>
              <w:jc w:val="center"/>
              <w:rPr>
                <w:i/>
                <w:iCs/>
                <w:color w:val="auto"/>
                <w:sz w:val="21"/>
                <w:u w:val="single"/>
              </w:rPr>
            </w:pPr>
            <w:r>
              <w:rPr>
                <w:rFonts w:hint="eastAsia"/>
                <w:i/>
                <w:iCs/>
                <w:color w:val="auto"/>
                <w:sz w:val="21"/>
                <w:u w:val="single"/>
              </w:rPr>
              <w:t>达标</w:t>
            </w:r>
          </w:p>
        </w:tc>
      </w:tr>
      <w:tr w14:paraId="4ED92F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835" w:type="dxa"/>
            <w:vMerge w:val="continue"/>
            <w:tcBorders>
              <w:tl2br w:val="nil"/>
              <w:tr2bl w:val="nil"/>
            </w:tcBorders>
            <w:vAlign w:val="center"/>
          </w:tcPr>
          <w:p w14:paraId="47316631">
            <w:pPr>
              <w:pStyle w:val="1018"/>
              <w:spacing w:before="16"/>
              <w:ind w:left="1"/>
              <w:jc w:val="center"/>
              <w:rPr>
                <w:sz w:val="21"/>
              </w:rPr>
            </w:pPr>
          </w:p>
        </w:tc>
        <w:tc>
          <w:tcPr>
            <w:tcW w:w="835" w:type="dxa"/>
            <w:vMerge w:val="continue"/>
            <w:tcBorders>
              <w:tl2br w:val="nil"/>
              <w:tr2bl w:val="nil"/>
            </w:tcBorders>
            <w:vAlign w:val="center"/>
          </w:tcPr>
          <w:p w14:paraId="18F85B78">
            <w:pPr>
              <w:pStyle w:val="1018"/>
              <w:spacing w:before="16"/>
              <w:ind w:left="1"/>
              <w:jc w:val="center"/>
              <w:rPr>
                <w:sz w:val="21"/>
              </w:rPr>
            </w:pPr>
          </w:p>
        </w:tc>
        <w:tc>
          <w:tcPr>
            <w:tcW w:w="1011" w:type="dxa"/>
            <w:tcBorders>
              <w:tl2br w:val="nil"/>
              <w:tr2bl w:val="nil"/>
            </w:tcBorders>
            <w:vAlign w:val="center"/>
          </w:tcPr>
          <w:p w14:paraId="1A0082F2">
            <w:pPr>
              <w:pStyle w:val="1018"/>
              <w:spacing w:before="16"/>
              <w:ind w:left="1"/>
              <w:jc w:val="center"/>
              <w:rPr>
                <w:sz w:val="21"/>
              </w:rPr>
            </w:pPr>
            <w:r>
              <w:rPr>
                <w:rFonts w:hint="eastAsia"/>
                <w:sz w:val="21"/>
              </w:rPr>
              <w:t>夜间</w:t>
            </w:r>
          </w:p>
        </w:tc>
        <w:tc>
          <w:tcPr>
            <w:tcW w:w="1306" w:type="dxa"/>
            <w:tcBorders>
              <w:tl2br w:val="nil"/>
              <w:tr2bl w:val="nil"/>
            </w:tcBorders>
            <w:vAlign w:val="center"/>
          </w:tcPr>
          <w:p w14:paraId="46A40AE2">
            <w:pPr>
              <w:pStyle w:val="1018"/>
              <w:spacing w:before="16"/>
              <w:ind w:left="1"/>
              <w:jc w:val="center"/>
              <w:rPr>
                <w:sz w:val="21"/>
              </w:rPr>
            </w:pPr>
            <w:r>
              <w:rPr>
                <w:rFonts w:hint="eastAsia"/>
                <w:sz w:val="21"/>
              </w:rPr>
              <w:t>44</w:t>
            </w:r>
          </w:p>
        </w:tc>
        <w:tc>
          <w:tcPr>
            <w:tcW w:w="1306" w:type="dxa"/>
            <w:tcBorders>
              <w:tl2br w:val="nil"/>
              <w:tr2bl w:val="nil"/>
            </w:tcBorders>
            <w:vAlign w:val="center"/>
          </w:tcPr>
          <w:p w14:paraId="4390BF9E">
            <w:pPr>
              <w:pStyle w:val="1018"/>
              <w:spacing w:before="16"/>
              <w:ind w:left="1"/>
              <w:jc w:val="center"/>
              <w:rPr>
                <w:sz w:val="21"/>
              </w:rPr>
            </w:pPr>
            <w:r>
              <w:rPr>
                <w:rFonts w:hint="eastAsia"/>
                <w:sz w:val="21"/>
              </w:rPr>
              <w:t>18.06</w:t>
            </w:r>
          </w:p>
        </w:tc>
        <w:tc>
          <w:tcPr>
            <w:tcW w:w="1306" w:type="dxa"/>
            <w:tcBorders>
              <w:tl2br w:val="nil"/>
              <w:tr2bl w:val="nil"/>
            </w:tcBorders>
            <w:vAlign w:val="center"/>
          </w:tcPr>
          <w:p w14:paraId="24BFE2CF">
            <w:pPr>
              <w:pStyle w:val="1018"/>
              <w:spacing w:before="16"/>
              <w:ind w:left="1"/>
              <w:jc w:val="center"/>
              <w:rPr>
                <w:sz w:val="21"/>
              </w:rPr>
            </w:pPr>
            <w:r>
              <w:rPr>
                <w:rFonts w:hint="eastAsia"/>
                <w:sz w:val="21"/>
              </w:rPr>
              <w:t>44.01</w:t>
            </w:r>
          </w:p>
        </w:tc>
        <w:tc>
          <w:tcPr>
            <w:tcW w:w="1306" w:type="dxa"/>
            <w:tcBorders>
              <w:tl2br w:val="nil"/>
              <w:tr2bl w:val="nil"/>
            </w:tcBorders>
            <w:vAlign w:val="center"/>
          </w:tcPr>
          <w:p w14:paraId="74331C11">
            <w:pPr>
              <w:pStyle w:val="1018"/>
              <w:spacing w:before="16"/>
              <w:ind w:left="1"/>
              <w:jc w:val="center"/>
              <w:rPr>
                <w:i/>
                <w:iCs/>
                <w:color w:val="auto"/>
                <w:sz w:val="21"/>
                <w:u w:val="single"/>
              </w:rPr>
            </w:pPr>
            <w:r>
              <w:rPr>
                <w:rFonts w:hint="eastAsia"/>
                <w:i/>
                <w:iCs/>
                <w:color w:val="auto"/>
                <w:sz w:val="21"/>
                <w:u w:val="single"/>
              </w:rPr>
              <w:t>50</w:t>
            </w:r>
          </w:p>
        </w:tc>
        <w:tc>
          <w:tcPr>
            <w:tcW w:w="1306" w:type="dxa"/>
            <w:tcBorders>
              <w:tl2br w:val="nil"/>
              <w:tr2bl w:val="nil"/>
            </w:tcBorders>
            <w:vAlign w:val="center"/>
          </w:tcPr>
          <w:p w14:paraId="2FEA62C5">
            <w:pPr>
              <w:pStyle w:val="1018"/>
              <w:spacing w:before="16"/>
              <w:ind w:left="1"/>
              <w:jc w:val="center"/>
              <w:rPr>
                <w:i/>
                <w:iCs/>
                <w:color w:val="auto"/>
                <w:sz w:val="21"/>
                <w:u w:val="single"/>
              </w:rPr>
            </w:pPr>
            <w:r>
              <w:rPr>
                <w:rFonts w:hint="eastAsia"/>
                <w:i/>
                <w:iCs/>
                <w:color w:val="auto"/>
                <w:sz w:val="21"/>
                <w:u w:val="single"/>
              </w:rPr>
              <w:t>达标</w:t>
            </w:r>
          </w:p>
        </w:tc>
      </w:tr>
    </w:tbl>
    <w:p w14:paraId="0C5B109A">
      <w:pPr>
        <w:pStyle w:val="234"/>
        <w:spacing w:before="120" w:beforeLines="50"/>
      </w:pPr>
      <w:r>
        <w:rPr>
          <w:rFonts w:hint="eastAsia"/>
        </w:rPr>
        <w:t>由上表可知，耒阳分输站建成后正常运行状况下声环境敏感点铜角湾</w:t>
      </w:r>
      <w:r>
        <w:t>昼夜间噪声预测值</w:t>
      </w:r>
      <w:r>
        <w:rPr>
          <w:i/>
          <w:iCs/>
          <w:color w:val="auto"/>
          <w:u w:val="single"/>
        </w:rPr>
        <w:t>均低于《声环境质量标准》（GB3096-2008）</w:t>
      </w:r>
      <w:r>
        <w:rPr>
          <w:rFonts w:hint="eastAsia"/>
          <w:i/>
          <w:iCs/>
          <w:color w:val="auto"/>
          <w:u w:val="single"/>
        </w:rPr>
        <w:t>2</w:t>
      </w:r>
      <w:r>
        <w:rPr>
          <w:i/>
          <w:iCs/>
          <w:color w:val="auto"/>
          <w:u w:val="single"/>
        </w:rPr>
        <w:t>类标准</w:t>
      </w:r>
      <w:r>
        <w:rPr>
          <w:rFonts w:hint="eastAsia"/>
        </w:rPr>
        <w:t>，不会对其产生严重影响</w:t>
      </w:r>
      <w:r>
        <w:t>。</w:t>
      </w:r>
    </w:p>
    <w:p w14:paraId="1184CC27">
      <w:pPr>
        <w:pStyle w:val="234"/>
        <w:ind w:firstLine="0" w:firstLineChars="0"/>
        <w:jc w:val="center"/>
        <w:rPr>
          <w:color w:val="FF0000"/>
        </w:rPr>
      </w:pPr>
      <w:r>
        <w:drawing>
          <wp:inline distT="0" distB="0" distL="114300" distR="114300">
            <wp:extent cx="5751830" cy="3724910"/>
            <wp:effectExtent l="0" t="0" r="1270" b="8890"/>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pic:cNvPicPr>
                      <a:picLocks noChangeAspect="1"/>
                    </pic:cNvPicPr>
                  </pic:nvPicPr>
                  <pic:blipFill>
                    <a:blip r:embed="rId80"/>
                    <a:stretch>
                      <a:fillRect/>
                    </a:stretch>
                  </pic:blipFill>
                  <pic:spPr>
                    <a:xfrm>
                      <a:off x="0" y="0"/>
                      <a:ext cx="5751830" cy="3724910"/>
                    </a:xfrm>
                    <a:prstGeom prst="rect">
                      <a:avLst/>
                    </a:prstGeom>
                    <a:noFill/>
                    <a:ln>
                      <a:noFill/>
                    </a:ln>
                  </pic:spPr>
                </pic:pic>
              </a:graphicData>
            </a:graphic>
          </wp:inline>
        </w:drawing>
      </w:r>
    </w:p>
    <w:p w14:paraId="53047E49">
      <w:pPr>
        <w:pStyle w:val="1343"/>
      </w:pPr>
      <w:r>
        <w:rPr>
          <w:rStyle w:val="906"/>
        </w:rPr>
        <w:t>图6.2-</w:t>
      </w:r>
      <w:r>
        <w:rPr>
          <w:rStyle w:val="906"/>
          <w:rFonts w:hint="eastAsia"/>
        </w:rPr>
        <w:t>1</w:t>
      </w:r>
      <w:r>
        <w:rPr>
          <w:rStyle w:val="906"/>
        </w:rPr>
        <w:t xml:space="preserve">  正常工况</w:t>
      </w:r>
      <w:r>
        <w:rPr>
          <w:rStyle w:val="906"/>
          <w:rFonts w:hint="eastAsia"/>
        </w:rPr>
        <w:t>耒阳分输站</w:t>
      </w:r>
      <w:r>
        <w:rPr>
          <w:rStyle w:val="906"/>
        </w:rPr>
        <w:t>等声级线图</w:t>
      </w:r>
    </w:p>
    <w:p w14:paraId="7E8D65CF">
      <w:pPr>
        <w:pStyle w:val="234"/>
      </w:pPr>
      <w:r>
        <w:t>（2）非正常工况</w:t>
      </w:r>
    </w:p>
    <w:p w14:paraId="6D9460CD">
      <w:pPr>
        <w:pStyle w:val="234"/>
      </w:pPr>
      <w:r>
        <w:rPr>
          <w:rFonts w:hint="eastAsia"/>
        </w:rPr>
        <w:t>本工程耒阳分输站发生异常超压时，放空管会产生强噪声，通过对类比同类型输气管道站场运行调查，其发生概率小(1～2次/年)，且持续时间短，为瞬时强噪声，噪声源强可达95dB(A)~105dB(A)。</w:t>
      </w:r>
    </w:p>
    <w:p w14:paraId="24D812D0">
      <w:pPr>
        <w:pStyle w:val="234"/>
      </w:pPr>
      <w:r>
        <w:rPr>
          <w:rFonts w:hint="eastAsia"/>
        </w:rPr>
        <w:t>根据《声环境质量标准》(GB3096-2008）中规定“各类声环境功能区夜间突发噪声，其最大声级超过环境噪声限值的幅度不得高于15dB(A)”的要求，</w:t>
      </w:r>
      <w:r>
        <w:rPr>
          <w:rFonts w:hint="eastAsia"/>
          <w:i/>
          <w:iCs/>
          <w:color w:val="auto"/>
          <w:u w:val="single"/>
        </w:rPr>
        <w:t>本工程放空噪声夜间最大允许值为</w:t>
      </w:r>
      <w:r>
        <w:rPr>
          <w:i/>
          <w:iCs/>
          <w:color w:val="auto"/>
          <w:u w:val="single"/>
        </w:rPr>
        <w:t>6</w:t>
      </w:r>
      <w:r>
        <w:rPr>
          <w:rFonts w:hint="eastAsia"/>
          <w:i/>
          <w:iCs/>
          <w:color w:val="auto"/>
          <w:u w:val="single"/>
        </w:rPr>
        <w:t>5(A)。</w:t>
      </w:r>
      <w:r>
        <w:rPr>
          <w:rFonts w:hint="eastAsia"/>
        </w:rPr>
        <w:t>对声环境敏感点铜角湾的预测值见表6.2-8。</w:t>
      </w:r>
    </w:p>
    <w:p w14:paraId="33505264">
      <w:pPr>
        <w:spacing w:before="120" w:beforeLines="50"/>
        <w:ind w:left="2426"/>
        <w:jc w:val="left"/>
        <w:rPr>
          <w:szCs w:val="21"/>
        </w:rPr>
      </w:pPr>
      <w:r>
        <w:rPr>
          <w:rFonts w:eastAsia="黑体"/>
          <w:bCs/>
          <w:kern w:val="0"/>
          <w:sz w:val="22"/>
          <w:szCs w:val="22"/>
          <w:lang w:bidi="zh-CN"/>
        </w:rPr>
        <w:t>表</w:t>
      </w:r>
      <w:r>
        <w:rPr>
          <w:rFonts w:hint="eastAsia" w:eastAsia="黑体"/>
          <w:bCs/>
          <w:kern w:val="0"/>
          <w:sz w:val="22"/>
          <w:szCs w:val="22"/>
          <w:lang w:bidi="zh-CN"/>
        </w:rPr>
        <w:t>6</w:t>
      </w:r>
      <w:r>
        <w:rPr>
          <w:rFonts w:eastAsia="黑体"/>
          <w:bCs/>
          <w:kern w:val="0"/>
          <w:sz w:val="22"/>
          <w:szCs w:val="22"/>
          <w:lang w:bidi="zh-CN"/>
        </w:rPr>
        <w:t>.</w:t>
      </w:r>
      <w:r>
        <w:rPr>
          <w:rFonts w:hint="eastAsia" w:eastAsia="黑体"/>
          <w:bCs/>
          <w:kern w:val="0"/>
          <w:sz w:val="22"/>
          <w:szCs w:val="22"/>
          <w:lang w:bidi="zh-CN"/>
        </w:rPr>
        <w:t>2-8</w:t>
      </w:r>
      <w:r>
        <w:rPr>
          <w:rFonts w:eastAsia="黑体"/>
          <w:bCs/>
          <w:kern w:val="0"/>
          <w:sz w:val="22"/>
          <w:szCs w:val="22"/>
          <w:lang w:bidi="zh-CN"/>
        </w:rPr>
        <w:t xml:space="preserve">  </w:t>
      </w:r>
      <w:r>
        <w:rPr>
          <w:rFonts w:hint="eastAsia" w:eastAsia="黑体"/>
          <w:bCs/>
          <w:kern w:val="0"/>
          <w:sz w:val="22"/>
          <w:szCs w:val="22"/>
          <w:lang w:bidi="zh-CN"/>
        </w:rPr>
        <w:t>运营期耒阳分输站放空噪声</w:t>
      </w:r>
      <w:r>
        <w:rPr>
          <w:rFonts w:eastAsia="黑体"/>
          <w:bCs/>
          <w:kern w:val="0"/>
          <w:sz w:val="22"/>
          <w:szCs w:val="22"/>
          <w:lang w:bidi="zh-CN"/>
        </w:rPr>
        <w:t>对敏感点声环境影响预测</w:t>
      </w:r>
    </w:p>
    <w:tbl>
      <w:tblPr>
        <w:tblStyle w:val="88"/>
        <w:tblW w:w="507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36"/>
        <w:gridCol w:w="835"/>
        <w:gridCol w:w="1011"/>
        <w:gridCol w:w="1307"/>
        <w:gridCol w:w="1307"/>
        <w:gridCol w:w="1307"/>
        <w:gridCol w:w="1307"/>
        <w:gridCol w:w="1307"/>
      </w:tblGrid>
      <w:tr w14:paraId="7D58A7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835" w:type="dxa"/>
            <w:vMerge w:val="restart"/>
            <w:tcBorders>
              <w:tl2br w:val="nil"/>
              <w:tr2bl w:val="nil"/>
            </w:tcBorders>
            <w:vAlign w:val="center"/>
          </w:tcPr>
          <w:p w14:paraId="7F2F00E5">
            <w:pPr>
              <w:pStyle w:val="1018"/>
              <w:spacing w:before="16"/>
              <w:ind w:left="1"/>
              <w:jc w:val="center"/>
              <w:rPr>
                <w:sz w:val="21"/>
              </w:rPr>
            </w:pPr>
            <w:r>
              <w:rPr>
                <w:sz w:val="21"/>
              </w:rPr>
              <w:t>敏感点名称</w:t>
            </w:r>
          </w:p>
        </w:tc>
        <w:tc>
          <w:tcPr>
            <w:tcW w:w="835" w:type="dxa"/>
            <w:vMerge w:val="restart"/>
            <w:tcBorders>
              <w:tl2br w:val="nil"/>
              <w:tr2bl w:val="nil"/>
            </w:tcBorders>
            <w:vAlign w:val="center"/>
          </w:tcPr>
          <w:p w14:paraId="3E513EBF">
            <w:pPr>
              <w:pStyle w:val="1018"/>
              <w:spacing w:before="16"/>
              <w:ind w:left="1"/>
              <w:jc w:val="center"/>
              <w:rPr>
                <w:sz w:val="21"/>
              </w:rPr>
            </w:pPr>
            <w:r>
              <w:rPr>
                <w:sz w:val="21"/>
              </w:rPr>
              <w:t>相对距离/m</w:t>
            </w:r>
          </w:p>
        </w:tc>
        <w:tc>
          <w:tcPr>
            <w:tcW w:w="1011" w:type="dxa"/>
            <w:vMerge w:val="restart"/>
            <w:tcBorders>
              <w:tl2br w:val="nil"/>
              <w:tr2bl w:val="nil"/>
            </w:tcBorders>
            <w:vAlign w:val="center"/>
          </w:tcPr>
          <w:p w14:paraId="38F92988">
            <w:pPr>
              <w:pStyle w:val="1018"/>
              <w:spacing w:before="16"/>
              <w:ind w:left="1"/>
              <w:jc w:val="center"/>
              <w:rPr>
                <w:sz w:val="21"/>
              </w:rPr>
            </w:pPr>
            <w:r>
              <w:rPr>
                <w:rFonts w:hint="eastAsia"/>
                <w:sz w:val="21"/>
              </w:rPr>
              <w:t>预测时段</w:t>
            </w:r>
          </w:p>
        </w:tc>
        <w:tc>
          <w:tcPr>
            <w:tcW w:w="6530" w:type="dxa"/>
            <w:gridSpan w:val="5"/>
            <w:tcBorders>
              <w:tl2br w:val="nil"/>
              <w:tr2bl w:val="nil"/>
            </w:tcBorders>
            <w:vAlign w:val="center"/>
          </w:tcPr>
          <w:p w14:paraId="2AA9F58E">
            <w:pPr>
              <w:pStyle w:val="1018"/>
              <w:spacing w:before="16"/>
              <w:ind w:left="1"/>
              <w:jc w:val="center"/>
              <w:rPr>
                <w:sz w:val="21"/>
              </w:rPr>
            </w:pPr>
            <w:r>
              <w:rPr>
                <w:sz w:val="21"/>
              </w:rPr>
              <w:t>噪声预测结果，dB（A）</w:t>
            </w:r>
          </w:p>
        </w:tc>
      </w:tr>
      <w:tr w14:paraId="2406F4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835" w:type="dxa"/>
            <w:vMerge w:val="continue"/>
            <w:tcBorders>
              <w:tl2br w:val="nil"/>
              <w:tr2bl w:val="nil"/>
            </w:tcBorders>
            <w:vAlign w:val="center"/>
          </w:tcPr>
          <w:p w14:paraId="560CD639">
            <w:pPr>
              <w:pStyle w:val="1018"/>
              <w:spacing w:before="16"/>
              <w:ind w:left="1"/>
              <w:jc w:val="center"/>
              <w:rPr>
                <w:sz w:val="21"/>
              </w:rPr>
            </w:pPr>
          </w:p>
        </w:tc>
        <w:tc>
          <w:tcPr>
            <w:tcW w:w="835" w:type="dxa"/>
            <w:vMerge w:val="continue"/>
            <w:tcBorders>
              <w:tl2br w:val="nil"/>
              <w:tr2bl w:val="nil"/>
            </w:tcBorders>
            <w:vAlign w:val="center"/>
          </w:tcPr>
          <w:p w14:paraId="1EB55161">
            <w:pPr>
              <w:pStyle w:val="1018"/>
              <w:spacing w:before="16"/>
              <w:ind w:left="1"/>
              <w:jc w:val="center"/>
              <w:rPr>
                <w:sz w:val="21"/>
              </w:rPr>
            </w:pPr>
          </w:p>
        </w:tc>
        <w:tc>
          <w:tcPr>
            <w:tcW w:w="1011" w:type="dxa"/>
            <w:vMerge w:val="continue"/>
            <w:tcBorders>
              <w:tl2br w:val="nil"/>
              <w:tr2bl w:val="nil"/>
            </w:tcBorders>
            <w:vAlign w:val="center"/>
          </w:tcPr>
          <w:p w14:paraId="43D5AEDC">
            <w:pPr>
              <w:pStyle w:val="1018"/>
              <w:spacing w:before="16"/>
              <w:ind w:left="1"/>
              <w:jc w:val="center"/>
              <w:rPr>
                <w:sz w:val="21"/>
              </w:rPr>
            </w:pPr>
          </w:p>
        </w:tc>
        <w:tc>
          <w:tcPr>
            <w:tcW w:w="1306" w:type="dxa"/>
            <w:tcBorders>
              <w:tl2br w:val="nil"/>
              <w:tr2bl w:val="nil"/>
            </w:tcBorders>
            <w:vAlign w:val="center"/>
          </w:tcPr>
          <w:p w14:paraId="4CE8D1F7">
            <w:pPr>
              <w:pStyle w:val="1018"/>
              <w:spacing w:before="16"/>
              <w:ind w:left="1"/>
              <w:jc w:val="center"/>
              <w:rPr>
                <w:sz w:val="21"/>
              </w:rPr>
            </w:pPr>
            <w:r>
              <w:rPr>
                <w:sz w:val="21"/>
              </w:rPr>
              <w:t>背景值</w:t>
            </w:r>
          </w:p>
        </w:tc>
        <w:tc>
          <w:tcPr>
            <w:tcW w:w="1306" w:type="dxa"/>
            <w:tcBorders>
              <w:tl2br w:val="nil"/>
              <w:tr2bl w:val="nil"/>
            </w:tcBorders>
            <w:vAlign w:val="center"/>
          </w:tcPr>
          <w:p w14:paraId="3013CFC2">
            <w:pPr>
              <w:pStyle w:val="1018"/>
              <w:spacing w:before="16"/>
              <w:ind w:left="1"/>
              <w:jc w:val="center"/>
              <w:rPr>
                <w:sz w:val="21"/>
              </w:rPr>
            </w:pPr>
            <w:r>
              <w:rPr>
                <w:sz w:val="21"/>
              </w:rPr>
              <w:t>贡献值</w:t>
            </w:r>
          </w:p>
        </w:tc>
        <w:tc>
          <w:tcPr>
            <w:tcW w:w="1306" w:type="dxa"/>
            <w:tcBorders>
              <w:tl2br w:val="nil"/>
              <w:tr2bl w:val="nil"/>
            </w:tcBorders>
            <w:vAlign w:val="center"/>
          </w:tcPr>
          <w:p w14:paraId="65ECE49E">
            <w:pPr>
              <w:pStyle w:val="1018"/>
              <w:spacing w:before="16"/>
              <w:ind w:left="1"/>
              <w:jc w:val="center"/>
              <w:rPr>
                <w:sz w:val="21"/>
              </w:rPr>
            </w:pPr>
            <w:r>
              <w:rPr>
                <w:sz w:val="21"/>
              </w:rPr>
              <w:t>预测值</w:t>
            </w:r>
          </w:p>
        </w:tc>
        <w:tc>
          <w:tcPr>
            <w:tcW w:w="1306" w:type="dxa"/>
            <w:tcBorders>
              <w:tl2br w:val="nil"/>
              <w:tr2bl w:val="nil"/>
            </w:tcBorders>
            <w:vAlign w:val="center"/>
          </w:tcPr>
          <w:p w14:paraId="0618400C">
            <w:pPr>
              <w:pStyle w:val="1018"/>
              <w:spacing w:before="16"/>
              <w:ind w:left="1"/>
              <w:jc w:val="center"/>
              <w:rPr>
                <w:sz w:val="21"/>
              </w:rPr>
            </w:pPr>
            <w:r>
              <w:rPr>
                <w:sz w:val="21"/>
              </w:rPr>
              <w:t>执行标准</w:t>
            </w:r>
          </w:p>
        </w:tc>
        <w:tc>
          <w:tcPr>
            <w:tcW w:w="1306" w:type="dxa"/>
            <w:tcBorders>
              <w:tl2br w:val="nil"/>
              <w:tr2bl w:val="nil"/>
            </w:tcBorders>
            <w:vAlign w:val="center"/>
          </w:tcPr>
          <w:p w14:paraId="52E9E35A">
            <w:pPr>
              <w:pStyle w:val="1018"/>
              <w:spacing w:before="16"/>
              <w:ind w:left="1"/>
              <w:jc w:val="center"/>
              <w:rPr>
                <w:sz w:val="21"/>
              </w:rPr>
            </w:pPr>
            <w:r>
              <w:rPr>
                <w:sz w:val="21"/>
              </w:rPr>
              <w:t>超标情况</w:t>
            </w:r>
          </w:p>
        </w:tc>
      </w:tr>
      <w:tr w14:paraId="3FB5CE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835" w:type="dxa"/>
            <w:vMerge w:val="restart"/>
            <w:tcBorders>
              <w:tl2br w:val="nil"/>
              <w:tr2bl w:val="nil"/>
            </w:tcBorders>
            <w:vAlign w:val="center"/>
          </w:tcPr>
          <w:p w14:paraId="03BA95AE">
            <w:pPr>
              <w:pStyle w:val="1018"/>
              <w:spacing w:before="16"/>
              <w:ind w:left="1"/>
              <w:jc w:val="center"/>
              <w:rPr>
                <w:sz w:val="21"/>
              </w:rPr>
            </w:pPr>
            <w:r>
              <w:rPr>
                <w:rFonts w:hint="eastAsia"/>
                <w:sz w:val="21"/>
              </w:rPr>
              <w:t>铜角湾</w:t>
            </w:r>
          </w:p>
        </w:tc>
        <w:tc>
          <w:tcPr>
            <w:tcW w:w="835" w:type="dxa"/>
            <w:vMerge w:val="restart"/>
            <w:tcBorders>
              <w:tl2br w:val="nil"/>
              <w:tr2bl w:val="nil"/>
            </w:tcBorders>
            <w:vAlign w:val="center"/>
          </w:tcPr>
          <w:p w14:paraId="1E69F0CC">
            <w:pPr>
              <w:pStyle w:val="1018"/>
              <w:spacing w:before="16"/>
              <w:ind w:left="1"/>
              <w:jc w:val="center"/>
              <w:rPr>
                <w:sz w:val="21"/>
              </w:rPr>
            </w:pPr>
            <w:r>
              <w:rPr>
                <w:rFonts w:hint="eastAsia"/>
                <w:sz w:val="21"/>
              </w:rPr>
              <w:t>190</w:t>
            </w:r>
          </w:p>
        </w:tc>
        <w:tc>
          <w:tcPr>
            <w:tcW w:w="1011" w:type="dxa"/>
            <w:tcBorders>
              <w:tl2br w:val="nil"/>
              <w:tr2bl w:val="nil"/>
            </w:tcBorders>
            <w:vAlign w:val="center"/>
          </w:tcPr>
          <w:p w14:paraId="57E48C43">
            <w:pPr>
              <w:pStyle w:val="1018"/>
              <w:spacing w:before="16"/>
              <w:ind w:left="1"/>
              <w:jc w:val="center"/>
              <w:rPr>
                <w:sz w:val="21"/>
              </w:rPr>
            </w:pPr>
            <w:r>
              <w:rPr>
                <w:rFonts w:hint="eastAsia"/>
                <w:sz w:val="21"/>
              </w:rPr>
              <w:t>昼间</w:t>
            </w:r>
          </w:p>
        </w:tc>
        <w:tc>
          <w:tcPr>
            <w:tcW w:w="1306" w:type="dxa"/>
            <w:tcBorders>
              <w:tl2br w:val="nil"/>
              <w:tr2bl w:val="nil"/>
            </w:tcBorders>
            <w:vAlign w:val="center"/>
          </w:tcPr>
          <w:p w14:paraId="6CD32E26">
            <w:pPr>
              <w:pStyle w:val="1018"/>
              <w:spacing w:before="16"/>
              <w:ind w:left="1"/>
              <w:jc w:val="center"/>
              <w:rPr>
                <w:sz w:val="21"/>
              </w:rPr>
            </w:pPr>
            <w:r>
              <w:rPr>
                <w:rFonts w:hint="eastAsia"/>
                <w:sz w:val="21"/>
              </w:rPr>
              <w:t>47</w:t>
            </w:r>
          </w:p>
        </w:tc>
        <w:tc>
          <w:tcPr>
            <w:tcW w:w="1306" w:type="dxa"/>
            <w:tcBorders>
              <w:tl2br w:val="nil"/>
              <w:tr2bl w:val="nil"/>
            </w:tcBorders>
            <w:vAlign w:val="center"/>
          </w:tcPr>
          <w:p w14:paraId="00FEC02C">
            <w:pPr>
              <w:pStyle w:val="1018"/>
              <w:spacing w:before="16"/>
              <w:ind w:left="1"/>
              <w:jc w:val="center"/>
              <w:rPr>
                <w:sz w:val="21"/>
              </w:rPr>
            </w:pPr>
            <w:r>
              <w:rPr>
                <w:rFonts w:hint="eastAsia"/>
                <w:sz w:val="21"/>
              </w:rPr>
              <w:t>43.91</w:t>
            </w:r>
          </w:p>
        </w:tc>
        <w:tc>
          <w:tcPr>
            <w:tcW w:w="1306" w:type="dxa"/>
            <w:tcBorders>
              <w:tl2br w:val="nil"/>
              <w:tr2bl w:val="nil"/>
            </w:tcBorders>
            <w:vAlign w:val="center"/>
          </w:tcPr>
          <w:p w14:paraId="2F8A04D7">
            <w:pPr>
              <w:pStyle w:val="1018"/>
              <w:spacing w:before="16"/>
              <w:ind w:left="1"/>
              <w:jc w:val="center"/>
              <w:rPr>
                <w:sz w:val="21"/>
              </w:rPr>
            </w:pPr>
            <w:r>
              <w:rPr>
                <w:rFonts w:hint="eastAsia"/>
                <w:sz w:val="21"/>
              </w:rPr>
              <w:t>48.73</w:t>
            </w:r>
          </w:p>
        </w:tc>
        <w:tc>
          <w:tcPr>
            <w:tcW w:w="1306" w:type="dxa"/>
            <w:tcBorders>
              <w:tl2br w:val="nil"/>
              <w:tr2bl w:val="nil"/>
            </w:tcBorders>
            <w:vAlign w:val="center"/>
          </w:tcPr>
          <w:p w14:paraId="716E1A76">
            <w:pPr>
              <w:pStyle w:val="1018"/>
              <w:spacing w:before="16"/>
              <w:ind w:left="1"/>
              <w:jc w:val="center"/>
              <w:rPr>
                <w:i/>
                <w:iCs/>
                <w:color w:val="auto"/>
                <w:sz w:val="21"/>
                <w:u w:val="single"/>
              </w:rPr>
            </w:pPr>
            <w:r>
              <w:rPr>
                <w:rFonts w:hint="eastAsia"/>
                <w:i/>
                <w:iCs/>
                <w:color w:val="auto"/>
                <w:sz w:val="21"/>
                <w:u w:val="single"/>
              </w:rPr>
              <w:t>60</w:t>
            </w:r>
          </w:p>
        </w:tc>
        <w:tc>
          <w:tcPr>
            <w:tcW w:w="1306" w:type="dxa"/>
            <w:tcBorders>
              <w:tl2br w:val="nil"/>
              <w:tr2bl w:val="nil"/>
            </w:tcBorders>
            <w:vAlign w:val="center"/>
          </w:tcPr>
          <w:p w14:paraId="7DE65322">
            <w:pPr>
              <w:pStyle w:val="1018"/>
              <w:spacing w:before="16"/>
              <w:ind w:left="1"/>
              <w:jc w:val="center"/>
              <w:rPr>
                <w:i/>
                <w:iCs/>
                <w:color w:val="auto"/>
                <w:sz w:val="21"/>
                <w:u w:val="single"/>
              </w:rPr>
            </w:pPr>
            <w:r>
              <w:rPr>
                <w:rFonts w:hint="eastAsia"/>
                <w:i/>
                <w:iCs/>
                <w:color w:val="auto"/>
                <w:sz w:val="21"/>
                <w:u w:val="single"/>
              </w:rPr>
              <w:t>达标</w:t>
            </w:r>
          </w:p>
        </w:tc>
      </w:tr>
      <w:tr w14:paraId="6F2E8C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835" w:type="dxa"/>
            <w:vMerge w:val="continue"/>
            <w:tcBorders>
              <w:tl2br w:val="nil"/>
              <w:tr2bl w:val="nil"/>
            </w:tcBorders>
            <w:vAlign w:val="center"/>
          </w:tcPr>
          <w:p w14:paraId="67F2A9E1">
            <w:pPr>
              <w:pStyle w:val="1018"/>
              <w:spacing w:before="16"/>
              <w:ind w:left="1"/>
              <w:jc w:val="center"/>
              <w:rPr>
                <w:sz w:val="21"/>
              </w:rPr>
            </w:pPr>
          </w:p>
        </w:tc>
        <w:tc>
          <w:tcPr>
            <w:tcW w:w="835" w:type="dxa"/>
            <w:vMerge w:val="continue"/>
            <w:tcBorders>
              <w:tl2br w:val="nil"/>
              <w:tr2bl w:val="nil"/>
            </w:tcBorders>
            <w:vAlign w:val="center"/>
          </w:tcPr>
          <w:p w14:paraId="4B31F588">
            <w:pPr>
              <w:pStyle w:val="1018"/>
              <w:spacing w:before="16"/>
              <w:ind w:left="1"/>
              <w:jc w:val="center"/>
              <w:rPr>
                <w:sz w:val="21"/>
              </w:rPr>
            </w:pPr>
          </w:p>
        </w:tc>
        <w:tc>
          <w:tcPr>
            <w:tcW w:w="1011" w:type="dxa"/>
            <w:tcBorders>
              <w:tl2br w:val="nil"/>
              <w:tr2bl w:val="nil"/>
            </w:tcBorders>
            <w:vAlign w:val="center"/>
          </w:tcPr>
          <w:p w14:paraId="145F1D80">
            <w:pPr>
              <w:pStyle w:val="1018"/>
              <w:spacing w:before="16"/>
              <w:ind w:left="1"/>
              <w:jc w:val="center"/>
              <w:rPr>
                <w:sz w:val="21"/>
              </w:rPr>
            </w:pPr>
            <w:r>
              <w:rPr>
                <w:rFonts w:hint="eastAsia"/>
                <w:sz w:val="21"/>
              </w:rPr>
              <w:t>夜间</w:t>
            </w:r>
          </w:p>
        </w:tc>
        <w:tc>
          <w:tcPr>
            <w:tcW w:w="1306" w:type="dxa"/>
            <w:tcBorders>
              <w:tl2br w:val="nil"/>
              <w:tr2bl w:val="nil"/>
            </w:tcBorders>
            <w:vAlign w:val="center"/>
          </w:tcPr>
          <w:p w14:paraId="7BE3A5BE">
            <w:pPr>
              <w:pStyle w:val="1018"/>
              <w:spacing w:before="16"/>
              <w:ind w:left="1"/>
              <w:jc w:val="center"/>
              <w:rPr>
                <w:sz w:val="21"/>
              </w:rPr>
            </w:pPr>
            <w:r>
              <w:rPr>
                <w:rFonts w:hint="eastAsia"/>
                <w:sz w:val="21"/>
              </w:rPr>
              <w:t>44</w:t>
            </w:r>
          </w:p>
        </w:tc>
        <w:tc>
          <w:tcPr>
            <w:tcW w:w="1306" w:type="dxa"/>
            <w:tcBorders>
              <w:tl2br w:val="nil"/>
              <w:tr2bl w:val="nil"/>
            </w:tcBorders>
            <w:vAlign w:val="center"/>
          </w:tcPr>
          <w:p w14:paraId="5ED5C013">
            <w:pPr>
              <w:pStyle w:val="1018"/>
              <w:spacing w:before="16"/>
              <w:ind w:left="1"/>
              <w:jc w:val="center"/>
              <w:rPr>
                <w:sz w:val="21"/>
              </w:rPr>
            </w:pPr>
            <w:r>
              <w:rPr>
                <w:rFonts w:hint="eastAsia"/>
                <w:sz w:val="21"/>
              </w:rPr>
              <w:t>43.91</w:t>
            </w:r>
          </w:p>
        </w:tc>
        <w:tc>
          <w:tcPr>
            <w:tcW w:w="1306" w:type="dxa"/>
            <w:tcBorders>
              <w:tl2br w:val="nil"/>
              <w:tr2bl w:val="nil"/>
            </w:tcBorders>
            <w:vAlign w:val="center"/>
          </w:tcPr>
          <w:p w14:paraId="036EAB33">
            <w:pPr>
              <w:pStyle w:val="1018"/>
              <w:spacing w:before="16"/>
              <w:ind w:left="1"/>
              <w:jc w:val="center"/>
              <w:rPr>
                <w:sz w:val="21"/>
              </w:rPr>
            </w:pPr>
            <w:r>
              <w:rPr>
                <w:rFonts w:hint="eastAsia"/>
                <w:sz w:val="21"/>
              </w:rPr>
              <w:t>46.97</w:t>
            </w:r>
          </w:p>
        </w:tc>
        <w:tc>
          <w:tcPr>
            <w:tcW w:w="1306" w:type="dxa"/>
            <w:tcBorders>
              <w:tl2br w:val="nil"/>
              <w:tr2bl w:val="nil"/>
            </w:tcBorders>
            <w:vAlign w:val="center"/>
          </w:tcPr>
          <w:p w14:paraId="1E141D3F">
            <w:pPr>
              <w:pStyle w:val="1018"/>
              <w:spacing w:before="16"/>
              <w:ind w:left="1"/>
              <w:jc w:val="center"/>
              <w:rPr>
                <w:i/>
                <w:iCs/>
                <w:color w:val="auto"/>
                <w:sz w:val="21"/>
                <w:u w:val="single"/>
              </w:rPr>
            </w:pPr>
            <w:r>
              <w:rPr>
                <w:rFonts w:hint="eastAsia"/>
                <w:i/>
                <w:iCs/>
                <w:color w:val="auto"/>
                <w:sz w:val="21"/>
                <w:u w:val="single"/>
              </w:rPr>
              <w:t>65</w:t>
            </w:r>
          </w:p>
        </w:tc>
        <w:tc>
          <w:tcPr>
            <w:tcW w:w="1306" w:type="dxa"/>
            <w:tcBorders>
              <w:tl2br w:val="nil"/>
              <w:tr2bl w:val="nil"/>
            </w:tcBorders>
            <w:vAlign w:val="center"/>
          </w:tcPr>
          <w:p w14:paraId="2108B9BE">
            <w:pPr>
              <w:pStyle w:val="1018"/>
              <w:spacing w:before="16"/>
              <w:ind w:left="1"/>
              <w:jc w:val="center"/>
              <w:rPr>
                <w:i/>
                <w:iCs/>
                <w:color w:val="auto"/>
                <w:sz w:val="21"/>
                <w:u w:val="single"/>
              </w:rPr>
            </w:pPr>
            <w:r>
              <w:rPr>
                <w:rFonts w:hint="eastAsia"/>
                <w:i/>
                <w:iCs/>
                <w:color w:val="auto"/>
                <w:sz w:val="21"/>
                <w:u w:val="single"/>
              </w:rPr>
              <w:t>达标</w:t>
            </w:r>
          </w:p>
        </w:tc>
      </w:tr>
    </w:tbl>
    <w:p w14:paraId="04A0249A">
      <w:pPr>
        <w:pStyle w:val="234"/>
        <w:spacing w:before="120" w:beforeLines="50"/>
      </w:pPr>
      <w:r>
        <w:rPr>
          <w:rFonts w:hint="eastAsia"/>
        </w:rPr>
        <w:t>由上表可知，耒阳分输站建成后非正常工况下声环境敏感点铜角湾</w:t>
      </w:r>
      <w:r>
        <w:t>昼夜间噪声预测值均</w:t>
      </w:r>
      <w:r>
        <w:rPr>
          <w:i/>
          <w:iCs/>
          <w:color w:val="auto"/>
          <w:u w:val="single"/>
        </w:rPr>
        <w:t>低于《声环境质量标准》（GB3096-2008）</w:t>
      </w:r>
      <w:r>
        <w:rPr>
          <w:rFonts w:hint="eastAsia"/>
          <w:i/>
          <w:iCs/>
          <w:color w:val="auto"/>
          <w:u w:val="single"/>
        </w:rPr>
        <w:t>2</w:t>
      </w:r>
      <w:r>
        <w:rPr>
          <w:i/>
          <w:iCs/>
          <w:color w:val="auto"/>
          <w:u w:val="single"/>
        </w:rPr>
        <w:t>类标准</w:t>
      </w:r>
      <w:r>
        <w:rPr>
          <w:rFonts w:hint="eastAsia"/>
          <w:i/>
          <w:iCs/>
          <w:color w:val="auto"/>
          <w:u w:val="single"/>
        </w:rPr>
        <w:t>，</w:t>
      </w:r>
      <w:r>
        <w:rPr>
          <w:rFonts w:hint="eastAsia"/>
        </w:rPr>
        <w:t>不会对其产生严重影响。</w:t>
      </w:r>
    </w:p>
    <w:p w14:paraId="607E8C7E">
      <w:pPr>
        <w:pStyle w:val="1343"/>
        <w:rPr>
          <w:color w:val="FF0000"/>
        </w:rPr>
      </w:pPr>
      <w:r>
        <w:drawing>
          <wp:inline distT="0" distB="0" distL="114300" distR="114300">
            <wp:extent cx="5758180" cy="3770630"/>
            <wp:effectExtent l="0" t="0" r="13970" b="1270"/>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pic:cNvPicPr>
                      <a:picLocks noChangeAspect="1"/>
                    </pic:cNvPicPr>
                  </pic:nvPicPr>
                  <pic:blipFill>
                    <a:blip r:embed="rId81"/>
                    <a:stretch>
                      <a:fillRect/>
                    </a:stretch>
                  </pic:blipFill>
                  <pic:spPr>
                    <a:xfrm>
                      <a:off x="0" y="0"/>
                      <a:ext cx="5758180" cy="3770630"/>
                    </a:xfrm>
                    <a:prstGeom prst="rect">
                      <a:avLst/>
                    </a:prstGeom>
                    <a:noFill/>
                    <a:ln>
                      <a:noFill/>
                    </a:ln>
                  </pic:spPr>
                </pic:pic>
              </a:graphicData>
            </a:graphic>
          </wp:inline>
        </w:drawing>
      </w:r>
    </w:p>
    <w:p w14:paraId="7ED70F7B">
      <w:pPr>
        <w:pStyle w:val="904"/>
        <w:spacing w:before="120" w:beforeLines="50" w:line="360" w:lineRule="auto"/>
      </w:pPr>
      <w:r>
        <w:rPr>
          <w:rFonts w:hint="eastAsia"/>
        </w:rPr>
        <w:t>图6.2-2  非正常工况耒阳分输站等声级线图</w:t>
      </w:r>
    </w:p>
    <w:p w14:paraId="6E4F4AA4">
      <w:pPr>
        <w:pStyle w:val="234"/>
      </w:pPr>
      <w:r>
        <w:rPr>
          <w:rFonts w:hint="eastAsia"/>
        </w:rPr>
        <w:t>由预测结果分布图可知，在耒阳分输站周围声环境敏感目标处放空的噪声贡献值</w:t>
      </w:r>
      <w:r>
        <w:rPr>
          <w:rFonts w:hint="eastAsia"/>
          <w:i/>
          <w:iCs/>
          <w:color w:val="auto"/>
          <w:u w:val="single"/>
        </w:rPr>
        <w:t>可以满足《声环境质量标准》(GB3096-2008）中2类区夜间偶发噪声允许值65dB(A)要求</w:t>
      </w:r>
      <w:r>
        <w:rPr>
          <w:rFonts w:hint="eastAsia"/>
        </w:rPr>
        <w:t>。</w:t>
      </w:r>
      <w:r>
        <w:t>由于系统超压放空属于偶发噪声，持续时间短、频次低，因此</w:t>
      </w:r>
      <w:r>
        <w:rPr>
          <w:rFonts w:hint="eastAsia"/>
        </w:rPr>
        <w:t>，</w:t>
      </w:r>
      <w:r>
        <w:t>工程非正常工况对周边居民的影响</w:t>
      </w:r>
      <w:r>
        <w:rPr>
          <w:rFonts w:hint="eastAsia"/>
        </w:rPr>
        <w:t>不大。鉴于放空噪声具有突发性且影响较大，建设单位在发生超压放空时，应避免夜间放空，及时与当地环保主管部门报备，及时告知周围居民，并与周边居民做好充分沟通，积极配合地方政府开展告知及安抚工作。</w:t>
      </w:r>
    </w:p>
    <w:p w14:paraId="391FA5DC">
      <w:pPr>
        <w:pStyle w:val="5"/>
        <w:rPr>
          <w:color w:val="auto"/>
        </w:rPr>
      </w:pPr>
      <w:r>
        <w:rPr>
          <w:color w:val="auto"/>
        </w:rPr>
        <w:t xml:space="preserve"> 固体废物环境影响评价</w:t>
      </w:r>
    </w:p>
    <w:p w14:paraId="788F4F36">
      <w:pPr>
        <w:pStyle w:val="7"/>
      </w:pPr>
      <w:r>
        <w:rPr>
          <w:rFonts w:hint="eastAsia"/>
        </w:rPr>
        <w:t>固体废物贮存及处置方式</w:t>
      </w:r>
    </w:p>
    <w:p w14:paraId="5BCD3D66">
      <w:pPr>
        <w:pStyle w:val="234"/>
      </w:pPr>
      <w:r>
        <w:rPr>
          <w:rFonts w:hint="eastAsia"/>
        </w:rPr>
        <w:t>本工程依托的28号阀室及新建耒阳分输站均为无人值守站，不新增职工定员，无新增生活垃圾产生。运营期由于采用密闭输气工艺，正常情况下无固体废物产生。固体废物主要来自分离器检修产生的废渣、废滤芯和废铅酸蓄电池</w:t>
      </w:r>
      <w:r>
        <w:t>。</w:t>
      </w:r>
    </w:p>
    <w:p w14:paraId="64E95C41">
      <w:pPr>
        <w:adjustRightInd w:val="0"/>
        <w:snapToGrid w:val="0"/>
        <w:spacing w:line="360" w:lineRule="auto"/>
        <w:ind w:firstLine="480" w:firstLineChars="200"/>
        <w:rPr>
          <w:sz w:val="24"/>
        </w:rPr>
      </w:pPr>
      <w:r>
        <w:rPr>
          <w:sz w:val="24"/>
        </w:rPr>
        <w:fldChar w:fldCharType="begin"/>
      </w:r>
      <w:r>
        <w:rPr>
          <w:sz w:val="24"/>
        </w:rPr>
        <w:instrText xml:space="preserve"> </w:instrText>
      </w:r>
      <w:r>
        <w:rPr>
          <w:rFonts w:hint="eastAsia"/>
          <w:sz w:val="24"/>
        </w:rPr>
        <w:instrText xml:space="preserve">= 1 \* GB3</w:instrText>
      </w:r>
      <w:r>
        <w:rPr>
          <w:sz w:val="24"/>
        </w:rPr>
        <w:instrText xml:space="preserve"> </w:instrText>
      </w:r>
      <w:r>
        <w:rPr>
          <w:sz w:val="24"/>
        </w:rPr>
        <w:fldChar w:fldCharType="separate"/>
      </w:r>
      <w:r>
        <w:rPr>
          <w:rFonts w:hint="eastAsia"/>
          <w:sz w:val="24"/>
        </w:rPr>
        <w:t>①</w:t>
      </w:r>
      <w:r>
        <w:rPr>
          <w:sz w:val="24"/>
        </w:rPr>
        <w:fldChar w:fldCharType="end"/>
      </w:r>
      <w:r>
        <w:rPr>
          <w:rFonts w:hint="eastAsia"/>
          <w:sz w:val="24"/>
        </w:rPr>
        <w:t>分离器检修废渣</w:t>
      </w:r>
    </w:p>
    <w:p w14:paraId="57344F2F">
      <w:pPr>
        <w:adjustRightInd w:val="0"/>
        <w:snapToGrid w:val="0"/>
        <w:spacing w:line="360" w:lineRule="auto"/>
        <w:ind w:firstLine="480" w:firstLineChars="200"/>
        <w:rPr>
          <w:sz w:val="24"/>
        </w:rPr>
      </w:pPr>
      <w:r>
        <w:rPr>
          <w:rFonts w:hint="eastAsia"/>
          <w:sz w:val="24"/>
        </w:rPr>
        <w:t>站场的分离器检修是通过自身压力排尘的，主要污染物成份为粉尘，为避免粉尘的飘散，需将清除的废物导入排污池中。根据类比调查，分离器检修一般1次/a，废渣的产生量每站约为5kg。</w:t>
      </w:r>
      <w:r>
        <w:rPr>
          <w:sz w:val="24"/>
        </w:rPr>
        <w:t>本工程</w:t>
      </w:r>
      <w:r>
        <w:rPr>
          <w:rFonts w:hint="eastAsia"/>
          <w:sz w:val="24"/>
        </w:rPr>
        <w:t>耒阳分输站</w:t>
      </w:r>
      <w:r>
        <w:rPr>
          <w:sz w:val="24"/>
        </w:rPr>
        <w:t>站新建过滤分离器2台，</w:t>
      </w:r>
      <w:r>
        <w:rPr>
          <w:rFonts w:hint="eastAsia"/>
          <w:sz w:val="24"/>
        </w:rPr>
        <w:t>废渣的产生量约为0.005t/a，定期委托有资质单位处置。</w:t>
      </w:r>
    </w:p>
    <w:p w14:paraId="34FE517C">
      <w:pPr>
        <w:adjustRightInd w:val="0"/>
        <w:snapToGrid w:val="0"/>
        <w:spacing w:line="360" w:lineRule="auto"/>
        <w:ind w:firstLine="480" w:firstLineChars="200"/>
        <w:rPr>
          <w:sz w:val="24"/>
        </w:rPr>
      </w:pPr>
      <w:r>
        <w:rPr>
          <w:sz w:val="24"/>
        </w:rPr>
        <w:fldChar w:fldCharType="begin"/>
      </w:r>
      <w:r>
        <w:rPr>
          <w:sz w:val="24"/>
        </w:rPr>
        <w:instrText xml:space="preserve"> </w:instrText>
      </w:r>
      <w:r>
        <w:rPr>
          <w:rFonts w:hint="eastAsia"/>
          <w:sz w:val="24"/>
        </w:rPr>
        <w:instrText xml:space="preserve">= 2 \* GB3</w:instrText>
      </w:r>
      <w:r>
        <w:rPr>
          <w:sz w:val="24"/>
        </w:rPr>
        <w:instrText xml:space="preserve"> </w:instrText>
      </w:r>
      <w:r>
        <w:rPr>
          <w:sz w:val="24"/>
        </w:rPr>
        <w:fldChar w:fldCharType="separate"/>
      </w:r>
      <w:r>
        <w:rPr>
          <w:rFonts w:hint="eastAsia"/>
          <w:sz w:val="24"/>
        </w:rPr>
        <w:t>②</w:t>
      </w:r>
      <w:r>
        <w:rPr>
          <w:sz w:val="24"/>
        </w:rPr>
        <w:fldChar w:fldCharType="end"/>
      </w:r>
      <w:r>
        <w:rPr>
          <w:rFonts w:hint="eastAsia"/>
          <w:sz w:val="24"/>
        </w:rPr>
        <w:t>废滤芯</w:t>
      </w:r>
    </w:p>
    <w:p w14:paraId="37E71CA5">
      <w:pPr>
        <w:adjustRightInd w:val="0"/>
        <w:snapToGrid w:val="0"/>
        <w:spacing w:line="360" w:lineRule="auto"/>
        <w:ind w:firstLine="480" w:firstLineChars="200"/>
        <w:rPr>
          <w:sz w:val="24"/>
        </w:rPr>
      </w:pPr>
      <w:r>
        <w:rPr>
          <w:rFonts w:hint="eastAsia"/>
          <w:sz w:val="24"/>
        </w:rPr>
        <w:t>过滤分离器清洗检修时，可以使用备用路，保证正常操作。过滤器上设有差压计，可以根据其读数判断过滤器是否堵塞，决定是否需要更换滤芯。</w:t>
      </w:r>
      <w:r>
        <w:rPr>
          <w:sz w:val="24"/>
        </w:rPr>
        <w:t>本工程</w:t>
      </w:r>
      <w:r>
        <w:rPr>
          <w:rFonts w:hint="eastAsia"/>
          <w:sz w:val="24"/>
        </w:rPr>
        <w:t>耒阳分输</w:t>
      </w:r>
      <w:r>
        <w:rPr>
          <w:sz w:val="24"/>
        </w:rPr>
        <w:t>站新建过滤分离器2台</w:t>
      </w:r>
      <w:r>
        <w:rPr>
          <w:rFonts w:hint="eastAsia"/>
          <w:sz w:val="24"/>
        </w:rPr>
        <w:t>（1用1备）</w:t>
      </w:r>
      <w:r>
        <w:rPr>
          <w:sz w:val="24"/>
        </w:rPr>
        <w:t>，</w:t>
      </w:r>
      <w:r>
        <w:rPr>
          <w:rFonts w:hint="eastAsia"/>
          <w:i/>
          <w:iCs/>
          <w:color w:val="auto"/>
          <w:sz w:val="24"/>
          <w:u w:val="single"/>
        </w:rPr>
        <w:t>根据初步设计资料，</w:t>
      </w:r>
      <w:r>
        <w:rPr>
          <w:rFonts w:hint="eastAsia"/>
          <w:sz w:val="24"/>
        </w:rPr>
        <w:t>滤芯设计使用寿命不小于</w:t>
      </w:r>
      <w:r>
        <w:rPr>
          <w:sz w:val="24"/>
        </w:rPr>
        <w:t>24</w:t>
      </w:r>
      <w:r>
        <w:rPr>
          <w:rFonts w:hint="eastAsia"/>
          <w:sz w:val="24"/>
        </w:rPr>
        <w:t>个月，单个滤芯重量以0.2t计，废滤芯产生量约0.4t/2a，为危险废物，委托有资质单位处置。</w:t>
      </w:r>
    </w:p>
    <w:p w14:paraId="6107550E">
      <w:pPr>
        <w:adjustRightInd w:val="0"/>
        <w:snapToGrid w:val="0"/>
        <w:spacing w:line="360" w:lineRule="auto"/>
        <w:ind w:firstLine="480" w:firstLineChars="200"/>
        <w:rPr>
          <w:sz w:val="24"/>
        </w:rPr>
      </w:pPr>
      <w:r>
        <w:rPr>
          <w:sz w:val="24"/>
        </w:rPr>
        <w:fldChar w:fldCharType="begin"/>
      </w:r>
      <w:r>
        <w:rPr>
          <w:sz w:val="24"/>
        </w:rPr>
        <w:instrText xml:space="preserve"> </w:instrText>
      </w:r>
      <w:r>
        <w:rPr>
          <w:rFonts w:hint="eastAsia"/>
          <w:sz w:val="24"/>
        </w:rPr>
        <w:instrText xml:space="preserve">= 3 \* GB3</w:instrText>
      </w:r>
      <w:r>
        <w:rPr>
          <w:sz w:val="24"/>
        </w:rPr>
        <w:instrText xml:space="preserve"> </w:instrText>
      </w:r>
      <w:r>
        <w:rPr>
          <w:sz w:val="24"/>
        </w:rPr>
        <w:fldChar w:fldCharType="separate"/>
      </w:r>
      <w:r>
        <w:rPr>
          <w:rFonts w:hint="eastAsia"/>
          <w:sz w:val="24"/>
        </w:rPr>
        <w:t>③</w:t>
      </w:r>
      <w:r>
        <w:rPr>
          <w:sz w:val="24"/>
        </w:rPr>
        <w:fldChar w:fldCharType="end"/>
      </w:r>
      <w:r>
        <w:rPr>
          <w:rFonts w:hint="eastAsia"/>
          <w:sz w:val="24"/>
        </w:rPr>
        <w:t>废铅酸蓄电池</w:t>
      </w:r>
    </w:p>
    <w:p w14:paraId="49FEFEE3">
      <w:pPr>
        <w:adjustRightInd w:val="0"/>
        <w:snapToGrid w:val="0"/>
        <w:spacing w:line="360" w:lineRule="auto"/>
        <w:ind w:firstLine="480" w:firstLineChars="200"/>
        <w:rPr>
          <w:sz w:val="24"/>
        </w:rPr>
      </w:pPr>
      <w:r>
        <w:rPr>
          <w:rFonts w:hint="eastAsia"/>
          <w:sz w:val="24"/>
        </w:rPr>
        <w:t>为了保护站场和线路管道安全，本次设计在耒阳分输站设置紧急切断阀（ESD），采用电动球阀，通过UPS系统不间断供电。站场UPS系统应急电源为密封铅酸蓄电池，一般每8年更换一次，产生量约为0.8t/（次·站），作废的含铅电池属于危险废物，暂存于危废暂存间，委托有资质单位处置。</w:t>
      </w:r>
    </w:p>
    <w:p w14:paraId="528365F9">
      <w:pPr>
        <w:pStyle w:val="7"/>
      </w:pPr>
      <w:r>
        <w:rPr>
          <w:rFonts w:hint="eastAsia"/>
        </w:rPr>
        <w:t>危险废物贮存场所环境影响分析</w:t>
      </w:r>
    </w:p>
    <w:p w14:paraId="2CFF7DC2">
      <w:pPr>
        <w:pStyle w:val="234"/>
      </w:pPr>
      <w:r>
        <w:rPr>
          <w:rFonts w:hint="eastAsia"/>
        </w:rPr>
        <w:t>本项目运行期产生的分离器检修废渣、废滤芯、废铅酸蓄电池均属于危险废物，其中分离器检修废渣排入排污池中贮存，废滤芯和废铅酸蓄电池在</w:t>
      </w:r>
      <w:r>
        <w:rPr>
          <w:rFonts w:hint="eastAsia"/>
          <w:i/>
          <w:iCs/>
          <w:color w:val="auto"/>
          <w:u w:val="single"/>
        </w:rPr>
        <w:t>耒阳分输站危废暂存间中贮存。</w:t>
      </w:r>
      <w:r>
        <w:rPr>
          <w:rFonts w:hint="eastAsia"/>
        </w:rPr>
        <w:t>具体情况如下：</w:t>
      </w:r>
    </w:p>
    <w:p w14:paraId="04C27D53">
      <w:pPr>
        <w:pStyle w:val="234"/>
      </w:pPr>
      <w:r>
        <w:rPr>
          <w:rFonts w:hint="eastAsia"/>
        </w:rPr>
        <w:t>排污池：排污池建设在耒阳分输站工艺装置区西侧地下，容积为18m</w:t>
      </w:r>
      <w:r>
        <w:rPr>
          <w:rFonts w:hint="eastAsia"/>
          <w:vertAlign w:val="superscript"/>
        </w:rPr>
        <w:t>3</w:t>
      </w:r>
      <w:r>
        <w:rPr>
          <w:rFonts w:hint="eastAsia"/>
        </w:rPr>
        <w:t>。分离器检修废渣可通过场站内工艺管道直接排入排污池中，排污管线采用球阀与阀套式排污阀串联的方式，阀套式排污阀采用硬软双质密封面，并采用阀座浮动连接，设有平衡孔可调节软密封面变形量，保证了密封的可靠性。排污池上方盖有盖板，排污池池壁由混凝土砌成，具有良好的防渗性能。分离器检修一般1次/a，废渣的产生量每次约为5kg，最大暂存周期为1年，排污池容积可满足暂存需要。</w:t>
      </w:r>
    </w:p>
    <w:p w14:paraId="79B716C5">
      <w:pPr>
        <w:pStyle w:val="234"/>
        <w:rPr>
          <w:i/>
          <w:iCs/>
          <w:color w:val="auto"/>
          <w:u w:val="single"/>
        </w:rPr>
      </w:pPr>
      <w:r>
        <w:rPr>
          <w:rFonts w:hint="eastAsia"/>
          <w:i/>
          <w:iCs/>
          <w:color w:val="auto"/>
          <w:u w:val="single"/>
        </w:rPr>
        <w:t>危废暂存间：危废暂存间建设在耒阳分输站东北角（28号阀室不设危废暂存间），面积为11m</w:t>
      </w:r>
      <w:r>
        <w:rPr>
          <w:rFonts w:hint="eastAsia"/>
          <w:i/>
          <w:iCs/>
          <w:color w:val="auto"/>
          <w:u w:val="single"/>
          <w:vertAlign w:val="superscript"/>
        </w:rPr>
        <w:t>2</w:t>
      </w:r>
      <w:r>
        <w:rPr>
          <w:rFonts w:hint="eastAsia"/>
          <w:i/>
          <w:iCs/>
          <w:color w:val="auto"/>
          <w:u w:val="single"/>
        </w:rPr>
        <w:t>，采用防爆轴流风机进行通风，依靠门、窗进行自然补风，并设置三频红外式火焰探测器。暂存间为密闭设施，可做到防风、防晒、防雨、防渗漏。与工艺装置区的距离为18m，符合设施防火间距要求。本工程滤芯每两年更换一次，产生量约为0.4t，废铅酸蓄电池每8年更换一次，产生量约为0.8t，最大暂存周期为1年，危废暂存间可满足这两种危险废物的暂存要求，此外，当两种危废同时暂存时应分区存放。</w:t>
      </w:r>
    </w:p>
    <w:p w14:paraId="7C44269E">
      <w:pPr>
        <w:pStyle w:val="234"/>
      </w:pPr>
      <w:r>
        <w:rPr>
          <w:rFonts w:hint="eastAsia"/>
        </w:rPr>
        <w:t>综上所述，排污池及危废暂存间建设均满足《危险废物贮存污染控制标准》（GB18597-2023）标准要求，正常生产运行过程中不会对环境产生污染影响。</w:t>
      </w:r>
    </w:p>
    <w:p w14:paraId="57673472">
      <w:pPr>
        <w:pStyle w:val="7"/>
      </w:pPr>
      <w:r>
        <w:rPr>
          <w:rFonts w:hint="eastAsia"/>
        </w:rPr>
        <w:t>运输过程的环境影响分析</w:t>
      </w:r>
    </w:p>
    <w:p w14:paraId="10190520">
      <w:pPr>
        <w:pStyle w:val="234"/>
      </w:pPr>
      <w:r>
        <w:rPr>
          <w:rFonts w:hint="eastAsia"/>
        </w:rPr>
        <w:t>本项目危险废物的运输由危险废物处置单位承担，通过道路运输，运输过程中首先应对危险废物密闭包装，避免跑、冒、滴、漏情况发生；其次应配备必要的应急工具，在发生运输事故的情况下可及时对危险废物进行收集，避免污染范围扩大；最后，运输路线的选择应尽量避开环境敏感点。运输过程严格按照《危险废物收集贮存 运输技术规范》要求进行，可避免对环境产生污染影响。</w:t>
      </w:r>
    </w:p>
    <w:p w14:paraId="51FD8A73">
      <w:pPr>
        <w:pStyle w:val="7"/>
      </w:pPr>
      <w:r>
        <w:rPr>
          <w:rFonts w:hint="eastAsia"/>
        </w:rPr>
        <w:t>委托处置的环境影响分析</w:t>
      </w:r>
    </w:p>
    <w:p w14:paraId="63E505CF">
      <w:pPr>
        <w:pStyle w:val="234"/>
        <w:rPr>
          <w:i/>
          <w:iCs/>
          <w:color w:val="auto"/>
          <w:u w:val="single"/>
        </w:rPr>
      </w:pPr>
      <w:r>
        <w:rPr>
          <w:rFonts w:hint="eastAsia"/>
          <w:i/>
          <w:iCs/>
          <w:color w:val="auto"/>
          <w:u w:val="single"/>
        </w:rPr>
        <w:t>建设单位拟委托湖南瀚洋环保科技有限公司处置本工程产生的危险废物，目前建设单位已与该公司签订危废处置合同（见附件14），潜江—韶关输气管道岳阳分输清管站、长沙分输站、株洲分输清管站、衡阳分输清管站、永州分输清管站、郴州分输清管站危险废物均由该公司拉运处置，本项目建成投产后建设单位将重新修订危废处置合同，将本项目的耒阳分输站产生的危险废物纳入到合同范围内。</w:t>
      </w:r>
    </w:p>
    <w:p w14:paraId="04A12973">
      <w:pPr>
        <w:pStyle w:val="234"/>
      </w:pPr>
      <w:r>
        <w:rPr>
          <w:rFonts w:hint="eastAsia"/>
        </w:rPr>
        <w:t>湖南瀚洋环保科技有限公司位于长沙市长沙县北山镇北山村万谷岭，于2020年9月取得《危险废物经营许可证》，可处置的危险废物类别包括HW07、HW08、HW09、HW17、HW18、HW20、HW21、HW22、HW23、HW24、HW25、HW26、HW27、HW28、HW30、HW31、HW34、HW35、HW36、HW37、HW39、HW46、HW47、HW48、HW49、HW50，处理规模为112000t/a。本项目危险废物委托湖南瀚洋环保科技有限公司处置可行。</w:t>
      </w:r>
    </w:p>
    <w:p w14:paraId="6FFDED4E">
      <w:pPr>
        <w:pStyle w:val="234"/>
      </w:pPr>
      <w:r>
        <w:t>综上，</w:t>
      </w:r>
      <w:r>
        <w:rPr>
          <w:rFonts w:hint="eastAsia"/>
        </w:rPr>
        <w:t>在</w:t>
      </w:r>
      <w:r>
        <w:t>采取以上措施后，本工程运营期固体废物</w:t>
      </w:r>
      <w:r>
        <w:rPr>
          <w:rFonts w:hint="eastAsia"/>
        </w:rPr>
        <w:t>均得到妥善处置，</w:t>
      </w:r>
      <w:r>
        <w:t>对周边环境影响较小。</w:t>
      </w:r>
    </w:p>
    <w:p w14:paraId="51140249">
      <w:pPr>
        <w:pStyle w:val="4"/>
      </w:pPr>
      <w:bookmarkStart w:id="205" w:name="_Toc72672353"/>
      <w:bookmarkStart w:id="206" w:name="_Toc13893"/>
      <w:bookmarkStart w:id="207" w:name="_Toc532466471"/>
      <w:r>
        <w:t>生态环境影响评价</w:t>
      </w:r>
      <w:bookmarkEnd w:id="205"/>
      <w:bookmarkEnd w:id="206"/>
      <w:bookmarkEnd w:id="207"/>
    </w:p>
    <w:p w14:paraId="64E1C7EE">
      <w:pPr>
        <w:pStyle w:val="5"/>
        <w:rPr>
          <w:color w:val="auto"/>
          <w:lang w:val="zh-CN"/>
        </w:rPr>
      </w:pPr>
      <w:r>
        <w:rPr>
          <w:color w:val="auto"/>
          <w:lang w:val="zh-CN"/>
        </w:rPr>
        <w:t xml:space="preserve"> </w:t>
      </w:r>
      <w:r>
        <w:rPr>
          <w:color w:val="auto"/>
        </w:rPr>
        <w:t>生态环境</w:t>
      </w:r>
      <w:r>
        <w:rPr>
          <w:color w:val="auto"/>
          <w:lang w:val="zh-CN"/>
        </w:rPr>
        <w:t>影响因素分析</w:t>
      </w:r>
    </w:p>
    <w:p w14:paraId="0C99C5EB">
      <w:pPr>
        <w:pStyle w:val="7"/>
        <w:rPr>
          <w:lang w:val="zh-CN"/>
        </w:rPr>
      </w:pPr>
      <w:r>
        <w:rPr>
          <w:lang w:val="zh-CN"/>
        </w:rPr>
        <w:t>施工期生态影响因素</w:t>
      </w:r>
    </w:p>
    <w:p w14:paraId="554F10DA">
      <w:pPr>
        <w:pStyle w:val="234"/>
        <w:spacing w:before="48" w:after="48"/>
      </w:pPr>
      <w:r>
        <w:rPr>
          <w:lang w:val="zh-CN"/>
        </w:rPr>
        <w:t>施工期管沟、路基的开挖、碾压、践踏等，会对物种和植被进行不同程度的破坏，同时产生的噪声会使野生动物受到惊吓，迫使其迁至新的环境中；施工作业带临时占地会使野生动物的栖息地遭到一定程度的丧失；通过工作人员出入、材料运输等传播途径可能引入外来物种，而使土著物种受到一定程度的威胁；在施工过程中，地表结构会受到扰动，地表植被随之受到破坏后，野生动物的栖息地也随之被破坏，动物不再适应其所在的环境而被迫离开原有的栖息地。</w:t>
      </w:r>
    </w:p>
    <w:p w14:paraId="0DBCABD7">
      <w:pPr>
        <w:pStyle w:val="7"/>
      </w:pPr>
      <w:r>
        <w:t>运营期生态影响因素</w:t>
      </w:r>
    </w:p>
    <w:p w14:paraId="4859C53D">
      <w:pPr>
        <w:pStyle w:val="234"/>
        <w:spacing w:before="48" w:after="48"/>
      </w:pPr>
      <w:r>
        <w:t>工程运营期的影响因子主要从以下几方面分析：</w:t>
      </w:r>
    </w:p>
    <w:p w14:paraId="7B7D2642">
      <w:pPr>
        <w:pStyle w:val="234"/>
        <w:spacing w:before="48" w:after="48"/>
      </w:pPr>
      <w:r>
        <w:t>（1）</w:t>
      </w:r>
      <w:r>
        <w:rPr>
          <w:rFonts w:hint="eastAsia"/>
        </w:rPr>
        <w:t>耒阳分输站</w:t>
      </w:r>
      <w:r>
        <w:t>永久占地导致区域内相应类型土地面积减少，植物生物量减少；</w:t>
      </w:r>
    </w:p>
    <w:p w14:paraId="7B430C3E">
      <w:pPr>
        <w:pStyle w:val="234"/>
        <w:spacing w:before="48" w:after="48"/>
      </w:pPr>
      <w:r>
        <w:t>（2）管线两侧5m内只能种植浅根植物，导致占用区域内植物生物量减少，占用动物的适宜生境；</w:t>
      </w:r>
    </w:p>
    <w:p w14:paraId="0D458DEA">
      <w:pPr>
        <w:pStyle w:val="234"/>
        <w:spacing w:before="48" w:after="48"/>
      </w:pPr>
      <w:r>
        <w:t>（3）运营期管线巡检车辆通行发出的灯光、噪声等对周围的野生动物产生一定驱赶作用；</w:t>
      </w:r>
    </w:p>
    <w:p w14:paraId="58706AD2">
      <w:pPr>
        <w:pStyle w:val="234"/>
        <w:spacing w:before="48" w:after="48"/>
      </w:pPr>
      <w:r>
        <w:t>（4）天然气属于易燃易爆气体，如果在运营期发生泄漏，可能产生火灾爆炸，对区域内动植物造成较大的损害。</w:t>
      </w:r>
    </w:p>
    <w:p w14:paraId="1D71AB8F">
      <w:pPr>
        <w:pStyle w:val="5"/>
        <w:rPr>
          <w:color w:val="auto"/>
        </w:rPr>
      </w:pPr>
      <w:r>
        <w:rPr>
          <w:color w:val="auto"/>
        </w:rPr>
        <w:t xml:space="preserve"> 施工期生态环境影响评价</w:t>
      </w:r>
    </w:p>
    <w:p w14:paraId="5EA02B1C">
      <w:pPr>
        <w:pStyle w:val="7"/>
        <w:rPr>
          <w:lang w:val="zh-CN"/>
        </w:rPr>
      </w:pPr>
      <w:r>
        <w:rPr>
          <w:lang w:val="zh-CN"/>
        </w:rPr>
        <w:t>土地利用影响预测与分析</w:t>
      </w:r>
    </w:p>
    <w:p w14:paraId="2456ABF4">
      <w:pPr>
        <w:pStyle w:val="234"/>
        <w:spacing w:before="48" w:after="48"/>
        <w:rPr>
          <w:lang w:val="zh-CN"/>
        </w:rPr>
      </w:pPr>
      <w:r>
        <w:rPr>
          <w:lang w:val="zh-CN"/>
        </w:rPr>
        <w:t>（1）工程永久性占地影响分析</w:t>
      </w:r>
    </w:p>
    <w:p w14:paraId="56536A6C">
      <w:pPr>
        <w:pStyle w:val="234"/>
        <w:spacing w:before="48" w:after="48"/>
        <w:rPr>
          <w:lang w:val="zh-CN"/>
        </w:rPr>
      </w:pPr>
      <w:r>
        <w:rPr>
          <w:lang w:val="zh-CN"/>
        </w:rPr>
        <w:t>本工程管道工程永久性占地主要包括</w:t>
      </w:r>
      <w:r>
        <w:rPr>
          <w:rFonts w:hint="eastAsia"/>
        </w:rPr>
        <w:t>新建耒阳分输站、进站路及标志桩</w:t>
      </w:r>
      <w:r>
        <w:rPr>
          <w:rFonts w:hint="eastAsia"/>
          <w:lang w:val="zh-CN"/>
        </w:rPr>
        <w:t>占地</w:t>
      </w:r>
      <w:r>
        <w:rPr>
          <w:lang w:val="zh-CN"/>
        </w:rPr>
        <w:t>。本工程永久占地面积共</w:t>
      </w:r>
      <w:r>
        <w:rPr>
          <w:rFonts w:hint="eastAsia"/>
        </w:rPr>
        <w:t>11294</w:t>
      </w:r>
      <w:r>
        <w:rPr>
          <w:lang w:val="zh-CN"/>
        </w:rPr>
        <w:t>m</w:t>
      </w:r>
      <w:r>
        <w:rPr>
          <w:vertAlign w:val="superscript"/>
          <w:lang w:val="zh-CN"/>
        </w:rPr>
        <w:t>2</w:t>
      </w:r>
      <w:r>
        <w:rPr>
          <w:rFonts w:hint="eastAsia"/>
          <w:lang w:val="zh-CN"/>
        </w:rPr>
        <w:t>，</w:t>
      </w:r>
      <w:r>
        <w:rPr>
          <w:rFonts w:hint="eastAsia"/>
        </w:rPr>
        <w:t>占地类型主要包括耕地（18m</w:t>
      </w:r>
      <w:r>
        <w:rPr>
          <w:rFonts w:hint="eastAsia"/>
          <w:vertAlign w:val="superscript"/>
        </w:rPr>
        <w:t>2</w:t>
      </w:r>
      <w:r>
        <w:rPr>
          <w:rFonts w:hint="eastAsia"/>
        </w:rPr>
        <w:t>）、林地（10543.8m</w:t>
      </w:r>
      <w:r>
        <w:rPr>
          <w:rFonts w:hint="eastAsia"/>
          <w:vertAlign w:val="superscript"/>
        </w:rPr>
        <w:t>2</w:t>
      </w:r>
      <w:r>
        <w:rPr>
          <w:rFonts w:hint="eastAsia"/>
        </w:rPr>
        <w:t>）和采矿用地（732.2m</w:t>
      </w:r>
      <w:r>
        <w:rPr>
          <w:rFonts w:hint="eastAsia"/>
          <w:vertAlign w:val="superscript"/>
        </w:rPr>
        <w:t>2</w:t>
      </w:r>
      <w:r>
        <w:rPr>
          <w:rFonts w:hint="eastAsia"/>
        </w:rPr>
        <w:t>）</w:t>
      </w:r>
      <w:r>
        <w:rPr>
          <w:rFonts w:hint="eastAsia"/>
          <w:lang w:val="zh-CN"/>
        </w:rPr>
        <w:t>。</w:t>
      </w:r>
    </w:p>
    <w:p w14:paraId="03F21BA7">
      <w:pPr>
        <w:pStyle w:val="234"/>
      </w:pPr>
      <w:r>
        <w:t>本项目附属设施</w:t>
      </w:r>
      <w:r>
        <w:rPr>
          <w:rFonts w:hint="eastAsia"/>
        </w:rPr>
        <w:t>（标志桩）</w:t>
      </w:r>
      <w:r>
        <w:t>永久占地量很少</w:t>
      </w:r>
      <w:r>
        <w:rPr>
          <w:rFonts w:hint="eastAsia"/>
        </w:rPr>
        <w:t>，影响极小；进站路</w:t>
      </w:r>
      <w:r>
        <w:t>选线</w:t>
      </w:r>
      <w:r>
        <w:rPr>
          <w:rFonts w:hint="eastAsia"/>
        </w:rPr>
        <w:t>在尽量避让公益林的基础上选取最近路线与已有乡村道路连接，尽可能减少了占地面积，耒阳分输站无法避免占用公益林，改变了土地利用性质，造成林地面积的减少，生物量造成损失，</w:t>
      </w:r>
      <w:r>
        <w:t>也间接地影响了野生动物的栖息及觅食</w:t>
      </w:r>
      <w:r>
        <w:rPr>
          <w:rFonts w:hint="eastAsia"/>
        </w:rPr>
        <w:t>。</w:t>
      </w:r>
    </w:p>
    <w:p w14:paraId="157589EA">
      <w:pPr>
        <w:pStyle w:val="234"/>
      </w:pPr>
      <w:r>
        <w:rPr>
          <w:lang w:val="zh-CN"/>
        </w:rPr>
        <w:t>本工程开工前向</w:t>
      </w:r>
      <w:r>
        <w:rPr>
          <w:rFonts w:hint="eastAsia"/>
        </w:rPr>
        <w:t>耒阳市</w:t>
      </w:r>
      <w:r>
        <w:rPr>
          <w:lang w:val="zh-CN"/>
        </w:rPr>
        <w:t>自然资源部门提出工程用地申请，与地方政府及有关职能部门积极协调，在施工前认真落实地方有关征地补偿手续及其费用，配合地方政府解决工程沿线扰动区域内的土地占补平衡问题；同时在施工和运营期间要落实本报告书中的有</w:t>
      </w:r>
      <w:r>
        <w:t>关环境保护措施，将永久性工程占地对地区土地利用的影响</w:t>
      </w:r>
      <w:r>
        <w:rPr>
          <w:rFonts w:hint="eastAsia"/>
        </w:rPr>
        <w:t>降到</w:t>
      </w:r>
      <w:r>
        <w:t>最小。</w:t>
      </w:r>
    </w:p>
    <w:p w14:paraId="460ADB79">
      <w:pPr>
        <w:pStyle w:val="234"/>
      </w:pPr>
      <w:r>
        <w:t>（2）临时性工程占地的影响分析</w:t>
      </w:r>
    </w:p>
    <w:p w14:paraId="7AA6A6D6">
      <w:pPr>
        <w:pStyle w:val="234"/>
      </w:pPr>
      <w:r>
        <w:fldChar w:fldCharType="begin"/>
      </w:r>
      <w:r>
        <w:instrText xml:space="preserve"> = 1 \* GB3 </w:instrText>
      </w:r>
      <w:r>
        <w:fldChar w:fldCharType="separate"/>
      </w:r>
      <w:r>
        <w:rPr>
          <w:rFonts w:hint="eastAsia" w:ascii="宋体" w:hAnsi="宋体" w:cs="宋体"/>
        </w:rPr>
        <w:t>①</w:t>
      </w:r>
      <w:r>
        <w:fldChar w:fldCharType="end"/>
      </w:r>
      <w:r>
        <w:t>临时占地土地利用类型</w:t>
      </w:r>
    </w:p>
    <w:p w14:paraId="085FEA27">
      <w:pPr>
        <w:pStyle w:val="234"/>
      </w:pPr>
      <w:r>
        <w:t>本工程管线全长</w:t>
      </w:r>
      <w:r>
        <w:rPr>
          <w:rFonts w:hint="eastAsia"/>
        </w:rPr>
        <w:t>0.</w:t>
      </w:r>
      <w:r>
        <w:rPr>
          <w:rFonts w:hint="eastAsia"/>
          <w:lang w:eastAsia="zh-CN"/>
        </w:rPr>
        <w:t>760</w:t>
      </w:r>
      <w:r>
        <w:t>km，本工程管道所占用的土地利用类型情况见表6.3-1。</w:t>
      </w:r>
    </w:p>
    <w:p w14:paraId="0B3974AA">
      <w:pPr>
        <w:pStyle w:val="234"/>
      </w:pPr>
      <w:r>
        <w:t>本工程管道工程临时占地与扰动面积约</w:t>
      </w:r>
      <w:r>
        <w:rPr>
          <w:rFonts w:hint="eastAsia"/>
        </w:rPr>
        <w:t>9760</w:t>
      </w:r>
      <w:r>
        <w:t>m</w:t>
      </w:r>
      <w:r>
        <w:rPr>
          <w:vertAlign w:val="superscript"/>
        </w:rPr>
        <w:t>2</w:t>
      </w:r>
      <w:r>
        <w:t>，其中施工作业带面积为</w:t>
      </w:r>
      <w:r>
        <w:rPr>
          <w:rFonts w:hint="eastAsia"/>
        </w:rPr>
        <w:t>8960</w:t>
      </w:r>
      <w:r>
        <w:t>m</w:t>
      </w:r>
      <w:r>
        <w:rPr>
          <w:vertAlign w:val="superscript"/>
        </w:rPr>
        <w:t>2</w:t>
      </w:r>
      <w:r>
        <w:t>、</w:t>
      </w:r>
      <w:r>
        <w:rPr>
          <w:rFonts w:hint="eastAsia"/>
        </w:rPr>
        <w:t>堆管场地</w:t>
      </w:r>
      <w:r>
        <w:t>面积为</w:t>
      </w:r>
      <w:r>
        <w:rPr>
          <w:rFonts w:hint="eastAsia"/>
        </w:rPr>
        <w:t>800</w:t>
      </w:r>
      <w:r>
        <w:t>m</w:t>
      </w:r>
      <w:r>
        <w:rPr>
          <w:vertAlign w:val="superscript"/>
        </w:rPr>
        <w:t>2</w:t>
      </w:r>
      <w:r>
        <w:t>。在扰动区域内，管道对</w:t>
      </w:r>
      <w:r>
        <w:rPr>
          <w:rFonts w:hint="eastAsia"/>
        </w:rPr>
        <w:t>耕地</w:t>
      </w:r>
      <w:r>
        <w:t>的扰动面积较大，面积约为</w:t>
      </w:r>
      <w:r>
        <w:rPr>
          <w:rFonts w:hint="eastAsia"/>
        </w:rPr>
        <w:t>7627</w:t>
      </w:r>
      <w:r>
        <w:t>m</w:t>
      </w:r>
      <w:r>
        <w:rPr>
          <w:vertAlign w:val="superscript"/>
        </w:rPr>
        <w:t>2</w:t>
      </w:r>
      <w:r>
        <w:t>；其次是</w:t>
      </w:r>
      <w:r>
        <w:rPr>
          <w:rFonts w:hint="eastAsia"/>
        </w:rPr>
        <w:t>林地</w:t>
      </w:r>
      <w:r>
        <w:t>，面积约为</w:t>
      </w:r>
      <w:r>
        <w:rPr>
          <w:rFonts w:hint="eastAsia"/>
        </w:rPr>
        <w:t>1001</w:t>
      </w:r>
      <w:r>
        <w:t>m</w:t>
      </w:r>
      <w:r>
        <w:rPr>
          <w:vertAlign w:val="superscript"/>
        </w:rPr>
        <w:t>2</w:t>
      </w:r>
      <w:r>
        <w:rPr>
          <w:rFonts w:hint="eastAsia"/>
        </w:rPr>
        <w:t>，</w:t>
      </w:r>
      <w:r>
        <w:t>具体情况见表6.3-1。</w:t>
      </w:r>
    </w:p>
    <w:p w14:paraId="4ECE6CC9">
      <w:pPr>
        <w:pStyle w:val="904"/>
      </w:pPr>
      <w:r>
        <w:t>表 6.3-1全线临时占地利用类型统计表</w:t>
      </w:r>
    </w:p>
    <w:tbl>
      <w:tblPr>
        <w:tblStyle w:val="88"/>
        <w:tblW w:w="5000" w:type="pct"/>
        <w:tblInd w:w="0" w:type="dxa"/>
        <w:tblLayout w:type="autofit"/>
        <w:tblCellMar>
          <w:top w:w="0" w:type="dxa"/>
          <w:left w:w="108" w:type="dxa"/>
          <w:bottom w:w="0" w:type="dxa"/>
          <w:right w:w="108" w:type="dxa"/>
        </w:tblCellMar>
      </w:tblPr>
      <w:tblGrid>
        <w:gridCol w:w="797"/>
        <w:gridCol w:w="2157"/>
        <w:gridCol w:w="2127"/>
        <w:gridCol w:w="1453"/>
        <w:gridCol w:w="2752"/>
      </w:tblGrid>
      <w:tr w14:paraId="2D17509D">
        <w:tblPrEx>
          <w:tblCellMar>
            <w:top w:w="0" w:type="dxa"/>
            <w:left w:w="108" w:type="dxa"/>
            <w:bottom w:w="0" w:type="dxa"/>
            <w:right w:w="108" w:type="dxa"/>
          </w:tblCellMar>
        </w:tblPrEx>
        <w:trPr>
          <w:trHeight w:val="340" w:hRule="atLeast"/>
        </w:trPr>
        <w:tc>
          <w:tcPr>
            <w:tcW w:w="42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CCA69B9">
            <w:pPr>
              <w:pStyle w:val="1343"/>
            </w:pPr>
            <w:r>
              <w:rPr>
                <w:rFonts w:hint="eastAsia"/>
              </w:rPr>
              <w:t>序号</w:t>
            </w:r>
          </w:p>
        </w:tc>
        <w:tc>
          <w:tcPr>
            <w:tcW w:w="2306"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33660E03">
            <w:pPr>
              <w:pStyle w:val="1343"/>
            </w:pPr>
            <w:r>
              <w:rPr>
                <w:rFonts w:hint="eastAsia"/>
              </w:rPr>
              <w:t>用地类型</w:t>
            </w:r>
          </w:p>
        </w:tc>
        <w:tc>
          <w:tcPr>
            <w:tcW w:w="78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3D15F11">
            <w:pPr>
              <w:pStyle w:val="1343"/>
            </w:pPr>
            <w:r>
              <w:rPr>
                <w:rFonts w:hint="eastAsia"/>
              </w:rPr>
              <w:t>面积（hm</w:t>
            </w:r>
            <w:r>
              <w:rPr>
                <w:rFonts w:hint="eastAsia"/>
                <w:vertAlign w:val="superscript"/>
              </w:rPr>
              <w:t>2</w:t>
            </w:r>
            <w:r>
              <w:rPr>
                <w:rFonts w:hint="eastAsia"/>
              </w:rPr>
              <w:t>）</w:t>
            </w:r>
          </w:p>
        </w:tc>
        <w:tc>
          <w:tcPr>
            <w:tcW w:w="148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25E1E51">
            <w:pPr>
              <w:pStyle w:val="1343"/>
            </w:pPr>
            <w:r>
              <w:rPr>
                <w:rFonts w:hint="eastAsia"/>
              </w:rPr>
              <w:t>所占比例（%）</w:t>
            </w:r>
          </w:p>
        </w:tc>
      </w:tr>
      <w:tr w14:paraId="1402C814">
        <w:tblPrEx>
          <w:tblCellMar>
            <w:top w:w="0" w:type="dxa"/>
            <w:left w:w="108" w:type="dxa"/>
            <w:bottom w:w="0" w:type="dxa"/>
            <w:right w:w="108" w:type="dxa"/>
          </w:tblCellMar>
        </w:tblPrEx>
        <w:trPr>
          <w:trHeight w:val="340" w:hRule="atLeast"/>
        </w:trPr>
        <w:tc>
          <w:tcPr>
            <w:tcW w:w="42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8797E9C">
            <w:pPr>
              <w:pStyle w:val="1343"/>
            </w:pPr>
          </w:p>
        </w:tc>
        <w:tc>
          <w:tcPr>
            <w:tcW w:w="11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50447AF">
            <w:pPr>
              <w:pStyle w:val="1343"/>
            </w:pPr>
            <w:r>
              <w:rPr>
                <w:rFonts w:hint="eastAsia"/>
              </w:rPr>
              <w:t>一级地类</w:t>
            </w:r>
          </w:p>
        </w:tc>
        <w:tc>
          <w:tcPr>
            <w:tcW w:w="1145" w:type="pct"/>
            <w:tcBorders>
              <w:top w:val="single" w:color="auto" w:sz="4" w:space="0"/>
              <w:left w:val="single" w:color="auto" w:sz="4" w:space="0"/>
              <w:bottom w:val="single" w:color="auto" w:sz="4" w:space="0"/>
              <w:right w:val="single" w:color="auto" w:sz="4" w:space="0"/>
            </w:tcBorders>
            <w:shd w:val="clear" w:color="auto" w:fill="auto"/>
            <w:vAlign w:val="center"/>
          </w:tcPr>
          <w:p w14:paraId="41E78876">
            <w:pPr>
              <w:pStyle w:val="1343"/>
            </w:pPr>
            <w:r>
              <w:rPr>
                <w:rFonts w:hint="eastAsia"/>
              </w:rPr>
              <w:t>二级地类</w:t>
            </w:r>
          </w:p>
        </w:tc>
        <w:tc>
          <w:tcPr>
            <w:tcW w:w="78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A532B7D">
            <w:pPr>
              <w:pStyle w:val="1343"/>
            </w:pPr>
          </w:p>
        </w:tc>
        <w:tc>
          <w:tcPr>
            <w:tcW w:w="1481"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A3BC415">
            <w:pPr>
              <w:pStyle w:val="1343"/>
            </w:pPr>
          </w:p>
        </w:tc>
      </w:tr>
      <w:tr w14:paraId="00DB5D6D">
        <w:tblPrEx>
          <w:tblCellMar>
            <w:top w:w="0" w:type="dxa"/>
            <w:left w:w="108" w:type="dxa"/>
            <w:bottom w:w="0" w:type="dxa"/>
            <w:right w:w="108" w:type="dxa"/>
          </w:tblCellMar>
        </w:tblPrEx>
        <w:trPr>
          <w:trHeight w:val="340" w:hRule="atLeast"/>
        </w:trPr>
        <w:tc>
          <w:tcPr>
            <w:tcW w:w="42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5CE620B">
            <w:pPr>
              <w:pStyle w:val="1343"/>
            </w:pPr>
            <w:r>
              <w:t>1</w:t>
            </w:r>
          </w:p>
        </w:tc>
        <w:tc>
          <w:tcPr>
            <w:tcW w:w="1161"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5E1BCD6A">
            <w:pPr>
              <w:pStyle w:val="1343"/>
            </w:pPr>
            <w:r>
              <w:rPr>
                <w:rFonts w:hint="eastAsia"/>
              </w:rPr>
              <w:t>耕地</w:t>
            </w:r>
          </w:p>
        </w:tc>
        <w:tc>
          <w:tcPr>
            <w:tcW w:w="1145" w:type="pct"/>
            <w:tcBorders>
              <w:top w:val="single" w:color="auto" w:sz="4" w:space="0"/>
              <w:left w:val="single" w:color="auto" w:sz="4" w:space="0"/>
              <w:bottom w:val="single" w:color="auto" w:sz="4" w:space="0"/>
              <w:right w:val="single" w:color="auto" w:sz="4" w:space="0"/>
            </w:tcBorders>
            <w:shd w:val="clear" w:color="auto" w:fill="auto"/>
            <w:vAlign w:val="center"/>
          </w:tcPr>
          <w:p w14:paraId="41C616DC">
            <w:pPr>
              <w:pStyle w:val="1343"/>
            </w:pPr>
            <w:r>
              <w:rPr>
                <w:rFonts w:hint="eastAsia"/>
              </w:rPr>
              <w:t>水田0101</w:t>
            </w:r>
          </w:p>
        </w:tc>
        <w:tc>
          <w:tcPr>
            <w:tcW w:w="782" w:type="pct"/>
            <w:tcBorders>
              <w:top w:val="single" w:color="auto" w:sz="4" w:space="0"/>
              <w:left w:val="single" w:color="auto" w:sz="4" w:space="0"/>
              <w:bottom w:val="single" w:color="auto" w:sz="4" w:space="0"/>
              <w:right w:val="single" w:color="auto" w:sz="4" w:space="0"/>
            </w:tcBorders>
            <w:shd w:val="clear" w:color="auto" w:fill="auto"/>
            <w:vAlign w:val="center"/>
          </w:tcPr>
          <w:p w14:paraId="0CAB1EEC">
            <w:pPr>
              <w:pStyle w:val="1343"/>
            </w:pPr>
            <w:r>
              <w:rPr>
                <w:rFonts w:hint="eastAsia"/>
              </w:rPr>
              <w:t>6598</w:t>
            </w:r>
          </w:p>
        </w:tc>
        <w:tc>
          <w:tcPr>
            <w:tcW w:w="1481" w:type="pct"/>
            <w:tcBorders>
              <w:top w:val="single" w:color="auto" w:sz="4" w:space="0"/>
              <w:left w:val="single" w:color="auto" w:sz="4" w:space="0"/>
              <w:bottom w:val="single" w:color="auto" w:sz="4" w:space="0"/>
              <w:right w:val="single" w:color="auto" w:sz="4" w:space="0"/>
            </w:tcBorders>
            <w:shd w:val="clear" w:color="auto" w:fill="auto"/>
            <w:vAlign w:val="center"/>
          </w:tcPr>
          <w:p w14:paraId="1395F18F">
            <w:pPr>
              <w:pStyle w:val="1343"/>
            </w:pPr>
            <w:r>
              <w:rPr>
                <w:rFonts w:hint="eastAsia"/>
              </w:rPr>
              <w:t>67.60</w:t>
            </w:r>
          </w:p>
        </w:tc>
      </w:tr>
      <w:tr w14:paraId="7370BBF5">
        <w:tblPrEx>
          <w:tblCellMar>
            <w:top w:w="0" w:type="dxa"/>
            <w:left w:w="108" w:type="dxa"/>
            <w:bottom w:w="0" w:type="dxa"/>
            <w:right w:w="108" w:type="dxa"/>
          </w:tblCellMar>
        </w:tblPrEx>
        <w:trPr>
          <w:trHeight w:val="340" w:hRule="atLeast"/>
        </w:trPr>
        <w:tc>
          <w:tcPr>
            <w:tcW w:w="42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C0FB1D2">
            <w:pPr>
              <w:pStyle w:val="1343"/>
            </w:pPr>
          </w:p>
        </w:tc>
        <w:tc>
          <w:tcPr>
            <w:tcW w:w="1161" w:type="pct"/>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15AA9E29">
            <w:pPr>
              <w:pStyle w:val="1343"/>
            </w:pPr>
          </w:p>
        </w:tc>
        <w:tc>
          <w:tcPr>
            <w:tcW w:w="1145" w:type="pct"/>
            <w:tcBorders>
              <w:top w:val="single" w:color="auto" w:sz="4" w:space="0"/>
              <w:left w:val="single" w:color="auto" w:sz="4" w:space="0"/>
              <w:bottom w:val="single" w:color="auto" w:sz="4" w:space="0"/>
              <w:right w:val="single" w:color="auto" w:sz="4" w:space="0"/>
            </w:tcBorders>
            <w:shd w:val="clear" w:color="auto" w:fill="auto"/>
            <w:vAlign w:val="center"/>
          </w:tcPr>
          <w:p w14:paraId="2F35EB94">
            <w:pPr>
              <w:pStyle w:val="1343"/>
            </w:pPr>
            <w:r>
              <w:rPr>
                <w:rFonts w:hint="eastAsia"/>
              </w:rPr>
              <w:t>旱地0103</w:t>
            </w:r>
          </w:p>
        </w:tc>
        <w:tc>
          <w:tcPr>
            <w:tcW w:w="782" w:type="pct"/>
            <w:tcBorders>
              <w:top w:val="single" w:color="auto" w:sz="4" w:space="0"/>
              <w:left w:val="single" w:color="auto" w:sz="4" w:space="0"/>
              <w:bottom w:val="single" w:color="auto" w:sz="4" w:space="0"/>
              <w:right w:val="single" w:color="auto" w:sz="4" w:space="0"/>
            </w:tcBorders>
            <w:shd w:val="clear" w:color="auto" w:fill="auto"/>
            <w:vAlign w:val="center"/>
          </w:tcPr>
          <w:p w14:paraId="1ED106C0">
            <w:pPr>
              <w:pStyle w:val="1343"/>
            </w:pPr>
            <w:r>
              <w:rPr>
                <w:rFonts w:hint="eastAsia"/>
              </w:rPr>
              <w:t>1029</w:t>
            </w:r>
          </w:p>
        </w:tc>
        <w:tc>
          <w:tcPr>
            <w:tcW w:w="1481" w:type="pct"/>
            <w:tcBorders>
              <w:top w:val="single" w:color="auto" w:sz="4" w:space="0"/>
              <w:left w:val="single" w:color="auto" w:sz="4" w:space="0"/>
              <w:bottom w:val="single" w:color="auto" w:sz="4" w:space="0"/>
              <w:right w:val="single" w:color="auto" w:sz="4" w:space="0"/>
            </w:tcBorders>
            <w:shd w:val="clear" w:color="auto" w:fill="auto"/>
            <w:vAlign w:val="center"/>
          </w:tcPr>
          <w:p w14:paraId="31C323F6">
            <w:pPr>
              <w:pStyle w:val="1343"/>
            </w:pPr>
            <w:r>
              <w:rPr>
                <w:rFonts w:hint="eastAsia"/>
              </w:rPr>
              <w:t>10.54</w:t>
            </w:r>
          </w:p>
        </w:tc>
      </w:tr>
      <w:tr w14:paraId="5423A828">
        <w:tblPrEx>
          <w:tblCellMar>
            <w:top w:w="0" w:type="dxa"/>
            <w:left w:w="108" w:type="dxa"/>
            <w:bottom w:w="0" w:type="dxa"/>
            <w:right w:w="108" w:type="dxa"/>
          </w:tblCellMar>
        </w:tblPrEx>
        <w:trPr>
          <w:trHeight w:val="340" w:hRule="atLeast"/>
        </w:trPr>
        <w:tc>
          <w:tcPr>
            <w:tcW w:w="429" w:type="pct"/>
            <w:vMerge w:val="restart"/>
            <w:tcBorders>
              <w:top w:val="single" w:color="auto" w:sz="4" w:space="0"/>
              <w:left w:val="single" w:color="auto" w:sz="4" w:space="0"/>
              <w:right w:val="single" w:color="auto" w:sz="4" w:space="0"/>
            </w:tcBorders>
            <w:shd w:val="clear" w:color="auto" w:fill="auto"/>
            <w:vAlign w:val="center"/>
          </w:tcPr>
          <w:p w14:paraId="5DE15E79">
            <w:pPr>
              <w:pStyle w:val="1343"/>
            </w:pPr>
            <w:r>
              <w:t>2</w:t>
            </w:r>
          </w:p>
        </w:tc>
        <w:tc>
          <w:tcPr>
            <w:tcW w:w="1161"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7F935C18">
            <w:pPr>
              <w:pStyle w:val="1343"/>
            </w:pPr>
            <w:r>
              <w:rPr>
                <w:rFonts w:hint="eastAsia"/>
              </w:rPr>
              <w:t>林地</w:t>
            </w:r>
          </w:p>
        </w:tc>
        <w:tc>
          <w:tcPr>
            <w:tcW w:w="1145" w:type="pct"/>
            <w:tcBorders>
              <w:top w:val="single" w:color="auto" w:sz="4" w:space="0"/>
              <w:left w:val="single" w:color="auto" w:sz="4" w:space="0"/>
              <w:bottom w:val="single" w:color="auto" w:sz="4" w:space="0"/>
              <w:right w:val="single" w:color="auto" w:sz="4" w:space="0"/>
            </w:tcBorders>
            <w:shd w:val="clear" w:color="auto" w:fill="auto"/>
            <w:vAlign w:val="center"/>
          </w:tcPr>
          <w:p w14:paraId="604AF437">
            <w:pPr>
              <w:pStyle w:val="1343"/>
            </w:pPr>
            <w:r>
              <w:rPr>
                <w:rFonts w:hint="eastAsia"/>
              </w:rPr>
              <w:t>灌木林地0305</w:t>
            </w:r>
          </w:p>
        </w:tc>
        <w:tc>
          <w:tcPr>
            <w:tcW w:w="782" w:type="pct"/>
            <w:tcBorders>
              <w:top w:val="single" w:color="auto" w:sz="4" w:space="0"/>
              <w:left w:val="single" w:color="auto" w:sz="4" w:space="0"/>
              <w:bottom w:val="single" w:color="auto" w:sz="4" w:space="0"/>
              <w:right w:val="single" w:color="auto" w:sz="4" w:space="0"/>
            </w:tcBorders>
            <w:shd w:val="clear" w:color="auto" w:fill="auto"/>
            <w:vAlign w:val="center"/>
          </w:tcPr>
          <w:p w14:paraId="449A3B5C">
            <w:pPr>
              <w:pStyle w:val="1343"/>
            </w:pPr>
            <w:r>
              <w:rPr>
                <w:rFonts w:hint="eastAsia"/>
              </w:rPr>
              <w:t>116</w:t>
            </w:r>
          </w:p>
        </w:tc>
        <w:tc>
          <w:tcPr>
            <w:tcW w:w="1481" w:type="pct"/>
            <w:tcBorders>
              <w:top w:val="single" w:color="auto" w:sz="4" w:space="0"/>
              <w:left w:val="single" w:color="auto" w:sz="4" w:space="0"/>
              <w:bottom w:val="single" w:color="auto" w:sz="4" w:space="0"/>
              <w:right w:val="single" w:color="auto" w:sz="4" w:space="0"/>
            </w:tcBorders>
            <w:shd w:val="clear" w:color="auto" w:fill="auto"/>
            <w:vAlign w:val="center"/>
          </w:tcPr>
          <w:p w14:paraId="407D7202">
            <w:pPr>
              <w:pStyle w:val="1343"/>
            </w:pPr>
            <w:r>
              <w:rPr>
                <w:rFonts w:hint="eastAsia"/>
              </w:rPr>
              <w:t>1.19</w:t>
            </w:r>
          </w:p>
        </w:tc>
      </w:tr>
      <w:tr w14:paraId="014382E7">
        <w:tblPrEx>
          <w:tblCellMar>
            <w:top w:w="0" w:type="dxa"/>
            <w:left w:w="108" w:type="dxa"/>
            <w:bottom w:w="0" w:type="dxa"/>
            <w:right w:w="108" w:type="dxa"/>
          </w:tblCellMar>
        </w:tblPrEx>
        <w:trPr>
          <w:trHeight w:val="340" w:hRule="atLeast"/>
        </w:trPr>
        <w:tc>
          <w:tcPr>
            <w:tcW w:w="429" w:type="pct"/>
            <w:vMerge w:val="continue"/>
            <w:tcBorders>
              <w:left w:val="single" w:color="auto" w:sz="4" w:space="0"/>
              <w:bottom w:val="single" w:color="auto" w:sz="4" w:space="0"/>
              <w:right w:val="single" w:color="auto" w:sz="4" w:space="0"/>
            </w:tcBorders>
            <w:shd w:val="clear" w:color="auto" w:fill="auto"/>
            <w:vAlign w:val="center"/>
          </w:tcPr>
          <w:p w14:paraId="6E644E8C">
            <w:pPr>
              <w:pStyle w:val="1343"/>
            </w:pPr>
          </w:p>
        </w:tc>
        <w:tc>
          <w:tcPr>
            <w:tcW w:w="1161" w:type="pct"/>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06C56D53">
            <w:pPr>
              <w:pStyle w:val="1343"/>
            </w:pPr>
          </w:p>
        </w:tc>
        <w:tc>
          <w:tcPr>
            <w:tcW w:w="1145" w:type="pct"/>
            <w:tcBorders>
              <w:top w:val="single" w:color="auto" w:sz="4" w:space="0"/>
              <w:left w:val="single" w:color="auto" w:sz="4" w:space="0"/>
              <w:bottom w:val="single" w:color="auto" w:sz="4" w:space="0"/>
              <w:right w:val="single" w:color="auto" w:sz="4" w:space="0"/>
            </w:tcBorders>
            <w:shd w:val="clear" w:color="auto" w:fill="auto"/>
            <w:vAlign w:val="center"/>
          </w:tcPr>
          <w:p w14:paraId="7A12702A">
            <w:pPr>
              <w:pStyle w:val="1343"/>
            </w:pPr>
            <w:r>
              <w:rPr>
                <w:rFonts w:hint="eastAsia"/>
              </w:rPr>
              <w:t>其他林地0307</w:t>
            </w:r>
          </w:p>
        </w:tc>
        <w:tc>
          <w:tcPr>
            <w:tcW w:w="782" w:type="pct"/>
            <w:tcBorders>
              <w:top w:val="single" w:color="auto" w:sz="4" w:space="0"/>
              <w:left w:val="single" w:color="auto" w:sz="4" w:space="0"/>
              <w:bottom w:val="single" w:color="auto" w:sz="4" w:space="0"/>
              <w:right w:val="single" w:color="auto" w:sz="4" w:space="0"/>
            </w:tcBorders>
            <w:shd w:val="clear" w:color="auto" w:fill="auto"/>
            <w:vAlign w:val="center"/>
          </w:tcPr>
          <w:p w14:paraId="6631FA6D">
            <w:pPr>
              <w:pStyle w:val="1343"/>
            </w:pPr>
            <w:r>
              <w:rPr>
                <w:rFonts w:hint="eastAsia"/>
              </w:rPr>
              <w:t>885</w:t>
            </w:r>
          </w:p>
        </w:tc>
        <w:tc>
          <w:tcPr>
            <w:tcW w:w="1481" w:type="pct"/>
            <w:tcBorders>
              <w:top w:val="single" w:color="auto" w:sz="4" w:space="0"/>
              <w:left w:val="single" w:color="auto" w:sz="4" w:space="0"/>
              <w:bottom w:val="single" w:color="auto" w:sz="4" w:space="0"/>
              <w:right w:val="single" w:color="auto" w:sz="4" w:space="0"/>
            </w:tcBorders>
            <w:shd w:val="clear" w:color="auto" w:fill="auto"/>
            <w:vAlign w:val="center"/>
          </w:tcPr>
          <w:p w14:paraId="41D37113">
            <w:pPr>
              <w:pStyle w:val="1343"/>
            </w:pPr>
            <w:r>
              <w:rPr>
                <w:rFonts w:hint="eastAsia"/>
              </w:rPr>
              <w:t>9.07</w:t>
            </w:r>
          </w:p>
        </w:tc>
      </w:tr>
      <w:tr w14:paraId="7D7CA84D">
        <w:tblPrEx>
          <w:tblCellMar>
            <w:top w:w="0" w:type="dxa"/>
            <w:left w:w="108" w:type="dxa"/>
            <w:bottom w:w="0" w:type="dxa"/>
            <w:right w:w="108" w:type="dxa"/>
          </w:tblCellMar>
        </w:tblPrEx>
        <w:trPr>
          <w:trHeight w:val="340" w:hRule="atLeast"/>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405A2082">
            <w:pPr>
              <w:pStyle w:val="1343"/>
            </w:pPr>
            <w:r>
              <w:rPr>
                <w:rFonts w:hint="eastAsia"/>
              </w:rPr>
              <w:t>3</w:t>
            </w:r>
          </w:p>
        </w:tc>
        <w:tc>
          <w:tcPr>
            <w:tcW w:w="11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AABCB41">
            <w:pPr>
              <w:pStyle w:val="1343"/>
            </w:pPr>
            <w:r>
              <w:rPr>
                <w:rFonts w:hint="eastAsia"/>
              </w:rPr>
              <w:t>交通运输用地</w:t>
            </w:r>
          </w:p>
        </w:tc>
        <w:tc>
          <w:tcPr>
            <w:tcW w:w="1145" w:type="pct"/>
            <w:tcBorders>
              <w:top w:val="single" w:color="auto" w:sz="4" w:space="0"/>
              <w:left w:val="single" w:color="auto" w:sz="4" w:space="0"/>
              <w:bottom w:val="single" w:color="auto" w:sz="4" w:space="0"/>
              <w:right w:val="single" w:color="auto" w:sz="4" w:space="0"/>
            </w:tcBorders>
            <w:shd w:val="clear" w:color="auto" w:fill="auto"/>
            <w:vAlign w:val="center"/>
          </w:tcPr>
          <w:p w14:paraId="65CEF488">
            <w:pPr>
              <w:pStyle w:val="1343"/>
            </w:pPr>
            <w:r>
              <w:rPr>
                <w:rFonts w:hint="eastAsia"/>
              </w:rPr>
              <w:t>农村道路1</w:t>
            </w:r>
            <w:r>
              <w:t>006</w:t>
            </w:r>
          </w:p>
        </w:tc>
        <w:tc>
          <w:tcPr>
            <w:tcW w:w="782" w:type="pct"/>
            <w:tcBorders>
              <w:top w:val="single" w:color="auto" w:sz="4" w:space="0"/>
              <w:left w:val="single" w:color="auto" w:sz="4" w:space="0"/>
              <w:bottom w:val="single" w:color="auto" w:sz="4" w:space="0"/>
              <w:right w:val="single" w:color="auto" w:sz="4" w:space="0"/>
            </w:tcBorders>
            <w:shd w:val="clear" w:color="auto" w:fill="auto"/>
            <w:vAlign w:val="center"/>
          </w:tcPr>
          <w:p w14:paraId="59E00BF1">
            <w:pPr>
              <w:pStyle w:val="1343"/>
            </w:pPr>
            <w:r>
              <w:rPr>
                <w:rFonts w:hint="eastAsia"/>
              </w:rPr>
              <w:t>332</w:t>
            </w:r>
          </w:p>
        </w:tc>
        <w:tc>
          <w:tcPr>
            <w:tcW w:w="1481" w:type="pct"/>
            <w:tcBorders>
              <w:top w:val="single" w:color="auto" w:sz="4" w:space="0"/>
              <w:left w:val="single" w:color="auto" w:sz="4" w:space="0"/>
              <w:bottom w:val="single" w:color="auto" w:sz="4" w:space="0"/>
              <w:right w:val="single" w:color="auto" w:sz="4" w:space="0"/>
            </w:tcBorders>
            <w:shd w:val="clear" w:color="auto" w:fill="auto"/>
            <w:vAlign w:val="center"/>
          </w:tcPr>
          <w:p w14:paraId="2D3B899D">
            <w:pPr>
              <w:pStyle w:val="1343"/>
            </w:pPr>
            <w:r>
              <w:rPr>
                <w:rFonts w:hint="eastAsia"/>
              </w:rPr>
              <w:t>3.40</w:t>
            </w:r>
          </w:p>
        </w:tc>
      </w:tr>
      <w:tr w14:paraId="30B41EBF">
        <w:tblPrEx>
          <w:tblCellMar>
            <w:top w:w="0" w:type="dxa"/>
            <w:left w:w="108" w:type="dxa"/>
            <w:bottom w:w="0" w:type="dxa"/>
            <w:right w:w="108" w:type="dxa"/>
          </w:tblCellMar>
        </w:tblPrEx>
        <w:trPr>
          <w:trHeight w:val="340" w:hRule="atLeast"/>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5E22AC53">
            <w:pPr>
              <w:pStyle w:val="1343"/>
              <w:rPr>
                <w:rFonts w:eastAsia="等线"/>
              </w:rPr>
            </w:pPr>
            <w:r>
              <w:rPr>
                <w:rFonts w:hint="eastAsia" w:eastAsia="等线"/>
              </w:rPr>
              <w:t>4</w:t>
            </w:r>
          </w:p>
        </w:tc>
        <w:tc>
          <w:tcPr>
            <w:tcW w:w="11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4A4F2A0">
            <w:pPr>
              <w:pStyle w:val="1343"/>
            </w:pPr>
            <w:r>
              <w:rPr>
                <w:rFonts w:hint="eastAsia"/>
              </w:rPr>
              <w:t>工矿仓储用地</w:t>
            </w:r>
          </w:p>
        </w:tc>
        <w:tc>
          <w:tcPr>
            <w:tcW w:w="1145" w:type="pct"/>
            <w:tcBorders>
              <w:top w:val="single" w:color="auto" w:sz="4" w:space="0"/>
              <w:left w:val="single" w:color="auto" w:sz="4" w:space="0"/>
              <w:bottom w:val="single" w:color="auto" w:sz="4" w:space="0"/>
              <w:right w:val="single" w:color="auto" w:sz="4" w:space="0"/>
            </w:tcBorders>
            <w:shd w:val="clear" w:color="auto" w:fill="auto"/>
            <w:vAlign w:val="center"/>
          </w:tcPr>
          <w:p w14:paraId="5C0C48F6">
            <w:pPr>
              <w:pStyle w:val="1343"/>
            </w:pPr>
            <w:r>
              <w:rPr>
                <w:rFonts w:hint="eastAsia"/>
              </w:rPr>
              <w:t>采矿用地0602</w:t>
            </w:r>
          </w:p>
        </w:tc>
        <w:tc>
          <w:tcPr>
            <w:tcW w:w="782" w:type="pct"/>
            <w:tcBorders>
              <w:top w:val="single" w:color="auto" w:sz="4" w:space="0"/>
              <w:left w:val="single" w:color="auto" w:sz="4" w:space="0"/>
              <w:bottom w:val="single" w:color="auto" w:sz="4" w:space="0"/>
              <w:right w:val="single" w:color="auto" w:sz="4" w:space="0"/>
            </w:tcBorders>
            <w:shd w:val="clear" w:color="auto" w:fill="auto"/>
            <w:vAlign w:val="center"/>
          </w:tcPr>
          <w:p w14:paraId="4B6BCDD3">
            <w:pPr>
              <w:pStyle w:val="1343"/>
            </w:pPr>
            <w:r>
              <w:rPr>
                <w:rFonts w:hint="eastAsia"/>
              </w:rPr>
              <w:t>800</w:t>
            </w:r>
          </w:p>
        </w:tc>
        <w:tc>
          <w:tcPr>
            <w:tcW w:w="1481" w:type="pct"/>
            <w:tcBorders>
              <w:top w:val="single" w:color="auto" w:sz="4" w:space="0"/>
              <w:left w:val="single" w:color="auto" w:sz="4" w:space="0"/>
              <w:bottom w:val="single" w:color="auto" w:sz="4" w:space="0"/>
              <w:right w:val="single" w:color="auto" w:sz="4" w:space="0"/>
            </w:tcBorders>
            <w:shd w:val="clear" w:color="auto" w:fill="auto"/>
            <w:vAlign w:val="center"/>
          </w:tcPr>
          <w:p w14:paraId="3DC84F8E">
            <w:pPr>
              <w:pStyle w:val="1343"/>
            </w:pPr>
            <w:r>
              <w:rPr>
                <w:rFonts w:hint="eastAsia"/>
              </w:rPr>
              <w:t>8.20</w:t>
            </w:r>
          </w:p>
        </w:tc>
      </w:tr>
      <w:tr w14:paraId="32C0DB95">
        <w:tblPrEx>
          <w:tblCellMar>
            <w:top w:w="0" w:type="dxa"/>
            <w:left w:w="108" w:type="dxa"/>
            <w:bottom w:w="0" w:type="dxa"/>
            <w:right w:w="108" w:type="dxa"/>
          </w:tblCellMar>
        </w:tblPrEx>
        <w:trPr>
          <w:trHeight w:val="340" w:hRule="atLeast"/>
        </w:trPr>
        <w:tc>
          <w:tcPr>
            <w:tcW w:w="429" w:type="pct"/>
            <w:tcBorders>
              <w:top w:val="single" w:color="auto" w:sz="4" w:space="0"/>
              <w:left w:val="single" w:color="auto" w:sz="4" w:space="0"/>
              <w:bottom w:val="single" w:color="auto" w:sz="4" w:space="0"/>
              <w:right w:val="single" w:color="auto" w:sz="4" w:space="0"/>
            </w:tcBorders>
            <w:shd w:val="clear" w:color="auto" w:fill="auto"/>
            <w:vAlign w:val="center"/>
          </w:tcPr>
          <w:p w14:paraId="2FCFD805">
            <w:pPr>
              <w:pStyle w:val="1343"/>
              <w:rPr>
                <w:rFonts w:eastAsia="等线"/>
                <w:b/>
                <w:bCs/>
              </w:rPr>
            </w:pPr>
            <w:r>
              <w:rPr>
                <w:rFonts w:hint="eastAsia" w:eastAsia="等线"/>
                <w:b/>
                <w:bCs/>
              </w:rPr>
              <w:t>5</w:t>
            </w:r>
          </w:p>
        </w:tc>
        <w:tc>
          <w:tcPr>
            <w:tcW w:w="2306"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71C9DC2D">
            <w:pPr>
              <w:pStyle w:val="1343"/>
              <w:rPr>
                <w:b/>
                <w:bCs/>
              </w:rPr>
            </w:pPr>
            <w:r>
              <w:rPr>
                <w:rFonts w:hint="eastAsia"/>
                <w:b/>
                <w:bCs/>
              </w:rPr>
              <w:t>合计</w:t>
            </w:r>
          </w:p>
        </w:tc>
        <w:tc>
          <w:tcPr>
            <w:tcW w:w="782" w:type="pct"/>
            <w:tcBorders>
              <w:top w:val="single" w:color="auto" w:sz="4" w:space="0"/>
              <w:left w:val="single" w:color="auto" w:sz="4" w:space="0"/>
              <w:bottom w:val="single" w:color="auto" w:sz="4" w:space="0"/>
              <w:right w:val="single" w:color="auto" w:sz="4" w:space="0"/>
            </w:tcBorders>
            <w:shd w:val="clear" w:color="auto" w:fill="auto"/>
            <w:vAlign w:val="center"/>
          </w:tcPr>
          <w:p w14:paraId="2FC64BE9">
            <w:pPr>
              <w:pStyle w:val="1343"/>
              <w:rPr>
                <w:b/>
                <w:bCs/>
              </w:rPr>
            </w:pPr>
            <w:r>
              <w:rPr>
                <w:rFonts w:hint="eastAsia"/>
                <w:b/>
                <w:bCs/>
              </w:rPr>
              <w:t>9760</w:t>
            </w:r>
          </w:p>
        </w:tc>
        <w:tc>
          <w:tcPr>
            <w:tcW w:w="1481" w:type="pct"/>
            <w:tcBorders>
              <w:top w:val="single" w:color="auto" w:sz="4" w:space="0"/>
              <w:left w:val="single" w:color="auto" w:sz="4" w:space="0"/>
              <w:bottom w:val="single" w:color="auto" w:sz="4" w:space="0"/>
              <w:right w:val="single" w:color="auto" w:sz="4" w:space="0"/>
            </w:tcBorders>
            <w:shd w:val="clear" w:color="auto" w:fill="auto"/>
            <w:vAlign w:val="center"/>
          </w:tcPr>
          <w:p w14:paraId="0E7796B8">
            <w:pPr>
              <w:pStyle w:val="1343"/>
              <w:rPr>
                <w:b/>
                <w:bCs/>
              </w:rPr>
            </w:pPr>
            <w:r>
              <w:rPr>
                <w:rFonts w:hint="eastAsia"/>
                <w:b/>
                <w:bCs/>
              </w:rPr>
              <w:t>100.0</w:t>
            </w:r>
          </w:p>
        </w:tc>
      </w:tr>
    </w:tbl>
    <w:p w14:paraId="492D047C">
      <w:pPr>
        <w:pStyle w:val="234"/>
        <w:spacing w:before="120" w:beforeLines="50"/>
      </w:pPr>
      <w:r>
        <w:t>从管道工程占用土地情况来看，主要是施工期间的临时占地。在施工过程中，施工作业带</w:t>
      </w:r>
      <w:r>
        <w:rPr>
          <w:rFonts w:hint="eastAsia"/>
        </w:rPr>
        <w:t>、堆管场</w:t>
      </w:r>
      <w:r>
        <w:t>等均属于临时性占地，一般仅在施工阶段会造成沿线土地利用功能的暂时改变，大部分用地在施工结束后、短期内（1年～2年）能恢复原有的土地利用功能。</w:t>
      </w:r>
    </w:p>
    <w:p w14:paraId="264BCC80">
      <w:pPr>
        <w:pStyle w:val="234"/>
      </w:pPr>
      <w:r>
        <w:fldChar w:fldCharType="begin"/>
      </w:r>
      <w:r>
        <w:instrText xml:space="preserve"> = 2 \* GB3 </w:instrText>
      </w:r>
      <w:r>
        <w:fldChar w:fldCharType="separate"/>
      </w:r>
      <w:r>
        <w:rPr>
          <w:rFonts w:hint="eastAsia" w:ascii="宋体" w:hAnsi="宋体" w:cs="宋体"/>
        </w:rPr>
        <w:t>②</w:t>
      </w:r>
      <w:r>
        <w:fldChar w:fldCharType="end"/>
      </w:r>
      <w:r>
        <w:t>施工作业带影响分析</w:t>
      </w:r>
    </w:p>
    <w:p w14:paraId="0F09291B">
      <w:pPr>
        <w:pStyle w:val="234"/>
      </w:pPr>
      <w:r>
        <w:t>管道工程大部分临时性占地主要集中在管道开挖埋设施工过程中，由于管道施工时间较短，管线从施工到重新覆土约为</w:t>
      </w:r>
      <w:r>
        <w:rPr>
          <w:rFonts w:hint="eastAsia"/>
        </w:rPr>
        <w:t>两</w:t>
      </w:r>
      <w:r>
        <w:t>个月的时间，故在施工完毕、管道敷设完成后该地段土地利用大部分可恢复为原利用状态。</w:t>
      </w:r>
    </w:p>
    <w:p w14:paraId="5D451EBB">
      <w:pPr>
        <w:pStyle w:val="234"/>
      </w:pPr>
      <w:r>
        <w:t>由于管道沿线近侧（约5m）不能再种植深根植物，一般情况下，该地段可以种植根系不发达的草本植物，以改善景观、防止水土流失。因此从用地类型看对林地用地有一定的影响。</w:t>
      </w:r>
    </w:p>
    <w:p w14:paraId="00827091">
      <w:pPr>
        <w:pStyle w:val="234"/>
      </w:pPr>
      <w:r>
        <w:t>本工程影响的林地面积为</w:t>
      </w:r>
      <w:r>
        <w:rPr>
          <w:rFonts w:hint="eastAsia"/>
        </w:rPr>
        <w:t>1001</w:t>
      </w:r>
      <w:r>
        <w:t>m</w:t>
      </w:r>
      <w:r>
        <w:rPr>
          <w:vertAlign w:val="superscript"/>
        </w:rPr>
        <w:t>2</w:t>
      </w:r>
      <w:r>
        <w:rPr>
          <w:rFonts w:hint="eastAsia"/>
        </w:rPr>
        <w:t>。</w:t>
      </w:r>
      <w:r>
        <w:t>从宏观整体区域看，管道施工临时占地与扰动将不会影响到该区域的土地利用结构。在管道服务期满后，可以重新种植深根作物，对土地利用的影响也将逐渐消失。</w:t>
      </w:r>
    </w:p>
    <w:p w14:paraId="3902730E">
      <w:pPr>
        <w:pStyle w:val="234"/>
      </w:pPr>
      <w:r>
        <w:fldChar w:fldCharType="begin"/>
      </w:r>
      <w:r>
        <w:instrText xml:space="preserve"> = 3 \* GB3 </w:instrText>
      </w:r>
      <w:r>
        <w:fldChar w:fldCharType="separate"/>
      </w:r>
      <w:r>
        <w:rPr>
          <w:rFonts w:hint="eastAsia" w:ascii="宋体" w:hAnsi="宋体" w:cs="宋体"/>
        </w:rPr>
        <w:t>③</w:t>
      </w:r>
      <w:r>
        <w:fldChar w:fldCharType="end"/>
      </w:r>
      <w:r>
        <w:t>堆管场影响分析</w:t>
      </w:r>
    </w:p>
    <w:p w14:paraId="64098A48">
      <w:pPr>
        <w:pStyle w:val="234"/>
      </w:pPr>
      <w:r>
        <w:t>堆管场在施工结束后绝大部分将恢复其原来的用地性质，不会对区域土地利用产生较大影响。</w:t>
      </w:r>
    </w:p>
    <w:p w14:paraId="5C54DEDF">
      <w:pPr>
        <w:pStyle w:val="234"/>
      </w:pPr>
      <w:r>
        <w:t>临时性工程占地施工结束后大部分即可恢复原有用地使用性质，</w:t>
      </w:r>
      <w:r>
        <w:rPr>
          <w:rFonts w:hint="eastAsia"/>
        </w:rPr>
        <w:t>修整</w:t>
      </w:r>
      <w:r>
        <w:t>的施工便道将作为农村道路或者为方便管道维护而保持下来，</w:t>
      </w:r>
      <w:r>
        <w:rPr>
          <w:rFonts w:hint="eastAsia"/>
        </w:rPr>
        <w:t>未</w:t>
      </w:r>
      <w:r>
        <w:t>改变其原有的用地性质，不会对区域土地利用产生较大影响。</w:t>
      </w:r>
    </w:p>
    <w:p w14:paraId="58D9631A">
      <w:pPr>
        <w:pStyle w:val="234"/>
      </w:pPr>
      <w:r>
        <w:t>施工期</w:t>
      </w:r>
      <w:r>
        <w:rPr>
          <w:rFonts w:hint="eastAsia"/>
        </w:rPr>
        <w:t>堆管场、</w:t>
      </w:r>
      <w:r>
        <w:t>施工便道对沿线生态环境的影响主要有：</w:t>
      </w:r>
    </w:p>
    <w:p w14:paraId="4B593522">
      <w:pPr>
        <w:pStyle w:val="234"/>
      </w:pPr>
      <w:r>
        <w:t>a.临时占地将破坏地表原有植被作物，其中对农作物而言将减少一季收成；</w:t>
      </w:r>
    </w:p>
    <w:p w14:paraId="02DA11BD">
      <w:pPr>
        <w:pStyle w:val="234"/>
      </w:pPr>
      <w:r>
        <w:t>b.施工过程中车辆碾压使占地范围内的土壤紧实度增加，对土地复耕后作物根系发育和生长不利；</w:t>
      </w:r>
    </w:p>
    <w:p w14:paraId="48D5D2C5">
      <w:pPr>
        <w:pStyle w:val="234"/>
      </w:pPr>
      <w:r>
        <w:t>c.在干燥天气下，车辆行驶扬尘，使便道两侧作物叶面覆盖降尘，光和作用减弱，影响作物生长；降雨天气，施工车辆进出施工场地，施工便道上的泥土将影响到公路路面的清洁，干燥后会产生扬尘污染；</w:t>
      </w:r>
    </w:p>
    <w:p w14:paraId="54F2B9C5">
      <w:pPr>
        <w:pStyle w:val="234"/>
      </w:pPr>
      <w:r>
        <w:t>总之，在短期内，临时性工程占地将影响沿线土地的利用状况，施工结束后，随着生态恢复措施的实施，其影响将逐渐减小或消失。</w:t>
      </w:r>
    </w:p>
    <w:p w14:paraId="17B6DB94">
      <w:pPr>
        <w:pStyle w:val="7"/>
        <w:rPr>
          <w:lang w:val="zh-CN"/>
        </w:rPr>
      </w:pPr>
      <w:r>
        <w:rPr>
          <w:lang w:val="zh-CN"/>
        </w:rPr>
        <w:t>占用基本农田影响预测与分析</w:t>
      </w:r>
    </w:p>
    <w:p w14:paraId="613F66B1">
      <w:pPr>
        <w:pStyle w:val="234"/>
      </w:pPr>
      <w:r>
        <w:t>根据《基本农田保护条例》(2011年1月8日)，基本农田，是指按照一定时期人口和社会经济发展对农产品的需求，依据土地利用总体规划确定的不得占用的耕地。本工程管道临时占地工程</w:t>
      </w:r>
      <w:r>
        <w:rPr>
          <w:rFonts w:hint="eastAsia"/>
        </w:rPr>
        <w:t>共占用耕地面积7627m</w:t>
      </w:r>
      <w:r>
        <w:rPr>
          <w:vertAlign w:val="superscript"/>
        </w:rPr>
        <w:t>2</w:t>
      </w:r>
      <w:r>
        <w:rPr>
          <w:rFonts w:hint="eastAsia"/>
        </w:rPr>
        <w:t>，均为基本农田</w:t>
      </w:r>
      <w:r>
        <w:t>。管道沿线种植作物主要为</w:t>
      </w:r>
      <w:r>
        <w:rPr>
          <w:rFonts w:hint="eastAsia"/>
        </w:rPr>
        <w:t>水稻</w:t>
      </w:r>
      <w:r>
        <w:t>、玉米等。</w:t>
      </w:r>
    </w:p>
    <w:p w14:paraId="78DF53FB">
      <w:pPr>
        <w:pStyle w:val="234"/>
      </w:pPr>
      <w:r>
        <w:t>本工程</w:t>
      </w:r>
      <w:r>
        <w:rPr>
          <w:rFonts w:hint="eastAsia"/>
        </w:rPr>
        <w:t>新建耒阳分输站</w:t>
      </w:r>
      <w:r>
        <w:t>不占用基本农田。上述临时性占用基本农田在施工</w:t>
      </w:r>
      <w:r>
        <w:rPr>
          <w:rFonts w:hint="eastAsia"/>
        </w:rPr>
        <w:t>过程中采取分层开挖、分层堆放、分层回填的工艺，尽量较少土壤肥力流失，施工</w:t>
      </w:r>
      <w:r>
        <w:t>结束后，</w:t>
      </w:r>
      <w:r>
        <w:rPr>
          <w:rFonts w:hint="eastAsia"/>
        </w:rPr>
        <w:t>及时</w:t>
      </w:r>
      <w:r>
        <w:t>恢复原有土地利用性质或使用功能，虽然在短期内对基本农田的利用产生不利的影响，但在施工结束后，</w:t>
      </w:r>
      <w:r>
        <w:rPr>
          <w:rFonts w:hint="eastAsia"/>
        </w:rPr>
        <w:t>经过一定时间，可以恢复基本农田的原有生产能力</w:t>
      </w:r>
      <w:r>
        <w:t>。</w:t>
      </w:r>
    </w:p>
    <w:p w14:paraId="5A02A232">
      <w:pPr>
        <w:pStyle w:val="7"/>
      </w:pPr>
      <w:r>
        <w:t>农业生产的影响预测与分析</w:t>
      </w:r>
    </w:p>
    <w:p w14:paraId="790F2DBD">
      <w:pPr>
        <w:pStyle w:val="234"/>
      </w:pPr>
      <w:r>
        <w:t>在管道施工期间，当季无法种植农作物，而且将破坏施工地面已有的农作物，这些都将造成一定的经济损失。管道维修养护也将影响农业收入。</w:t>
      </w:r>
    </w:p>
    <w:p w14:paraId="70CC92EF">
      <w:pPr>
        <w:pStyle w:val="234"/>
      </w:pPr>
      <w:r>
        <w:t>本工程管道沿线地区农业土地开发历史悠久，土地利用率较高，后备农业土地资源较为紧缺，随着人口的增长和城镇化建设的日益加强，农业土地资源利用矛盾日益突出。</w:t>
      </w:r>
    </w:p>
    <w:p w14:paraId="40013B32">
      <w:pPr>
        <w:pStyle w:val="234"/>
      </w:pPr>
      <w:r>
        <w:t>本工程施工期主要为临时性工程占用耕地，临时性工程占用耕地面积约为</w:t>
      </w:r>
      <w:r>
        <w:rPr>
          <w:rFonts w:hint="eastAsia"/>
        </w:rPr>
        <w:t>7627</w:t>
      </w:r>
      <w:r>
        <w:t>m</w:t>
      </w:r>
      <w:r>
        <w:rPr>
          <w:vertAlign w:val="superscript"/>
        </w:rPr>
        <w:t>2</w:t>
      </w:r>
      <w:r>
        <w:t>，农作物损失总产值</w:t>
      </w:r>
      <w:r>
        <w:rPr>
          <w:rFonts w:hint="eastAsia"/>
        </w:rPr>
        <w:t>1.5</w:t>
      </w:r>
      <w:r>
        <w:t>万元。</w:t>
      </w:r>
    </w:p>
    <w:p w14:paraId="6C3C5B2A">
      <w:pPr>
        <w:pStyle w:val="234"/>
      </w:pPr>
      <w:r>
        <w:t>工程占地引起的沿线地区主要粮食作物产量损失估算结果见表6.3-</w:t>
      </w:r>
      <w:r>
        <w:rPr>
          <w:rFonts w:hint="eastAsia"/>
        </w:rPr>
        <w:t>2</w:t>
      </w:r>
      <w:r>
        <w:t>。</w:t>
      </w:r>
    </w:p>
    <w:p w14:paraId="0285FC28">
      <w:pPr>
        <w:pStyle w:val="904"/>
      </w:pPr>
      <w:r>
        <w:t>表6.3-</w:t>
      </w:r>
      <w:r>
        <w:rPr>
          <w:rFonts w:hint="eastAsia"/>
        </w:rPr>
        <w:t>2</w:t>
      </w:r>
      <w:r>
        <w:t xml:space="preserve">  占地对农业生产造成的损失统计表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3"/>
        <w:gridCol w:w="1222"/>
        <w:gridCol w:w="1883"/>
        <w:gridCol w:w="1548"/>
        <w:gridCol w:w="1552"/>
        <w:gridCol w:w="1548"/>
      </w:tblGrid>
      <w:tr w14:paraId="24898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7" w:type="dxa"/>
            <w:vAlign w:val="center"/>
          </w:tcPr>
          <w:p w14:paraId="032D27D4">
            <w:pPr>
              <w:pStyle w:val="1343"/>
            </w:pPr>
            <w:r>
              <w:t>沿线地区</w:t>
            </w:r>
          </w:p>
        </w:tc>
        <w:tc>
          <w:tcPr>
            <w:tcW w:w="1192" w:type="dxa"/>
            <w:vAlign w:val="center"/>
          </w:tcPr>
          <w:p w14:paraId="7BCEF7D1">
            <w:pPr>
              <w:pStyle w:val="1343"/>
            </w:pPr>
            <w:r>
              <w:t>损失类型</w:t>
            </w:r>
          </w:p>
        </w:tc>
        <w:tc>
          <w:tcPr>
            <w:tcW w:w="1837" w:type="dxa"/>
            <w:vAlign w:val="center"/>
          </w:tcPr>
          <w:p w14:paraId="2FD49C80">
            <w:pPr>
              <w:pStyle w:val="1343"/>
            </w:pPr>
            <w:r>
              <w:t>农作物损失面积（m</w:t>
            </w:r>
            <w:r>
              <w:rPr>
                <w:vertAlign w:val="superscript"/>
              </w:rPr>
              <w:t>2</w:t>
            </w:r>
            <w:r>
              <w:t>）</w:t>
            </w:r>
          </w:p>
        </w:tc>
        <w:tc>
          <w:tcPr>
            <w:tcW w:w="1510" w:type="dxa"/>
            <w:vAlign w:val="center"/>
          </w:tcPr>
          <w:p w14:paraId="2839ED68">
            <w:pPr>
              <w:pStyle w:val="1343"/>
            </w:pPr>
            <w:r>
              <w:t>农作物单产</w:t>
            </w:r>
          </w:p>
          <w:p w14:paraId="7318856C">
            <w:pPr>
              <w:pStyle w:val="1343"/>
            </w:pPr>
            <w:r>
              <w:t>(</w:t>
            </w:r>
            <w:r>
              <w:rPr>
                <w:rFonts w:hint="eastAsia"/>
              </w:rPr>
              <w:t>kg</w:t>
            </w:r>
            <w:r>
              <w:t>/ hm</w:t>
            </w:r>
            <w:r>
              <w:rPr>
                <w:vertAlign w:val="superscript"/>
              </w:rPr>
              <w:t>2</w:t>
            </w:r>
            <w:r>
              <w:t>)</w:t>
            </w:r>
          </w:p>
        </w:tc>
        <w:tc>
          <w:tcPr>
            <w:tcW w:w="1514" w:type="dxa"/>
            <w:vAlign w:val="center"/>
          </w:tcPr>
          <w:p w14:paraId="079DCAC8">
            <w:pPr>
              <w:pStyle w:val="1343"/>
            </w:pPr>
            <w:r>
              <w:t>单位产值</w:t>
            </w:r>
          </w:p>
          <w:p w14:paraId="22DF6F10">
            <w:pPr>
              <w:pStyle w:val="1343"/>
            </w:pPr>
            <w:r>
              <w:t>（元/kg）</w:t>
            </w:r>
          </w:p>
        </w:tc>
        <w:tc>
          <w:tcPr>
            <w:tcW w:w="1510" w:type="dxa"/>
            <w:vAlign w:val="center"/>
          </w:tcPr>
          <w:p w14:paraId="6A632D01">
            <w:pPr>
              <w:pStyle w:val="1343"/>
            </w:pPr>
            <w:r>
              <w:t>农作物损失总量（万元）</w:t>
            </w:r>
          </w:p>
        </w:tc>
      </w:tr>
      <w:tr w14:paraId="54F61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7" w:type="dxa"/>
            <w:vAlign w:val="center"/>
          </w:tcPr>
          <w:p w14:paraId="2B62A05C">
            <w:pPr>
              <w:pStyle w:val="1343"/>
            </w:pPr>
            <w:r>
              <w:rPr>
                <w:rFonts w:hint="eastAsia"/>
              </w:rPr>
              <w:t>耒阳市</w:t>
            </w:r>
          </w:p>
        </w:tc>
        <w:tc>
          <w:tcPr>
            <w:tcW w:w="1192" w:type="dxa"/>
            <w:vAlign w:val="center"/>
          </w:tcPr>
          <w:p w14:paraId="337CCF88">
            <w:pPr>
              <w:pStyle w:val="1343"/>
            </w:pPr>
            <w:r>
              <w:t>临时性</w:t>
            </w:r>
          </w:p>
        </w:tc>
        <w:tc>
          <w:tcPr>
            <w:tcW w:w="1837" w:type="dxa"/>
            <w:vAlign w:val="center"/>
          </w:tcPr>
          <w:p w14:paraId="19C89785">
            <w:pPr>
              <w:pStyle w:val="1343"/>
            </w:pPr>
            <w:r>
              <w:rPr>
                <w:rFonts w:hint="eastAsia"/>
              </w:rPr>
              <w:t>7627</w:t>
            </w:r>
          </w:p>
        </w:tc>
        <w:tc>
          <w:tcPr>
            <w:tcW w:w="1510" w:type="dxa"/>
            <w:vAlign w:val="center"/>
          </w:tcPr>
          <w:p w14:paraId="777A5FA4">
            <w:pPr>
              <w:pStyle w:val="1343"/>
            </w:pPr>
            <w:r>
              <w:rPr>
                <w:rFonts w:hint="eastAsia"/>
              </w:rPr>
              <w:t>6508</w:t>
            </w:r>
          </w:p>
        </w:tc>
        <w:tc>
          <w:tcPr>
            <w:tcW w:w="1514" w:type="dxa"/>
            <w:vAlign w:val="center"/>
          </w:tcPr>
          <w:p w14:paraId="7E2A7567">
            <w:pPr>
              <w:pStyle w:val="1343"/>
            </w:pPr>
            <w:r>
              <w:t>3.12</w:t>
            </w:r>
          </w:p>
        </w:tc>
        <w:tc>
          <w:tcPr>
            <w:tcW w:w="1510" w:type="dxa"/>
            <w:vAlign w:val="center"/>
          </w:tcPr>
          <w:p w14:paraId="27887757">
            <w:pPr>
              <w:pStyle w:val="1343"/>
            </w:pPr>
            <w:r>
              <w:rPr>
                <w:rFonts w:hint="eastAsia"/>
              </w:rPr>
              <w:t>1.5</w:t>
            </w:r>
          </w:p>
        </w:tc>
      </w:tr>
    </w:tbl>
    <w:p w14:paraId="15167F08">
      <w:pPr>
        <w:pStyle w:val="1343"/>
        <w:jc w:val="left"/>
      </w:pPr>
      <w:r>
        <w:t>注：农作物单产及单位产值数据来源于《中国统计年鉴2021》。</w:t>
      </w:r>
    </w:p>
    <w:p w14:paraId="5AD64F5C">
      <w:pPr>
        <w:pStyle w:val="7"/>
        <w:spacing w:before="120" w:beforeLines="50"/>
      </w:pPr>
      <w:r>
        <w:t>林地的影响分析</w:t>
      </w:r>
    </w:p>
    <w:p w14:paraId="7A6A355E">
      <w:pPr>
        <w:pStyle w:val="234"/>
      </w:pPr>
      <w:r>
        <w:t>管道建设对于林地最主要的影响是工程占地引起的林地植被的损失，减少了植被的分布面积，此外管线两侧5m内不宜种植深根植物，原有的林地将被灌丛、灌草丛取代，也将导致林地的损失。而这些林地是野生动物的重要栖息地，因此也间接地影响了野生动物的栖息及觅食。</w:t>
      </w:r>
    </w:p>
    <w:p w14:paraId="687782B7">
      <w:pPr>
        <w:pStyle w:val="234"/>
        <w:rPr>
          <w:highlight w:val="yellow"/>
        </w:rPr>
      </w:pPr>
      <w:r>
        <w:rPr>
          <w:rFonts w:hint="eastAsia"/>
        </w:rPr>
        <w:t>站场</w:t>
      </w:r>
      <w:r>
        <w:t>建设征用了林地，砍伐了一定数量的林木，降低了项目区域林地覆盖率，削弱了林地对项目区域的水土保持、净化空气等作用。但项目区域温暖湿润，雨水充沛，项目建设征用植被面积占当地植被总面积的比例极小，且项目规划设计、布局合理。项目建成后，采取一定的防护措施，周围的林地管护可以得到加强，将更有效地改善项目区域的生态环境和增强林地防火功能。因此，不会对当地的森林生态防护效能产生重大影响。</w:t>
      </w:r>
    </w:p>
    <w:p w14:paraId="29E637AA">
      <w:pPr>
        <w:pStyle w:val="234"/>
        <w:rPr>
          <w:highlight w:val="yellow"/>
        </w:rPr>
      </w:pPr>
      <w:r>
        <w:t>根据《</w:t>
      </w:r>
      <w:r>
        <w:rPr>
          <w:rFonts w:hint="eastAsia"/>
        </w:rPr>
        <w:t>湖南省公益林管理办法</w:t>
      </w:r>
      <w:r>
        <w:t>》相关规定，对建设项目需要征用的林地，应经林业主管部门审核批准后，按有关规定办理用地审核、林木采伐审批手续</w:t>
      </w:r>
      <w:r>
        <w:rPr>
          <w:rFonts w:hint="eastAsia"/>
        </w:rPr>
        <w:t>，</w:t>
      </w:r>
      <w:r>
        <w:t>严格禁止对防护林滥砍泛伐。因此，建设单位应按照规定向林业主管部门预缴森林植被恢复费。此外，在项目施工过程中，注意周边地区水土保持设施的保护，尽量不破坏周边林木，保证不破坏周边的生态环境。</w:t>
      </w:r>
    </w:p>
    <w:p w14:paraId="594797E5">
      <w:pPr>
        <w:pStyle w:val="234"/>
      </w:pPr>
      <w:r>
        <w:t>项目建设过程中，涉及生态公益林管段施工时，会对该区域生态公益林产生影响。要求建设单位严格控制施工作业带开挖施工作业面，避免超挖破坏林地，并应在施工结束后立即整治利用，恢复植被，在一定程度上对破坏的生态公益林的生态服务功能进行间接补偿，因此本工程建设对生态公益林的影响总体较小。</w:t>
      </w:r>
    </w:p>
    <w:p w14:paraId="5A0E7399">
      <w:pPr>
        <w:pStyle w:val="7"/>
      </w:pPr>
      <w:r>
        <w:t>土壤环境影响分析</w:t>
      </w:r>
    </w:p>
    <w:p w14:paraId="6E1B433C">
      <w:pPr>
        <w:pStyle w:val="234"/>
      </w:pPr>
      <w:r>
        <w:t>本</w:t>
      </w:r>
      <w:r>
        <w:rPr>
          <w:rFonts w:hint="eastAsia"/>
        </w:rPr>
        <w:t>工程</w:t>
      </w:r>
      <w:r>
        <w:t>对土壤的影响主要是建设期管线、</w:t>
      </w:r>
      <w:r>
        <w:rPr>
          <w:rFonts w:hint="eastAsia"/>
        </w:rPr>
        <w:t>站场</w:t>
      </w:r>
      <w:r>
        <w:t>的建设对土壤的占压和扰动破坏。</w:t>
      </w:r>
    </w:p>
    <w:p w14:paraId="0B45E4C3">
      <w:pPr>
        <w:pStyle w:val="234"/>
      </w:pPr>
      <w:r>
        <w:t>在管道施工阶段，人员的踩踏和设备的占压，其土壤影响面积和程度均较小；站场建设阶段，如场地就地平整，对土壤的填挖均集中于建设场地内部，对场地外部影响较小。</w:t>
      </w:r>
    </w:p>
    <w:p w14:paraId="5CB38F02">
      <w:pPr>
        <w:pStyle w:val="234"/>
      </w:pPr>
      <w:r>
        <w:t>永久占地已经改变了表土层土的性质和用途，重型施工机械的碾压、施工人员的践踏、土体的扰动等原因，施工沿线的耕作土壤或自然土壤的理化性质、肥力水平受到一定的影响，并进一步影响地表植被恢复。这种影响预计持续2~3年，随着时间的推移逐渐消失，最终使农作物的产量和品质恢复到原来的水平。具体表现如下：</w:t>
      </w:r>
    </w:p>
    <w:p w14:paraId="5B377673">
      <w:pPr>
        <w:pStyle w:val="234"/>
      </w:pPr>
      <w:r>
        <w:t>（1）扰乱土壤耕作层、破坏土壤结构</w:t>
      </w:r>
    </w:p>
    <w:p w14:paraId="27513B8F">
      <w:pPr>
        <w:pStyle w:val="234"/>
      </w:pPr>
      <w:r>
        <w:t>土壤结构是经过较长的历史时期形成的，管沟开挖和回填必将破坏土壤的结构。尤其是土壤中的团粒结构，一旦遭到破坏，必须经过较长的时间才能恢复，对农田士壤影响更大，农田土壤耕作层是保证农业生产的基础，深度一般在15cm~25cm，是农作物根系生长和发达的层次。管道开挖必定扰乱和破坏土壤的耕作层，除管道开挖的部分直接受到直接的破坏外，开挖土堆放两边占用农田，也会破坏农田的耕作土，此外，土层的混合和扰动，同样会改变原有农田耕作层的性质。因此在整个施工过程中，对土壤耕作层的影响最为严重。</w:t>
      </w:r>
    </w:p>
    <w:p w14:paraId="6F66E068">
      <w:pPr>
        <w:pStyle w:val="234"/>
      </w:pPr>
      <w:r>
        <w:t>（2）混合土壤层次、改变土壤质地</w:t>
      </w:r>
    </w:p>
    <w:p w14:paraId="2CFA9BED">
      <w:pPr>
        <w:pStyle w:val="234"/>
      </w:pPr>
      <w:r>
        <w:t>土壤质地因地形和土壤形成条件的不同而有较大的变化，即使同一土壤剖面，表层土壤质地与底层的也截然不同。输气管道的开挖和回填，必定混合原有的土壤层次，降低土壤的蓄水保肥能力，易受风蚀，从而影响土壤的发育，植被的恢复；在农田区将降低土壤的耕作性能，影响农作物的生长，最终导致农作物产量的下降。</w:t>
      </w:r>
    </w:p>
    <w:p w14:paraId="5B6146CA">
      <w:pPr>
        <w:pStyle w:val="234"/>
      </w:pPr>
      <w:r>
        <w:t>（3）影响土壤养分</w:t>
      </w:r>
    </w:p>
    <w:p w14:paraId="42740688">
      <w:pPr>
        <w:pStyle w:val="234"/>
      </w:pPr>
      <w:r>
        <w:t>土体构型是土壤剖面中各种土层的组合情况。不同土层的特征及理化性质差异较大。就养分而言，表土层远较心土层好，其有机、全氮、速效磷、钾等含量高，紧实度、孔隙状况适中，适耕性强。施工对原有土体构型势必扰动，使土壤养分状况受到影响，严重者使土壤性质恶化，并波及其上生长的植被，甚至难以恢复。</w:t>
      </w:r>
    </w:p>
    <w:p w14:paraId="6485CA8C">
      <w:pPr>
        <w:pStyle w:val="234"/>
      </w:pPr>
      <w:r>
        <w:t>根据有关资料统计，输气管道工程对土壤养分的影响与土壤的理化性状密切相关。在实行分层堆放，分层覆土的措施下，土壤中有机质将下降30~40%，土壤养分将下降30～50%，其中全氮下降43%左右，磷素下降40%，钾素下降43%。这表明即使在管道施工过程中实行分层堆放和分层覆土等保护措施，管道工程对土壤养分仍有明显的影响，事实上，在管道施工过程中，难以严格保证对表土实行分层堆放和分层覆土，因而管道施工对土壤养分的影响更为明显，最后导致土地生物生产量的下降。</w:t>
      </w:r>
    </w:p>
    <w:p w14:paraId="58DB83E1">
      <w:pPr>
        <w:pStyle w:val="234"/>
      </w:pPr>
      <w:r>
        <w:t>（4）影响土壤紧实度</w:t>
      </w:r>
    </w:p>
    <w:p w14:paraId="148DC0C2">
      <w:pPr>
        <w:pStyle w:val="234"/>
      </w:pPr>
      <w:r>
        <w:t>管道敷设后的回填，一般难以恢复原有的土壤紧实度，施工中机械碾压，人员践踏等都会影响土壤的紧实度。土层过松，易引起水土流失，土体过紧，又会影响作物生长。</w:t>
      </w:r>
    </w:p>
    <w:p w14:paraId="639EE227">
      <w:pPr>
        <w:pStyle w:val="234"/>
      </w:pPr>
      <w:r>
        <w:t>（5）土壤污染</w:t>
      </w:r>
    </w:p>
    <w:p w14:paraId="20065B90">
      <w:pPr>
        <w:pStyle w:val="234"/>
      </w:pPr>
      <w:r>
        <w:t>施工过程中将产生施工废料、生活垃圾等废物。这些固体垃圾可能含有难于分解的物质，如不妥善管理，回填入土，将影响土壤质量。若在农田中，将影响土壤耕作和农作物生长。另外施工过程中，各种机器设备的燃油滴漏也可能对沿线土壤造成一定的影响。</w:t>
      </w:r>
    </w:p>
    <w:p w14:paraId="52A78D4D">
      <w:pPr>
        <w:pStyle w:val="234"/>
      </w:pPr>
      <w:r>
        <w:t>随着施工结束，通过采取一定的措施，土壤质量将逐渐得到恢复。管道正常运营期间对土壤的影响较小，主要是</w:t>
      </w:r>
      <w:r>
        <w:rPr>
          <w:rFonts w:hint="eastAsia"/>
        </w:rPr>
        <w:t>过滤</w:t>
      </w:r>
      <w:r>
        <w:t>分离器排污和废滤芯等可能对土壤造成一定的影响。因此，在运营期时只要做好固体废物回收工作，就可将其对土壤环境的影响降至最低程度。此外，类比调查表明：管道在运营期间，地表土壤温度比相邻地段高出1℃~3℃，蒸发量加大，土壤水分减少。</w:t>
      </w:r>
    </w:p>
    <w:p w14:paraId="60C03843">
      <w:pPr>
        <w:pStyle w:val="234"/>
      </w:pPr>
      <w:r>
        <w:t>综上所述，敷设管道由于改变了土壤结构和土壤养分状况，但通过采取一定的措施，土壤质量将会逐渐得到恢复。</w:t>
      </w:r>
    </w:p>
    <w:p w14:paraId="6ACEED9F">
      <w:pPr>
        <w:pStyle w:val="7"/>
      </w:pPr>
      <w:r>
        <w:t>植被影响预测与分析</w:t>
      </w:r>
    </w:p>
    <w:p w14:paraId="20AB5AD2">
      <w:pPr>
        <w:pStyle w:val="234"/>
        <w:adjustRightInd w:val="0"/>
        <w:snapToGrid w:val="0"/>
      </w:pPr>
      <w:r>
        <w:t>（1）对植被的影响分析</w:t>
      </w:r>
    </w:p>
    <w:p w14:paraId="48DF5220">
      <w:pPr>
        <w:pStyle w:val="234"/>
        <w:adjustRightInd w:val="0"/>
        <w:snapToGrid w:val="0"/>
      </w:pPr>
      <w:r>
        <w:t>在管线施工过程中，开挖管沟区将底土翻出，使土体结构几乎完全改变。挖掘区植被全部被破坏，其管线两侧的植被则受到不同程度的破坏和影响。以管沟为中心两侧5m的范围内，植被将遭到严重破坏，原有植被成分基本消失，植物的根系也受到彻底破坏；在管沟两侧5m~</w:t>
      </w:r>
      <w:r>
        <w:rPr>
          <w:rFonts w:hint="eastAsia"/>
        </w:rPr>
        <w:t>10</w:t>
      </w:r>
      <w:r>
        <w:t>m的范围内，由于挖掘施工中各种机械、车辆和人员活动的碾压、践踏以及挖出土的堆放，造成植被的破坏较为严重。</w:t>
      </w:r>
    </w:p>
    <w:p w14:paraId="479DB34D">
      <w:pPr>
        <w:pStyle w:val="234"/>
        <w:adjustRightInd w:val="0"/>
        <w:snapToGrid w:val="0"/>
      </w:pPr>
      <w:r>
        <w:rPr>
          <w:rFonts w:hint="eastAsia"/>
        </w:rPr>
        <w:t>林地植被影响：施工作业带内</w:t>
      </w:r>
      <w:r>
        <w:t>由于表土被碾压，践踏程度重，不但破坏了地表植被，也破坏了植物的浅根系，因此，施工作业中对自然植被的影响是非常严重的，</w:t>
      </w:r>
      <w:r>
        <w:rPr>
          <w:rFonts w:hint="eastAsia"/>
        </w:rPr>
        <w:t>林地</w:t>
      </w:r>
      <w:r>
        <w:t>植被的恢复需要较长的时间。按照生态学理论，管道沿线的植被破坏具有暂时性，一般施工完而终止。根据管线所经地区的土壤、气候等自然条件分析，施工结束后，周围植物渐次侵入，开始恢复演替过程。要恢复植被覆盖，采用人工植树种草的措施，可以加快恢复进程，2～3年恢复草本植被，3~5年恢复灌木植被，10~15年恢复乔木植被。</w:t>
      </w:r>
      <w:r>
        <w:rPr>
          <w:rFonts w:hint="eastAsia"/>
        </w:rPr>
        <w:t>此外管线5m范围内不宜种植深根植物，原有的林地植被将被灌草取代，将导致林地的损失。</w:t>
      </w:r>
    </w:p>
    <w:p w14:paraId="262AD44B">
      <w:pPr>
        <w:pStyle w:val="234"/>
        <w:adjustRightInd w:val="0"/>
        <w:snapToGrid w:val="0"/>
      </w:pPr>
      <w:r>
        <w:rPr>
          <w:rFonts w:hint="eastAsia"/>
        </w:rPr>
        <w:t>耕地植被影响：施工期需清除作业带内的植被，直接导致当季农作物的减产，但施工结束恢复地表后可以恢复种植，不会影响植被类型。此外，</w:t>
      </w:r>
      <w:r>
        <w:t>管道开挖和回填必定混合原有土壤层次，扰乱和破坏了开挖区耕作层的固有结构特征，同时切断和阻碍了周围区域土壤耕作层的有机联系，间接影响了土壤发育，导致土壤抗侵蚀能力降低，加速土壤中营养物质流失，土壤肥力下降，造成影响，减少农作物产量</w:t>
      </w:r>
      <w:r>
        <w:rPr>
          <w:rFonts w:hint="eastAsia"/>
        </w:rPr>
        <w:t>，</w:t>
      </w:r>
      <w:r>
        <w:t>由于土壤结构是经过长期的发展形成的，一旦遭到破坏，需要较长时间恢复</w:t>
      </w:r>
      <w:r>
        <w:rPr>
          <w:rFonts w:hint="eastAsia"/>
        </w:rPr>
        <w:t>。</w:t>
      </w:r>
    </w:p>
    <w:p w14:paraId="5B16AD13">
      <w:pPr>
        <w:pStyle w:val="234"/>
        <w:adjustRightInd w:val="0"/>
        <w:snapToGrid w:val="0"/>
      </w:pPr>
      <w:r>
        <w:t>（2）沿线植被受破坏情况分析预测</w:t>
      </w:r>
    </w:p>
    <w:p w14:paraId="41B5AB5D">
      <w:pPr>
        <w:pStyle w:val="234"/>
        <w:adjustRightInd w:val="0"/>
        <w:snapToGrid w:val="0"/>
      </w:pPr>
      <w:r>
        <w:t>从管道沿线植被受破坏统计情况看，管道沿线施工作业带范围内</w:t>
      </w:r>
      <w:r>
        <w:rPr>
          <w:rFonts w:hint="eastAsia"/>
        </w:rPr>
        <w:t>及堆管场</w:t>
      </w:r>
      <w:r>
        <w:t>受扰动和破坏的植被面积为</w:t>
      </w:r>
      <w:r>
        <w:rPr>
          <w:rFonts w:hint="eastAsia"/>
        </w:rPr>
        <w:t>1001</w:t>
      </w:r>
      <w:r>
        <w:t>m</w:t>
      </w:r>
      <w:r>
        <w:rPr>
          <w:vertAlign w:val="superscript"/>
        </w:rPr>
        <w:t>2</w:t>
      </w:r>
      <w:r>
        <w:t>。从生物量损失看，管线建设将造成生物量损失约</w:t>
      </w:r>
      <w:r>
        <w:rPr>
          <w:rFonts w:hint="eastAsia"/>
        </w:rPr>
        <w:t>9.51</w:t>
      </w:r>
      <w:r>
        <w:t>t，详见表6.3-</w:t>
      </w:r>
      <w:r>
        <w:rPr>
          <w:rFonts w:hint="eastAsia"/>
        </w:rPr>
        <w:t>3</w:t>
      </w:r>
      <w:r>
        <w:t>。</w:t>
      </w:r>
    </w:p>
    <w:p w14:paraId="4C6EE0BC">
      <w:pPr>
        <w:pStyle w:val="904"/>
      </w:pPr>
      <w:r>
        <w:t>表6.3-</w:t>
      </w:r>
      <w:r>
        <w:rPr>
          <w:rFonts w:hint="eastAsia"/>
        </w:rPr>
        <w:t xml:space="preserve">3 </w:t>
      </w:r>
      <w:r>
        <w:t xml:space="preserve"> 临时占地对</w:t>
      </w:r>
      <w:r>
        <w:rPr>
          <w:rFonts w:hint="eastAsia"/>
        </w:rPr>
        <w:t>林地生物量</w:t>
      </w:r>
      <w:r>
        <w:t>造成的损失统计表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01"/>
        <w:gridCol w:w="2373"/>
        <w:gridCol w:w="2207"/>
        <w:gridCol w:w="2205"/>
      </w:tblGrid>
      <w:tr w14:paraId="2F046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346" w:type="pct"/>
            <w:vAlign w:val="center"/>
          </w:tcPr>
          <w:p w14:paraId="2D0FFD97">
            <w:pPr>
              <w:pStyle w:val="1343"/>
            </w:pPr>
            <w:r>
              <w:t>植被类型</w:t>
            </w:r>
          </w:p>
        </w:tc>
        <w:tc>
          <w:tcPr>
            <w:tcW w:w="1277" w:type="pct"/>
            <w:vAlign w:val="center"/>
          </w:tcPr>
          <w:p w14:paraId="221AFB52">
            <w:pPr>
              <w:pStyle w:val="1343"/>
            </w:pPr>
            <w:r>
              <w:t>损失面积（hm</w:t>
            </w:r>
            <w:r>
              <w:rPr>
                <w:vertAlign w:val="superscript"/>
              </w:rPr>
              <w:t>2</w:t>
            </w:r>
            <w:r>
              <w:t>）</w:t>
            </w:r>
          </w:p>
        </w:tc>
        <w:tc>
          <w:tcPr>
            <w:tcW w:w="1188" w:type="pct"/>
            <w:vAlign w:val="center"/>
          </w:tcPr>
          <w:p w14:paraId="5DD1502D">
            <w:pPr>
              <w:pStyle w:val="1343"/>
            </w:pPr>
            <w:r>
              <w:t>平均生物量</w:t>
            </w:r>
          </w:p>
          <w:p w14:paraId="76383EB4">
            <w:pPr>
              <w:pStyle w:val="1343"/>
            </w:pPr>
            <w:r>
              <w:t>(t/hm</w:t>
            </w:r>
            <w:r>
              <w:rPr>
                <w:vertAlign w:val="superscript"/>
              </w:rPr>
              <w:t>2</w:t>
            </w:r>
            <w:r>
              <w:t>)</w:t>
            </w:r>
          </w:p>
        </w:tc>
        <w:tc>
          <w:tcPr>
            <w:tcW w:w="1187" w:type="pct"/>
            <w:vAlign w:val="center"/>
          </w:tcPr>
          <w:p w14:paraId="266D106E">
            <w:pPr>
              <w:pStyle w:val="1343"/>
            </w:pPr>
            <w:r>
              <w:t>生物量损失（t）</w:t>
            </w:r>
          </w:p>
        </w:tc>
      </w:tr>
      <w:tr w14:paraId="0099B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46" w:type="pct"/>
            <w:vAlign w:val="center"/>
          </w:tcPr>
          <w:p w14:paraId="38F3660E">
            <w:pPr>
              <w:pStyle w:val="1343"/>
            </w:pPr>
            <w:r>
              <w:rPr>
                <w:rFonts w:hint="eastAsia"/>
              </w:rPr>
              <w:t>盐麸木、油茶、野桐</w:t>
            </w:r>
            <w:r>
              <w:t>等</w:t>
            </w:r>
          </w:p>
        </w:tc>
        <w:tc>
          <w:tcPr>
            <w:tcW w:w="1277" w:type="pct"/>
            <w:vAlign w:val="center"/>
          </w:tcPr>
          <w:p w14:paraId="67C0E086">
            <w:pPr>
              <w:pStyle w:val="1343"/>
            </w:pPr>
            <w:r>
              <w:rPr>
                <w:rFonts w:hint="eastAsia"/>
              </w:rPr>
              <w:t>0.1001</w:t>
            </w:r>
          </w:p>
        </w:tc>
        <w:tc>
          <w:tcPr>
            <w:tcW w:w="1188" w:type="pct"/>
            <w:vAlign w:val="center"/>
          </w:tcPr>
          <w:p w14:paraId="1D106A41">
            <w:pPr>
              <w:pStyle w:val="1343"/>
            </w:pPr>
            <w:r>
              <w:t>95</w:t>
            </w:r>
          </w:p>
        </w:tc>
        <w:tc>
          <w:tcPr>
            <w:tcW w:w="1187" w:type="pct"/>
            <w:vAlign w:val="center"/>
          </w:tcPr>
          <w:p w14:paraId="1022493C">
            <w:pPr>
              <w:pStyle w:val="1343"/>
            </w:pPr>
            <w:r>
              <w:rPr>
                <w:rFonts w:hint="eastAsia"/>
              </w:rPr>
              <w:t>9.51</w:t>
            </w:r>
          </w:p>
        </w:tc>
      </w:tr>
    </w:tbl>
    <w:p w14:paraId="6251B187">
      <w:pPr>
        <w:pStyle w:val="1343"/>
      </w:pPr>
    </w:p>
    <w:p w14:paraId="4888D24E">
      <w:pPr>
        <w:pStyle w:val="234"/>
      </w:pPr>
      <w:r>
        <w:t>虽然管道建设将使生物量有所减少，但由于该管道沿线途经区域雨热条件和局部生境较好，无林带很快被浅根系植物覆盖，生物量将会有一定程度的增加。而且沿线扰动和破坏的植被多为农作物，在管道施工结束后可以恢复种植。从整体来看对沿线区域生态环境造成的影响不大。</w:t>
      </w:r>
    </w:p>
    <w:p w14:paraId="3AAC61F4">
      <w:pPr>
        <w:pStyle w:val="234"/>
      </w:pPr>
      <w:r>
        <w:t>本工程</w:t>
      </w:r>
      <w:r>
        <w:rPr>
          <w:rFonts w:hint="eastAsia"/>
        </w:rPr>
        <w:t>耒阳分输站</w:t>
      </w:r>
      <w:r>
        <w:t>占用</w:t>
      </w:r>
      <w:r>
        <w:rPr>
          <w:rFonts w:hint="eastAsia"/>
        </w:rPr>
        <w:t>林地</w:t>
      </w:r>
      <w:r>
        <w:t>，其永久性占地工程会对</w:t>
      </w:r>
      <w:r>
        <w:rPr>
          <w:rFonts w:hint="eastAsia"/>
        </w:rPr>
        <w:t>生物量</w:t>
      </w:r>
      <w:r>
        <w:t>造成损失。由于其属于永久性占地，对其植被的损失相对较大，又由于建筑覆盖地段均不可恢复植被，因此这部分损失需在施工建设完成后对</w:t>
      </w:r>
      <w:r>
        <w:rPr>
          <w:rFonts w:hint="eastAsia"/>
        </w:rPr>
        <w:t>站场</w:t>
      </w:r>
      <w:r>
        <w:t>周边进行合理适宜的植被绿化，尽可能补偿因占地带来的永久性损失，且还应根据当地政府规定进行</w:t>
      </w:r>
      <w:r>
        <w:rPr>
          <w:rFonts w:hint="eastAsia"/>
        </w:rPr>
        <w:t>公益林</w:t>
      </w:r>
      <w:r>
        <w:t>补偿。</w:t>
      </w:r>
      <w:r>
        <w:rPr>
          <w:rFonts w:hint="eastAsia"/>
        </w:rPr>
        <w:t>耒阳分输站、进站路及标志桩永久占地</w:t>
      </w:r>
      <w:r>
        <w:t>面积</w:t>
      </w:r>
      <w:r>
        <w:rPr>
          <w:rFonts w:hint="eastAsia"/>
        </w:rPr>
        <w:t>11294</w:t>
      </w:r>
      <w:r>
        <w:t>m</w:t>
      </w:r>
      <w:r>
        <w:rPr>
          <w:vertAlign w:val="superscript"/>
        </w:rPr>
        <w:t>2</w:t>
      </w:r>
      <w:r>
        <w:t>，从生物量损失看，管线建设将造成生物量损失约</w:t>
      </w:r>
      <w:r>
        <w:rPr>
          <w:rFonts w:hint="eastAsia"/>
        </w:rPr>
        <w:t>107.29</w:t>
      </w:r>
      <w:r>
        <w:t>t，详见表6.3-</w:t>
      </w:r>
      <w:r>
        <w:rPr>
          <w:rFonts w:hint="eastAsia"/>
        </w:rPr>
        <w:t>4</w:t>
      </w:r>
      <w:r>
        <w:t>。</w:t>
      </w:r>
    </w:p>
    <w:p w14:paraId="00939AD2">
      <w:pPr>
        <w:pStyle w:val="904"/>
      </w:pPr>
      <w:r>
        <w:t>表6.3-</w:t>
      </w:r>
      <w:r>
        <w:rPr>
          <w:rFonts w:hint="eastAsia"/>
        </w:rPr>
        <w:t>4</w:t>
      </w:r>
      <w:r>
        <w:t xml:space="preserve">  </w:t>
      </w:r>
      <w:r>
        <w:rPr>
          <w:rFonts w:hint="eastAsia"/>
        </w:rPr>
        <w:t>永久</w:t>
      </w:r>
      <w:r>
        <w:t>占地对</w:t>
      </w:r>
      <w:r>
        <w:rPr>
          <w:rFonts w:hint="eastAsia"/>
        </w:rPr>
        <w:t>林地生物量</w:t>
      </w:r>
      <w:r>
        <w:t>造成的损失统计表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14"/>
        <w:gridCol w:w="2460"/>
        <w:gridCol w:w="2207"/>
        <w:gridCol w:w="2205"/>
      </w:tblGrid>
      <w:tr w14:paraId="739E8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9" w:type="pct"/>
            <w:vAlign w:val="center"/>
          </w:tcPr>
          <w:p w14:paraId="0E5DA21D">
            <w:pPr>
              <w:pStyle w:val="1343"/>
            </w:pPr>
            <w:r>
              <w:t>植被类型</w:t>
            </w:r>
          </w:p>
        </w:tc>
        <w:tc>
          <w:tcPr>
            <w:tcW w:w="1324" w:type="pct"/>
            <w:vAlign w:val="center"/>
          </w:tcPr>
          <w:p w14:paraId="26514195">
            <w:pPr>
              <w:pStyle w:val="1343"/>
            </w:pPr>
            <w:r>
              <w:t>损失面积（hm</w:t>
            </w:r>
            <w:r>
              <w:rPr>
                <w:vertAlign w:val="superscript"/>
              </w:rPr>
              <w:t>2</w:t>
            </w:r>
            <w:r>
              <w:t>）</w:t>
            </w:r>
          </w:p>
        </w:tc>
        <w:tc>
          <w:tcPr>
            <w:tcW w:w="1188" w:type="pct"/>
            <w:vAlign w:val="center"/>
          </w:tcPr>
          <w:p w14:paraId="30670230">
            <w:pPr>
              <w:pStyle w:val="1343"/>
            </w:pPr>
            <w:r>
              <w:t>平均生物量</w:t>
            </w:r>
          </w:p>
          <w:p w14:paraId="52FB88C5">
            <w:pPr>
              <w:pStyle w:val="1343"/>
            </w:pPr>
            <w:r>
              <w:t>(t/hm</w:t>
            </w:r>
            <w:r>
              <w:rPr>
                <w:vertAlign w:val="superscript"/>
              </w:rPr>
              <w:t>2</w:t>
            </w:r>
            <w:r>
              <w:t>)</w:t>
            </w:r>
          </w:p>
        </w:tc>
        <w:tc>
          <w:tcPr>
            <w:tcW w:w="1187" w:type="pct"/>
            <w:vAlign w:val="center"/>
          </w:tcPr>
          <w:p w14:paraId="5CE369D1">
            <w:pPr>
              <w:pStyle w:val="1343"/>
            </w:pPr>
            <w:r>
              <w:t>生物量损失（t）</w:t>
            </w:r>
          </w:p>
        </w:tc>
      </w:tr>
      <w:tr w14:paraId="2296B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99" w:type="pct"/>
            <w:vAlign w:val="center"/>
          </w:tcPr>
          <w:p w14:paraId="12614597">
            <w:pPr>
              <w:pStyle w:val="1343"/>
            </w:pPr>
            <w:r>
              <w:rPr>
                <w:rFonts w:hint="eastAsia"/>
              </w:rPr>
              <w:t>盐麸木、油茶、野桐</w:t>
            </w:r>
            <w:r>
              <w:t>等</w:t>
            </w:r>
          </w:p>
        </w:tc>
        <w:tc>
          <w:tcPr>
            <w:tcW w:w="1324" w:type="pct"/>
            <w:vAlign w:val="center"/>
          </w:tcPr>
          <w:p w14:paraId="78D9243F">
            <w:pPr>
              <w:pStyle w:val="1343"/>
            </w:pPr>
            <w:r>
              <w:rPr>
                <w:rFonts w:hint="eastAsia"/>
              </w:rPr>
              <w:t>1.1294</w:t>
            </w:r>
          </w:p>
        </w:tc>
        <w:tc>
          <w:tcPr>
            <w:tcW w:w="1188" w:type="pct"/>
            <w:vAlign w:val="center"/>
          </w:tcPr>
          <w:p w14:paraId="2675FF4C">
            <w:pPr>
              <w:pStyle w:val="1343"/>
            </w:pPr>
            <w:r>
              <w:t>95</w:t>
            </w:r>
          </w:p>
        </w:tc>
        <w:tc>
          <w:tcPr>
            <w:tcW w:w="1187" w:type="pct"/>
            <w:vAlign w:val="center"/>
          </w:tcPr>
          <w:p w14:paraId="14B2219B">
            <w:pPr>
              <w:pStyle w:val="1343"/>
            </w:pPr>
            <w:r>
              <w:rPr>
                <w:rFonts w:hint="eastAsia"/>
              </w:rPr>
              <w:t>107.29</w:t>
            </w:r>
          </w:p>
        </w:tc>
      </w:tr>
    </w:tbl>
    <w:p w14:paraId="2DE07553">
      <w:pPr>
        <w:pStyle w:val="234"/>
        <w:spacing w:before="120" w:beforeLines="50"/>
      </w:pPr>
      <w:r>
        <w:rPr>
          <w:rFonts w:hint="eastAsia"/>
        </w:rPr>
        <w:t>综上，</w:t>
      </w:r>
      <w:r>
        <w:t>管道沿线施工作业带范围内受扰动和破坏的植被面积为</w:t>
      </w:r>
      <w:r>
        <w:rPr>
          <w:rFonts w:hint="eastAsia"/>
        </w:rPr>
        <w:t>1001</w:t>
      </w:r>
      <w:r>
        <w:t>m</w:t>
      </w:r>
      <w:r>
        <w:rPr>
          <w:vertAlign w:val="superscript"/>
        </w:rPr>
        <w:t>2</w:t>
      </w:r>
      <w:r>
        <w:rPr>
          <w:rFonts w:hint="eastAsia"/>
        </w:rPr>
        <w:t>，耒阳分输站永久占用林地面积11294</w:t>
      </w:r>
      <w:r>
        <w:t>m</w:t>
      </w:r>
      <w:r>
        <w:rPr>
          <w:vertAlign w:val="superscript"/>
        </w:rPr>
        <w:t>2</w:t>
      </w:r>
      <w:r>
        <w:t>。从生物量损失看，</w:t>
      </w:r>
      <w:r>
        <w:rPr>
          <w:rFonts w:hint="eastAsia"/>
        </w:rPr>
        <w:t>工程</w:t>
      </w:r>
      <w:r>
        <w:t>建设将造成生物量损失</w:t>
      </w:r>
      <w:r>
        <w:rPr>
          <w:rFonts w:hint="eastAsia"/>
        </w:rPr>
        <w:t>共</w:t>
      </w:r>
      <w:r>
        <w:t>约</w:t>
      </w:r>
      <w:r>
        <w:rPr>
          <w:rFonts w:hint="eastAsia"/>
        </w:rPr>
        <w:t>116.8</w:t>
      </w:r>
      <w:r>
        <w:t>t</w:t>
      </w:r>
      <w:r>
        <w:rPr>
          <w:rFonts w:hint="eastAsia"/>
        </w:rPr>
        <w:t>。</w:t>
      </w:r>
    </w:p>
    <w:p w14:paraId="229DF8AD">
      <w:pPr>
        <w:pStyle w:val="7"/>
      </w:pPr>
      <w:r>
        <w:t>土壤侵蚀影响预测与分析</w:t>
      </w:r>
    </w:p>
    <w:p w14:paraId="1A981F69">
      <w:pPr>
        <w:pStyle w:val="234"/>
      </w:pPr>
      <w:r>
        <w:t>（1）土壤侵蚀因素分析</w:t>
      </w:r>
    </w:p>
    <w:p w14:paraId="0C6AFAB9">
      <w:pPr>
        <w:pStyle w:val="234"/>
      </w:pPr>
      <w:r>
        <w:t>拟建管道工程水土流失主要发生在施工期。管沟开挖、施工便道的</w:t>
      </w:r>
      <w:r>
        <w:rPr>
          <w:rFonts w:hint="eastAsia"/>
        </w:rPr>
        <w:t>修整</w:t>
      </w:r>
      <w:r>
        <w:t>、站场的平整硬化等建设将破坏原有相对稳定的地表，使土壤结构疏松，作业区地表植被丧失，产生一定面积的裸露地面，诱发或加剧土壤侵蚀危害。</w:t>
      </w:r>
    </w:p>
    <w:p w14:paraId="7D4FC561">
      <w:pPr>
        <w:pStyle w:val="234"/>
      </w:pPr>
      <w:r>
        <w:t>一般而言，施工期土壤侵蚀的影响待施工结束后基本消除；运营期地表复原后，只要严格实施相应的水土保持措施，不会造成新的土壤侵蚀。</w:t>
      </w:r>
    </w:p>
    <w:p w14:paraId="47AD2A32">
      <w:pPr>
        <w:pStyle w:val="234"/>
      </w:pPr>
      <w:r>
        <w:rPr>
          <w:rFonts w:hint="eastAsia"/>
        </w:rPr>
        <w:t>（</w:t>
      </w:r>
      <w:r>
        <w:t>2）土壤侵蚀预测方法</w:t>
      </w:r>
    </w:p>
    <w:p w14:paraId="17951B7F">
      <w:pPr>
        <w:pStyle w:val="234"/>
      </w:pPr>
      <w:r>
        <w:fldChar w:fldCharType="begin"/>
      </w:r>
      <w:r>
        <w:instrText xml:space="preserve"> = 1 \* GB3 </w:instrText>
      </w:r>
      <w:r>
        <w:fldChar w:fldCharType="separate"/>
      </w:r>
      <w:r>
        <w:rPr>
          <w:rFonts w:hint="eastAsia" w:ascii="宋体" w:hAnsi="宋体" w:cs="宋体"/>
        </w:rPr>
        <w:t>①</w:t>
      </w:r>
      <w:r>
        <w:fldChar w:fldCharType="end"/>
      </w:r>
      <w:r>
        <w:t>预测时段</w:t>
      </w:r>
    </w:p>
    <w:p w14:paraId="6FCFAED0">
      <w:pPr>
        <w:pStyle w:val="234"/>
      </w:pPr>
      <w:r>
        <w:t>本工程水土流失时段划分为施工期和运营期，其中管道建设水土流失主要集中在施工期，施工结束后临时性工程占用的农田地段即可恢复耕种，运营期对地表植被影响不大。占用的林地在管线近侧可恢复浅根系植物，其他区域仍可造林。因此，本次评价水土流失预测时段按不同施工项目扰动持续时间各异，管线管沟开挖、施工道平整为</w:t>
      </w:r>
      <w:r>
        <w:rPr>
          <w:rFonts w:hint="eastAsia"/>
        </w:rPr>
        <w:t>2</w:t>
      </w:r>
      <w:r>
        <w:t>个月，</w:t>
      </w:r>
      <w:r>
        <w:rPr>
          <w:rFonts w:hint="eastAsia"/>
        </w:rPr>
        <w:t>耒阳分输站</w:t>
      </w:r>
      <w:r>
        <w:t>建设扰动时间约</w:t>
      </w:r>
      <w:r>
        <w:rPr>
          <w:rFonts w:hint="eastAsia"/>
        </w:rPr>
        <w:t>6</w:t>
      </w:r>
      <w:r>
        <w:t>个月。</w:t>
      </w:r>
    </w:p>
    <w:p w14:paraId="08A9B36B">
      <w:pPr>
        <w:pStyle w:val="234"/>
      </w:pPr>
      <w:r>
        <w:fldChar w:fldCharType="begin"/>
      </w:r>
      <w:r>
        <w:instrText xml:space="preserve"> = 2 \* GB3 </w:instrText>
      </w:r>
      <w:r>
        <w:fldChar w:fldCharType="separate"/>
      </w:r>
      <w:r>
        <w:rPr>
          <w:rFonts w:hint="eastAsia" w:ascii="宋体" w:hAnsi="宋体" w:cs="宋体"/>
        </w:rPr>
        <w:t>②</w:t>
      </w:r>
      <w:r>
        <w:fldChar w:fldCharType="end"/>
      </w:r>
      <w:r>
        <w:t>工程地表扰动面积</w:t>
      </w:r>
    </w:p>
    <w:p w14:paraId="0885AE99">
      <w:pPr>
        <w:pStyle w:val="234"/>
      </w:pPr>
      <w:r>
        <w:t>本工程施工期间，全线永久占地扰动土壤面积</w:t>
      </w:r>
      <w:r>
        <w:rPr>
          <w:rFonts w:hint="eastAsia"/>
        </w:rPr>
        <w:t>11294</w:t>
      </w:r>
      <w:r>
        <w:t>m</w:t>
      </w:r>
      <w:r>
        <w:rPr>
          <w:vertAlign w:val="superscript"/>
        </w:rPr>
        <w:t>2</w:t>
      </w:r>
      <w:r>
        <w:t>，全线临时占地扰动土壤面积</w:t>
      </w:r>
      <w:r>
        <w:rPr>
          <w:rFonts w:hint="eastAsia"/>
        </w:rPr>
        <w:t>9760</w:t>
      </w:r>
      <w:r>
        <w:t>m</w:t>
      </w:r>
      <w:r>
        <w:rPr>
          <w:vertAlign w:val="superscript"/>
        </w:rPr>
        <w:t>2</w:t>
      </w:r>
      <w:r>
        <w:t>。</w:t>
      </w:r>
    </w:p>
    <w:p w14:paraId="067A318D">
      <w:pPr>
        <w:pStyle w:val="234"/>
      </w:pPr>
      <w:r>
        <w:fldChar w:fldCharType="begin"/>
      </w:r>
      <w:r>
        <w:instrText xml:space="preserve"> = 3 \* GB3 </w:instrText>
      </w:r>
      <w:r>
        <w:fldChar w:fldCharType="separate"/>
      </w:r>
      <w:r>
        <w:rPr>
          <w:rFonts w:hint="eastAsia" w:ascii="宋体" w:hAnsi="宋体" w:cs="宋体"/>
        </w:rPr>
        <w:t>③</w:t>
      </w:r>
      <w:r>
        <w:fldChar w:fldCharType="end"/>
      </w:r>
      <w:r>
        <w:t>侵蚀模数</w:t>
      </w:r>
    </w:p>
    <w:p w14:paraId="6EB77BDA">
      <w:pPr>
        <w:pStyle w:val="234"/>
      </w:pPr>
      <w:r>
        <w:t>根据沿线地区气候和土壤特性、工程扰动方式及土壤侵蚀现状分析结果，并参考有关项目环境影响评价规范和有关研究成果，本工程针对不同施工内容，给出相应土壤侵蚀模数可能值，分别为</w:t>
      </w:r>
      <w:r>
        <w:rPr>
          <w:rFonts w:hint="eastAsia"/>
        </w:rPr>
        <w:t>：</w:t>
      </w:r>
      <w:r>
        <w:t>管沟开挖为4000t/km</w:t>
      </w:r>
      <w:r>
        <w:rPr>
          <w:vertAlign w:val="superscript"/>
        </w:rPr>
        <w:t>2</w:t>
      </w:r>
      <w:r>
        <w:t>·a，站场建设为2500t/km</w:t>
      </w:r>
      <w:r>
        <w:rPr>
          <w:vertAlign w:val="superscript"/>
        </w:rPr>
        <w:t>2</w:t>
      </w:r>
      <w:r>
        <w:t>·a。</w:t>
      </w:r>
    </w:p>
    <w:p w14:paraId="00B8685B">
      <w:pPr>
        <w:pStyle w:val="234"/>
      </w:pPr>
      <w:r>
        <w:t>（3）土壤侵蚀预测结果</w:t>
      </w:r>
    </w:p>
    <w:p w14:paraId="65E5FCF6">
      <w:pPr>
        <w:pStyle w:val="234"/>
      </w:pPr>
      <w:r>
        <w:t>根据以上工程扰动面积、扰动时间和各工程侵蚀模数，计算出该段管道施工期间的土壤侵蚀量。</w:t>
      </w:r>
    </w:p>
    <w:p w14:paraId="60C06F8C">
      <w:pPr>
        <w:pStyle w:val="234"/>
      </w:pPr>
      <w:r>
        <w:t>本工程施工期间扰动土壤面积约</w:t>
      </w:r>
      <w:r>
        <w:rPr>
          <w:rFonts w:hint="eastAsia"/>
        </w:rPr>
        <w:t>21054</w:t>
      </w:r>
      <w:r>
        <w:t>m</w:t>
      </w:r>
      <w:r>
        <w:rPr>
          <w:vertAlign w:val="superscript"/>
        </w:rPr>
        <w:t>2</w:t>
      </w:r>
      <w:r>
        <w:t>，在不采取任何水土保持措施的前提下，产生侵蚀量约</w:t>
      </w:r>
      <w:r>
        <w:rPr>
          <w:rFonts w:hint="eastAsia"/>
        </w:rPr>
        <w:t>20.63</w:t>
      </w:r>
      <w:r>
        <w:t>t，详见表6.3-</w:t>
      </w:r>
      <w:r>
        <w:rPr>
          <w:rFonts w:hint="eastAsia"/>
        </w:rPr>
        <w:t>5</w:t>
      </w:r>
      <w:r>
        <w:t>。</w:t>
      </w:r>
    </w:p>
    <w:p w14:paraId="4C2A7C14">
      <w:pPr>
        <w:pStyle w:val="904"/>
      </w:pPr>
      <w:r>
        <w:t>表6.3-</w:t>
      </w:r>
      <w:r>
        <w:rPr>
          <w:rFonts w:hint="eastAsia"/>
        </w:rPr>
        <w:t>5</w:t>
      </w:r>
      <w:r>
        <w:t xml:space="preserve">  本工程施工期地表扰动土壤侵蚀量统计表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4"/>
        <w:gridCol w:w="1289"/>
        <w:gridCol w:w="1995"/>
        <w:gridCol w:w="1094"/>
        <w:gridCol w:w="1430"/>
        <w:gridCol w:w="1314"/>
        <w:gridCol w:w="1310"/>
      </w:tblGrid>
      <w:tr w14:paraId="2FA86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4" w:type="dxa"/>
            <w:vAlign w:val="center"/>
          </w:tcPr>
          <w:p w14:paraId="5FF839CC">
            <w:pPr>
              <w:pStyle w:val="1343"/>
            </w:pPr>
            <w:r>
              <w:t>地区</w:t>
            </w:r>
          </w:p>
        </w:tc>
        <w:tc>
          <w:tcPr>
            <w:tcW w:w="1258" w:type="dxa"/>
            <w:vAlign w:val="center"/>
          </w:tcPr>
          <w:p w14:paraId="302729A7">
            <w:pPr>
              <w:pStyle w:val="1343"/>
            </w:pPr>
            <w:r>
              <w:t>施工内容</w:t>
            </w:r>
          </w:p>
        </w:tc>
        <w:tc>
          <w:tcPr>
            <w:tcW w:w="1946" w:type="dxa"/>
            <w:vAlign w:val="center"/>
          </w:tcPr>
          <w:p w14:paraId="651C3717">
            <w:pPr>
              <w:pStyle w:val="1343"/>
            </w:pPr>
            <w:r>
              <w:t>地表扰动方式</w:t>
            </w:r>
          </w:p>
        </w:tc>
        <w:tc>
          <w:tcPr>
            <w:tcW w:w="1067" w:type="dxa"/>
            <w:vAlign w:val="center"/>
          </w:tcPr>
          <w:p w14:paraId="2C831A63">
            <w:pPr>
              <w:pStyle w:val="1343"/>
            </w:pPr>
            <w:r>
              <w:t>扰动面积（m</w:t>
            </w:r>
            <w:r>
              <w:rPr>
                <w:vertAlign w:val="superscript"/>
              </w:rPr>
              <w:t>2</w:t>
            </w:r>
            <w:r>
              <w:t>）</w:t>
            </w:r>
          </w:p>
        </w:tc>
        <w:tc>
          <w:tcPr>
            <w:tcW w:w="1395" w:type="dxa"/>
            <w:vAlign w:val="center"/>
          </w:tcPr>
          <w:p w14:paraId="128629E9">
            <w:pPr>
              <w:pStyle w:val="1343"/>
            </w:pPr>
            <w:r>
              <w:t>侵蚀模数（t/km</w:t>
            </w:r>
            <w:r>
              <w:rPr>
                <w:vertAlign w:val="superscript"/>
              </w:rPr>
              <w:t>2</w:t>
            </w:r>
            <w:r>
              <w:t>·a）</w:t>
            </w:r>
          </w:p>
        </w:tc>
        <w:tc>
          <w:tcPr>
            <w:tcW w:w="1282" w:type="dxa"/>
            <w:vAlign w:val="center"/>
          </w:tcPr>
          <w:p w14:paraId="35A76DC3">
            <w:pPr>
              <w:pStyle w:val="1343"/>
            </w:pPr>
            <w:r>
              <w:t>持续时间（月）</w:t>
            </w:r>
          </w:p>
        </w:tc>
        <w:tc>
          <w:tcPr>
            <w:tcW w:w="1278" w:type="dxa"/>
            <w:vAlign w:val="center"/>
          </w:tcPr>
          <w:p w14:paraId="2F97A2C7">
            <w:pPr>
              <w:pStyle w:val="1343"/>
            </w:pPr>
            <w:r>
              <w:t>侵蚀量（t）</w:t>
            </w:r>
          </w:p>
        </w:tc>
      </w:tr>
      <w:tr w14:paraId="10D38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4" w:type="dxa"/>
            <w:vMerge w:val="restart"/>
            <w:vAlign w:val="center"/>
          </w:tcPr>
          <w:p w14:paraId="402D72AB">
            <w:pPr>
              <w:pStyle w:val="1343"/>
            </w:pPr>
            <w:r>
              <w:rPr>
                <w:rFonts w:hint="eastAsia"/>
              </w:rPr>
              <w:t>耒阳市</w:t>
            </w:r>
          </w:p>
        </w:tc>
        <w:tc>
          <w:tcPr>
            <w:tcW w:w="1258" w:type="dxa"/>
            <w:vAlign w:val="center"/>
          </w:tcPr>
          <w:p w14:paraId="38774314">
            <w:pPr>
              <w:pStyle w:val="1343"/>
            </w:pPr>
            <w:r>
              <w:t>管沟开挖、施工便道</w:t>
            </w:r>
            <w:r>
              <w:rPr>
                <w:rFonts w:hint="eastAsia"/>
              </w:rPr>
              <w:t>修整</w:t>
            </w:r>
          </w:p>
        </w:tc>
        <w:tc>
          <w:tcPr>
            <w:tcW w:w="1946" w:type="dxa"/>
            <w:vAlign w:val="center"/>
          </w:tcPr>
          <w:p w14:paraId="272243AA">
            <w:pPr>
              <w:pStyle w:val="1343"/>
            </w:pPr>
            <w:r>
              <w:t>挖、堆放、填、平整、恢复植被</w:t>
            </w:r>
          </w:p>
        </w:tc>
        <w:tc>
          <w:tcPr>
            <w:tcW w:w="1067" w:type="dxa"/>
            <w:vAlign w:val="center"/>
          </w:tcPr>
          <w:p w14:paraId="7F4839C1">
            <w:pPr>
              <w:pStyle w:val="1343"/>
            </w:pPr>
            <w:r>
              <w:rPr>
                <w:rFonts w:hint="eastAsia"/>
              </w:rPr>
              <w:t>9760</w:t>
            </w:r>
          </w:p>
        </w:tc>
        <w:tc>
          <w:tcPr>
            <w:tcW w:w="1395" w:type="dxa"/>
            <w:vAlign w:val="center"/>
          </w:tcPr>
          <w:p w14:paraId="69E67F3B">
            <w:pPr>
              <w:pStyle w:val="1343"/>
            </w:pPr>
            <w:r>
              <w:t>4000</w:t>
            </w:r>
          </w:p>
        </w:tc>
        <w:tc>
          <w:tcPr>
            <w:tcW w:w="1282" w:type="dxa"/>
            <w:vAlign w:val="center"/>
          </w:tcPr>
          <w:p w14:paraId="75445F9A">
            <w:pPr>
              <w:pStyle w:val="1343"/>
            </w:pPr>
            <w:r>
              <w:rPr>
                <w:rFonts w:hint="eastAsia"/>
              </w:rPr>
              <w:t>2</w:t>
            </w:r>
          </w:p>
        </w:tc>
        <w:tc>
          <w:tcPr>
            <w:tcW w:w="1278" w:type="dxa"/>
            <w:vAlign w:val="center"/>
          </w:tcPr>
          <w:p w14:paraId="604A8ACF">
            <w:pPr>
              <w:pStyle w:val="1343"/>
            </w:pPr>
            <w:r>
              <w:rPr>
                <w:rFonts w:hint="eastAsia"/>
              </w:rPr>
              <w:t>6.51</w:t>
            </w:r>
          </w:p>
        </w:tc>
      </w:tr>
      <w:tr w14:paraId="4F020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4" w:type="dxa"/>
            <w:vMerge w:val="continue"/>
            <w:vAlign w:val="center"/>
          </w:tcPr>
          <w:p w14:paraId="1DD2BE58">
            <w:pPr>
              <w:pStyle w:val="1343"/>
            </w:pPr>
          </w:p>
        </w:tc>
        <w:tc>
          <w:tcPr>
            <w:tcW w:w="1258" w:type="dxa"/>
            <w:vAlign w:val="center"/>
          </w:tcPr>
          <w:p w14:paraId="1FAA1E03">
            <w:pPr>
              <w:pStyle w:val="1343"/>
            </w:pPr>
            <w:r>
              <w:t>场站</w:t>
            </w:r>
            <w:r>
              <w:rPr>
                <w:rFonts w:hint="eastAsia"/>
              </w:rPr>
              <w:t>及进站路、标志桩等</w:t>
            </w:r>
          </w:p>
        </w:tc>
        <w:tc>
          <w:tcPr>
            <w:tcW w:w="1946" w:type="dxa"/>
            <w:vAlign w:val="center"/>
          </w:tcPr>
          <w:p w14:paraId="2B0CBA39">
            <w:pPr>
              <w:pStyle w:val="1343"/>
            </w:pPr>
            <w:r>
              <w:t>平整、硬化</w:t>
            </w:r>
          </w:p>
        </w:tc>
        <w:tc>
          <w:tcPr>
            <w:tcW w:w="1067" w:type="dxa"/>
            <w:vAlign w:val="center"/>
          </w:tcPr>
          <w:p w14:paraId="03E17C79">
            <w:pPr>
              <w:pStyle w:val="1343"/>
            </w:pPr>
            <w:r>
              <w:rPr>
                <w:rFonts w:hint="eastAsia"/>
              </w:rPr>
              <w:t>11294</w:t>
            </w:r>
          </w:p>
        </w:tc>
        <w:tc>
          <w:tcPr>
            <w:tcW w:w="1395" w:type="dxa"/>
            <w:vAlign w:val="center"/>
          </w:tcPr>
          <w:p w14:paraId="5061EB5C">
            <w:pPr>
              <w:pStyle w:val="1343"/>
            </w:pPr>
            <w:r>
              <w:t>2500</w:t>
            </w:r>
          </w:p>
        </w:tc>
        <w:tc>
          <w:tcPr>
            <w:tcW w:w="1282" w:type="dxa"/>
            <w:vAlign w:val="center"/>
          </w:tcPr>
          <w:p w14:paraId="155738D3">
            <w:pPr>
              <w:pStyle w:val="1343"/>
            </w:pPr>
            <w:r>
              <w:rPr>
                <w:rFonts w:hint="eastAsia"/>
              </w:rPr>
              <w:t>6</w:t>
            </w:r>
          </w:p>
        </w:tc>
        <w:tc>
          <w:tcPr>
            <w:tcW w:w="1278" w:type="dxa"/>
            <w:vAlign w:val="center"/>
          </w:tcPr>
          <w:p w14:paraId="7AC8097F">
            <w:pPr>
              <w:pStyle w:val="1343"/>
            </w:pPr>
            <w:r>
              <w:rPr>
                <w:rFonts w:hint="eastAsia"/>
              </w:rPr>
              <w:t>14.12</w:t>
            </w:r>
          </w:p>
        </w:tc>
      </w:tr>
      <w:tr w14:paraId="06530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4" w:type="dxa"/>
            <w:vMerge w:val="continue"/>
            <w:vAlign w:val="center"/>
          </w:tcPr>
          <w:p w14:paraId="2C05FE84">
            <w:pPr>
              <w:pStyle w:val="1343"/>
            </w:pPr>
          </w:p>
        </w:tc>
        <w:tc>
          <w:tcPr>
            <w:tcW w:w="3204" w:type="dxa"/>
            <w:gridSpan w:val="2"/>
            <w:vAlign w:val="center"/>
          </w:tcPr>
          <w:p w14:paraId="08A91D86">
            <w:pPr>
              <w:pStyle w:val="1343"/>
            </w:pPr>
            <w:r>
              <w:rPr>
                <w:rFonts w:hint="eastAsia"/>
              </w:rPr>
              <w:t>总计</w:t>
            </w:r>
          </w:p>
        </w:tc>
        <w:tc>
          <w:tcPr>
            <w:tcW w:w="1067" w:type="dxa"/>
            <w:vAlign w:val="center"/>
          </w:tcPr>
          <w:p w14:paraId="6716E8FD">
            <w:pPr>
              <w:pStyle w:val="1343"/>
            </w:pPr>
            <w:r>
              <w:rPr>
                <w:rFonts w:hint="eastAsia"/>
              </w:rPr>
              <w:t>21054</w:t>
            </w:r>
          </w:p>
        </w:tc>
        <w:tc>
          <w:tcPr>
            <w:tcW w:w="1395" w:type="dxa"/>
            <w:vAlign w:val="center"/>
          </w:tcPr>
          <w:p w14:paraId="03540C4B">
            <w:pPr>
              <w:pStyle w:val="1343"/>
            </w:pPr>
            <w:r>
              <w:t>--</w:t>
            </w:r>
          </w:p>
        </w:tc>
        <w:tc>
          <w:tcPr>
            <w:tcW w:w="1282" w:type="dxa"/>
            <w:vAlign w:val="center"/>
          </w:tcPr>
          <w:p w14:paraId="78251C36">
            <w:pPr>
              <w:pStyle w:val="1343"/>
            </w:pPr>
            <w:r>
              <w:t>--</w:t>
            </w:r>
          </w:p>
        </w:tc>
        <w:tc>
          <w:tcPr>
            <w:tcW w:w="1278" w:type="dxa"/>
            <w:vAlign w:val="center"/>
          </w:tcPr>
          <w:p w14:paraId="77046E96">
            <w:pPr>
              <w:pStyle w:val="1343"/>
            </w:pPr>
            <w:r>
              <w:rPr>
                <w:rFonts w:hint="eastAsia"/>
              </w:rPr>
              <w:t>20.63</w:t>
            </w:r>
          </w:p>
        </w:tc>
      </w:tr>
    </w:tbl>
    <w:p w14:paraId="0678AC09">
      <w:pPr>
        <w:pStyle w:val="234"/>
        <w:spacing w:before="120" w:beforeLines="50"/>
      </w:pPr>
      <w:r>
        <w:t>结合工程施工扰动方式、程度及范围，上述水土流失量主要发生在沿线工程施工扰动建设区域内，对沿线区域而言，土壤侵蚀量不大。</w:t>
      </w:r>
    </w:p>
    <w:p w14:paraId="03D163EA">
      <w:pPr>
        <w:pStyle w:val="7"/>
      </w:pPr>
      <w:r>
        <w:t>景观生态影响评价</w:t>
      </w:r>
    </w:p>
    <w:p w14:paraId="5FC82180">
      <w:pPr>
        <w:pStyle w:val="234"/>
        <w:spacing w:before="48" w:after="48"/>
      </w:pPr>
      <w:r>
        <w:t>管道穿越地区地貌多为</w:t>
      </w:r>
      <w:r>
        <w:rPr>
          <w:rFonts w:hint="eastAsia"/>
        </w:rPr>
        <w:t>丘陵</w:t>
      </w:r>
      <w:r>
        <w:t>。管道沿线区域内农业景观主导性比较明显，系统受人类活动干扰和控制程度较强，景观内部呈现以人工生态系统为主的生态格局，多年来的人类扰动范围与方式已固定形成，系统也处于相对稳定状态，当外界产生干扰时人工生态系统在人为推动下恢复平衡的能力较强，自然生态系统维持平衡的能力需根据具体扰动强度而定。</w:t>
      </w:r>
    </w:p>
    <w:p w14:paraId="4F2FF4BA">
      <w:pPr>
        <w:pStyle w:val="234"/>
        <w:spacing w:before="48" w:after="48"/>
      </w:pPr>
      <w:r>
        <w:t>管道施工期间会直接影响到该地段的各类景观，由于管道施工对农业景观的影响是短暂的，它随着施工结束后的复种、复垦而结束，农田植被即可恢复到原来的景观，因此对农田景观影响不大，也就是说绝大部分区域农业景观的主导性仍然保留，景观整体生态格局没有发生大的变化。</w:t>
      </w:r>
    </w:p>
    <w:p w14:paraId="54433BD3">
      <w:pPr>
        <w:pStyle w:val="234"/>
      </w:pPr>
      <w:r>
        <w:t>同时，由于公路是交通要道，工程施工对这种景观的影响也比较大，但这些影响同样会随着施工的结束而消失。</w:t>
      </w:r>
    </w:p>
    <w:p w14:paraId="3EECA26D">
      <w:pPr>
        <w:pStyle w:val="234"/>
      </w:pPr>
      <w:r>
        <w:t>相对而言，工程对林地景观的影响较大</w:t>
      </w:r>
      <w:r>
        <w:rPr>
          <w:rFonts w:hint="eastAsia"/>
        </w:rPr>
        <w:t>。施工作业带内植被的清理使原本完整的林地景观产生断带，使景观破碎化，管线中线两侧5m范围内禁止种植乔木、灌木等深根植，且</w:t>
      </w:r>
      <w:r>
        <w:t>因为林地在受到人类干扰和破坏后，其恢复时间较长</w:t>
      </w:r>
      <w:r>
        <w:rPr>
          <w:rFonts w:hint="eastAsia"/>
        </w:rPr>
        <w:t>，景观破碎化程度会降低但不会消除</w:t>
      </w:r>
      <w:r>
        <w:t>。</w:t>
      </w:r>
      <w:r>
        <w:rPr>
          <w:rFonts w:hint="eastAsia"/>
        </w:rPr>
        <w:t>此外项目耒阳分输站及进站路将永久占用林地，会使林地景观产生斑块，</w:t>
      </w:r>
      <w:r>
        <w:t>但由于本次</w:t>
      </w:r>
      <w:r>
        <w:rPr>
          <w:rFonts w:hint="eastAsia"/>
        </w:rPr>
        <w:t>占用的林地面积较小</w:t>
      </w:r>
      <w:r>
        <w:t>，因此对景观的影响相对较小。</w:t>
      </w:r>
    </w:p>
    <w:p w14:paraId="78B1456D">
      <w:pPr>
        <w:pStyle w:val="234"/>
        <w:spacing w:before="48" w:after="48"/>
      </w:pPr>
      <w:r>
        <w:t>从整体看，管道施工期对整体景观生态格局影响很小。</w:t>
      </w:r>
    </w:p>
    <w:p w14:paraId="3AF99B51">
      <w:pPr>
        <w:pStyle w:val="7"/>
      </w:pPr>
      <w:r>
        <w:t>对野生动物的影响预测与分析</w:t>
      </w:r>
    </w:p>
    <w:p w14:paraId="2B3BE5A9">
      <w:pPr>
        <w:pStyle w:val="234"/>
      </w:pPr>
      <w:r>
        <w:t>现状调查可知，评价区多为农业区和</w:t>
      </w:r>
      <w:r>
        <w:rPr>
          <w:rFonts w:hint="eastAsia"/>
        </w:rPr>
        <w:t>灌木</w:t>
      </w:r>
      <w:r>
        <w:t>林，人类干扰强烈，野生动物稀少。施工期间，施工作业带、</w:t>
      </w:r>
      <w:r>
        <w:rPr>
          <w:rFonts w:hint="eastAsia"/>
        </w:rPr>
        <w:t>堆管场</w:t>
      </w:r>
      <w:r>
        <w:t>等临时占地区域的鸟类和兽类将被迫离开原来的领域，邻近区域的鸟类和兽类，由于受到施工噪声的惊吓，也将远离原来的栖息地，当临时占地的植被恢复后，它们仍可回到原来的领域。</w:t>
      </w:r>
    </w:p>
    <w:p w14:paraId="4B1F857D">
      <w:pPr>
        <w:pStyle w:val="234"/>
      </w:pPr>
      <w:r>
        <w:t>（1）对陆生生物影响</w:t>
      </w:r>
    </w:p>
    <w:p w14:paraId="0434EED7">
      <w:pPr>
        <w:pStyle w:val="234"/>
      </w:pPr>
      <w:r>
        <w:t>本工程管道工程建设对陆生动物的影响首先体现在管线敷设施工期间。管线工程割断了部分陆生动物的活动区域、迁移途径、栖息区域、觅食范围等，从而对动物的生存产生一定的影响。首先，由于该区域内无大型野生动物，管道作为屏障对其迁移等活动的影响不大；其次，施工人员活动、施工机械、车辆的噪声对野生动物的短暂惊吓和干扰，影响动物的正常活动，若管理不善，将会出现施工人员对沿线附近野生动物的狩猎，则对野生动物资源影响较大，这将迫使动物离开管道沿线附近区域。由于</w:t>
      </w:r>
      <w:r>
        <w:rPr>
          <w:rFonts w:hint="eastAsia"/>
        </w:rPr>
        <w:t>工程</w:t>
      </w:r>
      <w:r>
        <w:t>管道敷设</w:t>
      </w:r>
      <w:r>
        <w:rPr>
          <w:rFonts w:hint="eastAsia"/>
        </w:rPr>
        <w:t>距离较短</w:t>
      </w:r>
      <w:r>
        <w:t>，因此，管道施工活动对野生动物的影响是短时的、可逆的。施工结束后，这种影响也会随着消失。</w:t>
      </w:r>
    </w:p>
    <w:p w14:paraId="22A2FEE1">
      <w:pPr>
        <w:pStyle w:val="234"/>
      </w:pPr>
      <w:r>
        <w:t>（</w:t>
      </w:r>
      <w:r>
        <w:rPr>
          <w:rFonts w:hint="eastAsia"/>
        </w:rPr>
        <w:t>2</w:t>
      </w:r>
      <w:r>
        <w:t>）对鸟类的影响</w:t>
      </w:r>
    </w:p>
    <w:p w14:paraId="4F426904">
      <w:pPr>
        <w:pStyle w:val="234"/>
      </w:pPr>
      <w:r>
        <w:t>施工期间，本工程大部分工程采用大开挖施工方式，人为活动的增加以及管沟开挖敷设，施工机械噪声会惊吓、干扰，尤其对林地段的鸟类如雀形目类产生干扰；管线经过农业区段，</w:t>
      </w:r>
      <w:r>
        <w:rPr>
          <w:rFonts w:hint="eastAsia"/>
        </w:rPr>
        <w:t>本地区</w:t>
      </w:r>
      <w:r>
        <w:t>鸟类包括留鸟、夏候鸟、冬候鸟、旅鸟等，</w:t>
      </w:r>
      <w:r>
        <w:rPr>
          <w:rFonts w:hint="eastAsia"/>
        </w:rPr>
        <w:t>主要为</w:t>
      </w:r>
      <w:r>
        <w:t>麻雀、</w:t>
      </w:r>
      <w:r>
        <w:rPr>
          <w:rFonts w:hint="eastAsia"/>
        </w:rPr>
        <w:t>斑鸠</w:t>
      </w:r>
      <w:r>
        <w:t>等常见种，</w:t>
      </w:r>
      <w:r>
        <w:rPr>
          <w:rFonts w:hint="eastAsia"/>
        </w:rPr>
        <w:t>主要分布于林地及农田区域</w:t>
      </w:r>
      <w:r>
        <w:t>。因此工程对附近区域的这些鸟类可能产生一定影响，但由于附近农田区和林地分布广泛，这些鸟类很容易找到类似生境，鸟类将通过迁移和飞翔来避免工程施工对其栖息和觅食的影响。</w:t>
      </w:r>
      <w:r>
        <w:rPr>
          <w:rFonts w:hint="eastAsia"/>
        </w:rPr>
        <w:t>本工程生态影响范围内不存在附近无相似生境的特殊生境供鸟类栖息</w:t>
      </w:r>
      <w:r>
        <w:t>。本工程施工时，应尽量避开鸟类迁徙期，减少工程建设对迁徙中的鸟类的影响。</w:t>
      </w:r>
    </w:p>
    <w:p w14:paraId="1DD3D736">
      <w:pPr>
        <w:pStyle w:val="7"/>
      </w:pPr>
      <w:r>
        <w:t>水土流失的影响分析</w:t>
      </w:r>
    </w:p>
    <w:p w14:paraId="0ED8933F">
      <w:pPr>
        <w:pStyle w:val="234"/>
      </w:pPr>
      <w:r>
        <w:t>本工程由于管线施工时车辆对土壤的碾压，人员对土壤的践踏，将改变原地表地貌状况，扰动原地貌，改变原地貌的状况和性质。工程施工破坏植被，新地貌失去植物根系的固土作用，雨水直接冲刷疏松、裸露的地表土，易造成水土流失；施工过程中，开挖回填后产生的弃渣松散堆积，结构疏松，胶结力差，抗侵蚀能力极低，遇暴雨产生径流，加大水土流失。为了更好的保持水土，建议采取以下水土流失防治措施：</w:t>
      </w:r>
    </w:p>
    <w:p w14:paraId="2BBD913E">
      <w:pPr>
        <w:pStyle w:val="234"/>
      </w:pPr>
      <w:r>
        <w:rPr>
          <w:rFonts w:hint="eastAsia"/>
        </w:rPr>
        <w:t>（1）</w:t>
      </w:r>
      <w:r>
        <w:t>严格控制管线的作业面积，严格控制和管理车辆及重型机械的运行范围。</w:t>
      </w:r>
    </w:p>
    <w:p w14:paraId="32F68B27">
      <w:pPr>
        <w:pStyle w:val="234"/>
      </w:pPr>
      <w:r>
        <w:rPr>
          <w:rFonts w:hint="eastAsia"/>
        </w:rPr>
        <w:t>（2）</w:t>
      </w:r>
      <w:r>
        <w:t>管沟挖、填方作业应尽量做到互补平衡，以免造成弃土方堆积和过多借土，增加新的水土流失。管沟回填应按层回填，以利于施工带土壤和植被的尽早恢复。回填后应予以平整、压实，以免发生水土流失。对高出地面部分做出水土保持要求，要求高出地面部分回填土按梯形堆放于管线上部，堆放后人工进行修整、拍实。</w:t>
      </w:r>
    </w:p>
    <w:p w14:paraId="20193913">
      <w:pPr>
        <w:pStyle w:val="234"/>
      </w:pPr>
      <w:r>
        <w:rPr>
          <w:rFonts w:hint="eastAsia"/>
        </w:rPr>
        <w:t>（3）</w:t>
      </w:r>
      <w:r>
        <w:t>做好原有植被恢复工作和人工绿化工作，最大程度的降低因本工程施工建设和生产运行而新增的水土流失量，保护当地较脆弱的生态系统。</w:t>
      </w:r>
    </w:p>
    <w:p w14:paraId="0A5888D4">
      <w:pPr>
        <w:pStyle w:val="234"/>
      </w:pPr>
      <w:r>
        <w:rPr>
          <w:rFonts w:hint="eastAsia"/>
        </w:rPr>
        <w:t>（4）</w:t>
      </w:r>
      <w:r>
        <w:t>严禁在大风、大雨天气下施工，特别是管沟开挖、管道回填作业等。在便道出入口，竖立保护植被的警示牌，已提醒施工作业人员，减少人员随意践踏造成的水土流失。严禁开发建设施工材料乱堆乱放，划定适宜的堆料场，以防对植物破坏范围的扩大，增加裸地面积而新增的水土流失。</w:t>
      </w:r>
    </w:p>
    <w:p w14:paraId="2DA0AA64">
      <w:pPr>
        <w:pStyle w:val="234"/>
        <w:rPr>
          <w:rFonts w:hint="eastAsia"/>
          <w:lang w:eastAsia="zh-CN"/>
        </w:rPr>
      </w:pPr>
      <w:r>
        <w:t>本工程采取相应的水土流失恢复措施后，将有效地控制工程建设造成的水土流失，线路周边生态环境将得到有效保护，同时可使工程建设破坏的生态环境得到有效的治理和恢复，促进区域内生态环境良性循环发展</w:t>
      </w:r>
      <w:r>
        <w:rPr>
          <w:rFonts w:hint="eastAsia"/>
          <w:lang w:eastAsia="zh-CN"/>
        </w:rPr>
        <w:t>。</w:t>
      </w:r>
    </w:p>
    <w:p w14:paraId="47D06396">
      <w:pPr>
        <w:pStyle w:val="234"/>
        <w:rPr>
          <w:i/>
          <w:iCs/>
          <w:color w:val="auto"/>
          <w:highlight w:val="none"/>
          <w:u w:val="single"/>
        </w:rPr>
      </w:pPr>
      <w:r>
        <w:rPr>
          <w:rFonts w:hint="eastAsia"/>
          <w:i/>
          <w:iCs/>
          <w:color w:val="auto"/>
          <w:highlight w:val="none"/>
          <w:u w:val="single"/>
          <w:lang w:val="en-US" w:eastAsia="zh-CN"/>
        </w:rPr>
        <w:t>本工程编制了</w:t>
      </w:r>
      <w:r>
        <w:rPr>
          <w:i/>
          <w:iCs/>
          <w:color w:val="auto"/>
          <w:highlight w:val="none"/>
          <w:u w:val="single"/>
        </w:rPr>
        <w:t>《潜江－韶关输气管道 28 号阀室为耒阳长城燃气有限公司新增下载点项目水土保持方案报告表》</w:t>
      </w:r>
      <w:r>
        <w:rPr>
          <w:rFonts w:hint="eastAsia"/>
          <w:i/>
          <w:iCs/>
          <w:color w:val="auto"/>
          <w:highlight w:val="none"/>
          <w:u w:val="single"/>
          <w:lang w:eastAsia="zh-CN"/>
        </w:rPr>
        <w:t>，</w:t>
      </w:r>
      <w:r>
        <w:rPr>
          <w:rFonts w:hint="eastAsia"/>
          <w:i/>
          <w:iCs/>
          <w:color w:val="auto"/>
          <w:highlight w:val="none"/>
          <w:u w:val="single"/>
          <w:lang w:val="en-US" w:eastAsia="zh-CN"/>
        </w:rPr>
        <w:t>根据其</w:t>
      </w:r>
      <w:r>
        <w:rPr>
          <w:i/>
          <w:iCs/>
          <w:color w:val="auto"/>
          <w:highlight w:val="none"/>
          <w:u w:val="single"/>
        </w:rPr>
        <w:t>结论：耒阳市属于湘水中上游省级水土流失重点治理区 （SZ1）</w:t>
      </w:r>
      <w:r>
        <w:rPr>
          <w:rFonts w:hint="eastAsia"/>
          <w:i/>
          <w:iCs/>
          <w:color w:val="auto"/>
          <w:highlight w:val="none"/>
          <w:u w:val="single"/>
        </w:rPr>
        <w:t>，</w:t>
      </w:r>
      <w:r>
        <w:rPr>
          <w:i/>
          <w:iCs/>
          <w:color w:val="auto"/>
          <w:highlight w:val="none"/>
          <w:u w:val="single"/>
        </w:rPr>
        <w:t>按照《生产建设项目水土流失防治标准》（GB50433-2018）的规定，本工程水土流失防治执行南方红壤区一级防治标准。本项目处于水土流失重点防治区，应在一级防治标准基础上， 提高林草覆盖率防治目标值，同时提高截排水工程、拦挡工程的工程等级，减少对水土流失重 点防治区的影响</w:t>
      </w:r>
      <w:r>
        <w:rPr>
          <w:rFonts w:hint="eastAsia"/>
          <w:i/>
          <w:iCs/>
          <w:color w:val="auto"/>
          <w:highlight w:val="none"/>
          <w:u w:val="single"/>
        </w:rPr>
        <w:t>；</w:t>
      </w:r>
      <w:r>
        <w:rPr>
          <w:i/>
          <w:iCs/>
          <w:color w:val="auto"/>
          <w:highlight w:val="none"/>
          <w:u w:val="single"/>
        </w:rPr>
        <w:t>工程所处位置无滑坡、崩塌、泥石流分布点，不属于生态脆弱区，项目区不涉及公共设施、基础设施、工业企业、居民集中区等有重大影响的区域，不包含挖砂、采石内容</w:t>
      </w:r>
      <w:r>
        <w:rPr>
          <w:rFonts w:hint="eastAsia"/>
          <w:i/>
          <w:iCs/>
          <w:color w:val="auto"/>
          <w:highlight w:val="none"/>
          <w:u w:val="single"/>
        </w:rPr>
        <w:t>；</w:t>
      </w:r>
      <w:r>
        <w:rPr>
          <w:i/>
          <w:iCs/>
          <w:color w:val="auto"/>
          <w:highlight w:val="none"/>
          <w:u w:val="single"/>
        </w:rPr>
        <w:t>工程建设不涉及自然保护区、世界文化和自然遗产地、风景名胜区、地质公园、森林公 园、重要湿地，没有重要江河、湖泊以及跨省（自治区、直辖市）的其他江河，不在耒阳市生态红线范围内，不涉及湖泊的水功能一级区的保护区和保留区</w:t>
      </w:r>
      <w:r>
        <w:rPr>
          <w:rFonts w:hint="eastAsia"/>
          <w:i/>
          <w:iCs/>
          <w:color w:val="auto"/>
          <w:highlight w:val="none"/>
          <w:u w:val="single"/>
        </w:rPr>
        <w:t>；</w:t>
      </w:r>
      <w:r>
        <w:rPr>
          <w:i/>
          <w:iCs/>
          <w:color w:val="auto"/>
          <w:highlight w:val="none"/>
          <w:u w:val="single"/>
        </w:rPr>
        <w:t>不涉及全国水土保持监测网络中的水土保持监测站点、重点试验区，无重要基础设施、重要民生工程、国防工程</w:t>
      </w:r>
      <w:r>
        <w:rPr>
          <w:rFonts w:hint="eastAsia"/>
          <w:i/>
          <w:iCs/>
          <w:color w:val="auto"/>
          <w:highlight w:val="none"/>
          <w:u w:val="single"/>
        </w:rPr>
        <w:t>；</w:t>
      </w:r>
      <w:r>
        <w:rPr>
          <w:i/>
          <w:iCs/>
          <w:color w:val="auto"/>
          <w:highlight w:val="none"/>
          <w:u w:val="single"/>
        </w:rPr>
        <w:t>工程建设占地范围内不涉及项目区河流、湖泊、水库周边的植物保护带</w:t>
      </w:r>
      <w:r>
        <w:rPr>
          <w:rFonts w:hint="eastAsia"/>
          <w:i/>
          <w:iCs/>
          <w:color w:val="auto"/>
          <w:highlight w:val="none"/>
          <w:u w:val="single"/>
        </w:rPr>
        <w:t>；</w:t>
      </w:r>
      <w:r>
        <w:rPr>
          <w:i/>
          <w:iCs/>
          <w:color w:val="auto"/>
          <w:highlight w:val="none"/>
          <w:u w:val="single"/>
        </w:rPr>
        <w:t>工程没有挖砂、取石、弃土（渣）施工内容</w:t>
      </w:r>
      <w:r>
        <w:rPr>
          <w:rFonts w:hint="eastAsia"/>
          <w:i/>
          <w:iCs/>
          <w:color w:val="auto"/>
          <w:highlight w:val="none"/>
          <w:u w:val="single"/>
        </w:rPr>
        <w:t>，</w:t>
      </w:r>
      <w:r>
        <w:rPr>
          <w:i/>
          <w:iCs/>
          <w:color w:val="auto"/>
          <w:highlight w:val="none"/>
          <w:u w:val="single"/>
        </w:rPr>
        <w:t>满足《中华人民共和国水土保持法》等相关法律、法规、文件及规范对于主体工程的约束性规定和要求</w:t>
      </w:r>
      <w:r>
        <w:rPr>
          <w:rFonts w:hint="eastAsia"/>
          <w:i/>
          <w:iCs/>
          <w:color w:val="auto"/>
          <w:highlight w:val="none"/>
          <w:u w:val="single"/>
        </w:rPr>
        <w:t>。</w:t>
      </w:r>
    </w:p>
    <w:p w14:paraId="794DB566">
      <w:pPr>
        <w:pStyle w:val="7"/>
      </w:pPr>
      <w:r>
        <w:t>生态系统稳定性影响分析</w:t>
      </w:r>
    </w:p>
    <w:p w14:paraId="3BB23CDD">
      <w:pPr>
        <w:pStyle w:val="234"/>
      </w:pPr>
      <w:r>
        <w:t>生态系统稳定性是指生态系统抵抗外界环境变化、干扰和保持系统平衡的能力。</w:t>
      </w:r>
    </w:p>
    <w:p w14:paraId="6DDED192">
      <w:pPr>
        <w:pStyle w:val="234"/>
      </w:pPr>
      <w:r>
        <w:t>一般来说生态系统的成份越单纯，营养结构越简单，自我调节能力越小稳定性就越差，反之生态系统各个营养级的生物种类越繁多，营养结构越复杂，自我调节能力越大，稳定性越高。生态系统稳定性的强弱直接关系到在多大程度上可以保证生态系统的功能得以正常运作。稳定性受生态系统中主要生态组分的种类、数量、时空分布的异质性（异质化程度）所制约。生态系统的异质性可作为稳定性的度量。对异质性的量化可用可用多样性指标表示，该指标既考虑了不同群落类型所占景观面积的大小及分布均匀程度，又考虑了群落类型。</w:t>
      </w:r>
    </w:p>
    <w:p w14:paraId="68C5EF7D">
      <w:pPr>
        <w:pStyle w:val="234"/>
      </w:pPr>
      <w:r>
        <w:t>本工程施工期临时占地对局部自然生态环境造成一定的破坏，生产力有所降低。但生态破坏面积不大，对整个评价区域自然体系的稳定性不会造成明显影响，仅使局部区域植被铲除、动物迁徒、水土流失侵蚀度增加，使局部生物量减少，局部自然生态环境遭到一定的破坏。但由于影响面积小，且影响时间短，在采取相应的生态恢复措施后，将逐渐恢复原有生态系统的利用功能，区域内生态系统阻抗稳定性恢复到原有水平。因此本工程对整个评价范围内区域生态系统恢复及稳定性影响较小</w:t>
      </w:r>
      <w:r>
        <w:rPr>
          <w:rFonts w:hint="eastAsia"/>
        </w:rPr>
        <w:t>，不会引起物种的消失和生物多样性的减少</w:t>
      </w:r>
      <w:r>
        <w:t>。</w:t>
      </w:r>
    </w:p>
    <w:p w14:paraId="6C3CD53E">
      <w:pPr>
        <w:pStyle w:val="5"/>
        <w:rPr>
          <w:color w:val="auto"/>
        </w:rPr>
      </w:pPr>
      <w:r>
        <w:rPr>
          <w:color w:val="auto"/>
        </w:rPr>
        <w:t>营运期生态环境影响评价</w:t>
      </w:r>
    </w:p>
    <w:p w14:paraId="1D08F6E1">
      <w:pPr>
        <w:pStyle w:val="7"/>
      </w:pPr>
      <w:r>
        <w:t>对农业生产的影响分析</w:t>
      </w:r>
    </w:p>
    <w:p w14:paraId="0CD36337">
      <w:pPr>
        <w:pStyle w:val="234"/>
      </w:pPr>
      <w:r>
        <w:rPr>
          <w:lang w:bidi="ar"/>
        </w:rPr>
        <w:t>项目沿线临时占用耕地，施工期结束后仍保持原有的植被覆盖率。本工程的建设对区域的气象条件，如湿度、温度、地表蒸发量等因素不会产生明显的影响，本区域的降水条件仍会保持原有特征，农田原来利用</w:t>
      </w:r>
      <w:r>
        <w:rPr>
          <w:rFonts w:hint="eastAsia"/>
          <w:lang w:bidi="ar"/>
        </w:rPr>
        <w:t>坑塘</w:t>
      </w:r>
      <w:r>
        <w:rPr>
          <w:lang w:bidi="ar"/>
        </w:rPr>
        <w:t>灌溉的方式也不会受到影响，原有的日照条件也不可能因管线的建设而发生改变，因此农业基本不会受到本工程的影响</w:t>
      </w:r>
      <w:r>
        <w:rPr>
          <w:rFonts w:hint="eastAsia"/>
          <w:lang w:bidi="ar"/>
        </w:rPr>
        <w:t>。</w:t>
      </w:r>
    </w:p>
    <w:p w14:paraId="351B1997">
      <w:pPr>
        <w:pStyle w:val="234"/>
        <w:rPr>
          <w:color w:val="FF0000"/>
        </w:rPr>
      </w:pPr>
      <w:r>
        <w:rPr>
          <w:rFonts w:hint="eastAsia"/>
        </w:rPr>
        <w:t>本工程仅标志桩占用极少量耕地，因此，</w:t>
      </w:r>
      <w:r>
        <w:t>在管道正常运营期内，对农业生产基本上不产生什么影响。但是</w:t>
      </w:r>
      <w:r>
        <w:rPr>
          <w:rFonts w:hint="eastAsia"/>
        </w:rPr>
        <w:t>，</w:t>
      </w:r>
      <w:r>
        <w:t>敷设管道改变了土壤结构和土壤养分状况</w:t>
      </w:r>
      <w:r>
        <w:rPr>
          <w:rFonts w:hint="eastAsia"/>
        </w:rPr>
        <w:t>，对农业生产会产生轻微影响，但通过采取施肥等措施，土壤质量将会逐渐得到恢复</w:t>
      </w:r>
      <w:r>
        <w:t>。</w:t>
      </w:r>
    </w:p>
    <w:p w14:paraId="218DD11B">
      <w:pPr>
        <w:pStyle w:val="7"/>
      </w:pPr>
      <w:r>
        <w:t>对土壤的影响分析</w:t>
      </w:r>
    </w:p>
    <w:p w14:paraId="36C253D4">
      <w:pPr>
        <w:pStyle w:val="234"/>
      </w:pPr>
      <w:r>
        <w:t>管道施工结束后，通过采取一定的措施，土壤质量将逐渐得到恢复。管道正常运营期间对土壤的影响较小，运营期产生的固体废物</w:t>
      </w:r>
      <w:r>
        <w:rPr>
          <w:rFonts w:hint="eastAsia"/>
        </w:rPr>
        <w:t>过滤</w:t>
      </w:r>
      <w:r>
        <w:t>分离器排污和废滤芯等可能对土壤造成一定的影响。因此，只要做好固体废物处置工作，就可将其对土壤环境的影响降至最低程度。此外，类比调查表明：管道在运营期间，地表土壤温度比相邻地段高出1℃~3℃，蒸发量加大，土壤水分减少，冬季土表积雪提前融化，将可能形成一条明显的沟带。</w:t>
      </w:r>
    </w:p>
    <w:p w14:paraId="545FA79C">
      <w:pPr>
        <w:pStyle w:val="234"/>
      </w:pPr>
      <w:r>
        <w:t>总之，敷设管道虽改变了土壤结构和土壤养分状况，但通过采取一定的措施，土壤质量将会逐渐得到恢复。</w:t>
      </w:r>
    </w:p>
    <w:p w14:paraId="34678956">
      <w:pPr>
        <w:pStyle w:val="7"/>
      </w:pPr>
      <w:r>
        <w:t>对植被的影响分析</w:t>
      </w:r>
    </w:p>
    <w:p w14:paraId="4638E332">
      <w:pPr>
        <w:pStyle w:val="234"/>
      </w:pPr>
      <w:r>
        <w:rPr>
          <w:rFonts w:hint="eastAsia"/>
        </w:rPr>
        <w:t>站场占地对植被的影响是永久性的，</w:t>
      </w:r>
      <w:r>
        <w:t>管道沿线的植被破坏具有暂时性，一般随着施工结束而终止。根据管线所经地区的土壤、气候等自然条件分析，施工结束后，周围植物渐次侵入，开始恢复演替过程。要恢复植被覆盖</w:t>
      </w:r>
      <w:r>
        <w:rPr>
          <w:rFonts w:hint="eastAsia"/>
        </w:rPr>
        <w:t>，</w:t>
      </w:r>
      <w:r>
        <w:t>采用人工植树种草的措施，可以加快恢复进程，2～3年恢复草本植被，3～5年恢复灌木植被，10～15年恢复乔木植被。</w:t>
      </w:r>
    </w:p>
    <w:p w14:paraId="32DDAEE2">
      <w:pPr>
        <w:pStyle w:val="234"/>
      </w:pPr>
      <w:r>
        <w:t>（1）正常运行状况下对植被影响</w:t>
      </w:r>
    </w:p>
    <w:p w14:paraId="3B44813A">
      <w:pPr>
        <w:pStyle w:val="234"/>
      </w:pPr>
      <w:r>
        <w:t>运营期正常情况下，管道所经地区处于正常状态，地表植被、农作物生长逐渐恢复正常。</w:t>
      </w:r>
    </w:p>
    <w:p w14:paraId="2B4D1202">
      <w:pPr>
        <w:pStyle w:val="234"/>
      </w:pPr>
      <w:r>
        <w:t>根据已建成管道来看，在地下敷设输气管道的区域，地表植被恢复较好，景观破坏程度很低。这证明了管道输送对生态环境影响最轻，影响范围最小，是一种清洁的运输方式。因此可以认为，正常输气过程中，管道对地表植被无不良影响。</w:t>
      </w:r>
    </w:p>
    <w:p w14:paraId="00C0B4F7">
      <w:pPr>
        <w:pStyle w:val="234"/>
      </w:pPr>
      <w:r>
        <w:t>（2）非正常（事故）状况下对植被的影响</w:t>
      </w:r>
    </w:p>
    <w:p w14:paraId="79945435">
      <w:pPr>
        <w:pStyle w:val="234"/>
      </w:pPr>
      <w:r>
        <w:t>事故是指因工程质量低劣、管理方面的疏漏、自然因素（地震、洪水冲刷）及人为破坏等原因造成输气管道的破损、断裂，致使大量天然气泄漏，造成火灾等。事故发生的可能性是存在的，但只要做好预防工作，事故发生的概率可以下降，造成的危害损失可以减少。</w:t>
      </w:r>
    </w:p>
    <w:p w14:paraId="08361082">
      <w:pPr>
        <w:pStyle w:val="234"/>
      </w:pPr>
      <w:r>
        <w:t>由于天然气的主要成分是甲烷。甲烷是无色、无味的可燃性气体，比重小于空气。如果发生泄漏，绝大部分很快会扩散掉，在无明火的情况下，不会发生火灾，不会对生态环境造成危害。如有火源，可引起燃烧爆炸事件，可能会引发森林火灾，导致植被大面积的破坏，从而对生态环境产生重大影响。</w:t>
      </w:r>
    </w:p>
    <w:p w14:paraId="150397FC">
      <w:pPr>
        <w:pStyle w:val="7"/>
      </w:pPr>
      <w:r>
        <w:t>对野生动植物的影响分析</w:t>
      </w:r>
    </w:p>
    <w:p w14:paraId="257F1F03">
      <w:pPr>
        <w:pStyle w:val="234"/>
      </w:pPr>
      <w:r>
        <w:t>与施工期相比，运营期间对野生动植物的影响较小。虽然管道沿线近侧不能再种植深根植物，但根据现状调查，受工程影响的陆生植被均属一般常见种，其生长范围广，适应性强，不存在因局部植被生境破坏而导致植物种群消失或灭绝。管道工程完工后，随着植被的恢复、施工影响的消失，动物的生存环境得以复原，不存在因局部植被生境破坏而导致植物种群消失或灭绝，部分暂时离开的动物将回到原来的栖息地。因此，管道正常运营期不会对野生动物的活动产生影响。</w:t>
      </w:r>
    </w:p>
    <w:p w14:paraId="404B9B09">
      <w:pPr>
        <w:pStyle w:val="234"/>
      </w:pPr>
      <w:r>
        <w:t>但在管道维修噪声的影响下，野生动物将暂时离开噪声源附近区域，对噪声敏感的鸟类也会受到惊扰和驱赶，使噪声源附近区域的物种丰富度和种群数量降低；在发生天然气泄漏事故时，如发生爆炸或火灾事件，可能使部分个体受到损伤。火灾发生地分布的土壤动物将因表土温度升高而部分死亡，分布的爬行类、鸟类和兽类将被部分烧死或逃离火灾发生地而使该区域动物物种丰富度和种群数量减小。由于工程所在区域受人类生产生活活动影响较深刻，其原始野生动物生境已基本丧失，据调查，评价区内无国家及省级珍稀濒危保护动物物种存在，因此，只要管道维修及突发事故时注意保护动物，不会造成现有动物的死亡和种群的消失，对野生动物的影响较小。</w:t>
      </w:r>
    </w:p>
    <w:p w14:paraId="07B3DA4A">
      <w:pPr>
        <w:pStyle w:val="7"/>
      </w:pPr>
      <w:r>
        <w:t>对景观生态结构的影响分析</w:t>
      </w:r>
    </w:p>
    <w:p w14:paraId="7D7FE1A7">
      <w:pPr>
        <w:pStyle w:val="234"/>
      </w:pPr>
      <w:r>
        <w:t>根据《中华人民共和国石油天然气管道保护法》</w:t>
      </w:r>
      <w:r>
        <w:rPr>
          <w:rFonts w:hint="eastAsia"/>
        </w:rPr>
        <w:t>（</w:t>
      </w:r>
      <w:r>
        <w:t>2010年10月1日</w:t>
      </w:r>
      <w:r>
        <w:rPr>
          <w:rFonts w:hint="eastAsia"/>
        </w:rPr>
        <w:t>施行</w:t>
      </w:r>
      <w:r>
        <w:t>）的有关规定，在管道中心线两侧各5.0m的范围内不得种植深根型植物。因此施工结束后，施工作业带中间近10m的范围内仅能种植浅根性植物和草皮，这不仅造成穿越段上层绿化空间的缺失，给景观带来不和谐。同时产生一定的“廊道效应”，对应有的景观恢复造成一定影响。而且，这种影响会长期存在。</w:t>
      </w:r>
    </w:p>
    <w:p w14:paraId="1A9634E0">
      <w:pPr>
        <w:pStyle w:val="234"/>
      </w:pPr>
      <w:r>
        <w:t>对于永久占地，由于改变了原有土地和利用性质，这些土地上的农作物生产力将在管线运营期内永久损失。</w:t>
      </w:r>
      <w:r>
        <w:rPr>
          <w:rFonts w:hint="eastAsia"/>
        </w:rPr>
        <w:t>站场</w:t>
      </w:r>
      <w:r>
        <w:t>建设将形成永久性建筑物，局部景观彻底改变。</w:t>
      </w:r>
    </w:p>
    <w:p w14:paraId="54D6E92E">
      <w:pPr>
        <w:pStyle w:val="234"/>
      </w:pPr>
      <w:r>
        <w:t>在管道运营期，管道敷设区域农田植被能够逐渐恢复生长，农田景观结构也很快随之恢复。</w:t>
      </w:r>
    </w:p>
    <w:p w14:paraId="28ACFA01">
      <w:pPr>
        <w:pStyle w:val="5"/>
        <w:rPr>
          <w:color w:val="auto"/>
        </w:rPr>
      </w:pPr>
      <w:bookmarkStart w:id="208" w:name="_Toc72672354"/>
      <w:r>
        <w:rPr>
          <w:color w:val="auto"/>
        </w:rPr>
        <w:t>小结</w:t>
      </w:r>
      <w:bookmarkEnd w:id="208"/>
    </w:p>
    <w:p w14:paraId="1C39BC82">
      <w:pPr>
        <w:pStyle w:val="234"/>
      </w:pPr>
      <w:r>
        <w:t>本工程评价范围内无自然保护区、风景名胜区、世界文化和自然遗产地等生态敏感区，工程区内的土地利用类型以</w:t>
      </w:r>
      <w:r>
        <w:rPr>
          <w:rFonts w:hint="eastAsia"/>
        </w:rPr>
        <w:t>耕地</w:t>
      </w:r>
      <w:r>
        <w:t>为主。施工过程会对野生动物的活动、栖息产生干扰，但不会引起物种消失和生物多样性的减少。在运营期不会对野生动物的生存和活动以及鸟类的迁徙产生影响。在采取相应减缓措施后，本工程对生态环境的影响较小，是可以接受的。</w:t>
      </w:r>
    </w:p>
    <w:p w14:paraId="6A949F13">
      <w:pPr>
        <w:sectPr>
          <w:headerReference r:id="rId14" w:type="default"/>
          <w:pgSz w:w="11906" w:h="16838"/>
          <w:pgMar w:top="1440" w:right="1418" w:bottom="1440" w:left="1418" w:header="964" w:footer="992" w:gutter="0"/>
          <w:cols w:space="425" w:num="1"/>
          <w:docGrid w:linePitch="312" w:charSpace="0"/>
        </w:sectPr>
      </w:pPr>
      <w:bookmarkStart w:id="209" w:name="6.2_生态环境现状调查与评价"/>
      <w:bookmarkEnd w:id="209"/>
      <w:bookmarkStart w:id="210" w:name="6.3_生态环境影响评价"/>
      <w:bookmarkEnd w:id="210"/>
      <w:bookmarkStart w:id="211" w:name="_bookmark32"/>
      <w:bookmarkEnd w:id="211"/>
      <w:bookmarkStart w:id="212" w:name="_bookmark31"/>
      <w:bookmarkEnd w:id="212"/>
    </w:p>
    <w:bookmarkEnd w:id="198"/>
    <w:bookmarkEnd w:id="199"/>
    <w:p w14:paraId="02FAF727">
      <w:pPr>
        <w:pStyle w:val="3"/>
        <w:snapToGrid w:val="0"/>
        <w:spacing w:before="120" w:beforeLines="50"/>
      </w:pPr>
      <w:bookmarkStart w:id="213" w:name="_Toc18272"/>
      <w:r>
        <w:t>环境风险评价</w:t>
      </w:r>
      <w:bookmarkEnd w:id="213"/>
    </w:p>
    <w:p w14:paraId="1B2971FB">
      <w:pPr>
        <w:pStyle w:val="234"/>
        <w:spacing w:before="48" w:after="48"/>
      </w:pPr>
      <w:bookmarkStart w:id="214" w:name="_Toc65162877"/>
      <w:r>
        <w:t>环境风险评价的目的是分析和预测建设项目存在的潜在危险、有害因素，建设项目建设和运营期间可能发生的突发事件或事故(一般不包括人为破坏及自然灾害引发的事故)，引起有毒有害和易燃易爆等物质泄漏，所造成的人身安全与环境影响和损害程度，提出合理可行的防范、应急与减缓措施，以使建设项目事故率、损失和环境影响达到可接受水平。</w:t>
      </w:r>
    </w:p>
    <w:p w14:paraId="2D58499A">
      <w:pPr>
        <w:pStyle w:val="234"/>
        <w:spacing w:before="48" w:after="48"/>
      </w:pPr>
      <w:r>
        <w:t>本工程为天然气管道工程，在输送环节中存在发生环境风险事故的可能。遵照原环境保护部《关于进一步加强环境影响评价管理防范环境风险的通知》(环发〔2012〕77号文)及《关于切实加强风险防范严格环境影响评价管理的通知》(环发〔2012〕98号文)的精神，根据《建设项目环境风险评价技术导则》(HJ 169-2018)对本工程开展环境风险评价。</w:t>
      </w:r>
    </w:p>
    <w:p w14:paraId="0313BEB1">
      <w:pPr>
        <w:pStyle w:val="234"/>
        <w:spacing w:before="48" w:after="48"/>
      </w:pPr>
      <w:r>
        <w:t>本次环境风险评价包括以下内容：</w:t>
      </w:r>
    </w:p>
    <w:p w14:paraId="71DB2F6A">
      <w:pPr>
        <w:pStyle w:val="234"/>
        <w:spacing w:before="48" w:after="48"/>
      </w:pPr>
      <w:r>
        <w:t>（1）从环境风险源、扩散途径、保护目标三方面识别环境风险。环境风险识别包括生产设施和危险物质的识别，有毒有害物质扩散途径的识别以及可能受影响的环境保护目标的识别。</w:t>
      </w:r>
    </w:p>
    <w:p w14:paraId="1F730591">
      <w:pPr>
        <w:pStyle w:val="234"/>
        <w:spacing w:before="48" w:after="48"/>
      </w:pPr>
      <w:r>
        <w:t>（2）科学开展环境风险预测。通过环境风险识别，分析生产设施可能发生的火灾、爆炸，危险物质泄漏等事故，并充分考虑伴生及次生的危险物质等，设定最大可信事故的情景，从环境因素方面考虑并预测评价突发环境事件对环境的影响范围和程度。</w:t>
      </w:r>
    </w:p>
    <w:p w14:paraId="2D1A461F">
      <w:pPr>
        <w:pStyle w:val="234"/>
        <w:spacing w:before="48" w:after="48"/>
      </w:pPr>
      <w:r>
        <w:t>（3）提出合理有效的环境风险防范和应急措施。结合风险预测结论，有针对性地提出环境风险防范和应急措施，并对措施的合理性和有效性进行充分论证。</w:t>
      </w:r>
    </w:p>
    <w:p w14:paraId="6D8517C8">
      <w:pPr>
        <w:pStyle w:val="4"/>
      </w:pPr>
      <w:bookmarkStart w:id="215" w:name="_Toc17566"/>
      <w:r>
        <w:rPr>
          <w:rFonts w:hint="eastAsia"/>
          <w:lang w:val="en-US"/>
        </w:rPr>
        <w:t>评价依据</w:t>
      </w:r>
      <w:bookmarkEnd w:id="215"/>
    </w:p>
    <w:p w14:paraId="4818EC17">
      <w:pPr>
        <w:pStyle w:val="5"/>
        <w:rPr>
          <w:color w:val="auto"/>
          <w:lang w:val="zh-CN"/>
        </w:rPr>
      </w:pPr>
      <w:r>
        <w:rPr>
          <w:rFonts w:hint="eastAsia"/>
          <w:color w:val="auto"/>
        </w:rPr>
        <w:t>风险分析</w:t>
      </w:r>
    </w:p>
    <w:p w14:paraId="094FD475">
      <w:pPr>
        <w:pStyle w:val="7"/>
      </w:pPr>
      <w:r>
        <w:t>危险物质调查</w:t>
      </w:r>
    </w:p>
    <w:p w14:paraId="731E6753">
      <w:pPr>
        <w:pStyle w:val="234"/>
      </w:pPr>
      <w:r>
        <w:rPr>
          <w:rFonts w:hint="eastAsia"/>
        </w:rPr>
        <w:t>（1）施工期</w:t>
      </w:r>
    </w:p>
    <w:p w14:paraId="20F77368">
      <w:pPr>
        <w:pStyle w:val="234"/>
        <w:spacing w:before="48" w:after="48"/>
      </w:pPr>
      <w:r>
        <w:t>根据《建设项目环境风险评价技术导则》(HJ 169-2018)附录B对项目</w:t>
      </w:r>
      <w:r>
        <w:rPr>
          <w:rFonts w:hint="eastAsia"/>
        </w:rPr>
        <w:t>施工期</w:t>
      </w:r>
      <w:r>
        <w:t>所涉及的危险物质进行调查和识别，筛选出本工程</w:t>
      </w:r>
      <w:r>
        <w:rPr>
          <w:rFonts w:hint="eastAsia"/>
        </w:rPr>
        <w:t>施工期</w:t>
      </w:r>
      <w:r>
        <w:t>的危险物质为</w:t>
      </w:r>
      <w:r>
        <w:rPr>
          <w:rFonts w:hint="eastAsia"/>
        </w:rPr>
        <w:t>施工机械、车辆使用的柴油</w:t>
      </w:r>
      <w:r>
        <w:t>，</w:t>
      </w:r>
      <w:r>
        <w:rPr>
          <w:rFonts w:hint="eastAsia"/>
        </w:rPr>
        <w:t>属于可燃液体。柴油废气可引起眼、鼻刺激症状，头晕及头痛，一旦泄漏可能对水体和土壤产生影响，同时具火灾爆炸风险。根据管道项目施工经验，油品补充一般依托当地加油站，不在施工现场进行大规模储存，本次评价不再进行分析。</w:t>
      </w:r>
    </w:p>
    <w:p w14:paraId="7FA74EB8">
      <w:pPr>
        <w:pStyle w:val="234"/>
        <w:spacing w:before="120" w:beforeLines="50"/>
      </w:pPr>
      <w:r>
        <w:rPr>
          <w:rFonts w:hint="eastAsia"/>
        </w:rPr>
        <w:t>（</w:t>
      </w:r>
      <w:r>
        <w:t>2</w:t>
      </w:r>
      <w:r>
        <w:rPr>
          <w:rFonts w:hint="eastAsia"/>
        </w:rPr>
        <w:t>）运营期</w:t>
      </w:r>
    </w:p>
    <w:p w14:paraId="401948B6">
      <w:pPr>
        <w:pStyle w:val="234"/>
        <w:spacing w:before="48" w:after="48"/>
      </w:pPr>
      <w:r>
        <w:t>根据《建设项目环境风险评价技术导则》(HJ 169-2018)附录B对项目所涉及的危险物质进行调查和识别，筛选出本工程的危险物质为天然气，其主要成份是甲烷，天然气具有易燃性、易爆性和易扩散性，且易燃，与空气混合能形成爆炸性混合物，遇热源和明火有燃烧爆炸的危险。</w:t>
      </w:r>
    </w:p>
    <w:p w14:paraId="573E43B1">
      <w:pPr>
        <w:pStyle w:val="234"/>
        <w:spacing w:before="48" w:after="48"/>
      </w:pPr>
      <w:r>
        <w:t>本工程</w:t>
      </w:r>
      <w:r>
        <w:rPr>
          <w:rFonts w:hint="eastAsia"/>
        </w:rPr>
        <w:t>28号</w:t>
      </w:r>
      <w:r>
        <w:t>阀室及</w:t>
      </w:r>
      <w:r>
        <w:rPr>
          <w:rFonts w:hint="eastAsia"/>
        </w:rPr>
        <w:t>耒阳分输</w:t>
      </w:r>
      <w:r>
        <w:t>站均设有截断阀，根据《建设项目环境风险评价技术导则》(HJ 169-2018)将站场、阀室之间的管道单独作为一个存储功能单元，分段进行分析。</w:t>
      </w:r>
    </w:p>
    <w:p w14:paraId="560AC982">
      <w:pPr>
        <w:pStyle w:val="234"/>
      </w:pPr>
      <w:r>
        <w:t>本工程管道设计压力为10MPa，</w:t>
      </w:r>
      <w:r>
        <w:rPr>
          <w:rFonts w:hint="eastAsia"/>
        </w:rPr>
        <w:t>管道内径</w:t>
      </w:r>
      <w:r>
        <w:t>为</w:t>
      </w:r>
      <w:r>
        <w:rPr>
          <w:rFonts w:hint="eastAsia"/>
        </w:rPr>
        <w:t>298.9</w:t>
      </w:r>
      <w:r>
        <w:t>mm</w:t>
      </w:r>
      <w:r>
        <w:rPr>
          <w:rFonts w:hint="eastAsia"/>
        </w:rPr>
        <w:t>（</w:t>
      </w:r>
      <w:r>
        <w:t>Φ</w:t>
      </w:r>
      <w:r>
        <w:rPr>
          <w:rFonts w:hint="eastAsia"/>
        </w:rPr>
        <w:t>323.9×12.5）</w:t>
      </w:r>
      <w:r>
        <w:t>，根据</w:t>
      </w:r>
      <w:r>
        <w:rPr>
          <w:rFonts w:hint="eastAsia"/>
        </w:rPr>
        <w:t>理想气体状态方程</w:t>
      </w:r>
      <w:r>
        <w:t>计算管道内天然气的密度约为</w:t>
      </w:r>
      <w:r>
        <w:rPr>
          <w:rFonts w:hint="eastAsia"/>
        </w:rPr>
        <w:t>64.55</w:t>
      </w:r>
      <w:r>
        <w:t>kg/m</w:t>
      </w:r>
      <w:r>
        <w:rPr>
          <w:vertAlign w:val="superscript"/>
        </w:rPr>
        <w:t>3</w:t>
      </w:r>
      <w:r>
        <w:t>。</w:t>
      </w:r>
      <w:r>
        <w:rPr>
          <w:rFonts w:hint="eastAsia"/>
        </w:rPr>
        <w:t>耒阳分输站内管道长度为0.38km，最大管径为298.9</w:t>
      </w:r>
      <w:r>
        <w:t>mm</w:t>
      </w:r>
      <w:r>
        <w:rPr>
          <w:rFonts w:hint="eastAsia"/>
        </w:rPr>
        <w:t>（</w:t>
      </w:r>
      <w:r>
        <w:t>Φ</w:t>
      </w:r>
      <w:r>
        <w:rPr>
          <w:rFonts w:hint="eastAsia"/>
        </w:rPr>
        <w:t>323.9×12.5）。</w:t>
      </w:r>
    </w:p>
    <w:p w14:paraId="0417A23E">
      <w:pPr>
        <w:pStyle w:val="234"/>
        <w:spacing w:before="48" w:after="48"/>
      </w:pPr>
      <w:r>
        <w:rPr>
          <w:rFonts w:hint="eastAsia"/>
        </w:rPr>
        <w:t>工程新建耒阳分输站设备用柴油发电机，发电机最大容积为200L，常规储存最大容量的70%，密度为0.85kg/L</w:t>
      </w:r>
      <w:r>
        <w:t>。各单元险物质的数量和分布情况见</w:t>
      </w:r>
      <w:r>
        <w:rPr>
          <w:rFonts w:hint="eastAsia"/>
        </w:rPr>
        <w:t>表7.1-1</w:t>
      </w:r>
      <w:r>
        <w:t>。</w:t>
      </w:r>
    </w:p>
    <w:p w14:paraId="3084A62F">
      <w:pPr>
        <w:pStyle w:val="904"/>
      </w:pPr>
      <w:r>
        <w:t xml:space="preserve">表 </w:t>
      </w:r>
      <w:r>
        <w:fldChar w:fldCharType="begin"/>
      </w:r>
      <w:r>
        <w:instrText xml:space="preserve"> STYLEREF 2 \s </w:instrText>
      </w:r>
      <w:r>
        <w:fldChar w:fldCharType="separate"/>
      </w:r>
      <w:r>
        <w:t>7.1</w:t>
      </w:r>
      <w:r>
        <w:fldChar w:fldCharType="end"/>
      </w:r>
      <w:r>
        <w:noBreakHyphen/>
      </w:r>
      <w:r>
        <w:rPr>
          <w:rFonts w:hint="eastAsia"/>
        </w:rPr>
        <w:t>1</w:t>
      </w:r>
      <w:r>
        <w:t>危险物质分布情况一览表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0"/>
        <w:gridCol w:w="1894"/>
        <w:gridCol w:w="1847"/>
        <w:gridCol w:w="1338"/>
        <w:gridCol w:w="1338"/>
        <w:gridCol w:w="1226"/>
        <w:gridCol w:w="1223"/>
      </w:tblGrid>
      <w:tr w14:paraId="140AB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5" w:type="pct"/>
            <w:vMerge w:val="restart"/>
            <w:vAlign w:val="center"/>
          </w:tcPr>
          <w:p w14:paraId="5DF9A4AD">
            <w:pPr>
              <w:pStyle w:val="1343"/>
            </w:pPr>
            <w:r>
              <w:t>序号</w:t>
            </w:r>
          </w:p>
        </w:tc>
        <w:tc>
          <w:tcPr>
            <w:tcW w:w="1946" w:type="pct"/>
            <w:gridSpan w:val="2"/>
            <w:vAlign w:val="center"/>
          </w:tcPr>
          <w:p w14:paraId="5FAACC18">
            <w:pPr>
              <w:pStyle w:val="1343"/>
            </w:pPr>
            <w:r>
              <w:rPr>
                <w:spacing w:val="-1"/>
              </w:rPr>
              <w:t>危险单元</w:t>
            </w:r>
          </w:p>
        </w:tc>
        <w:tc>
          <w:tcPr>
            <w:tcW w:w="696" w:type="pct"/>
            <w:vMerge w:val="restart"/>
            <w:vAlign w:val="center"/>
          </w:tcPr>
          <w:p w14:paraId="40EA071D">
            <w:pPr>
              <w:pStyle w:val="1343"/>
              <w:rPr>
                <w:spacing w:val="-1"/>
              </w:rPr>
            </w:pPr>
            <w:r>
              <w:rPr>
                <w:spacing w:val="-1"/>
              </w:rPr>
              <w:t>距离(km)</w:t>
            </w:r>
          </w:p>
        </w:tc>
        <w:tc>
          <w:tcPr>
            <w:tcW w:w="696" w:type="pct"/>
            <w:vMerge w:val="restart"/>
            <w:vAlign w:val="center"/>
          </w:tcPr>
          <w:p w14:paraId="48692EBA">
            <w:pPr>
              <w:pStyle w:val="1343"/>
            </w:pPr>
            <w:r>
              <w:rPr>
                <w:spacing w:val="-1"/>
              </w:rPr>
              <w:t>危险物质</w:t>
            </w:r>
          </w:p>
        </w:tc>
        <w:tc>
          <w:tcPr>
            <w:tcW w:w="638" w:type="pct"/>
            <w:vMerge w:val="restart"/>
            <w:vAlign w:val="center"/>
          </w:tcPr>
          <w:p w14:paraId="69E0AA67">
            <w:pPr>
              <w:pStyle w:val="1343"/>
            </w:pPr>
            <w:r>
              <w:t>在线量(t)</w:t>
            </w:r>
          </w:p>
        </w:tc>
        <w:tc>
          <w:tcPr>
            <w:tcW w:w="636" w:type="pct"/>
            <w:vMerge w:val="restart"/>
            <w:vAlign w:val="center"/>
          </w:tcPr>
          <w:p w14:paraId="558BC7A9">
            <w:pPr>
              <w:pStyle w:val="1343"/>
            </w:pPr>
            <w:r>
              <w:t>Q值</w:t>
            </w:r>
          </w:p>
        </w:tc>
      </w:tr>
      <w:tr w14:paraId="25C2B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5" w:type="pct"/>
            <w:vMerge w:val="continue"/>
            <w:vAlign w:val="center"/>
          </w:tcPr>
          <w:p w14:paraId="4EDC615E">
            <w:pPr>
              <w:pStyle w:val="1343"/>
              <w:rPr>
                <w:lang w:eastAsia="en-US"/>
              </w:rPr>
            </w:pPr>
          </w:p>
        </w:tc>
        <w:tc>
          <w:tcPr>
            <w:tcW w:w="985" w:type="pct"/>
            <w:vAlign w:val="center"/>
          </w:tcPr>
          <w:p w14:paraId="416CD4C7">
            <w:pPr>
              <w:pStyle w:val="1343"/>
            </w:pPr>
            <w:r>
              <w:t>起点</w:t>
            </w:r>
          </w:p>
        </w:tc>
        <w:tc>
          <w:tcPr>
            <w:tcW w:w="960" w:type="pct"/>
            <w:vAlign w:val="center"/>
          </w:tcPr>
          <w:p w14:paraId="357D6D68">
            <w:pPr>
              <w:pStyle w:val="1343"/>
            </w:pPr>
            <w:r>
              <w:t>终点</w:t>
            </w:r>
          </w:p>
        </w:tc>
        <w:tc>
          <w:tcPr>
            <w:tcW w:w="696" w:type="pct"/>
            <w:vMerge w:val="continue"/>
            <w:vAlign w:val="center"/>
          </w:tcPr>
          <w:p w14:paraId="52C8F6A0">
            <w:pPr>
              <w:pStyle w:val="1343"/>
              <w:rPr>
                <w:lang w:eastAsia="en-US"/>
              </w:rPr>
            </w:pPr>
          </w:p>
        </w:tc>
        <w:tc>
          <w:tcPr>
            <w:tcW w:w="696" w:type="pct"/>
            <w:vMerge w:val="continue"/>
            <w:vAlign w:val="center"/>
          </w:tcPr>
          <w:p w14:paraId="037CB510">
            <w:pPr>
              <w:pStyle w:val="1343"/>
              <w:rPr>
                <w:lang w:eastAsia="en-US"/>
              </w:rPr>
            </w:pPr>
          </w:p>
        </w:tc>
        <w:tc>
          <w:tcPr>
            <w:tcW w:w="638" w:type="pct"/>
            <w:vMerge w:val="continue"/>
            <w:vAlign w:val="center"/>
          </w:tcPr>
          <w:p w14:paraId="0683E8C0">
            <w:pPr>
              <w:pStyle w:val="1343"/>
              <w:rPr>
                <w:rFonts w:eastAsia="Times New Roman"/>
              </w:rPr>
            </w:pPr>
          </w:p>
        </w:tc>
        <w:tc>
          <w:tcPr>
            <w:tcW w:w="636" w:type="pct"/>
            <w:vMerge w:val="continue"/>
            <w:vAlign w:val="center"/>
          </w:tcPr>
          <w:p w14:paraId="27C85941">
            <w:pPr>
              <w:pStyle w:val="1343"/>
              <w:rPr>
                <w:rFonts w:eastAsia="Times New Roman"/>
              </w:rPr>
            </w:pPr>
          </w:p>
        </w:tc>
      </w:tr>
      <w:tr w14:paraId="46EAA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5" w:type="pct"/>
            <w:vAlign w:val="center"/>
          </w:tcPr>
          <w:p w14:paraId="78BB9AA4">
            <w:pPr>
              <w:pStyle w:val="1343"/>
              <w:rPr>
                <w:rFonts w:eastAsia="Times New Roman"/>
              </w:rPr>
            </w:pPr>
            <w:r>
              <w:t>1</w:t>
            </w:r>
          </w:p>
        </w:tc>
        <w:tc>
          <w:tcPr>
            <w:tcW w:w="985" w:type="pct"/>
            <w:vAlign w:val="center"/>
          </w:tcPr>
          <w:p w14:paraId="0D953AC2">
            <w:pPr>
              <w:pStyle w:val="1343"/>
            </w:pPr>
            <w:r>
              <w:rPr>
                <w:rFonts w:hint="eastAsia"/>
              </w:rPr>
              <w:t>28号阀室</w:t>
            </w:r>
          </w:p>
        </w:tc>
        <w:tc>
          <w:tcPr>
            <w:tcW w:w="960" w:type="pct"/>
            <w:vAlign w:val="center"/>
          </w:tcPr>
          <w:p w14:paraId="21D16903">
            <w:pPr>
              <w:pStyle w:val="1343"/>
            </w:pPr>
            <w:r>
              <w:rPr>
                <w:rFonts w:hint="eastAsia"/>
              </w:rPr>
              <w:t>耒阳分输站</w:t>
            </w:r>
          </w:p>
        </w:tc>
        <w:tc>
          <w:tcPr>
            <w:tcW w:w="696" w:type="pct"/>
            <w:vAlign w:val="center"/>
          </w:tcPr>
          <w:p w14:paraId="2AB6C355">
            <w:pPr>
              <w:pStyle w:val="1343"/>
              <w:rPr>
                <w:rFonts w:hint="eastAsia" w:eastAsia="宋体"/>
                <w:lang w:eastAsia="zh-CN"/>
              </w:rPr>
            </w:pPr>
            <w:r>
              <w:rPr>
                <w:rFonts w:hint="eastAsia"/>
              </w:rPr>
              <w:t>0.</w:t>
            </w:r>
            <w:r>
              <w:rPr>
                <w:rFonts w:hint="eastAsia"/>
                <w:lang w:eastAsia="zh-CN"/>
              </w:rPr>
              <w:t>760</w:t>
            </w:r>
          </w:p>
        </w:tc>
        <w:tc>
          <w:tcPr>
            <w:tcW w:w="696" w:type="pct"/>
            <w:vAlign w:val="center"/>
          </w:tcPr>
          <w:p w14:paraId="02C39FD3">
            <w:pPr>
              <w:pStyle w:val="1343"/>
            </w:pPr>
            <w:r>
              <w:t>天然气</w:t>
            </w:r>
          </w:p>
        </w:tc>
        <w:tc>
          <w:tcPr>
            <w:tcW w:w="638" w:type="pct"/>
            <w:vAlign w:val="center"/>
          </w:tcPr>
          <w:p w14:paraId="2D4F4892">
            <w:pPr>
              <w:pStyle w:val="1343"/>
              <w:rPr>
                <w:rFonts w:hint="eastAsia" w:eastAsiaTheme="minorEastAsia"/>
                <w:i/>
                <w:iCs/>
                <w:color w:val="auto"/>
                <w:highlight w:val="none"/>
                <w:u w:val="single"/>
                <w:lang w:eastAsia="zh-CN"/>
              </w:rPr>
            </w:pPr>
            <w:r>
              <w:rPr>
                <w:rFonts w:hint="eastAsia" w:eastAsiaTheme="minorEastAsia"/>
                <w:i/>
                <w:iCs/>
                <w:color w:val="auto"/>
                <w:highlight w:val="none"/>
                <w:u w:val="single"/>
              </w:rPr>
              <w:t>3.4</w:t>
            </w:r>
            <w:r>
              <w:rPr>
                <w:rFonts w:hint="eastAsia" w:eastAsiaTheme="minorEastAsia"/>
                <w:i/>
                <w:iCs/>
                <w:color w:val="auto"/>
                <w:highlight w:val="none"/>
                <w:u w:val="single"/>
                <w:lang w:val="en-US" w:eastAsia="zh-CN"/>
              </w:rPr>
              <w:t>4</w:t>
            </w:r>
          </w:p>
        </w:tc>
        <w:tc>
          <w:tcPr>
            <w:tcW w:w="636" w:type="pct"/>
            <w:vAlign w:val="center"/>
          </w:tcPr>
          <w:p w14:paraId="72665926">
            <w:pPr>
              <w:pStyle w:val="1343"/>
              <w:rPr>
                <w:rFonts w:hint="eastAsia" w:eastAsia="宋体"/>
                <w:i/>
                <w:iCs/>
                <w:color w:val="auto"/>
                <w:highlight w:val="none"/>
                <w:u w:val="single"/>
                <w:lang w:eastAsia="zh-CN"/>
              </w:rPr>
            </w:pPr>
            <w:r>
              <w:rPr>
                <w:rFonts w:hint="eastAsia"/>
                <w:i/>
                <w:iCs/>
                <w:color w:val="auto"/>
                <w:highlight w:val="none"/>
                <w:u w:val="single"/>
              </w:rPr>
              <w:t>0.34</w:t>
            </w:r>
            <w:r>
              <w:rPr>
                <w:rFonts w:hint="eastAsia"/>
                <w:i/>
                <w:iCs/>
                <w:color w:val="auto"/>
                <w:highlight w:val="none"/>
                <w:u w:val="single"/>
                <w:lang w:val="en-US" w:eastAsia="zh-CN"/>
              </w:rPr>
              <w:t>4</w:t>
            </w:r>
          </w:p>
        </w:tc>
      </w:tr>
      <w:tr w14:paraId="65DA1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5" w:type="pct"/>
            <w:vAlign w:val="center"/>
          </w:tcPr>
          <w:p w14:paraId="180B9A5C">
            <w:pPr>
              <w:pStyle w:val="1343"/>
            </w:pPr>
            <w:r>
              <w:rPr>
                <w:rFonts w:hint="eastAsia"/>
              </w:rPr>
              <w:t>2</w:t>
            </w:r>
          </w:p>
        </w:tc>
        <w:tc>
          <w:tcPr>
            <w:tcW w:w="1946" w:type="pct"/>
            <w:gridSpan w:val="2"/>
            <w:vMerge w:val="restart"/>
            <w:vAlign w:val="center"/>
          </w:tcPr>
          <w:p w14:paraId="448F9457">
            <w:pPr>
              <w:pStyle w:val="1343"/>
              <w:rPr>
                <w:spacing w:val="-1"/>
              </w:rPr>
            </w:pPr>
            <w:r>
              <w:rPr>
                <w:rFonts w:hint="eastAsia"/>
                <w:spacing w:val="-1"/>
              </w:rPr>
              <w:t>耒阳</w:t>
            </w:r>
            <w:r>
              <w:rPr>
                <w:spacing w:val="-1"/>
              </w:rPr>
              <w:t>分输站</w:t>
            </w:r>
          </w:p>
        </w:tc>
        <w:tc>
          <w:tcPr>
            <w:tcW w:w="696" w:type="pct"/>
            <w:vAlign w:val="center"/>
          </w:tcPr>
          <w:p w14:paraId="38EC0B77">
            <w:pPr>
              <w:pStyle w:val="1343"/>
            </w:pPr>
            <w:r>
              <w:rPr>
                <w:rFonts w:hint="eastAsia"/>
              </w:rPr>
              <w:t>0.38</w:t>
            </w:r>
          </w:p>
        </w:tc>
        <w:tc>
          <w:tcPr>
            <w:tcW w:w="696" w:type="pct"/>
            <w:vAlign w:val="center"/>
          </w:tcPr>
          <w:p w14:paraId="056FB21B">
            <w:pPr>
              <w:pStyle w:val="1343"/>
            </w:pPr>
            <w:r>
              <w:t>天然气</w:t>
            </w:r>
          </w:p>
        </w:tc>
        <w:tc>
          <w:tcPr>
            <w:tcW w:w="638" w:type="pct"/>
            <w:vAlign w:val="center"/>
          </w:tcPr>
          <w:p w14:paraId="75C61C76">
            <w:pPr>
              <w:pStyle w:val="1343"/>
              <w:rPr>
                <w:rFonts w:eastAsiaTheme="minorEastAsia"/>
              </w:rPr>
            </w:pPr>
            <w:r>
              <w:rPr>
                <w:rFonts w:eastAsiaTheme="minorEastAsia"/>
              </w:rPr>
              <w:t>1</w:t>
            </w:r>
            <w:r>
              <w:rPr>
                <w:rFonts w:hint="eastAsia" w:eastAsiaTheme="minorEastAsia"/>
              </w:rPr>
              <w:t>.72</w:t>
            </w:r>
          </w:p>
        </w:tc>
        <w:tc>
          <w:tcPr>
            <w:tcW w:w="636" w:type="pct"/>
            <w:vAlign w:val="center"/>
          </w:tcPr>
          <w:p w14:paraId="3B6F40BA">
            <w:pPr>
              <w:pStyle w:val="1343"/>
              <w:rPr>
                <w:rFonts w:eastAsiaTheme="minorEastAsia"/>
              </w:rPr>
            </w:pPr>
            <w:r>
              <w:rPr>
                <w:rFonts w:eastAsiaTheme="minorEastAsia"/>
              </w:rPr>
              <w:t>0.1</w:t>
            </w:r>
            <w:r>
              <w:rPr>
                <w:rFonts w:hint="eastAsia" w:eastAsiaTheme="minorEastAsia"/>
              </w:rPr>
              <w:t>72</w:t>
            </w:r>
          </w:p>
        </w:tc>
      </w:tr>
      <w:tr w14:paraId="5000F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5" w:type="pct"/>
            <w:vAlign w:val="center"/>
          </w:tcPr>
          <w:p w14:paraId="1BA401E1">
            <w:pPr>
              <w:pStyle w:val="1343"/>
            </w:pPr>
            <w:r>
              <w:rPr>
                <w:rFonts w:hint="eastAsia"/>
              </w:rPr>
              <w:t>3</w:t>
            </w:r>
          </w:p>
        </w:tc>
        <w:tc>
          <w:tcPr>
            <w:tcW w:w="1946" w:type="pct"/>
            <w:gridSpan w:val="2"/>
            <w:vMerge w:val="continue"/>
            <w:vAlign w:val="center"/>
          </w:tcPr>
          <w:p w14:paraId="5BB645A4">
            <w:pPr>
              <w:pStyle w:val="1343"/>
              <w:rPr>
                <w:spacing w:val="-1"/>
              </w:rPr>
            </w:pPr>
          </w:p>
        </w:tc>
        <w:tc>
          <w:tcPr>
            <w:tcW w:w="696" w:type="pct"/>
            <w:vAlign w:val="center"/>
          </w:tcPr>
          <w:p w14:paraId="0FABEF4A">
            <w:pPr>
              <w:pStyle w:val="1343"/>
            </w:pPr>
            <w:r>
              <w:rPr>
                <w:rFonts w:hint="eastAsia"/>
              </w:rPr>
              <w:t>/</w:t>
            </w:r>
          </w:p>
        </w:tc>
        <w:tc>
          <w:tcPr>
            <w:tcW w:w="696" w:type="pct"/>
            <w:vAlign w:val="center"/>
          </w:tcPr>
          <w:p w14:paraId="1D59B485">
            <w:pPr>
              <w:pStyle w:val="1343"/>
            </w:pPr>
            <w:r>
              <w:rPr>
                <w:rFonts w:hint="eastAsia"/>
              </w:rPr>
              <w:t>柴油</w:t>
            </w:r>
          </w:p>
        </w:tc>
        <w:tc>
          <w:tcPr>
            <w:tcW w:w="638" w:type="pct"/>
            <w:vAlign w:val="center"/>
          </w:tcPr>
          <w:p w14:paraId="1A8877F0">
            <w:pPr>
              <w:pStyle w:val="1343"/>
              <w:rPr>
                <w:rFonts w:eastAsiaTheme="minorEastAsia"/>
              </w:rPr>
            </w:pPr>
            <w:r>
              <w:rPr>
                <w:rFonts w:hint="eastAsia" w:eastAsiaTheme="minorEastAsia"/>
              </w:rPr>
              <w:t>0.12</w:t>
            </w:r>
          </w:p>
        </w:tc>
        <w:tc>
          <w:tcPr>
            <w:tcW w:w="636" w:type="pct"/>
            <w:vAlign w:val="center"/>
          </w:tcPr>
          <w:p w14:paraId="6B5C47F3">
            <w:pPr>
              <w:pStyle w:val="1343"/>
              <w:rPr>
                <w:rFonts w:eastAsiaTheme="minorEastAsia"/>
              </w:rPr>
            </w:pPr>
            <w:r>
              <w:rPr>
                <w:rFonts w:hint="eastAsia" w:eastAsiaTheme="minorEastAsia"/>
              </w:rPr>
              <w:t>0.000048</w:t>
            </w:r>
          </w:p>
        </w:tc>
      </w:tr>
    </w:tbl>
    <w:p w14:paraId="3AAFB445">
      <w:pPr>
        <w:pStyle w:val="7"/>
        <w:spacing w:before="120" w:beforeLines="50"/>
        <w:rPr>
          <w:b/>
        </w:rPr>
      </w:pPr>
      <w:r>
        <w:t>生产工艺特点</w:t>
      </w:r>
    </w:p>
    <w:p w14:paraId="0CDCE562">
      <w:pPr>
        <w:pStyle w:val="234"/>
        <w:spacing w:before="48" w:after="48"/>
        <w:rPr>
          <w:spacing w:val="-2"/>
        </w:rPr>
      </w:pPr>
      <w:r>
        <w:t>本工程管道密闭输送，站内不设储罐，管道长度共</w:t>
      </w:r>
      <w:r>
        <w:rPr>
          <w:rFonts w:hint="eastAsia"/>
        </w:rPr>
        <w:t>0.</w:t>
      </w:r>
      <w:r>
        <w:rPr>
          <w:rFonts w:hint="eastAsia"/>
          <w:lang w:eastAsia="zh-CN"/>
        </w:rPr>
        <w:t>760</w:t>
      </w:r>
      <w:r>
        <w:t>km，共</w:t>
      </w:r>
      <w:r>
        <w:rPr>
          <w:rFonts w:hint="eastAsia"/>
        </w:rPr>
        <w:t>有1</w:t>
      </w:r>
      <w:r>
        <w:rPr>
          <w:spacing w:val="-3"/>
        </w:rPr>
        <w:t>座站场，</w:t>
      </w:r>
      <w:r>
        <w:rPr>
          <w:rFonts w:eastAsia="Times New Roman"/>
          <w:spacing w:val="-3"/>
        </w:rPr>
        <w:t>1</w:t>
      </w:r>
      <w:r>
        <w:rPr>
          <w:spacing w:val="-2"/>
        </w:rPr>
        <w:t>座阀室。</w:t>
      </w:r>
    </w:p>
    <w:p w14:paraId="03791E35">
      <w:pPr>
        <w:pStyle w:val="234"/>
        <w:spacing w:before="48" w:after="48"/>
        <w:ind w:firstLine="476"/>
      </w:pPr>
      <w:r>
        <w:rPr>
          <w:spacing w:val="-2"/>
        </w:rPr>
        <w:t>管道输送过程主要风险</w:t>
      </w:r>
      <w:r>
        <w:t>是由于破裂</w:t>
      </w:r>
      <w:r>
        <w:rPr>
          <w:spacing w:val="-24"/>
        </w:rPr>
        <w:t>、</w:t>
      </w:r>
      <w:r>
        <w:t>穿孔</w:t>
      </w:r>
      <w:r>
        <w:rPr>
          <w:spacing w:val="-24"/>
        </w:rPr>
        <w:t>、</w:t>
      </w:r>
      <w:r>
        <w:t>爆管等引发天然气泄</w:t>
      </w:r>
      <w:r>
        <w:rPr>
          <w:spacing w:val="2"/>
        </w:rPr>
        <w:t>漏</w:t>
      </w:r>
      <w:r>
        <w:rPr>
          <w:spacing w:val="-24"/>
        </w:rPr>
        <w:t>，</w:t>
      </w:r>
      <w:r>
        <w:t>以及泄漏造成火灾爆炸等风险事故</w:t>
      </w:r>
      <w:r>
        <w:rPr>
          <w:spacing w:val="-25"/>
        </w:rPr>
        <w:t>，</w:t>
      </w:r>
      <w:r>
        <w:t>引发环境污染。</w:t>
      </w:r>
    </w:p>
    <w:p w14:paraId="2C80F095">
      <w:pPr>
        <w:pStyle w:val="234"/>
        <w:spacing w:before="48" w:after="48"/>
        <w:ind w:firstLine="486"/>
      </w:pPr>
      <w:r>
        <w:rPr>
          <w:spacing w:val="3"/>
        </w:rPr>
        <w:t>从物质的危险特性分析得知，在管道工艺过程中天然气的泄漏主要有以下几种可</w:t>
      </w:r>
      <w:r>
        <w:t>能：管道内表面磨损</w:t>
      </w:r>
      <w:r>
        <w:rPr>
          <w:spacing w:val="-56"/>
        </w:rPr>
        <w:t>、</w:t>
      </w:r>
      <w:r>
        <w:t>腐蚀造成泄</w:t>
      </w:r>
      <w:r>
        <w:rPr>
          <w:spacing w:val="2"/>
        </w:rPr>
        <w:t>漏</w:t>
      </w:r>
      <w:r>
        <w:rPr>
          <w:spacing w:val="-56"/>
        </w:rPr>
        <w:t>；</w:t>
      </w:r>
      <w:r>
        <w:t>管道外表面腐蚀造成泄</w:t>
      </w:r>
      <w:r>
        <w:rPr>
          <w:spacing w:val="2"/>
        </w:rPr>
        <w:t>漏</w:t>
      </w:r>
      <w:r>
        <w:rPr>
          <w:spacing w:val="-53"/>
        </w:rPr>
        <w:t>；</w:t>
      </w:r>
      <w:r>
        <w:t>焊接不良</w:t>
      </w:r>
      <w:r>
        <w:rPr>
          <w:spacing w:val="-56"/>
        </w:rPr>
        <w:t>；</w:t>
      </w:r>
      <w:r>
        <w:t>设备故</w:t>
      </w:r>
      <w:r>
        <w:rPr>
          <w:spacing w:val="2"/>
        </w:rPr>
        <w:t>障</w:t>
      </w:r>
      <w:r>
        <w:t>；第三方破坏</w:t>
      </w:r>
      <w:r>
        <w:rPr>
          <w:spacing w:val="-32"/>
        </w:rPr>
        <w:t>，</w:t>
      </w:r>
      <w:r>
        <w:t>管道附近动土施工</w:t>
      </w:r>
      <w:r>
        <w:rPr>
          <w:spacing w:val="-32"/>
        </w:rPr>
        <w:t>，</w:t>
      </w:r>
      <w:r>
        <w:t>应力集中等造成管道破裂而发生泄</w:t>
      </w:r>
      <w:r>
        <w:rPr>
          <w:spacing w:val="2"/>
        </w:rPr>
        <w:t>漏</w:t>
      </w:r>
      <w:r>
        <w:rPr>
          <w:spacing w:val="-34"/>
        </w:rPr>
        <w:t>；</w:t>
      </w:r>
      <w:r>
        <w:t>管道因疲劳而导致裂缝增长。</w:t>
      </w:r>
    </w:p>
    <w:p w14:paraId="04C55928">
      <w:pPr>
        <w:pStyle w:val="234"/>
        <w:spacing w:before="48" w:after="48"/>
      </w:pPr>
      <w:r>
        <w:t>泄漏事故与火灾</w:t>
      </w:r>
      <w:r>
        <w:rPr>
          <w:spacing w:val="-32"/>
        </w:rPr>
        <w:t>、</w:t>
      </w:r>
      <w:r>
        <w:t>爆炸等事故是紧密联系在一起的</w:t>
      </w:r>
      <w:r>
        <w:rPr>
          <w:spacing w:val="-32"/>
        </w:rPr>
        <w:t>：</w:t>
      </w:r>
      <w:r>
        <w:t>如发生泄漏后</w:t>
      </w:r>
      <w:r>
        <w:rPr>
          <w:spacing w:val="-32"/>
        </w:rPr>
        <w:t>，</w:t>
      </w:r>
      <w:r>
        <w:t>天然</w:t>
      </w:r>
      <w:r>
        <w:rPr>
          <w:spacing w:val="-1"/>
        </w:rPr>
        <w:t>气</w:t>
      </w:r>
      <w:r>
        <w:t>遇点火源，则引起火灾。</w:t>
      </w:r>
    </w:p>
    <w:p w14:paraId="2DA7EBBC">
      <w:pPr>
        <w:pStyle w:val="5"/>
        <w:rPr>
          <w:color w:val="auto"/>
        </w:rPr>
      </w:pPr>
      <w:r>
        <w:rPr>
          <w:rFonts w:hint="eastAsia"/>
          <w:color w:val="auto"/>
        </w:rPr>
        <w:t>风险潜势初判及评价等级</w:t>
      </w:r>
    </w:p>
    <w:p w14:paraId="417F03E1">
      <w:pPr>
        <w:pStyle w:val="234"/>
        <w:spacing w:before="48" w:after="48"/>
      </w:pPr>
      <w:r>
        <w:t>根据</w:t>
      </w:r>
      <w:r>
        <w:rPr>
          <w:rFonts w:hint="eastAsia"/>
        </w:rPr>
        <w:t>表7.1-1</w:t>
      </w:r>
      <w:r>
        <w:t>，本工程</w:t>
      </w:r>
      <w:r>
        <w:rPr>
          <w:rFonts w:hint="eastAsia"/>
        </w:rPr>
        <w:t>管线和耒阳分输站Q值均小于1</w:t>
      </w:r>
      <w:r>
        <w:t>；根据《建设项目环境风险评价技术导则》(HJ619-2018)确定本工程管道大气环境风险评价为</w:t>
      </w:r>
      <w:r>
        <w:rPr>
          <w:rFonts w:hint="eastAsia"/>
        </w:rPr>
        <w:t>“简单分析”</w:t>
      </w:r>
      <w:r>
        <w:t>。</w:t>
      </w:r>
    </w:p>
    <w:p w14:paraId="490C5CB1">
      <w:pPr>
        <w:pStyle w:val="234"/>
        <w:spacing w:before="48" w:after="48"/>
      </w:pPr>
      <w:r>
        <w:t>本工程输送介质为天然气，</w:t>
      </w:r>
      <w:r>
        <w:rPr>
          <w:rFonts w:hint="eastAsia"/>
        </w:rPr>
        <w:t>主要成分为甲烷，</w:t>
      </w:r>
      <w:r>
        <w:t>次生污染物主要为CO，均为气态污染物，进入大气环境，通过大气扩散对项目周围大气环境造成危害</w:t>
      </w:r>
      <w:r>
        <w:rPr>
          <w:rFonts w:hint="eastAsia"/>
        </w:rPr>
        <w:t>；耒阳分输站分离器检修废渣和柴油泄漏会对地下水环境产生风险，</w:t>
      </w:r>
      <w:r>
        <w:t>不涉及地表水环境风险。</w:t>
      </w:r>
    </w:p>
    <w:p w14:paraId="546D1803">
      <w:pPr>
        <w:pStyle w:val="4"/>
        <w:rPr>
          <w:lang w:val="en-US"/>
        </w:rPr>
      </w:pPr>
      <w:bookmarkStart w:id="216" w:name="_Toc15464"/>
      <w:r>
        <w:rPr>
          <w:rFonts w:hint="eastAsia"/>
          <w:lang w:val="en-US"/>
        </w:rPr>
        <w:t>环境敏感目标调查</w:t>
      </w:r>
      <w:bookmarkEnd w:id="216"/>
    </w:p>
    <w:p w14:paraId="79BD73BB">
      <w:pPr>
        <w:pStyle w:val="234"/>
        <w:spacing w:before="48" w:after="48"/>
      </w:pPr>
      <w:r>
        <w:t>本工程管线全封闭地埋敷设，输送的天然气不会与</w:t>
      </w:r>
      <w:r>
        <w:rPr>
          <w:rFonts w:hint="eastAsia"/>
        </w:rPr>
        <w:t>地表</w:t>
      </w:r>
      <w:r>
        <w:t>水体</w:t>
      </w:r>
      <w:r>
        <w:rPr>
          <w:rFonts w:hint="eastAsia"/>
        </w:rPr>
        <w:t>接触</w:t>
      </w:r>
      <w:r>
        <w:t>，检维修作业无污染物排放，不会对地表水造成影响。且本工程危险物质天然气为气态物质，其主要成分甲烷</w:t>
      </w:r>
      <w:r>
        <w:rPr>
          <w:rFonts w:hint="eastAsia"/>
        </w:rPr>
        <w:t>，</w:t>
      </w:r>
      <w:r>
        <w:t>密度比空气小，沸点极低(-161.5℃)</w:t>
      </w:r>
      <w:r>
        <w:rPr>
          <w:rFonts w:hint="eastAsia"/>
        </w:rPr>
        <w:t>，</w:t>
      </w:r>
      <w:r>
        <w:t>不溶于水，在事故状态下，</w:t>
      </w:r>
      <w:r>
        <w:rPr>
          <w:rFonts w:hint="eastAsia"/>
        </w:rPr>
        <w:t>泄漏</w:t>
      </w:r>
      <w:r>
        <w:t>气体将挥发至大气环境中，不会对水环境造成污染影响。</w:t>
      </w:r>
      <w:r>
        <w:rPr>
          <w:rFonts w:hint="eastAsia"/>
        </w:rPr>
        <w:t>排污池暂存的分离器检修废渣和柴油发电机房的柴油发生泄漏时会对周围地下水产生污染影响，</w:t>
      </w:r>
      <w:r>
        <w:t>因此，本次评价主要分析大气环境敏感目标</w:t>
      </w:r>
      <w:r>
        <w:rPr>
          <w:rFonts w:hint="eastAsia"/>
        </w:rPr>
        <w:t>和地下水环境敏感目标</w:t>
      </w:r>
      <w:r>
        <w:t>。</w:t>
      </w:r>
    </w:p>
    <w:p w14:paraId="4C70BFFE">
      <w:pPr>
        <w:pStyle w:val="234"/>
        <w:spacing w:before="48" w:after="48"/>
      </w:pPr>
      <w:r>
        <w:t>本工程</w:t>
      </w:r>
      <w:r>
        <w:rPr>
          <w:rFonts w:hint="eastAsia"/>
        </w:rPr>
        <w:t>泄漏</w:t>
      </w:r>
      <w:r>
        <w:t>事故的天然气以及泄漏遇明火发生火灾和爆炸事故产生次生污染物CO对周围大气环境影响较大，因此本工程危险物质可能的影响途径主要为大气扩散。根据危险物质可能的影响途径，本工程管线</w:t>
      </w:r>
      <w:r>
        <w:rPr>
          <w:rFonts w:hint="eastAsia"/>
        </w:rPr>
        <w:t>1</w:t>
      </w:r>
      <w:r>
        <w:t>00m范围内环境风险敏感目标有</w:t>
      </w:r>
      <w:r>
        <w:rPr>
          <w:rFonts w:hint="eastAsia"/>
        </w:rPr>
        <w:t>蒋家冲、资家湾</w:t>
      </w:r>
      <w:r>
        <w:t>，</w:t>
      </w:r>
      <w:r>
        <w:rPr>
          <w:rFonts w:hint="eastAsia"/>
        </w:rPr>
        <w:t>两个村庄</w:t>
      </w:r>
      <w:r>
        <w:t>总人数</w:t>
      </w:r>
      <w:r>
        <w:rPr>
          <w:rFonts w:hint="eastAsia"/>
        </w:rPr>
        <w:t>165</w:t>
      </w:r>
      <w:r>
        <w:t>人，</w:t>
      </w:r>
      <w:r>
        <w:rPr>
          <w:rFonts w:hint="eastAsia"/>
        </w:rPr>
        <w:t>详见表2</w:t>
      </w:r>
      <w:r>
        <w:t>.8</w:t>
      </w:r>
      <w:r>
        <w:rPr>
          <w:rFonts w:hint="eastAsia"/>
        </w:rPr>
        <w:t>-5；28号阀室和耒阳分输站周围5km范围内共64个村庄、1所学校，总人数5110人，详见表2.8-6</w:t>
      </w:r>
      <w:r>
        <w:t>。</w:t>
      </w:r>
      <w:bookmarkEnd w:id="214"/>
    </w:p>
    <w:p w14:paraId="475AD5AA">
      <w:pPr>
        <w:pStyle w:val="234"/>
        <w:spacing w:before="48" w:after="48"/>
      </w:pPr>
      <w:r>
        <w:rPr>
          <w:rFonts w:hint="eastAsia"/>
        </w:rPr>
        <w:t>耒阳分输站分离器检修废渣和柴油泄漏若下渗到地下水环境中，污染物将随着地下径流迁移污染周围潜水含水层，承压水因有隔水顶板阻隔，一般不会受到影响。地下水环境敏感目标为耒阳分输站周围潜水含水层。</w:t>
      </w:r>
    </w:p>
    <w:p w14:paraId="5EB3F2C6">
      <w:pPr>
        <w:pStyle w:val="4"/>
      </w:pPr>
      <w:bookmarkStart w:id="217" w:name="_Toc17132"/>
      <w:bookmarkStart w:id="218" w:name="_Toc65162878"/>
      <w:r>
        <w:rPr>
          <w:rFonts w:hint="eastAsia"/>
          <w:lang w:val="en-US"/>
        </w:rPr>
        <w:t>环境</w:t>
      </w:r>
      <w:r>
        <w:t>风险识别</w:t>
      </w:r>
      <w:bookmarkEnd w:id="217"/>
      <w:bookmarkEnd w:id="218"/>
    </w:p>
    <w:p w14:paraId="341F5B98">
      <w:pPr>
        <w:pStyle w:val="5"/>
        <w:rPr>
          <w:b/>
          <w:color w:val="auto"/>
        </w:rPr>
      </w:pPr>
      <w:r>
        <w:rPr>
          <w:color w:val="auto"/>
        </w:rPr>
        <w:t xml:space="preserve"> 物料危险性识别</w:t>
      </w:r>
    </w:p>
    <w:p w14:paraId="1FC648A4">
      <w:pPr>
        <w:pStyle w:val="234"/>
        <w:spacing w:before="120" w:beforeLines="50"/>
        <w:ind w:firstLine="482"/>
        <w:rPr>
          <w:b/>
          <w:bCs/>
        </w:rPr>
      </w:pPr>
      <w:r>
        <w:rPr>
          <w:rFonts w:hint="eastAsia"/>
          <w:b/>
          <w:bCs/>
        </w:rPr>
        <w:t>（1）</w:t>
      </w:r>
      <w:r>
        <w:rPr>
          <w:b/>
          <w:bCs/>
        </w:rPr>
        <w:t>天然气</w:t>
      </w:r>
    </w:p>
    <w:p w14:paraId="257277D2">
      <w:pPr>
        <w:pStyle w:val="234"/>
        <w:spacing w:before="48" w:after="48"/>
      </w:pPr>
      <w:r>
        <w:t>本工程通过密闭管道输送天然气，按照《石油天然气工程设计防火规范》(GB50183-2004)，天然气属于甲B类火灾危险物质，具有易燃性、易爆性、毒性、热膨胀性、易扩散性等性质。</w:t>
      </w:r>
    </w:p>
    <w:p w14:paraId="50CBEC66">
      <w:pPr>
        <w:pStyle w:val="234"/>
        <w:spacing w:before="48" w:after="48"/>
      </w:pPr>
      <w:r>
        <w:rPr>
          <w:rFonts w:hint="eastAsia" w:ascii="宋体" w:hAnsi="宋体" w:cs="宋体"/>
        </w:rPr>
        <w:t>①</w:t>
      </w:r>
      <w:r>
        <w:t>易燃性</w:t>
      </w:r>
    </w:p>
    <w:p w14:paraId="433A374B">
      <w:pPr>
        <w:pStyle w:val="234"/>
        <w:spacing w:before="48" w:after="48"/>
      </w:pPr>
      <w:r>
        <w:t>天然气属于甲类火灾危险物质。对于天然气常常在作业场所或储存区弥散、扩散或在低洼处聚集，在空气中只要较小的点燃能量就会燃烧，因此具有较大的火灾危险性。</w:t>
      </w:r>
    </w:p>
    <w:p w14:paraId="69731A9F">
      <w:pPr>
        <w:pStyle w:val="234"/>
        <w:spacing w:before="48" w:after="48"/>
      </w:pPr>
      <w:r>
        <w:rPr>
          <w:rFonts w:hint="eastAsia" w:ascii="宋体" w:hAnsi="宋体" w:cs="宋体"/>
        </w:rPr>
        <w:t>②</w:t>
      </w:r>
      <w:r>
        <w:t>易爆性</w:t>
      </w:r>
    </w:p>
    <w:p w14:paraId="0E262FDE">
      <w:pPr>
        <w:pStyle w:val="234"/>
        <w:spacing w:before="48" w:after="48"/>
      </w:pPr>
      <w:r>
        <w:t>天然气与空气组成混合气体，其浓度处于一定范围时，遇火即发生爆炸。天然气(甲烷)的爆炸极限范围为(5.3～15)(%V/V)，爆炸浓度极限范围愈宽，爆炸下限浓度值越低，物质爆炸危险性就越大。</w:t>
      </w:r>
    </w:p>
    <w:p w14:paraId="035B6A7F">
      <w:pPr>
        <w:pStyle w:val="234"/>
        <w:spacing w:before="48" w:after="48"/>
      </w:pPr>
      <w:r>
        <w:rPr>
          <w:rFonts w:hint="eastAsia" w:ascii="宋体" w:hAnsi="宋体" w:cs="宋体"/>
        </w:rPr>
        <w:t>③</w:t>
      </w:r>
      <w:r>
        <w:t>毒性</w:t>
      </w:r>
    </w:p>
    <w:p w14:paraId="3C9233D4">
      <w:pPr>
        <w:pStyle w:val="234"/>
        <w:spacing w:before="48" w:after="48"/>
      </w:pPr>
      <w:r>
        <w:t>天然气为烃类混合物，属低毒性物质，但长期接触可导致神经衰弱综合症。甲烷属“单纯窒息性”气体，高浓度时因缺氧窒息而引起中毒，空气中甲烷浓度达到25%～30%时出现头晕，呼吸加速、运动失调。</w:t>
      </w:r>
    </w:p>
    <w:p w14:paraId="7411870E">
      <w:pPr>
        <w:pStyle w:val="234"/>
        <w:spacing w:before="48" w:after="48"/>
      </w:pPr>
      <w:r>
        <w:rPr>
          <w:rFonts w:hint="eastAsia" w:ascii="宋体" w:hAnsi="宋体" w:cs="宋体"/>
        </w:rPr>
        <w:t>④</w:t>
      </w:r>
      <w:r>
        <w:t>热膨胀性</w:t>
      </w:r>
    </w:p>
    <w:p w14:paraId="23F97E86">
      <w:pPr>
        <w:pStyle w:val="234"/>
        <w:spacing w:before="48" w:after="48"/>
      </w:pPr>
      <w:r>
        <w:t>静电荷聚集性天然气的体积随着温度的升高而膨胀特别明显。如果站场容器遭受暴晒或靠近高温热源，容器内的天然气受热膨胀造成容器内压增大而膨胀。这种热胀冷缩作用往往损坏储存容器，造成介质泄漏。天然气储存容器在低温下还可能引起外压失稳。</w:t>
      </w:r>
    </w:p>
    <w:p w14:paraId="3C6AA021">
      <w:pPr>
        <w:pStyle w:val="234"/>
        <w:spacing w:before="48" w:after="48"/>
      </w:pPr>
      <w:r>
        <w:rPr>
          <w:rFonts w:hint="eastAsia" w:ascii="宋体" w:hAnsi="宋体" w:cs="宋体"/>
        </w:rPr>
        <w:t>⑤</w:t>
      </w:r>
      <w:r>
        <w:t>易扩散性</w:t>
      </w:r>
    </w:p>
    <w:p w14:paraId="029AC043">
      <w:pPr>
        <w:pStyle w:val="234"/>
        <w:spacing w:before="48" w:after="48"/>
      </w:pPr>
      <w:r>
        <w:t>天然气的泄漏不仅会影响管道的正常输送，还会污染周围的环境，甚至使人中毒，更为严重的是增加了火灾爆炸的危险。当管道系统密封不严时，天然气极易发生泄漏，并可随风四处扩散，遇到明火极易引起火灾或爆炸。</w:t>
      </w:r>
    </w:p>
    <w:p w14:paraId="6AF73DCE">
      <w:pPr>
        <w:pStyle w:val="234"/>
        <w:spacing w:before="48" w:after="48"/>
      </w:pPr>
      <w:r>
        <w:t>天然气理化性质及危险特性见</w:t>
      </w:r>
      <w:r>
        <w:fldChar w:fldCharType="begin"/>
      </w:r>
      <w:r>
        <w:instrText xml:space="preserve"> REF _Ref77770408 \h  \* MERGEFORMAT </w:instrText>
      </w:r>
      <w:r>
        <w:fldChar w:fldCharType="separate"/>
      </w:r>
      <w:r>
        <w:t>表 7.3</w:t>
      </w:r>
      <w:r>
        <w:noBreakHyphen/>
      </w:r>
      <w:r>
        <w:fldChar w:fldCharType="end"/>
      </w:r>
      <w:r>
        <w:rPr>
          <w:rFonts w:hint="eastAsia"/>
        </w:rPr>
        <w:t>1</w:t>
      </w:r>
      <w:r>
        <w:t>。</w:t>
      </w:r>
    </w:p>
    <w:p w14:paraId="42FB7699">
      <w:pPr>
        <w:pStyle w:val="904"/>
      </w:pPr>
      <w:bookmarkStart w:id="219" w:name="_Ref77770408"/>
      <w:r>
        <w:t xml:space="preserve">表 </w:t>
      </w:r>
      <w:r>
        <w:fldChar w:fldCharType="begin"/>
      </w:r>
      <w:r>
        <w:instrText xml:space="preserve"> STYLEREF 2 \s </w:instrText>
      </w:r>
      <w:r>
        <w:fldChar w:fldCharType="separate"/>
      </w:r>
      <w:r>
        <w:t>7.3</w:t>
      </w:r>
      <w:r>
        <w:fldChar w:fldCharType="end"/>
      </w:r>
      <w:r>
        <w:noBreakHyphen/>
      </w:r>
      <w:bookmarkEnd w:id="219"/>
      <w:r>
        <w:rPr>
          <w:rFonts w:hint="eastAsia"/>
        </w:rPr>
        <w:t>1</w:t>
      </w:r>
      <w:r>
        <w:t>天然气理化性质及危险特性一览表</w:t>
      </w:r>
    </w:p>
    <w:tbl>
      <w:tblPr>
        <w:tblStyle w:val="88"/>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402"/>
        <w:gridCol w:w="2387"/>
        <w:gridCol w:w="588"/>
        <w:gridCol w:w="1617"/>
        <w:gridCol w:w="822"/>
        <w:gridCol w:w="2790"/>
      </w:tblGrid>
      <w:tr w14:paraId="6E38D7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1" w:type="dxa"/>
            <w:tcBorders>
              <w:top w:val="single" w:color="000000" w:sz="4" w:space="0"/>
              <w:left w:val="single" w:color="000000" w:sz="4" w:space="0"/>
              <w:bottom w:val="single" w:color="000000" w:sz="4" w:space="0"/>
              <w:right w:val="single" w:color="000000" w:sz="4" w:space="0"/>
            </w:tcBorders>
            <w:vAlign w:val="center"/>
          </w:tcPr>
          <w:p w14:paraId="055325A6">
            <w:pPr>
              <w:pStyle w:val="1343"/>
            </w:pPr>
            <w:r>
              <w:t>项目</w:t>
            </w:r>
          </w:p>
        </w:tc>
        <w:tc>
          <w:tcPr>
            <w:tcW w:w="7909" w:type="dxa"/>
            <w:gridSpan w:val="5"/>
            <w:tcBorders>
              <w:top w:val="single" w:color="000000" w:sz="4" w:space="0"/>
              <w:left w:val="single" w:color="000000" w:sz="4" w:space="0"/>
              <w:bottom w:val="single" w:color="auto" w:sz="4" w:space="0"/>
              <w:right w:val="single" w:color="000000" w:sz="4" w:space="0"/>
            </w:tcBorders>
            <w:vAlign w:val="center"/>
          </w:tcPr>
          <w:p w14:paraId="5BE1FC46">
            <w:pPr>
              <w:pStyle w:val="1343"/>
            </w:pPr>
            <w:r>
              <w:t>特性描述</w:t>
            </w:r>
          </w:p>
        </w:tc>
      </w:tr>
      <w:tr w14:paraId="15E80E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1" w:type="dxa"/>
            <w:tcBorders>
              <w:top w:val="single" w:color="000000" w:sz="4" w:space="0"/>
              <w:left w:val="single" w:color="000000" w:sz="4" w:space="0"/>
              <w:bottom w:val="single" w:color="000000" w:sz="4" w:space="0"/>
              <w:right w:val="single" w:color="000000" w:sz="4" w:space="0"/>
            </w:tcBorders>
            <w:vAlign w:val="center"/>
          </w:tcPr>
          <w:p w14:paraId="2C6FF48B">
            <w:pPr>
              <w:pStyle w:val="1343"/>
            </w:pPr>
            <w:r>
              <w:t>物质名称</w:t>
            </w:r>
          </w:p>
        </w:tc>
        <w:tc>
          <w:tcPr>
            <w:tcW w:w="7909" w:type="dxa"/>
            <w:gridSpan w:val="5"/>
            <w:tcBorders>
              <w:top w:val="single" w:color="auto" w:sz="4" w:space="0"/>
              <w:left w:val="single" w:color="000000" w:sz="4" w:space="0"/>
              <w:bottom w:val="single" w:color="000000" w:sz="4" w:space="0"/>
              <w:right w:val="single" w:color="000000" w:sz="4" w:space="0"/>
            </w:tcBorders>
            <w:vAlign w:val="center"/>
          </w:tcPr>
          <w:p w14:paraId="02C051A0">
            <w:pPr>
              <w:pStyle w:val="1343"/>
              <w:jc w:val="both"/>
            </w:pPr>
            <w:r>
              <w:t>化学品中文名称：甲烷</w:t>
            </w:r>
            <w:r>
              <w:tab/>
            </w:r>
            <w:r>
              <w:rPr>
                <w:rFonts w:hint="eastAsia"/>
              </w:rPr>
              <w:t xml:space="preserve">    </w:t>
            </w:r>
            <w:r>
              <w:t>化学品英文名称：methane</w:t>
            </w:r>
            <w:r>
              <w:tab/>
            </w:r>
            <w:r>
              <w:rPr>
                <w:rFonts w:hint="eastAsia"/>
              </w:rPr>
              <w:t xml:space="preserve">    </w:t>
            </w:r>
            <w:r>
              <w:t>CASNo.：74-82-8</w:t>
            </w:r>
          </w:p>
        </w:tc>
      </w:tr>
      <w:tr w14:paraId="0782D5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1" w:type="dxa"/>
            <w:vMerge w:val="restart"/>
            <w:tcBorders>
              <w:top w:val="single" w:color="000000" w:sz="4" w:space="0"/>
              <w:left w:val="single" w:color="000000" w:sz="4" w:space="0"/>
              <w:right w:val="single" w:color="000000" w:sz="4" w:space="0"/>
            </w:tcBorders>
            <w:vAlign w:val="center"/>
          </w:tcPr>
          <w:p w14:paraId="5F471A66">
            <w:pPr>
              <w:pStyle w:val="1343"/>
            </w:pPr>
            <w:r>
              <w:t>理化</w:t>
            </w:r>
            <w:r>
              <w:rPr>
                <w:spacing w:val="-2"/>
              </w:rPr>
              <w:t>性</w:t>
            </w:r>
            <w:r>
              <w:t>质</w:t>
            </w:r>
          </w:p>
        </w:tc>
        <w:tc>
          <w:tcPr>
            <w:tcW w:w="2301" w:type="dxa"/>
            <w:tcBorders>
              <w:top w:val="single" w:color="000000" w:sz="4" w:space="0"/>
              <w:left w:val="single" w:color="000000" w:sz="4" w:space="0"/>
              <w:bottom w:val="single" w:color="auto" w:sz="4" w:space="0"/>
              <w:right w:val="single" w:color="auto" w:sz="4" w:space="0"/>
            </w:tcBorders>
            <w:vAlign w:val="center"/>
          </w:tcPr>
          <w:p w14:paraId="1521367D">
            <w:pPr>
              <w:pStyle w:val="1343"/>
              <w:jc w:val="both"/>
            </w:pPr>
            <w:r>
              <w:rPr>
                <w:position w:val="1"/>
              </w:rPr>
              <w:t>分子</w:t>
            </w:r>
            <w:r>
              <w:rPr>
                <w:spacing w:val="-2"/>
                <w:position w:val="1"/>
              </w:rPr>
              <w:t>式</w:t>
            </w:r>
            <w:r>
              <w:rPr>
                <w:spacing w:val="-36"/>
                <w:position w:val="1"/>
              </w:rPr>
              <w:t>：</w:t>
            </w:r>
            <w:r>
              <w:rPr>
                <w:spacing w:val="-1"/>
                <w:position w:val="1"/>
              </w:rPr>
              <w:t>C</w:t>
            </w:r>
            <w:r>
              <w:rPr>
                <w:spacing w:val="2"/>
                <w:position w:val="1"/>
              </w:rPr>
              <w:t>H</w:t>
            </w:r>
            <w:r>
              <w:rPr>
                <w:position w:val="-3"/>
              </w:rPr>
              <w:t>4</w:t>
            </w:r>
          </w:p>
        </w:tc>
        <w:tc>
          <w:tcPr>
            <w:tcW w:w="2126" w:type="dxa"/>
            <w:gridSpan w:val="2"/>
            <w:tcBorders>
              <w:top w:val="single" w:color="000000" w:sz="4" w:space="0"/>
              <w:left w:val="single" w:color="auto" w:sz="4" w:space="0"/>
              <w:bottom w:val="single" w:color="auto" w:sz="4" w:space="0"/>
              <w:right w:val="single" w:color="auto" w:sz="4" w:space="0"/>
            </w:tcBorders>
            <w:vAlign w:val="center"/>
          </w:tcPr>
          <w:p w14:paraId="2551F260">
            <w:pPr>
              <w:pStyle w:val="1343"/>
              <w:jc w:val="both"/>
            </w:pPr>
            <w:r>
              <w:rPr>
                <w:position w:val="1"/>
              </w:rPr>
              <w:t>分子量</w:t>
            </w:r>
            <w:r>
              <w:rPr>
                <w:spacing w:val="-34"/>
                <w:position w:val="1"/>
              </w:rPr>
              <w:t>：</w:t>
            </w:r>
            <w:r>
              <w:rPr>
                <w:position w:val="1"/>
              </w:rPr>
              <w:t>1</w:t>
            </w:r>
            <w:r>
              <w:rPr>
                <w:spacing w:val="-2"/>
                <w:position w:val="1"/>
              </w:rPr>
              <w:t>6</w:t>
            </w:r>
            <w:r>
              <w:rPr>
                <w:spacing w:val="-1"/>
                <w:position w:val="1"/>
              </w:rPr>
              <w:t>.</w:t>
            </w:r>
            <w:r>
              <w:rPr>
                <w:position w:val="1"/>
              </w:rPr>
              <w:t>04</w:t>
            </w:r>
          </w:p>
        </w:tc>
        <w:tc>
          <w:tcPr>
            <w:tcW w:w="3482" w:type="dxa"/>
            <w:gridSpan w:val="2"/>
            <w:tcBorders>
              <w:top w:val="single" w:color="000000" w:sz="4" w:space="0"/>
              <w:left w:val="single" w:color="auto" w:sz="4" w:space="0"/>
              <w:bottom w:val="single" w:color="auto" w:sz="4" w:space="0"/>
              <w:right w:val="single" w:color="000000" w:sz="4" w:space="0"/>
            </w:tcBorders>
            <w:vAlign w:val="center"/>
          </w:tcPr>
          <w:p w14:paraId="21A2CC56">
            <w:pPr>
              <w:pStyle w:val="1343"/>
              <w:jc w:val="both"/>
            </w:pPr>
            <w:r>
              <w:rPr>
                <w:position w:val="1"/>
              </w:rPr>
              <w:t>外观与</w:t>
            </w:r>
            <w:r>
              <w:rPr>
                <w:spacing w:val="-2"/>
                <w:position w:val="1"/>
              </w:rPr>
              <w:t>性</w:t>
            </w:r>
            <w:r>
              <w:rPr>
                <w:position w:val="1"/>
              </w:rPr>
              <w:t>状：</w:t>
            </w:r>
            <w:r>
              <w:rPr>
                <w:spacing w:val="-2"/>
                <w:position w:val="1"/>
              </w:rPr>
              <w:t>无</w:t>
            </w:r>
            <w:r>
              <w:rPr>
                <w:position w:val="1"/>
              </w:rPr>
              <w:t>色</w:t>
            </w:r>
            <w:r>
              <w:rPr>
                <w:spacing w:val="-2"/>
                <w:position w:val="1"/>
              </w:rPr>
              <w:t>无</w:t>
            </w:r>
            <w:r>
              <w:rPr>
                <w:position w:val="1"/>
              </w:rPr>
              <w:t>臭</w:t>
            </w:r>
            <w:r>
              <w:rPr>
                <w:spacing w:val="-2"/>
                <w:position w:val="1"/>
              </w:rPr>
              <w:t>气</w:t>
            </w:r>
            <w:r>
              <w:rPr>
                <w:position w:val="1"/>
              </w:rPr>
              <w:t>体</w:t>
            </w:r>
          </w:p>
        </w:tc>
      </w:tr>
      <w:tr w14:paraId="6EC142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1" w:type="dxa"/>
            <w:vMerge w:val="continue"/>
            <w:tcBorders>
              <w:left w:val="single" w:color="000000" w:sz="4" w:space="0"/>
              <w:right w:val="single" w:color="000000" w:sz="4" w:space="0"/>
            </w:tcBorders>
            <w:vAlign w:val="center"/>
          </w:tcPr>
          <w:p w14:paraId="7ED055B0">
            <w:pPr>
              <w:pStyle w:val="1343"/>
            </w:pPr>
          </w:p>
        </w:tc>
        <w:tc>
          <w:tcPr>
            <w:tcW w:w="2301" w:type="dxa"/>
            <w:tcBorders>
              <w:top w:val="single" w:color="auto" w:sz="4" w:space="0"/>
              <w:left w:val="single" w:color="000000" w:sz="4" w:space="0"/>
              <w:bottom w:val="single" w:color="auto" w:sz="4" w:space="0"/>
              <w:right w:val="single" w:color="auto" w:sz="4" w:space="0"/>
            </w:tcBorders>
            <w:vAlign w:val="center"/>
          </w:tcPr>
          <w:p w14:paraId="342D2EAD">
            <w:pPr>
              <w:pStyle w:val="1343"/>
              <w:jc w:val="both"/>
              <w:rPr>
                <w:position w:val="1"/>
              </w:rPr>
            </w:pPr>
            <w:r>
              <w:rPr>
                <w:position w:val="-1"/>
              </w:rPr>
              <w:t>熔点</w:t>
            </w:r>
            <w:r>
              <w:rPr>
                <w:spacing w:val="-1"/>
                <w:position w:val="-1"/>
              </w:rPr>
              <w:t>(</w:t>
            </w:r>
            <w:r>
              <w:rPr>
                <w:position w:val="-1"/>
              </w:rPr>
              <w:t>℃</w:t>
            </w:r>
            <w:r>
              <w:rPr>
                <w:spacing w:val="-3"/>
                <w:position w:val="-1"/>
              </w:rPr>
              <w:t>)</w:t>
            </w:r>
            <w:r>
              <w:rPr>
                <w:spacing w:val="1"/>
                <w:position w:val="-1"/>
              </w:rPr>
              <w:t>：</w:t>
            </w:r>
            <w:r>
              <w:rPr>
                <w:spacing w:val="-1"/>
                <w:position w:val="-1"/>
              </w:rPr>
              <w:t>-</w:t>
            </w:r>
            <w:r>
              <w:rPr>
                <w:position w:val="-1"/>
              </w:rPr>
              <w:t>1</w:t>
            </w:r>
            <w:r>
              <w:rPr>
                <w:spacing w:val="-2"/>
                <w:position w:val="-1"/>
              </w:rPr>
              <w:t>8</w:t>
            </w:r>
            <w:r>
              <w:rPr>
                <w:position w:val="-1"/>
              </w:rPr>
              <w:t>2</w:t>
            </w:r>
            <w:r>
              <w:rPr>
                <w:spacing w:val="-1"/>
                <w:position w:val="-1"/>
              </w:rPr>
              <w:t>.</w:t>
            </w:r>
            <w:r>
              <w:rPr>
                <w:position w:val="-1"/>
              </w:rPr>
              <w:t>5</w:t>
            </w:r>
          </w:p>
        </w:tc>
        <w:tc>
          <w:tcPr>
            <w:tcW w:w="2126" w:type="dxa"/>
            <w:gridSpan w:val="2"/>
            <w:tcBorders>
              <w:top w:val="single" w:color="auto" w:sz="4" w:space="0"/>
              <w:left w:val="single" w:color="auto" w:sz="4" w:space="0"/>
              <w:bottom w:val="single" w:color="auto" w:sz="4" w:space="0"/>
              <w:right w:val="single" w:color="auto" w:sz="4" w:space="0"/>
            </w:tcBorders>
            <w:vAlign w:val="center"/>
          </w:tcPr>
          <w:p w14:paraId="00B99B93">
            <w:pPr>
              <w:pStyle w:val="1343"/>
              <w:jc w:val="both"/>
              <w:rPr>
                <w:position w:val="1"/>
              </w:rPr>
            </w:pPr>
            <w:r>
              <w:rPr>
                <w:position w:val="-1"/>
              </w:rPr>
              <w:t>沸点</w:t>
            </w:r>
            <w:r>
              <w:rPr>
                <w:spacing w:val="-1"/>
                <w:position w:val="-1"/>
              </w:rPr>
              <w:t>(</w:t>
            </w:r>
            <w:r>
              <w:rPr>
                <w:position w:val="-1"/>
              </w:rPr>
              <w:t>℃</w:t>
            </w:r>
            <w:r>
              <w:rPr>
                <w:spacing w:val="-1"/>
                <w:position w:val="-1"/>
              </w:rPr>
              <w:t>)</w:t>
            </w:r>
            <w:r>
              <w:rPr>
                <w:position w:val="-1"/>
              </w:rPr>
              <w:t>：</w:t>
            </w:r>
            <w:r>
              <w:rPr>
                <w:spacing w:val="-1"/>
                <w:position w:val="-1"/>
              </w:rPr>
              <w:t>-</w:t>
            </w:r>
            <w:r>
              <w:rPr>
                <w:position w:val="-1"/>
              </w:rPr>
              <w:t>1</w:t>
            </w:r>
            <w:r>
              <w:rPr>
                <w:spacing w:val="-2"/>
                <w:position w:val="-1"/>
              </w:rPr>
              <w:t>6</w:t>
            </w:r>
            <w:r>
              <w:rPr>
                <w:position w:val="-1"/>
              </w:rPr>
              <w:t>1</w:t>
            </w:r>
            <w:r>
              <w:rPr>
                <w:spacing w:val="-1"/>
                <w:position w:val="-1"/>
              </w:rPr>
              <w:t>.</w:t>
            </w:r>
            <w:r>
              <w:rPr>
                <w:position w:val="-1"/>
              </w:rPr>
              <w:t>5</w:t>
            </w:r>
            <w:r>
              <w:rPr>
                <w:position w:val="-1"/>
              </w:rPr>
              <w:tab/>
            </w:r>
            <w:r>
              <w:rPr>
                <w:rFonts w:hint="eastAsia"/>
                <w:position w:val="-1"/>
              </w:rPr>
              <w:t xml:space="preserve">    </w:t>
            </w:r>
          </w:p>
        </w:tc>
        <w:tc>
          <w:tcPr>
            <w:tcW w:w="3482" w:type="dxa"/>
            <w:gridSpan w:val="2"/>
            <w:tcBorders>
              <w:top w:val="single" w:color="auto" w:sz="4" w:space="0"/>
              <w:left w:val="single" w:color="auto" w:sz="4" w:space="0"/>
              <w:bottom w:val="single" w:color="auto" w:sz="4" w:space="0"/>
              <w:right w:val="single" w:color="000000" w:sz="4" w:space="0"/>
            </w:tcBorders>
            <w:vAlign w:val="center"/>
          </w:tcPr>
          <w:p w14:paraId="468EA1D9">
            <w:pPr>
              <w:pStyle w:val="1343"/>
              <w:jc w:val="both"/>
              <w:rPr>
                <w:position w:val="1"/>
              </w:rPr>
            </w:pPr>
            <w:r>
              <w:rPr>
                <w:position w:val="-1"/>
              </w:rPr>
              <w:t>相对密度</w:t>
            </w:r>
            <w:r>
              <w:rPr>
                <w:spacing w:val="-3"/>
                <w:position w:val="-1"/>
              </w:rPr>
              <w:t>(</w:t>
            </w:r>
            <w:r>
              <w:rPr>
                <w:position w:val="-1"/>
              </w:rPr>
              <w:t>水</w:t>
            </w:r>
            <w:r>
              <w:rPr>
                <w:spacing w:val="-1"/>
                <w:position w:val="-1"/>
              </w:rPr>
              <w:t>=</w:t>
            </w:r>
            <w:r>
              <w:rPr>
                <w:position w:val="-1"/>
              </w:rPr>
              <w:t>1</w:t>
            </w:r>
            <w:r>
              <w:rPr>
                <w:spacing w:val="-1"/>
                <w:position w:val="-1"/>
              </w:rPr>
              <w:t>)</w:t>
            </w:r>
            <w:r>
              <w:rPr>
                <w:position w:val="-1"/>
              </w:rPr>
              <w:t>：0</w:t>
            </w:r>
            <w:r>
              <w:rPr>
                <w:spacing w:val="-1"/>
                <w:position w:val="-1"/>
              </w:rPr>
              <w:t>.</w:t>
            </w:r>
            <w:r>
              <w:rPr>
                <w:spacing w:val="-2"/>
                <w:position w:val="-1"/>
              </w:rPr>
              <w:t>4</w:t>
            </w:r>
            <w:r>
              <w:rPr>
                <w:position w:val="-1"/>
              </w:rPr>
              <w:t>2</w:t>
            </w:r>
            <w:r>
              <w:rPr>
                <w:spacing w:val="-1"/>
                <w:position w:val="-1"/>
              </w:rPr>
              <w:t>(-</w:t>
            </w:r>
            <w:r>
              <w:rPr>
                <w:position w:val="-1"/>
              </w:rPr>
              <w:t>16</w:t>
            </w:r>
            <w:r>
              <w:rPr>
                <w:spacing w:val="-2"/>
                <w:position w:val="-1"/>
              </w:rPr>
              <w:t>4</w:t>
            </w:r>
            <w:r>
              <w:rPr>
                <w:position w:val="-1"/>
              </w:rPr>
              <w:t>℃)</w:t>
            </w:r>
          </w:p>
        </w:tc>
      </w:tr>
      <w:tr w14:paraId="75BFB9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1" w:type="dxa"/>
            <w:vMerge w:val="continue"/>
            <w:tcBorders>
              <w:left w:val="single" w:color="000000" w:sz="4" w:space="0"/>
              <w:right w:val="single" w:color="000000" w:sz="4" w:space="0"/>
            </w:tcBorders>
            <w:vAlign w:val="center"/>
          </w:tcPr>
          <w:p w14:paraId="6799F56D">
            <w:pPr>
              <w:pStyle w:val="1343"/>
            </w:pPr>
          </w:p>
        </w:tc>
        <w:tc>
          <w:tcPr>
            <w:tcW w:w="2868" w:type="dxa"/>
            <w:gridSpan w:val="2"/>
            <w:tcBorders>
              <w:top w:val="single" w:color="auto" w:sz="4" w:space="0"/>
              <w:left w:val="single" w:color="000000" w:sz="4" w:space="0"/>
              <w:bottom w:val="single" w:color="auto" w:sz="4" w:space="0"/>
              <w:right w:val="single" w:color="auto" w:sz="4" w:space="0"/>
            </w:tcBorders>
            <w:vAlign w:val="center"/>
          </w:tcPr>
          <w:p w14:paraId="2EC095E6">
            <w:pPr>
              <w:pStyle w:val="1343"/>
              <w:jc w:val="both"/>
            </w:pPr>
            <w:r>
              <w:rPr>
                <w:position w:val="-1"/>
              </w:rPr>
              <w:t>相对</w:t>
            </w:r>
            <w:r>
              <w:rPr>
                <w:spacing w:val="-2"/>
                <w:position w:val="-1"/>
              </w:rPr>
              <w:t>蒸</w:t>
            </w:r>
            <w:r>
              <w:rPr>
                <w:position w:val="-1"/>
              </w:rPr>
              <w:t>气</w:t>
            </w:r>
            <w:r>
              <w:rPr>
                <w:spacing w:val="-2"/>
                <w:position w:val="-1"/>
              </w:rPr>
              <w:t>密</w:t>
            </w:r>
            <w:r>
              <w:rPr>
                <w:position w:val="-1"/>
              </w:rPr>
              <w:t>度</w:t>
            </w:r>
            <w:r>
              <w:rPr>
                <w:spacing w:val="-1"/>
                <w:position w:val="-1"/>
              </w:rPr>
              <w:t>(</w:t>
            </w:r>
            <w:r>
              <w:rPr>
                <w:spacing w:val="-2"/>
                <w:position w:val="-1"/>
              </w:rPr>
              <w:t>空</w:t>
            </w:r>
            <w:r>
              <w:rPr>
                <w:position w:val="-1"/>
              </w:rPr>
              <w:t>气</w:t>
            </w:r>
            <w:r>
              <w:rPr>
                <w:spacing w:val="-1"/>
                <w:position w:val="-1"/>
              </w:rPr>
              <w:t>=</w:t>
            </w:r>
            <w:r>
              <w:rPr>
                <w:position w:val="-1"/>
              </w:rPr>
              <w:t>1</w:t>
            </w:r>
            <w:r>
              <w:rPr>
                <w:spacing w:val="-1"/>
                <w:position w:val="-1"/>
              </w:rPr>
              <w:t>)</w:t>
            </w:r>
            <w:r>
              <w:rPr>
                <w:spacing w:val="-2"/>
                <w:position w:val="-1"/>
              </w:rPr>
              <w:t>：</w:t>
            </w:r>
            <w:r>
              <w:rPr>
                <w:position w:val="-1"/>
              </w:rPr>
              <w:t>0</w:t>
            </w:r>
            <w:r>
              <w:rPr>
                <w:spacing w:val="-1"/>
                <w:position w:val="-1"/>
              </w:rPr>
              <w:t>.</w:t>
            </w:r>
            <w:r>
              <w:rPr>
                <w:position w:val="-1"/>
              </w:rPr>
              <w:t>55</w:t>
            </w:r>
          </w:p>
        </w:tc>
        <w:tc>
          <w:tcPr>
            <w:tcW w:w="5041" w:type="dxa"/>
            <w:gridSpan w:val="3"/>
            <w:tcBorders>
              <w:top w:val="single" w:color="auto" w:sz="4" w:space="0"/>
              <w:left w:val="single" w:color="auto" w:sz="4" w:space="0"/>
              <w:bottom w:val="single" w:color="auto" w:sz="4" w:space="0"/>
              <w:right w:val="single" w:color="000000" w:sz="4" w:space="0"/>
            </w:tcBorders>
            <w:vAlign w:val="center"/>
          </w:tcPr>
          <w:p w14:paraId="68B774C8">
            <w:pPr>
              <w:pStyle w:val="1343"/>
              <w:jc w:val="both"/>
            </w:pPr>
            <w:r>
              <w:rPr>
                <w:position w:val="-1"/>
              </w:rPr>
              <w:t>饱和蒸</w:t>
            </w:r>
            <w:r>
              <w:rPr>
                <w:spacing w:val="-2"/>
                <w:position w:val="-1"/>
              </w:rPr>
              <w:t>气</w:t>
            </w:r>
            <w:r>
              <w:rPr>
                <w:position w:val="-1"/>
              </w:rPr>
              <w:t>压</w:t>
            </w:r>
            <w:r>
              <w:rPr>
                <w:spacing w:val="-3"/>
                <w:position w:val="-1"/>
              </w:rPr>
              <w:t>(</w:t>
            </w:r>
            <w:r>
              <w:rPr>
                <w:position w:val="-1"/>
              </w:rPr>
              <w:t>kPa)</w:t>
            </w:r>
            <w:r>
              <w:rPr>
                <w:spacing w:val="-2"/>
                <w:position w:val="-1"/>
              </w:rPr>
              <w:t>：5</w:t>
            </w:r>
            <w:r>
              <w:rPr>
                <w:position w:val="-1"/>
              </w:rPr>
              <w:t>3</w:t>
            </w:r>
            <w:r>
              <w:rPr>
                <w:spacing w:val="-1"/>
                <w:position w:val="-1"/>
              </w:rPr>
              <w:t>.</w:t>
            </w:r>
            <w:r>
              <w:rPr>
                <w:position w:val="-1"/>
              </w:rPr>
              <w:t>32(</w:t>
            </w:r>
            <w:r>
              <w:rPr>
                <w:spacing w:val="-1"/>
                <w:position w:val="-1"/>
              </w:rPr>
              <w:t>-</w:t>
            </w:r>
            <w:r>
              <w:rPr>
                <w:position w:val="-1"/>
              </w:rPr>
              <w:t>168.</w:t>
            </w:r>
            <w:r>
              <w:rPr>
                <w:spacing w:val="-3"/>
                <w:position w:val="-1"/>
              </w:rPr>
              <w:t>8</w:t>
            </w:r>
            <w:r>
              <w:rPr>
                <w:position w:val="-1"/>
              </w:rPr>
              <w:t>℃)</w:t>
            </w:r>
          </w:p>
        </w:tc>
      </w:tr>
      <w:tr w14:paraId="77503D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1" w:type="dxa"/>
            <w:vMerge w:val="continue"/>
            <w:tcBorders>
              <w:left w:val="single" w:color="000000" w:sz="4" w:space="0"/>
              <w:right w:val="single" w:color="000000" w:sz="4" w:space="0"/>
            </w:tcBorders>
            <w:vAlign w:val="center"/>
          </w:tcPr>
          <w:p w14:paraId="5E0063AF">
            <w:pPr>
              <w:pStyle w:val="1343"/>
            </w:pPr>
          </w:p>
        </w:tc>
        <w:tc>
          <w:tcPr>
            <w:tcW w:w="2868" w:type="dxa"/>
            <w:gridSpan w:val="2"/>
            <w:tcBorders>
              <w:top w:val="single" w:color="auto" w:sz="4" w:space="0"/>
              <w:left w:val="single" w:color="000000" w:sz="4" w:space="0"/>
              <w:bottom w:val="single" w:color="auto" w:sz="4" w:space="0"/>
              <w:right w:val="single" w:color="auto" w:sz="4" w:space="0"/>
            </w:tcBorders>
            <w:vAlign w:val="center"/>
          </w:tcPr>
          <w:p w14:paraId="512BD617">
            <w:pPr>
              <w:pStyle w:val="1343"/>
              <w:jc w:val="both"/>
              <w:rPr>
                <w:position w:val="-1"/>
              </w:rPr>
            </w:pPr>
            <w:r>
              <w:rPr>
                <w:position w:val="-1"/>
              </w:rPr>
              <w:t>燃烧热</w:t>
            </w:r>
            <w:r>
              <w:rPr>
                <w:spacing w:val="-3"/>
                <w:position w:val="-1"/>
              </w:rPr>
              <w:t>(</w:t>
            </w:r>
            <w:r>
              <w:rPr>
                <w:position w:val="-1"/>
              </w:rPr>
              <w:t>kJ</w:t>
            </w:r>
            <w:r>
              <w:rPr>
                <w:spacing w:val="-4"/>
                <w:position w:val="-1"/>
              </w:rPr>
              <w:t>/</w:t>
            </w:r>
            <w:r>
              <w:rPr>
                <w:spacing w:val="1"/>
                <w:position w:val="-1"/>
              </w:rPr>
              <w:t>m</w:t>
            </w:r>
            <w:r>
              <w:rPr>
                <w:spacing w:val="-2"/>
                <w:position w:val="-1"/>
              </w:rPr>
              <w:t>o</w:t>
            </w:r>
            <w:r>
              <w:rPr>
                <w:spacing w:val="1"/>
                <w:position w:val="-1"/>
              </w:rPr>
              <w:t>l)</w:t>
            </w:r>
            <w:r>
              <w:rPr>
                <w:position w:val="-1"/>
              </w:rPr>
              <w:t>：</w:t>
            </w:r>
            <w:r>
              <w:rPr>
                <w:spacing w:val="-2"/>
                <w:position w:val="-1"/>
              </w:rPr>
              <w:t>8</w:t>
            </w:r>
            <w:r>
              <w:rPr>
                <w:position w:val="-1"/>
              </w:rPr>
              <w:t>89</w:t>
            </w:r>
            <w:r>
              <w:rPr>
                <w:spacing w:val="-1"/>
                <w:position w:val="-1"/>
              </w:rPr>
              <w:t>.</w:t>
            </w:r>
            <w:r>
              <w:rPr>
                <w:position w:val="-1"/>
              </w:rPr>
              <w:t>5</w:t>
            </w:r>
          </w:p>
        </w:tc>
        <w:tc>
          <w:tcPr>
            <w:tcW w:w="5041" w:type="dxa"/>
            <w:gridSpan w:val="3"/>
            <w:tcBorders>
              <w:top w:val="single" w:color="auto" w:sz="4" w:space="0"/>
              <w:left w:val="single" w:color="auto" w:sz="4" w:space="0"/>
              <w:bottom w:val="single" w:color="auto" w:sz="4" w:space="0"/>
              <w:right w:val="single" w:color="000000" w:sz="4" w:space="0"/>
            </w:tcBorders>
            <w:vAlign w:val="center"/>
          </w:tcPr>
          <w:p w14:paraId="77061751">
            <w:pPr>
              <w:pStyle w:val="1343"/>
              <w:jc w:val="both"/>
              <w:rPr>
                <w:position w:val="-1"/>
              </w:rPr>
            </w:pPr>
            <w:r>
              <w:rPr>
                <w:position w:val="-1"/>
              </w:rPr>
              <w:t>临界</w:t>
            </w:r>
            <w:r>
              <w:rPr>
                <w:spacing w:val="-2"/>
                <w:position w:val="-1"/>
              </w:rPr>
              <w:t>温</w:t>
            </w:r>
            <w:r>
              <w:rPr>
                <w:position w:val="-1"/>
              </w:rPr>
              <w:t>度</w:t>
            </w:r>
            <w:r>
              <w:rPr>
                <w:spacing w:val="-1"/>
                <w:position w:val="-1"/>
              </w:rPr>
              <w:t>(</w:t>
            </w:r>
            <w:r>
              <w:rPr>
                <w:position w:val="-1"/>
              </w:rPr>
              <w:t>℃</w:t>
            </w:r>
            <w:r>
              <w:rPr>
                <w:spacing w:val="-3"/>
                <w:position w:val="-1"/>
              </w:rPr>
              <w:t>)</w:t>
            </w:r>
            <w:r>
              <w:rPr>
                <w:position w:val="-1"/>
              </w:rPr>
              <w:t>：</w:t>
            </w:r>
            <w:r>
              <w:rPr>
                <w:spacing w:val="-1"/>
                <w:position w:val="-1"/>
              </w:rPr>
              <w:t>-</w:t>
            </w:r>
            <w:r>
              <w:rPr>
                <w:position w:val="-1"/>
              </w:rPr>
              <w:t>82</w:t>
            </w:r>
            <w:r>
              <w:rPr>
                <w:spacing w:val="-1"/>
                <w:position w:val="-1"/>
              </w:rPr>
              <w:t>.</w:t>
            </w:r>
            <w:r>
              <w:rPr>
                <w:position w:val="-1"/>
              </w:rPr>
              <w:t>6</w:t>
            </w:r>
          </w:p>
        </w:tc>
      </w:tr>
      <w:tr w14:paraId="071E47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1" w:type="dxa"/>
            <w:vMerge w:val="continue"/>
            <w:tcBorders>
              <w:left w:val="single" w:color="000000" w:sz="4" w:space="0"/>
              <w:right w:val="single" w:color="000000" w:sz="4" w:space="0"/>
            </w:tcBorders>
            <w:vAlign w:val="center"/>
          </w:tcPr>
          <w:p w14:paraId="58461B3C">
            <w:pPr>
              <w:pStyle w:val="1343"/>
            </w:pPr>
          </w:p>
        </w:tc>
        <w:tc>
          <w:tcPr>
            <w:tcW w:w="2868" w:type="dxa"/>
            <w:gridSpan w:val="2"/>
            <w:tcBorders>
              <w:top w:val="single" w:color="auto" w:sz="4" w:space="0"/>
              <w:left w:val="single" w:color="000000" w:sz="4" w:space="0"/>
              <w:bottom w:val="single" w:color="auto" w:sz="4" w:space="0"/>
              <w:right w:val="single" w:color="auto" w:sz="4" w:space="0"/>
            </w:tcBorders>
            <w:vAlign w:val="center"/>
          </w:tcPr>
          <w:p w14:paraId="4C8CBE4B">
            <w:pPr>
              <w:pStyle w:val="1343"/>
              <w:jc w:val="both"/>
              <w:rPr>
                <w:position w:val="-1"/>
              </w:rPr>
            </w:pPr>
            <w:r>
              <w:rPr>
                <w:position w:val="-1"/>
              </w:rPr>
              <w:t>临界</w:t>
            </w:r>
            <w:r>
              <w:rPr>
                <w:spacing w:val="-2"/>
                <w:position w:val="-1"/>
              </w:rPr>
              <w:t>压</w:t>
            </w:r>
            <w:r>
              <w:rPr>
                <w:position w:val="-1"/>
              </w:rPr>
              <w:t>力</w:t>
            </w:r>
            <w:r>
              <w:rPr>
                <w:spacing w:val="-1"/>
                <w:position w:val="-1"/>
              </w:rPr>
              <w:t>(</w:t>
            </w:r>
            <w:r>
              <w:rPr>
                <w:spacing w:val="-3"/>
                <w:position w:val="-1"/>
              </w:rPr>
              <w:t>M</w:t>
            </w:r>
            <w:r>
              <w:rPr>
                <w:position w:val="-1"/>
              </w:rPr>
              <w:t>Pa)</w:t>
            </w:r>
            <w:r>
              <w:rPr>
                <w:spacing w:val="-2"/>
                <w:position w:val="-1"/>
              </w:rPr>
              <w:t>：</w:t>
            </w:r>
            <w:r>
              <w:rPr>
                <w:position w:val="-1"/>
              </w:rPr>
              <w:t>4</w:t>
            </w:r>
            <w:r>
              <w:rPr>
                <w:spacing w:val="-1"/>
                <w:position w:val="-1"/>
              </w:rPr>
              <w:t>.</w:t>
            </w:r>
            <w:r>
              <w:rPr>
                <w:position w:val="-1"/>
              </w:rPr>
              <w:t>59</w:t>
            </w:r>
          </w:p>
        </w:tc>
        <w:tc>
          <w:tcPr>
            <w:tcW w:w="2352" w:type="dxa"/>
            <w:gridSpan w:val="2"/>
            <w:tcBorders>
              <w:top w:val="single" w:color="auto" w:sz="4" w:space="0"/>
              <w:left w:val="single" w:color="auto" w:sz="4" w:space="0"/>
              <w:bottom w:val="single" w:color="auto" w:sz="4" w:space="0"/>
              <w:right w:val="single" w:color="auto" w:sz="4" w:space="0"/>
            </w:tcBorders>
            <w:vAlign w:val="center"/>
          </w:tcPr>
          <w:p w14:paraId="669C33AB">
            <w:pPr>
              <w:pStyle w:val="1343"/>
              <w:jc w:val="both"/>
              <w:rPr>
                <w:position w:val="-1"/>
              </w:rPr>
            </w:pPr>
            <w:r>
              <w:rPr>
                <w:position w:val="-1"/>
              </w:rPr>
              <w:t>闪点</w:t>
            </w:r>
            <w:r>
              <w:rPr>
                <w:spacing w:val="-1"/>
                <w:position w:val="-1"/>
              </w:rPr>
              <w:t>(</w:t>
            </w:r>
            <w:r>
              <w:rPr>
                <w:position w:val="-1"/>
              </w:rPr>
              <w:t>℃)</w:t>
            </w:r>
            <w:r>
              <w:rPr>
                <w:spacing w:val="-1"/>
                <w:position w:val="-1"/>
              </w:rPr>
              <w:t>-</w:t>
            </w:r>
            <w:r>
              <w:rPr>
                <w:position w:val="-1"/>
              </w:rPr>
              <w:t>1</w:t>
            </w:r>
            <w:r>
              <w:rPr>
                <w:spacing w:val="-2"/>
                <w:position w:val="-1"/>
              </w:rPr>
              <w:t>8</w:t>
            </w:r>
            <w:r>
              <w:rPr>
                <w:position w:val="-1"/>
              </w:rPr>
              <w:t>8</w:t>
            </w:r>
          </w:p>
        </w:tc>
        <w:tc>
          <w:tcPr>
            <w:tcW w:w="2689" w:type="dxa"/>
            <w:tcBorders>
              <w:top w:val="single" w:color="auto" w:sz="4" w:space="0"/>
              <w:left w:val="single" w:color="auto" w:sz="4" w:space="0"/>
              <w:bottom w:val="single" w:color="auto" w:sz="4" w:space="0"/>
              <w:right w:val="single" w:color="000000" w:sz="4" w:space="0"/>
            </w:tcBorders>
            <w:vAlign w:val="center"/>
          </w:tcPr>
          <w:p w14:paraId="0DD6F15C">
            <w:pPr>
              <w:pStyle w:val="1343"/>
              <w:jc w:val="both"/>
              <w:rPr>
                <w:position w:val="-1"/>
              </w:rPr>
            </w:pPr>
            <w:r>
              <w:rPr>
                <w:position w:val="-1"/>
              </w:rPr>
              <w:t>引燃温度</w:t>
            </w:r>
            <w:r>
              <w:rPr>
                <w:spacing w:val="-3"/>
                <w:position w:val="-1"/>
              </w:rPr>
              <w:t>(</w:t>
            </w:r>
            <w:r>
              <w:rPr>
                <w:position w:val="-1"/>
              </w:rPr>
              <w:t>℃</w:t>
            </w:r>
            <w:r>
              <w:rPr>
                <w:spacing w:val="-1"/>
                <w:position w:val="-1"/>
              </w:rPr>
              <w:t>)</w:t>
            </w:r>
            <w:r>
              <w:rPr>
                <w:position w:val="-1"/>
              </w:rPr>
              <w:t>：</w:t>
            </w:r>
            <w:r>
              <w:rPr>
                <w:spacing w:val="-2"/>
                <w:position w:val="-1"/>
              </w:rPr>
              <w:t>5</w:t>
            </w:r>
            <w:r>
              <w:rPr>
                <w:position w:val="-1"/>
              </w:rPr>
              <w:t>38</w:t>
            </w:r>
          </w:p>
        </w:tc>
      </w:tr>
      <w:tr w14:paraId="11EA16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1" w:type="dxa"/>
            <w:vMerge w:val="continue"/>
            <w:tcBorders>
              <w:left w:val="single" w:color="000000" w:sz="4" w:space="0"/>
              <w:right w:val="single" w:color="000000" w:sz="4" w:space="0"/>
            </w:tcBorders>
            <w:vAlign w:val="center"/>
          </w:tcPr>
          <w:p w14:paraId="0B20B441">
            <w:pPr>
              <w:pStyle w:val="1343"/>
            </w:pPr>
          </w:p>
        </w:tc>
        <w:tc>
          <w:tcPr>
            <w:tcW w:w="2868" w:type="dxa"/>
            <w:gridSpan w:val="2"/>
            <w:tcBorders>
              <w:top w:val="single" w:color="auto" w:sz="4" w:space="0"/>
              <w:left w:val="single" w:color="000000" w:sz="4" w:space="0"/>
              <w:bottom w:val="single" w:color="auto" w:sz="4" w:space="0"/>
              <w:right w:val="single" w:color="auto" w:sz="4" w:space="0"/>
            </w:tcBorders>
            <w:vAlign w:val="center"/>
          </w:tcPr>
          <w:p w14:paraId="6D39437B">
            <w:pPr>
              <w:pStyle w:val="1343"/>
              <w:jc w:val="both"/>
              <w:rPr>
                <w:position w:val="-1"/>
              </w:rPr>
            </w:pPr>
            <w:r>
              <w:rPr>
                <w:position w:val="-1"/>
              </w:rPr>
              <w:t>爆炸</w:t>
            </w:r>
            <w:r>
              <w:rPr>
                <w:spacing w:val="-2"/>
                <w:position w:val="-1"/>
              </w:rPr>
              <w:t>上</w:t>
            </w:r>
            <w:r>
              <w:rPr>
                <w:position w:val="-1"/>
              </w:rPr>
              <w:t>限%</w:t>
            </w:r>
            <w:r>
              <w:rPr>
                <w:spacing w:val="-4"/>
                <w:position w:val="-1"/>
              </w:rPr>
              <w:t>(</w:t>
            </w:r>
            <w:r>
              <w:rPr>
                <w:position w:val="-1"/>
              </w:rPr>
              <w:t>V</w:t>
            </w:r>
            <w:r>
              <w:rPr>
                <w:spacing w:val="-1"/>
                <w:position w:val="-1"/>
              </w:rPr>
              <w:t>/</w:t>
            </w:r>
            <w:r>
              <w:rPr>
                <w:position w:val="-1"/>
              </w:rPr>
              <w:t>V)</w:t>
            </w:r>
            <w:r>
              <w:rPr>
                <w:spacing w:val="-2"/>
                <w:position w:val="-1"/>
              </w:rPr>
              <w:t>：</w:t>
            </w:r>
            <w:r>
              <w:rPr>
                <w:position w:val="-1"/>
              </w:rPr>
              <w:t>14</w:t>
            </w:r>
          </w:p>
        </w:tc>
        <w:tc>
          <w:tcPr>
            <w:tcW w:w="5041" w:type="dxa"/>
            <w:gridSpan w:val="3"/>
            <w:tcBorders>
              <w:top w:val="single" w:color="auto" w:sz="4" w:space="0"/>
              <w:left w:val="single" w:color="auto" w:sz="4" w:space="0"/>
              <w:bottom w:val="single" w:color="auto" w:sz="4" w:space="0"/>
              <w:right w:val="single" w:color="000000" w:sz="4" w:space="0"/>
            </w:tcBorders>
            <w:vAlign w:val="center"/>
          </w:tcPr>
          <w:p w14:paraId="4A1D4A56">
            <w:pPr>
              <w:pStyle w:val="1343"/>
              <w:jc w:val="both"/>
              <w:rPr>
                <w:position w:val="-1"/>
              </w:rPr>
            </w:pPr>
            <w:r>
              <w:rPr>
                <w:position w:val="-1"/>
              </w:rPr>
              <w:t>爆炸</w:t>
            </w:r>
            <w:r>
              <w:rPr>
                <w:spacing w:val="-2"/>
                <w:position w:val="-1"/>
              </w:rPr>
              <w:t>下</w:t>
            </w:r>
            <w:r>
              <w:rPr>
                <w:position w:val="-1"/>
              </w:rPr>
              <w:t>限%</w:t>
            </w:r>
            <w:r>
              <w:rPr>
                <w:spacing w:val="-4"/>
                <w:position w:val="-1"/>
              </w:rPr>
              <w:t>(</w:t>
            </w:r>
            <w:r>
              <w:rPr>
                <w:position w:val="-1"/>
              </w:rPr>
              <w:t>V</w:t>
            </w:r>
            <w:r>
              <w:rPr>
                <w:spacing w:val="-1"/>
                <w:position w:val="-1"/>
              </w:rPr>
              <w:t>/</w:t>
            </w:r>
            <w:r>
              <w:rPr>
                <w:position w:val="-1"/>
              </w:rPr>
              <w:t>V)</w:t>
            </w:r>
            <w:r>
              <w:rPr>
                <w:spacing w:val="-2"/>
                <w:position w:val="-1"/>
              </w:rPr>
              <w:t>：</w:t>
            </w:r>
            <w:r>
              <w:rPr>
                <w:position w:val="-1"/>
              </w:rPr>
              <w:t>5</w:t>
            </w:r>
          </w:p>
        </w:tc>
      </w:tr>
      <w:tr w14:paraId="3AE015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1" w:type="dxa"/>
            <w:vMerge w:val="continue"/>
            <w:tcBorders>
              <w:left w:val="single" w:color="000000" w:sz="4" w:space="0"/>
              <w:bottom w:val="single" w:color="000000" w:sz="4" w:space="0"/>
              <w:right w:val="single" w:color="000000" w:sz="4" w:space="0"/>
            </w:tcBorders>
            <w:vAlign w:val="center"/>
          </w:tcPr>
          <w:p w14:paraId="2F1F4491">
            <w:pPr>
              <w:pStyle w:val="1343"/>
            </w:pPr>
          </w:p>
        </w:tc>
        <w:tc>
          <w:tcPr>
            <w:tcW w:w="7909" w:type="dxa"/>
            <w:gridSpan w:val="5"/>
            <w:tcBorders>
              <w:top w:val="single" w:color="auto" w:sz="4" w:space="0"/>
              <w:left w:val="single" w:color="000000" w:sz="4" w:space="0"/>
              <w:bottom w:val="single" w:color="000000" w:sz="4" w:space="0"/>
              <w:right w:val="single" w:color="000000" w:sz="4" w:space="0"/>
            </w:tcBorders>
            <w:vAlign w:val="center"/>
          </w:tcPr>
          <w:p w14:paraId="76845674">
            <w:pPr>
              <w:pStyle w:val="1343"/>
              <w:jc w:val="both"/>
              <w:rPr>
                <w:position w:val="-1"/>
              </w:rPr>
            </w:pPr>
            <w:r>
              <w:rPr>
                <w:position w:val="-2"/>
              </w:rPr>
              <w:t>溶解</w:t>
            </w:r>
            <w:r>
              <w:rPr>
                <w:spacing w:val="-2"/>
                <w:position w:val="-2"/>
              </w:rPr>
              <w:t>性</w:t>
            </w:r>
            <w:r>
              <w:rPr>
                <w:position w:val="-2"/>
              </w:rPr>
              <w:t>：微</w:t>
            </w:r>
            <w:r>
              <w:rPr>
                <w:spacing w:val="-2"/>
                <w:position w:val="-2"/>
              </w:rPr>
              <w:t>溶</w:t>
            </w:r>
            <w:r>
              <w:rPr>
                <w:position w:val="-2"/>
              </w:rPr>
              <w:t>于</w:t>
            </w:r>
            <w:r>
              <w:rPr>
                <w:spacing w:val="-2"/>
                <w:position w:val="-2"/>
              </w:rPr>
              <w:t>水</w:t>
            </w:r>
            <w:r>
              <w:rPr>
                <w:position w:val="-2"/>
              </w:rPr>
              <w:t>，</w:t>
            </w:r>
            <w:r>
              <w:rPr>
                <w:spacing w:val="-2"/>
                <w:position w:val="-2"/>
              </w:rPr>
              <w:t>溶于</w:t>
            </w:r>
            <w:r>
              <w:rPr>
                <w:position w:val="-2"/>
              </w:rPr>
              <w:t>醇、</w:t>
            </w:r>
            <w:r>
              <w:rPr>
                <w:spacing w:val="-2"/>
                <w:position w:val="-2"/>
              </w:rPr>
              <w:t>乙</w:t>
            </w:r>
            <w:r>
              <w:rPr>
                <w:position w:val="-2"/>
              </w:rPr>
              <w:t>醚。</w:t>
            </w:r>
          </w:p>
        </w:tc>
      </w:tr>
      <w:tr w14:paraId="5DF049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1" w:type="dxa"/>
            <w:tcBorders>
              <w:top w:val="single" w:color="000000" w:sz="4" w:space="0"/>
              <w:left w:val="single" w:color="000000" w:sz="4" w:space="0"/>
              <w:bottom w:val="single" w:color="000000" w:sz="4" w:space="0"/>
              <w:right w:val="single" w:color="000000" w:sz="4" w:space="0"/>
            </w:tcBorders>
            <w:vAlign w:val="center"/>
          </w:tcPr>
          <w:p w14:paraId="738F0A24">
            <w:pPr>
              <w:pStyle w:val="1343"/>
            </w:pPr>
            <w:r>
              <w:t>稳定性</w:t>
            </w:r>
          </w:p>
        </w:tc>
        <w:tc>
          <w:tcPr>
            <w:tcW w:w="7909" w:type="dxa"/>
            <w:gridSpan w:val="5"/>
            <w:tcBorders>
              <w:top w:val="single" w:color="000000" w:sz="4" w:space="0"/>
              <w:left w:val="single" w:color="000000" w:sz="4" w:space="0"/>
              <w:bottom w:val="single" w:color="000000" w:sz="4" w:space="0"/>
              <w:right w:val="single" w:color="000000" w:sz="4" w:space="0"/>
            </w:tcBorders>
            <w:vAlign w:val="center"/>
          </w:tcPr>
          <w:p w14:paraId="255F2BD6">
            <w:pPr>
              <w:pStyle w:val="1343"/>
              <w:jc w:val="both"/>
            </w:pPr>
            <w:r>
              <w:t>禁配物：强氧化剂、氟、氯。</w:t>
            </w:r>
          </w:p>
        </w:tc>
      </w:tr>
      <w:tr w14:paraId="0BF6D7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1" w:type="dxa"/>
            <w:tcBorders>
              <w:top w:val="single" w:color="000000" w:sz="4" w:space="0"/>
              <w:left w:val="single" w:color="000000" w:sz="4" w:space="0"/>
              <w:bottom w:val="single" w:color="000000" w:sz="4" w:space="0"/>
              <w:right w:val="single" w:color="000000" w:sz="4" w:space="0"/>
            </w:tcBorders>
            <w:vAlign w:val="center"/>
          </w:tcPr>
          <w:p w14:paraId="6C3CC45C">
            <w:pPr>
              <w:pStyle w:val="1343"/>
            </w:pPr>
            <w:r>
              <w:t>操作处置</w:t>
            </w:r>
          </w:p>
        </w:tc>
        <w:tc>
          <w:tcPr>
            <w:tcW w:w="7909" w:type="dxa"/>
            <w:gridSpan w:val="5"/>
            <w:tcBorders>
              <w:top w:val="single" w:color="000000" w:sz="4" w:space="0"/>
              <w:left w:val="single" w:color="000000" w:sz="4" w:space="0"/>
              <w:bottom w:val="single" w:color="000000" w:sz="4" w:space="0"/>
              <w:right w:val="single" w:color="000000" w:sz="4" w:space="0"/>
            </w:tcBorders>
            <w:vAlign w:val="center"/>
          </w:tcPr>
          <w:p w14:paraId="0CA5E11C">
            <w:pPr>
              <w:pStyle w:val="1343"/>
              <w:jc w:val="both"/>
            </w:pPr>
            <w:r>
              <w:t>操作注意事项：密闭操作，全面通风；操作人员必须经过专门培训，严格遵守操作规程；远离火种、热源，工作场所严禁吸烟；配备相应品种和数量的消防器材及泄漏应急处理设备。</w:t>
            </w:r>
          </w:p>
        </w:tc>
      </w:tr>
      <w:tr w14:paraId="09014D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1" w:type="dxa"/>
            <w:tcBorders>
              <w:top w:val="single" w:color="000000" w:sz="4" w:space="0"/>
              <w:left w:val="single" w:color="000000" w:sz="4" w:space="0"/>
              <w:bottom w:val="single" w:color="000000" w:sz="4" w:space="0"/>
              <w:right w:val="single" w:color="000000" w:sz="4" w:space="0"/>
            </w:tcBorders>
            <w:vAlign w:val="center"/>
          </w:tcPr>
          <w:p w14:paraId="0EAF77F5">
            <w:pPr>
              <w:pStyle w:val="1343"/>
            </w:pPr>
            <w:r>
              <w:t>危险性概述</w:t>
            </w:r>
          </w:p>
        </w:tc>
        <w:tc>
          <w:tcPr>
            <w:tcW w:w="7909" w:type="dxa"/>
            <w:gridSpan w:val="5"/>
            <w:tcBorders>
              <w:top w:val="single" w:color="000000" w:sz="4" w:space="0"/>
              <w:left w:val="single" w:color="000000" w:sz="4" w:space="0"/>
              <w:bottom w:val="single" w:color="000000" w:sz="4" w:space="0"/>
              <w:right w:val="single" w:color="000000" w:sz="4" w:space="0"/>
            </w:tcBorders>
            <w:vAlign w:val="center"/>
          </w:tcPr>
          <w:p w14:paraId="6D9EC03D">
            <w:pPr>
              <w:pStyle w:val="1343"/>
              <w:jc w:val="both"/>
            </w:pPr>
            <w:r>
              <w:t>健康危害：甲烷对人基本无毒，但浓度过高时，使空气中氧含量明显降低，使人窒息。当空气中甲烷达25%～30%时，可引起头痛、头晕、乏力、注意力不集中、呼吸和心跳加速。若不及时脱离，可致窒息死亡。皮肤接触液化本品，可致冻伤。</w:t>
            </w:r>
          </w:p>
          <w:p w14:paraId="25FF42DD">
            <w:pPr>
              <w:pStyle w:val="1343"/>
              <w:jc w:val="both"/>
            </w:pPr>
            <w:r>
              <w:t>燃爆危险：本品易燃，具窒息性。</w:t>
            </w:r>
          </w:p>
        </w:tc>
      </w:tr>
      <w:tr w14:paraId="13A13F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1" w:type="dxa"/>
            <w:tcBorders>
              <w:top w:val="single" w:color="000000" w:sz="4" w:space="0"/>
              <w:left w:val="single" w:color="000000" w:sz="4" w:space="0"/>
              <w:bottom w:val="single" w:color="000000" w:sz="4" w:space="0"/>
              <w:right w:val="single" w:color="000000" w:sz="4" w:space="0"/>
            </w:tcBorders>
            <w:vAlign w:val="center"/>
          </w:tcPr>
          <w:p w14:paraId="30372908">
            <w:pPr>
              <w:pStyle w:val="1343"/>
            </w:pPr>
            <w:r>
              <w:t>泄漏应急</w:t>
            </w:r>
          </w:p>
          <w:p w14:paraId="4A6B81DA">
            <w:pPr>
              <w:pStyle w:val="1343"/>
            </w:pPr>
            <w:r>
              <w:t>处理</w:t>
            </w:r>
          </w:p>
        </w:tc>
        <w:tc>
          <w:tcPr>
            <w:tcW w:w="7909" w:type="dxa"/>
            <w:gridSpan w:val="5"/>
            <w:tcBorders>
              <w:top w:val="single" w:color="000000" w:sz="4" w:space="0"/>
              <w:left w:val="single" w:color="000000" w:sz="4" w:space="0"/>
              <w:bottom w:val="single" w:color="000000" w:sz="4" w:space="0"/>
              <w:right w:val="single" w:color="000000" w:sz="4" w:space="0"/>
            </w:tcBorders>
            <w:vAlign w:val="center"/>
          </w:tcPr>
          <w:p w14:paraId="044C2EF2">
            <w:pPr>
              <w:pStyle w:val="1343"/>
              <w:jc w:val="both"/>
            </w:pPr>
            <w:r>
              <w:t>应急处理：迅速撤离泄漏污染区，人员至上风处，并进行隔离，严格限制出入。切断火源。建议应急处理人员戴自给正压式呼吸器，穿防静电工作服。尽可能切断泄漏源。合理通风，加速扩散。喷雾状水稀释、溶解。构筑围堤或挖坑收容产生的大量废水。如有可能，将漏出气用排风机送至空旷地方或装设适当喷头烧掉。</w:t>
            </w:r>
          </w:p>
        </w:tc>
      </w:tr>
      <w:tr w14:paraId="7FC8CB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1" w:type="dxa"/>
            <w:tcBorders>
              <w:top w:val="single" w:color="000000" w:sz="4" w:space="0"/>
              <w:left w:val="single" w:color="000000" w:sz="4" w:space="0"/>
              <w:bottom w:val="single" w:color="000000" w:sz="4" w:space="0"/>
              <w:right w:val="single" w:color="000000" w:sz="4" w:space="0"/>
            </w:tcBorders>
            <w:vAlign w:val="center"/>
          </w:tcPr>
          <w:p w14:paraId="03FD227F">
            <w:pPr>
              <w:pStyle w:val="1343"/>
            </w:pPr>
            <w:r>
              <w:t>急救措施</w:t>
            </w:r>
          </w:p>
        </w:tc>
        <w:tc>
          <w:tcPr>
            <w:tcW w:w="7909" w:type="dxa"/>
            <w:gridSpan w:val="5"/>
            <w:tcBorders>
              <w:top w:val="single" w:color="000000" w:sz="4" w:space="0"/>
              <w:left w:val="single" w:color="000000" w:sz="4" w:space="0"/>
              <w:bottom w:val="single" w:color="000000" w:sz="4" w:space="0"/>
              <w:right w:val="single" w:color="000000" w:sz="4" w:space="0"/>
            </w:tcBorders>
            <w:vAlign w:val="center"/>
          </w:tcPr>
          <w:p w14:paraId="3A28ECF7">
            <w:pPr>
              <w:pStyle w:val="1343"/>
              <w:jc w:val="both"/>
            </w:pPr>
            <w:r>
              <w:t>皮肤接触：若有冻伤，就医治疗。</w:t>
            </w:r>
          </w:p>
          <w:p w14:paraId="3790AC6B">
            <w:pPr>
              <w:pStyle w:val="1343"/>
              <w:jc w:val="both"/>
            </w:pPr>
            <w:r>
              <w:t>吸入：迅速脱离现场至空气新鲜处。保持呼吸道通畅。如呼吸困难，给输氧。如呼吸停止，立即进行人工呼吸。就医。</w:t>
            </w:r>
          </w:p>
        </w:tc>
      </w:tr>
      <w:tr w14:paraId="6596DB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1" w:type="dxa"/>
            <w:tcBorders>
              <w:top w:val="single" w:color="000000" w:sz="4" w:space="0"/>
              <w:left w:val="single" w:color="000000" w:sz="4" w:space="0"/>
              <w:bottom w:val="single" w:color="000000" w:sz="4" w:space="0"/>
              <w:right w:val="single" w:color="000000" w:sz="4" w:space="0"/>
            </w:tcBorders>
            <w:vAlign w:val="center"/>
          </w:tcPr>
          <w:p w14:paraId="08F8D69D">
            <w:pPr>
              <w:pStyle w:val="1343"/>
            </w:pPr>
            <w:r>
              <w:t>消防措施</w:t>
            </w:r>
          </w:p>
        </w:tc>
        <w:tc>
          <w:tcPr>
            <w:tcW w:w="7909" w:type="dxa"/>
            <w:gridSpan w:val="5"/>
            <w:tcBorders>
              <w:top w:val="single" w:color="000000" w:sz="4" w:space="0"/>
              <w:left w:val="single" w:color="000000" w:sz="4" w:space="0"/>
              <w:bottom w:val="single" w:color="000000" w:sz="4" w:space="0"/>
              <w:right w:val="single" w:color="000000" w:sz="4" w:space="0"/>
            </w:tcBorders>
            <w:vAlign w:val="center"/>
          </w:tcPr>
          <w:p w14:paraId="5F14F5C8">
            <w:pPr>
              <w:pStyle w:val="1343"/>
              <w:jc w:val="both"/>
            </w:pPr>
            <w:r>
              <w:t>危险特性：易燃，与空气混合能形成爆炸性混合物，遇热源和明火有燃烧爆炸的危险。</w:t>
            </w:r>
          </w:p>
          <w:p w14:paraId="79E97DA7">
            <w:pPr>
              <w:pStyle w:val="1343"/>
              <w:jc w:val="both"/>
            </w:pPr>
            <w:r>
              <w:t>有害燃烧产物：一氧化碳、二氧化碳。</w:t>
            </w:r>
          </w:p>
        </w:tc>
      </w:tr>
      <w:tr w14:paraId="0CD63C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351" w:type="dxa"/>
            <w:tcBorders>
              <w:top w:val="single" w:color="000000" w:sz="4" w:space="0"/>
              <w:left w:val="single" w:color="000000" w:sz="4" w:space="0"/>
              <w:bottom w:val="single" w:color="000000" w:sz="4" w:space="0"/>
              <w:right w:val="single" w:color="000000" w:sz="4" w:space="0"/>
            </w:tcBorders>
            <w:vAlign w:val="center"/>
          </w:tcPr>
          <w:p w14:paraId="560447C0">
            <w:pPr>
              <w:pStyle w:val="1343"/>
            </w:pPr>
            <w:r>
              <w:t>接触控制/个体防护</w:t>
            </w:r>
          </w:p>
        </w:tc>
        <w:tc>
          <w:tcPr>
            <w:tcW w:w="7909" w:type="dxa"/>
            <w:gridSpan w:val="5"/>
            <w:tcBorders>
              <w:top w:val="single" w:color="000000" w:sz="4" w:space="0"/>
              <w:left w:val="single" w:color="000000" w:sz="4" w:space="0"/>
              <w:bottom w:val="single" w:color="000000" w:sz="4" w:space="0"/>
              <w:right w:val="single" w:color="000000" w:sz="4" w:space="0"/>
            </w:tcBorders>
            <w:vAlign w:val="center"/>
          </w:tcPr>
          <w:p w14:paraId="0ED2F32A">
            <w:pPr>
              <w:pStyle w:val="1343"/>
              <w:jc w:val="both"/>
            </w:pPr>
            <w:r>
              <w:t>工程控制：生产过程密闭，全面通风。</w:t>
            </w:r>
          </w:p>
          <w:p w14:paraId="552CF97E">
            <w:pPr>
              <w:pStyle w:val="1343"/>
              <w:jc w:val="both"/>
            </w:pPr>
            <w:r>
              <w:t>呼吸系统防护：一般不需要特殊防护，特殊情况下，佩戴自吸过滤式防毒面具(半面罩)。</w:t>
            </w:r>
          </w:p>
          <w:p w14:paraId="1E356CCD">
            <w:pPr>
              <w:pStyle w:val="1343"/>
              <w:jc w:val="both"/>
            </w:pPr>
            <w:r>
              <w:t>眼睛防护：一般不需要特殊防护，高浓度接触时可戴安全防护眼镜。</w:t>
            </w:r>
          </w:p>
          <w:p w14:paraId="1995FB16">
            <w:pPr>
              <w:pStyle w:val="1343"/>
              <w:jc w:val="both"/>
            </w:pPr>
            <w:r>
              <w:t>身体防护：穿防静电工作服。</w:t>
            </w:r>
          </w:p>
          <w:p w14:paraId="31799FBF">
            <w:pPr>
              <w:pStyle w:val="1343"/>
              <w:jc w:val="both"/>
            </w:pPr>
            <w:r>
              <w:t>手防护：戴一般作业防护手套。</w:t>
            </w:r>
          </w:p>
          <w:p w14:paraId="6A45A55F">
            <w:pPr>
              <w:pStyle w:val="1343"/>
              <w:jc w:val="both"/>
            </w:pPr>
            <w:r>
              <w:t>其他防护：工作现场严禁吸烟。避免长期反复接触。进入罐、限制性空间或其它高浓度区作业，须有人监护。</w:t>
            </w:r>
          </w:p>
        </w:tc>
      </w:tr>
    </w:tbl>
    <w:p w14:paraId="054B1272">
      <w:pPr>
        <w:pStyle w:val="234"/>
        <w:spacing w:before="120" w:beforeLines="50"/>
        <w:ind w:firstLine="482"/>
        <w:rPr>
          <w:b/>
          <w:bCs/>
        </w:rPr>
      </w:pPr>
      <w:r>
        <w:rPr>
          <w:rFonts w:hint="eastAsia"/>
          <w:b/>
          <w:bCs/>
        </w:rPr>
        <w:t>（2）CO</w:t>
      </w:r>
    </w:p>
    <w:p w14:paraId="49157E63">
      <w:pPr>
        <w:pStyle w:val="234"/>
        <w:spacing w:before="48" w:after="48"/>
      </w:pPr>
      <w:r>
        <w:t>本工程</w:t>
      </w:r>
      <w:r>
        <w:rPr>
          <w:rFonts w:hint="eastAsia"/>
        </w:rPr>
        <w:t>泄漏</w:t>
      </w:r>
      <w:r>
        <w:t>事故的天然气遇明火发生火灾和爆炸事故产生次生污染物CO，</w:t>
      </w:r>
      <w:r>
        <w:rPr>
          <w:rFonts w:hint="eastAsia"/>
        </w:rPr>
        <w:t>当</w:t>
      </w:r>
      <w:r>
        <w:t>CO</w:t>
      </w:r>
      <w:r>
        <w:rPr>
          <w:rFonts w:hint="eastAsia"/>
        </w:rPr>
        <w:t>在</w:t>
      </w:r>
      <w:r>
        <w:t>空气中的浓度超过一定浓度，可能导致人员的中毒。CO的危险性质见</w:t>
      </w:r>
      <w:r>
        <w:fldChar w:fldCharType="begin"/>
      </w:r>
      <w:r>
        <w:instrText xml:space="preserve"> REF _Ref77770919 \h  \* MERGEFORMAT </w:instrText>
      </w:r>
      <w:r>
        <w:fldChar w:fldCharType="separate"/>
      </w:r>
      <w:r>
        <w:t>表 7.3</w:t>
      </w:r>
      <w:r>
        <w:noBreakHyphen/>
      </w:r>
      <w:r>
        <w:fldChar w:fldCharType="end"/>
      </w:r>
      <w:r>
        <w:rPr>
          <w:rFonts w:hint="eastAsia"/>
        </w:rPr>
        <w:t>2</w:t>
      </w:r>
      <w:r>
        <w:t>。</w:t>
      </w:r>
    </w:p>
    <w:p w14:paraId="0C1FE3D3">
      <w:pPr>
        <w:pStyle w:val="904"/>
      </w:pPr>
      <w:bookmarkStart w:id="220" w:name="_Ref77770919"/>
      <w:r>
        <w:t xml:space="preserve">表 </w:t>
      </w:r>
      <w:r>
        <w:fldChar w:fldCharType="begin"/>
      </w:r>
      <w:r>
        <w:instrText xml:space="preserve"> STYLEREF 2 \s </w:instrText>
      </w:r>
      <w:r>
        <w:fldChar w:fldCharType="separate"/>
      </w:r>
      <w:r>
        <w:t>7.3</w:t>
      </w:r>
      <w:r>
        <w:fldChar w:fldCharType="end"/>
      </w:r>
      <w:r>
        <w:noBreakHyphen/>
      </w:r>
      <w:bookmarkEnd w:id="220"/>
      <w:r>
        <w:rPr>
          <w:rFonts w:hint="eastAsia"/>
        </w:rPr>
        <w:t>2</w:t>
      </w:r>
      <w:r>
        <w:t xml:space="preserve"> </w:t>
      </w:r>
      <w:r>
        <w:rPr>
          <w:rFonts w:hint="eastAsia"/>
        </w:rPr>
        <w:t xml:space="preserve"> </w:t>
      </w:r>
      <w:r>
        <w:t>CO理化性质及危险特性一览表</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2742"/>
        <w:gridCol w:w="603"/>
        <w:gridCol w:w="561"/>
        <w:gridCol w:w="1354"/>
        <w:gridCol w:w="1061"/>
        <w:gridCol w:w="2828"/>
      </w:tblGrid>
      <w:tr w14:paraId="632E7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38" w:type="pct"/>
            <w:vMerge w:val="restart"/>
            <w:tcBorders>
              <w:top w:val="single" w:color="auto" w:sz="4" w:space="0"/>
              <w:left w:val="single" w:color="auto" w:sz="4" w:space="0"/>
              <w:bottom w:val="single" w:color="auto" w:sz="4" w:space="0"/>
              <w:right w:val="single" w:color="auto" w:sz="4" w:space="0"/>
            </w:tcBorders>
            <w:vAlign w:val="center"/>
          </w:tcPr>
          <w:p w14:paraId="53C3C9DE">
            <w:pPr>
              <w:adjustRightInd w:val="0"/>
              <w:snapToGrid w:val="0"/>
              <w:jc w:val="center"/>
            </w:pPr>
            <w:r>
              <w:t>标识</w:t>
            </w:r>
          </w:p>
        </w:tc>
        <w:tc>
          <w:tcPr>
            <w:tcW w:w="2033" w:type="pct"/>
            <w:gridSpan w:val="3"/>
            <w:tcBorders>
              <w:top w:val="single" w:color="auto" w:sz="4" w:space="0"/>
              <w:left w:val="single" w:color="auto" w:sz="4" w:space="0"/>
              <w:bottom w:val="single" w:color="auto" w:sz="4" w:space="0"/>
              <w:right w:val="single" w:color="auto" w:sz="4" w:space="0"/>
            </w:tcBorders>
            <w:vAlign w:val="center"/>
          </w:tcPr>
          <w:p w14:paraId="2CCD1C21">
            <w:pPr>
              <w:adjustRightInd w:val="0"/>
              <w:snapToGrid w:val="0"/>
            </w:pPr>
            <w:r>
              <w:t>中文名：一氧化碳</w:t>
            </w:r>
          </w:p>
        </w:tc>
        <w:tc>
          <w:tcPr>
            <w:tcW w:w="2729" w:type="pct"/>
            <w:gridSpan w:val="3"/>
            <w:tcBorders>
              <w:top w:val="single" w:color="auto" w:sz="4" w:space="0"/>
              <w:left w:val="single" w:color="auto" w:sz="4" w:space="0"/>
              <w:bottom w:val="single" w:color="auto" w:sz="4" w:space="0"/>
              <w:right w:val="single" w:color="auto" w:sz="4" w:space="0"/>
            </w:tcBorders>
            <w:vAlign w:val="center"/>
          </w:tcPr>
          <w:p w14:paraId="2FE64C29">
            <w:pPr>
              <w:adjustRightInd w:val="0"/>
              <w:snapToGrid w:val="0"/>
            </w:pPr>
            <w:r>
              <w:t>英文名：Carbonmonoxide</w:t>
            </w:r>
          </w:p>
        </w:tc>
      </w:tr>
      <w:tr w14:paraId="0F071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38" w:type="pct"/>
            <w:vMerge w:val="continue"/>
            <w:tcBorders>
              <w:top w:val="single" w:color="auto" w:sz="4" w:space="0"/>
              <w:left w:val="single" w:color="auto" w:sz="4" w:space="0"/>
              <w:bottom w:val="single" w:color="auto" w:sz="4" w:space="0"/>
              <w:right w:val="single" w:color="auto" w:sz="4" w:space="0"/>
            </w:tcBorders>
            <w:vAlign w:val="center"/>
          </w:tcPr>
          <w:p w14:paraId="7F354E1B">
            <w:pPr>
              <w:widowControl/>
              <w:adjustRightInd w:val="0"/>
              <w:snapToGrid w:val="0"/>
              <w:jc w:val="left"/>
            </w:pPr>
          </w:p>
        </w:tc>
        <w:tc>
          <w:tcPr>
            <w:tcW w:w="1741" w:type="pct"/>
            <w:gridSpan w:val="2"/>
            <w:tcBorders>
              <w:top w:val="single" w:color="auto" w:sz="4" w:space="0"/>
              <w:left w:val="single" w:color="auto" w:sz="4" w:space="0"/>
              <w:bottom w:val="single" w:color="auto" w:sz="4" w:space="0"/>
              <w:right w:val="single" w:color="auto" w:sz="4" w:space="0"/>
            </w:tcBorders>
            <w:vAlign w:val="center"/>
          </w:tcPr>
          <w:p w14:paraId="03DC3803">
            <w:pPr>
              <w:adjustRightInd w:val="0"/>
              <w:snapToGrid w:val="0"/>
            </w:pPr>
            <w:r>
              <w:t>分子式：CO</w:t>
            </w:r>
          </w:p>
        </w:tc>
        <w:tc>
          <w:tcPr>
            <w:tcW w:w="1549" w:type="pct"/>
            <w:gridSpan w:val="3"/>
            <w:tcBorders>
              <w:top w:val="single" w:color="auto" w:sz="4" w:space="0"/>
              <w:left w:val="single" w:color="auto" w:sz="4" w:space="0"/>
              <w:bottom w:val="single" w:color="auto" w:sz="4" w:space="0"/>
              <w:right w:val="single" w:color="auto" w:sz="4" w:space="0"/>
            </w:tcBorders>
            <w:vAlign w:val="center"/>
          </w:tcPr>
          <w:p w14:paraId="1E6E9ACD">
            <w:pPr>
              <w:adjustRightInd w:val="0"/>
              <w:snapToGrid w:val="0"/>
            </w:pPr>
            <w:r>
              <w:t>分子量：28.01</w:t>
            </w:r>
          </w:p>
        </w:tc>
        <w:tc>
          <w:tcPr>
            <w:tcW w:w="1473" w:type="pct"/>
            <w:tcBorders>
              <w:top w:val="single" w:color="auto" w:sz="4" w:space="0"/>
              <w:left w:val="single" w:color="auto" w:sz="4" w:space="0"/>
              <w:bottom w:val="single" w:color="auto" w:sz="4" w:space="0"/>
              <w:right w:val="single" w:color="auto" w:sz="4" w:space="0"/>
            </w:tcBorders>
            <w:vAlign w:val="center"/>
          </w:tcPr>
          <w:p w14:paraId="59BEA3FF">
            <w:pPr>
              <w:adjustRightInd w:val="0"/>
              <w:snapToGrid w:val="0"/>
            </w:pPr>
            <w:r>
              <w:t>CAS号：630-08-0</w:t>
            </w:r>
          </w:p>
        </w:tc>
      </w:tr>
      <w:tr w14:paraId="0DB7E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38" w:type="pct"/>
            <w:vMerge w:val="restart"/>
            <w:tcBorders>
              <w:top w:val="single" w:color="auto" w:sz="4" w:space="0"/>
              <w:left w:val="single" w:color="auto" w:sz="4" w:space="0"/>
              <w:bottom w:val="single" w:color="auto" w:sz="4" w:space="0"/>
              <w:right w:val="single" w:color="auto" w:sz="4" w:space="0"/>
            </w:tcBorders>
            <w:vAlign w:val="center"/>
          </w:tcPr>
          <w:p w14:paraId="0947666C">
            <w:pPr>
              <w:adjustRightInd w:val="0"/>
              <w:snapToGrid w:val="0"/>
              <w:jc w:val="center"/>
            </w:pPr>
            <w:r>
              <w:t>理化性质</w:t>
            </w:r>
          </w:p>
        </w:tc>
        <w:tc>
          <w:tcPr>
            <w:tcW w:w="4762" w:type="pct"/>
            <w:gridSpan w:val="6"/>
            <w:tcBorders>
              <w:top w:val="single" w:color="auto" w:sz="4" w:space="0"/>
              <w:left w:val="single" w:color="auto" w:sz="4" w:space="0"/>
              <w:bottom w:val="single" w:color="auto" w:sz="4" w:space="0"/>
              <w:right w:val="single" w:color="auto" w:sz="4" w:space="0"/>
            </w:tcBorders>
            <w:vAlign w:val="center"/>
          </w:tcPr>
          <w:p w14:paraId="1AEACC39">
            <w:pPr>
              <w:adjustRightInd w:val="0"/>
              <w:snapToGrid w:val="0"/>
            </w:pPr>
            <w:r>
              <w:t>性状：无色无臭气体</w:t>
            </w:r>
          </w:p>
        </w:tc>
      </w:tr>
      <w:tr w14:paraId="77808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38" w:type="pct"/>
            <w:vMerge w:val="continue"/>
            <w:tcBorders>
              <w:top w:val="single" w:color="auto" w:sz="4" w:space="0"/>
              <w:left w:val="single" w:color="auto" w:sz="4" w:space="0"/>
              <w:bottom w:val="single" w:color="auto" w:sz="4" w:space="0"/>
              <w:right w:val="single" w:color="auto" w:sz="4" w:space="0"/>
            </w:tcBorders>
            <w:vAlign w:val="center"/>
          </w:tcPr>
          <w:p w14:paraId="05EE7055">
            <w:pPr>
              <w:widowControl/>
              <w:adjustRightInd w:val="0"/>
              <w:snapToGrid w:val="0"/>
              <w:jc w:val="left"/>
            </w:pPr>
          </w:p>
        </w:tc>
        <w:tc>
          <w:tcPr>
            <w:tcW w:w="4762" w:type="pct"/>
            <w:gridSpan w:val="6"/>
            <w:tcBorders>
              <w:top w:val="single" w:color="auto" w:sz="4" w:space="0"/>
              <w:left w:val="single" w:color="auto" w:sz="4" w:space="0"/>
              <w:bottom w:val="single" w:color="auto" w:sz="4" w:space="0"/>
              <w:right w:val="single" w:color="auto" w:sz="4" w:space="0"/>
            </w:tcBorders>
            <w:vAlign w:val="center"/>
          </w:tcPr>
          <w:p w14:paraId="10619D4D">
            <w:pPr>
              <w:adjustRightInd w:val="0"/>
              <w:snapToGrid w:val="0"/>
            </w:pPr>
            <w:r>
              <w:t>溶解性：微溶于水，溶于乙醇、苯等多数有机溶剂</w:t>
            </w:r>
          </w:p>
        </w:tc>
      </w:tr>
      <w:tr w14:paraId="700AA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38" w:type="pct"/>
            <w:vMerge w:val="continue"/>
            <w:tcBorders>
              <w:top w:val="single" w:color="auto" w:sz="4" w:space="0"/>
              <w:left w:val="single" w:color="auto" w:sz="4" w:space="0"/>
              <w:bottom w:val="single" w:color="auto" w:sz="4" w:space="0"/>
              <w:right w:val="single" w:color="auto" w:sz="4" w:space="0"/>
            </w:tcBorders>
            <w:vAlign w:val="center"/>
          </w:tcPr>
          <w:p w14:paraId="5D856CE8">
            <w:pPr>
              <w:widowControl/>
              <w:adjustRightInd w:val="0"/>
              <w:snapToGrid w:val="0"/>
              <w:jc w:val="left"/>
            </w:pPr>
          </w:p>
        </w:tc>
        <w:tc>
          <w:tcPr>
            <w:tcW w:w="1427" w:type="pct"/>
            <w:tcBorders>
              <w:top w:val="single" w:color="auto" w:sz="4" w:space="0"/>
              <w:left w:val="single" w:color="auto" w:sz="4" w:space="0"/>
              <w:bottom w:val="single" w:color="auto" w:sz="4" w:space="0"/>
              <w:right w:val="single" w:color="auto" w:sz="4" w:space="0"/>
            </w:tcBorders>
            <w:vAlign w:val="center"/>
          </w:tcPr>
          <w:p w14:paraId="0C37872E">
            <w:pPr>
              <w:adjustRightInd w:val="0"/>
              <w:snapToGrid w:val="0"/>
            </w:pPr>
            <w:r>
              <w:t>熔点(℃)：-199.1</w:t>
            </w:r>
          </w:p>
        </w:tc>
        <w:tc>
          <w:tcPr>
            <w:tcW w:w="1311" w:type="pct"/>
            <w:gridSpan w:val="3"/>
            <w:tcBorders>
              <w:top w:val="single" w:color="auto" w:sz="4" w:space="0"/>
              <w:left w:val="single" w:color="auto" w:sz="4" w:space="0"/>
              <w:bottom w:val="single" w:color="auto" w:sz="4" w:space="0"/>
              <w:right w:val="single" w:color="auto" w:sz="4" w:space="0"/>
            </w:tcBorders>
            <w:vAlign w:val="center"/>
          </w:tcPr>
          <w:p w14:paraId="39D7E71E">
            <w:pPr>
              <w:adjustRightInd w:val="0"/>
              <w:snapToGrid w:val="0"/>
            </w:pPr>
            <w:r>
              <w:t>沸点(℃)：-191.4</w:t>
            </w:r>
          </w:p>
        </w:tc>
        <w:tc>
          <w:tcPr>
            <w:tcW w:w="2024" w:type="pct"/>
            <w:gridSpan w:val="2"/>
            <w:tcBorders>
              <w:top w:val="single" w:color="auto" w:sz="4" w:space="0"/>
              <w:left w:val="single" w:color="auto" w:sz="4" w:space="0"/>
              <w:bottom w:val="single" w:color="auto" w:sz="4" w:space="0"/>
              <w:right w:val="single" w:color="auto" w:sz="4" w:space="0"/>
            </w:tcBorders>
            <w:vAlign w:val="center"/>
          </w:tcPr>
          <w:p w14:paraId="2871A2C0">
            <w:pPr>
              <w:adjustRightInd w:val="0"/>
              <w:snapToGrid w:val="0"/>
            </w:pPr>
            <w:r>
              <w:t>相对密度(水＝1)：0.79</w:t>
            </w:r>
          </w:p>
        </w:tc>
      </w:tr>
      <w:tr w14:paraId="682E6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38" w:type="pct"/>
            <w:vMerge w:val="continue"/>
            <w:tcBorders>
              <w:top w:val="single" w:color="auto" w:sz="4" w:space="0"/>
              <w:left w:val="single" w:color="auto" w:sz="4" w:space="0"/>
              <w:bottom w:val="single" w:color="auto" w:sz="4" w:space="0"/>
              <w:right w:val="single" w:color="auto" w:sz="4" w:space="0"/>
            </w:tcBorders>
            <w:vAlign w:val="center"/>
          </w:tcPr>
          <w:p w14:paraId="0036A90F">
            <w:pPr>
              <w:widowControl/>
              <w:adjustRightInd w:val="0"/>
              <w:snapToGrid w:val="0"/>
              <w:jc w:val="left"/>
            </w:pPr>
          </w:p>
        </w:tc>
        <w:tc>
          <w:tcPr>
            <w:tcW w:w="1427" w:type="pct"/>
            <w:tcBorders>
              <w:top w:val="single" w:color="auto" w:sz="4" w:space="0"/>
              <w:left w:val="single" w:color="auto" w:sz="4" w:space="0"/>
              <w:bottom w:val="single" w:color="auto" w:sz="4" w:space="0"/>
              <w:right w:val="single" w:color="auto" w:sz="4" w:space="0"/>
            </w:tcBorders>
            <w:vAlign w:val="center"/>
          </w:tcPr>
          <w:p w14:paraId="16DB97C8">
            <w:pPr>
              <w:adjustRightInd w:val="0"/>
              <w:snapToGrid w:val="0"/>
            </w:pPr>
            <w:r>
              <w:t>临界温度(℃)：-140.2</w:t>
            </w:r>
          </w:p>
        </w:tc>
        <w:tc>
          <w:tcPr>
            <w:tcW w:w="1311" w:type="pct"/>
            <w:gridSpan w:val="3"/>
            <w:tcBorders>
              <w:top w:val="single" w:color="auto" w:sz="4" w:space="0"/>
              <w:left w:val="single" w:color="auto" w:sz="4" w:space="0"/>
              <w:bottom w:val="single" w:color="auto" w:sz="4" w:space="0"/>
              <w:right w:val="single" w:color="auto" w:sz="4" w:space="0"/>
            </w:tcBorders>
            <w:vAlign w:val="center"/>
          </w:tcPr>
          <w:p w14:paraId="4A41851A">
            <w:pPr>
              <w:adjustRightInd w:val="0"/>
              <w:snapToGrid w:val="0"/>
            </w:pPr>
            <w:r>
              <w:t>临界压力(MPa)：3.50</w:t>
            </w:r>
          </w:p>
        </w:tc>
        <w:tc>
          <w:tcPr>
            <w:tcW w:w="2024" w:type="pct"/>
            <w:gridSpan w:val="2"/>
            <w:tcBorders>
              <w:top w:val="single" w:color="auto" w:sz="4" w:space="0"/>
              <w:left w:val="single" w:color="auto" w:sz="4" w:space="0"/>
              <w:bottom w:val="single" w:color="auto" w:sz="4" w:space="0"/>
              <w:right w:val="single" w:color="auto" w:sz="4" w:space="0"/>
            </w:tcBorders>
            <w:vAlign w:val="center"/>
          </w:tcPr>
          <w:p w14:paraId="102E1431">
            <w:pPr>
              <w:adjustRightInd w:val="0"/>
              <w:snapToGrid w:val="0"/>
            </w:pPr>
            <w:r>
              <w:t>相对密度(空气＝1)：0.97</w:t>
            </w:r>
          </w:p>
        </w:tc>
      </w:tr>
      <w:tr w14:paraId="0AFD9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38" w:type="pct"/>
            <w:vMerge w:val="continue"/>
            <w:tcBorders>
              <w:top w:val="single" w:color="auto" w:sz="4" w:space="0"/>
              <w:left w:val="single" w:color="auto" w:sz="4" w:space="0"/>
              <w:bottom w:val="single" w:color="auto" w:sz="4" w:space="0"/>
              <w:right w:val="single" w:color="auto" w:sz="4" w:space="0"/>
            </w:tcBorders>
            <w:vAlign w:val="center"/>
          </w:tcPr>
          <w:p w14:paraId="7AEBDA25">
            <w:pPr>
              <w:widowControl/>
              <w:adjustRightInd w:val="0"/>
              <w:snapToGrid w:val="0"/>
              <w:jc w:val="left"/>
            </w:pPr>
          </w:p>
        </w:tc>
        <w:tc>
          <w:tcPr>
            <w:tcW w:w="1427" w:type="pct"/>
            <w:tcBorders>
              <w:top w:val="single" w:color="auto" w:sz="4" w:space="0"/>
              <w:left w:val="single" w:color="auto" w:sz="4" w:space="0"/>
              <w:bottom w:val="single" w:color="auto" w:sz="4" w:space="0"/>
              <w:right w:val="single" w:color="auto" w:sz="4" w:space="0"/>
            </w:tcBorders>
            <w:vAlign w:val="center"/>
          </w:tcPr>
          <w:p w14:paraId="1A97BC0F">
            <w:pPr>
              <w:adjustRightInd w:val="0"/>
              <w:snapToGrid w:val="0"/>
            </w:pPr>
            <w:r>
              <w:t>燃烧热(KJ/mol)：无意义</w:t>
            </w:r>
          </w:p>
        </w:tc>
        <w:tc>
          <w:tcPr>
            <w:tcW w:w="1311" w:type="pct"/>
            <w:gridSpan w:val="3"/>
            <w:tcBorders>
              <w:top w:val="single" w:color="auto" w:sz="4" w:space="0"/>
              <w:left w:val="single" w:color="auto" w:sz="4" w:space="0"/>
              <w:bottom w:val="single" w:color="auto" w:sz="4" w:space="0"/>
              <w:right w:val="single" w:color="auto" w:sz="4" w:space="0"/>
            </w:tcBorders>
            <w:vAlign w:val="center"/>
          </w:tcPr>
          <w:p w14:paraId="5CBA609B">
            <w:pPr>
              <w:adjustRightInd w:val="0"/>
              <w:snapToGrid w:val="0"/>
            </w:pPr>
            <w:r>
              <w:t>最小点火能(mJ)：</w:t>
            </w:r>
          </w:p>
        </w:tc>
        <w:tc>
          <w:tcPr>
            <w:tcW w:w="2024" w:type="pct"/>
            <w:gridSpan w:val="2"/>
            <w:tcBorders>
              <w:top w:val="single" w:color="auto" w:sz="4" w:space="0"/>
              <w:left w:val="single" w:color="auto" w:sz="4" w:space="0"/>
              <w:bottom w:val="single" w:color="auto" w:sz="4" w:space="0"/>
              <w:right w:val="single" w:color="auto" w:sz="4" w:space="0"/>
            </w:tcBorders>
            <w:vAlign w:val="center"/>
          </w:tcPr>
          <w:p w14:paraId="70785BE5">
            <w:pPr>
              <w:adjustRightInd w:val="0"/>
              <w:snapToGrid w:val="0"/>
            </w:pPr>
            <w:r>
              <w:t>饱和蒸汽压(KPa)：无资料</w:t>
            </w:r>
          </w:p>
        </w:tc>
      </w:tr>
      <w:tr w14:paraId="7C806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38" w:type="pct"/>
            <w:vMerge w:val="restart"/>
            <w:tcBorders>
              <w:top w:val="single" w:color="auto" w:sz="4" w:space="0"/>
              <w:left w:val="single" w:color="auto" w:sz="4" w:space="0"/>
              <w:bottom w:val="single" w:color="auto" w:sz="4" w:space="0"/>
              <w:right w:val="single" w:color="auto" w:sz="4" w:space="0"/>
            </w:tcBorders>
            <w:vAlign w:val="center"/>
          </w:tcPr>
          <w:p w14:paraId="3F00D276">
            <w:pPr>
              <w:adjustRightInd w:val="0"/>
              <w:snapToGrid w:val="0"/>
              <w:jc w:val="center"/>
            </w:pPr>
            <w:r>
              <w:t>燃烧爆炸危险性</w:t>
            </w:r>
          </w:p>
        </w:tc>
        <w:tc>
          <w:tcPr>
            <w:tcW w:w="1741" w:type="pct"/>
            <w:gridSpan w:val="2"/>
            <w:tcBorders>
              <w:top w:val="single" w:color="auto" w:sz="4" w:space="0"/>
              <w:left w:val="single" w:color="auto" w:sz="4" w:space="0"/>
              <w:bottom w:val="single" w:color="auto" w:sz="4" w:space="0"/>
              <w:right w:val="single" w:color="auto" w:sz="4" w:space="0"/>
            </w:tcBorders>
            <w:vAlign w:val="center"/>
          </w:tcPr>
          <w:p w14:paraId="10845EC4">
            <w:pPr>
              <w:adjustRightInd w:val="0"/>
              <w:snapToGrid w:val="0"/>
            </w:pPr>
            <w:r>
              <w:t>燃烧性：易燃</w:t>
            </w:r>
          </w:p>
        </w:tc>
        <w:tc>
          <w:tcPr>
            <w:tcW w:w="3021" w:type="pct"/>
            <w:gridSpan w:val="4"/>
            <w:tcBorders>
              <w:top w:val="single" w:color="auto" w:sz="4" w:space="0"/>
              <w:left w:val="single" w:color="auto" w:sz="4" w:space="0"/>
              <w:bottom w:val="single" w:color="auto" w:sz="4" w:space="0"/>
              <w:right w:val="single" w:color="auto" w:sz="4" w:space="0"/>
            </w:tcBorders>
            <w:vAlign w:val="center"/>
          </w:tcPr>
          <w:p w14:paraId="2E6C8CED">
            <w:pPr>
              <w:adjustRightInd w:val="0"/>
              <w:snapToGrid w:val="0"/>
            </w:pPr>
            <w:r>
              <w:t>燃烧分解产物：CO</w:t>
            </w:r>
            <w:r>
              <w:rPr>
                <w:vertAlign w:val="subscript"/>
              </w:rPr>
              <w:t>2</w:t>
            </w:r>
          </w:p>
        </w:tc>
      </w:tr>
      <w:tr w14:paraId="21C2D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38" w:type="pct"/>
            <w:vMerge w:val="continue"/>
            <w:tcBorders>
              <w:top w:val="single" w:color="auto" w:sz="4" w:space="0"/>
              <w:left w:val="single" w:color="auto" w:sz="4" w:space="0"/>
              <w:bottom w:val="single" w:color="auto" w:sz="4" w:space="0"/>
              <w:right w:val="single" w:color="auto" w:sz="4" w:space="0"/>
            </w:tcBorders>
            <w:vAlign w:val="center"/>
          </w:tcPr>
          <w:p w14:paraId="168E54A9">
            <w:pPr>
              <w:widowControl/>
              <w:adjustRightInd w:val="0"/>
              <w:snapToGrid w:val="0"/>
              <w:jc w:val="left"/>
            </w:pPr>
          </w:p>
        </w:tc>
        <w:tc>
          <w:tcPr>
            <w:tcW w:w="1741" w:type="pct"/>
            <w:gridSpan w:val="2"/>
            <w:tcBorders>
              <w:top w:val="single" w:color="auto" w:sz="4" w:space="0"/>
              <w:left w:val="single" w:color="auto" w:sz="4" w:space="0"/>
              <w:bottom w:val="single" w:color="auto" w:sz="4" w:space="0"/>
              <w:right w:val="single" w:color="auto" w:sz="4" w:space="0"/>
            </w:tcBorders>
            <w:vAlign w:val="center"/>
          </w:tcPr>
          <w:p w14:paraId="3A6F50F6">
            <w:pPr>
              <w:adjustRightInd w:val="0"/>
              <w:snapToGrid w:val="0"/>
            </w:pPr>
            <w:r>
              <w:t>闪点(℃)：&lt;-50</w:t>
            </w:r>
          </w:p>
        </w:tc>
        <w:tc>
          <w:tcPr>
            <w:tcW w:w="3021" w:type="pct"/>
            <w:gridSpan w:val="4"/>
            <w:tcBorders>
              <w:top w:val="single" w:color="auto" w:sz="4" w:space="0"/>
              <w:left w:val="single" w:color="auto" w:sz="4" w:space="0"/>
              <w:bottom w:val="single" w:color="auto" w:sz="4" w:space="0"/>
              <w:right w:val="single" w:color="auto" w:sz="4" w:space="0"/>
            </w:tcBorders>
            <w:vAlign w:val="center"/>
          </w:tcPr>
          <w:p w14:paraId="0771B477">
            <w:pPr>
              <w:adjustRightInd w:val="0"/>
              <w:snapToGrid w:val="0"/>
            </w:pPr>
            <w:r>
              <w:t>爆炸上限%(V/V)：74.2</w:t>
            </w:r>
          </w:p>
        </w:tc>
      </w:tr>
      <w:tr w14:paraId="108B3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38" w:type="pct"/>
            <w:vMerge w:val="continue"/>
            <w:tcBorders>
              <w:top w:val="single" w:color="auto" w:sz="4" w:space="0"/>
              <w:left w:val="single" w:color="auto" w:sz="4" w:space="0"/>
              <w:bottom w:val="single" w:color="auto" w:sz="4" w:space="0"/>
              <w:right w:val="single" w:color="auto" w:sz="4" w:space="0"/>
            </w:tcBorders>
            <w:vAlign w:val="center"/>
          </w:tcPr>
          <w:p w14:paraId="33177C10">
            <w:pPr>
              <w:widowControl/>
              <w:adjustRightInd w:val="0"/>
              <w:snapToGrid w:val="0"/>
              <w:jc w:val="left"/>
            </w:pPr>
          </w:p>
        </w:tc>
        <w:tc>
          <w:tcPr>
            <w:tcW w:w="1741" w:type="pct"/>
            <w:gridSpan w:val="2"/>
            <w:tcBorders>
              <w:top w:val="single" w:color="auto" w:sz="4" w:space="0"/>
              <w:left w:val="single" w:color="auto" w:sz="4" w:space="0"/>
              <w:bottom w:val="single" w:color="auto" w:sz="4" w:space="0"/>
              <w:right w:val="single" w:color="auto" w:sz="4" w:space="0"/>
            </w:tcBorders>
            <w:vAlign w:val="center"/>
          </w:tcPr>
          <w:p w14:paraId="0CD7225B">
            <w:pPr>
              <w:adjustRightInd w:val="0"/>
              <w:snapToGrid w:val="0"/>
            </w:pPr>
            <w:r>
              <w:t>爆炸下限%(V/V)：12.5</w:t>
            </w:r>
          </w:p>
        </w:tc>
        <w:tc>
          <w:tcPr>
            <w:tcW w:w="3021" w:type="pct"/>
            <w:gridSpan w:val="4"/>
            <w:tcBorders>
              <w:top w:val="single" w:color="auto" w:sz="4" w:space="0"/>
              <w:left w:val="single" w:color="auto" w:sz="4" w:space="0"/>
              <w:bottom w:val="single" w:color="auto" w:sz="4" w:space="0"/>
              <w:right w:val="single" w:color="auto" w:sz="4" w:space="0"/>
            </w:tcBorders>
            <w:vAlign w:val="center"/>
          </w:tcPr>
          <w:p w14:paraId="00A44C8B">
            <w:pPr>
              <w:adjustRightInd w:val="0"/>
              <w:snapToGrid w:val="0"/>
            </w:pPr>
            <w:r>
              <w:t>禁配物：强氧化剂、碱类</w:t>
            </w:r>
          </w:p>
        </w:tc>
      </w:tr>
      <w:tr w14:paraId="00EBF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38" w:type="pct"/>
            <w:vMerge w:val="continue"/>
            <w:tcBorders>
              <w:top w:val="single" w:color="auto" w:sz="4" w:space="0"/>
              <w:left w:val="single" w:color="auto" w:sz="4" w:space="0"/>
              <w:bottom w:val="single" w:color="auto" w:sz="4" w:space="0"/>
              <w:right w:val="single" w:color="auto" w:sz="4" w:space="0"/>
            </w:tcBorders>
            <w:vAlign w:val="center"/>
          </w:tcPr>
          <w:p w14:paraId="51705EB9">
            <w:pPr>
              <w:widowControl/>
              <w:adjustRightInd w:val="0"/>
              <w:snapToGrid w:val="0"/>
              <w:jc w:val="left"/>
            </w:pPr>
          </w:p>
        </w:tc>
        <w:tc>
          <w:tcPr>
            <w:tcW w:w="4762" w:type="pct"/>
            <w:gridSpan w:val="6"/>
            <w:tcBorders>
              <w:top w:val="single" w:color="auto" w:sz="4" w:space="0"/>
              <w:left w:val="single" w:color="auto" w:sz="4" w:space="0"/>
              <w:bottom w:val="single" w:color="auto" w:sz="4" w:space="0"/>
              <w:right w:val="single" w:color="auto" w:sz="4" w:space="0"/>
            </w:tcBorders>
            <w:vAlign w:val="center"/>
          </w:tcPr>
          <w:p w14:paraId="14364381">
            <w:pPr>
              <w:adjustRightInd w:val="0"/>
              <w:snapToGrid w:val="0"/>
            </w:pPr>
            <w:r>
              <w:t>危险特性：若遇高热，容器内压增大，有开裂和爆炸的危险</w:t>
            </w:r>
          </w:p>
        </w:tc>
      </w:tr>
      <w:tr w14:paraId="5B6CE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38" w:type="pct"/>
            <w:vMerge w:val="continue"/>
            <w:tcBorders>
              <w:top w:val="single" w:color="auto" w:sz="4" w:space="0"/>
              <w:left w:val="single" w:color="auto" w:sz="4" w:space="0"/>
              <w:bottom w:val="single" w:color="auto" w:sz="4" w:space="0"/>
              <w:right w:val="single" w:color="auto" w:sz="4" w:space="0"/>
            </w:tcBorders>
            <w:vAlign w:val="center"/>
          </w:tcPr>
          <w:p w14:paraId="2A22981A">
            <w:pPr>
              <w:widowControl/>
              <w:adjustRightInd w:val="0"/>
              <w:snapToGrid w:val="0"/>
              <w:jc w:val="left"/>
            </w:pPr>
          </w:p>
        </w:tc>
        <w:tc>
          <w:tcPr>
            <w:tcW w:w="4762" w:type="pct"/>
            <w:gridSpan w:val="6"/>
            <w:tcBorders>
              <w:top w:val="single" w:color="auto" w:sz="4" w:space="0"/>
              <w:left w:val="single" w:color="auto" w:sz="4" w:space="0"/>
              <w:bottom w:val="single" w:color="auto" w:sz="4" w:space="0"/>
              <w:right w:val="single" w:color="auto" w:sz="4" w:space="0"/>
            </w:tcBorders>
            <w:vAlign w:val="center"/>
          </w:tcPr>
          <w:p w14:paraId="2B4CDFDF">
            <w:pPr>
              <w:adjustRightInd w:val="0"/>
              <w:snapToGrid w:val="0"/>
            </w:pPr>
            <w:r>
              <w:t>消防措施：本品不燃。切断气源。喷水冷却容器，可能的话将容器从火场移至空旷处</w:t>
            </w:r>
          </w:p>
        </w:tc>
      </w:tr>
      <w:tr w14:paraId="646EE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 w:type="pct"/>
            <w:tcBorders>
              <w:top w:val="single" w:color="auto" w:sz="4" w:space="0"/>
              <w:left w:val="single" w:color="auto" w:sz="4" w:space="0"/>
              <w:bottom w:val="single" w:color="auto" w:sz="4" w:space="0"/>
              <w:right w:val="single" w:color="auto" w:sz="4" w:space="0"/>
            </w:tcBorders>
            <w:vAlign w:val="center"/>
          </w:tcPr>
          <w:p w14:paraId="50BE63D8">
            <w:pPr>
              <w:adjustRightInd w:val="0"/>
              <w:snapToGrid w:val="0"/>
              <w:jc w:val="center"/>
            </w:pPr>
            <w:r>
              <w:t>毒性</w:t>
            </w:r>
          </w:p>
        </w:tc>
        <w:tc>
          <w:tcPr>
            <w:tcW w:w="4762" w:type="pct"/>
            <w:gridSpan w:val="6"/>
            <w:tcBorders>
              <w:top w:val="single" w:color="auto" w:sz="4" w:space="0"/>
              <w:left w:val="single" w:color="auto" w:sz="4" w:space="0"/>
              <w:bottom w:val="single" w:color="auto" w:sz="4" w:space="0"/>
              <w:right w:val="single" w:color="auto" w:sz="4" w:space="0"/>
            </w:tcBorders>
            <w:vAlign w:val="center"/>
          </w:tcPr>
          <w:p w14:paraId="44CD3B01">
            <w:pPr>
              <w:adjustRightInd w:val="0"/>
              <w:snapToGrid w:val="0"/>
            </w:pPr>
            <w:r>
              <w:t>中国MAC(mg/m</w:t>
            </w:r>
            <w:r>
              <w:rPr>
                <w:vertAlign w:val="superscript"/>
              </w:rPr>
              <w:t>3</w:t>
            </w:r>
            <w:r>
              <w:t>)：30</w:t>
            </w:r>
          </w:p>
          <w:p w14:paraId="4AB605DD">
            <w:pPr>
              <w:adjustRightInd w:val="0"/>
              <w:snapToGrid w:val="0"/>
            </w:pPr>
            <w:r>
              <w:t>前苏联MAC(mg/m</w:t>
            </w:r>
            <w:r>
              <w:rPr>
                <w:vertAlign w:val="superscript"/>
              </w:rPr>
              <w:t>3</w:t>
            </w:r>
            <w:r>
              <w:t>)：20</w:t>
            </w:r>
          </w:p>
          <w:p w14:paraId="0BA18C71">
            <w:pPr>
              <w:adjustRightInd w:val="0"/>
              <w:snapToGrid w:val="0"/>
            </w:pPr>
            <w:r>
              <w:t>TLVTN：OSHA50ppm，57mg/m</w:t>
            </w:r>
            <w:r>
              <w:rPr>
                <w:vertAlign w:val="superscript"/>
              </w:rPr>
              <w:t>3</w:t>
            </w:r>
            <w:r>
              <w:t>；ACGIH25ppm，29mg/m</w:t>
            </w:r>
            <w:r>
              <w:rPr>
                <w:vertAlign w:val="superscript"/>
              </w:rPr>
              <w:t>3</w:t>
            </w:r>
          </w:p>
        </w:tc>
      </w:tr>
      <w:tr w14:paraId="14FF4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 w:type="pct"/>
            <w:tcBorders>
              <w:top w:val="single" w:color="auto" w:sz="4" w:space="0"/>
              <w:left w:val="single" w:color="auto" w:sz="4" w:space="0"/>
              <w:bottom w:val="single" w:color="auto" w:sz="4" w:space="0"/>
              <w:right w:val="single" w:color="auto" w:sz="4" w:space="0"/>
            </w:tcBorders>
            <w:vAlign w:val="center"/>
          </w:tcPr>
          <w:p w14:paraId="76A01526">
            <w:pPr>
              <w:adjustRightInd w:val="0"/>
              <w:snapToGrid w:val="0"/>
              <w:jc w:val="center"/>
            </w:pPr>
            <w:r>
              <w:t>危险性概述</w:t>
            </w:r>
          </w:p>
        </w:tc>
        <w:tc>
          <w:tcPr>
            <w:tcW w:w="4762" w:type="pct"/>
            <w:gridSpan w:val="6"/>
            <w:tcBorders>
              <w:top w:val="single" w:color="auto" w:sz="4" w:space="0"/>
              <w:left w:val="single" w:color="auto" w:sz="4" w:space="0"/>
              <w:bottom w:val="single" w:color="auto" w:sz="4" w:space="0"/>
              <w:right w:val="single" w:color="auto" w:sz="4" w:space="0"/>
            </w:tcBorders>
            <w:vAlign w:val="center"/>
          </w:tcPr>
          <w:p w14:paraId="47736C3E">
            <w:pPr>
              <w:adjustRightInd w:val="0"/>
              <w:snapToGrid w:val="0"/>
            </w:pPr>
            <w:r>
              <w:t>侵入途径：吸入</w:t>
            </w:r>
          </w:p>
          <w:p w14:paraId="452DBA18">
            <w:pPr>
              <w:adjustRightInd w:val="0"/>
              <w:snapToGrid w:val="0"/>
            </w:pPr>
            <w:r>
              <w:t>健康危害：一氧化碳在血中与血红蛋白结合而造成组织缺氧。急性中毒：轻度中毒者出现头痛、头晕、耳鸣、心悸、恶心、呕吐、无力，血液碳氧血红蛋白浓度可高于10％；中度中毒者除上述症状外，还有皮肤粘膜呈樱红色、脉快、烦躁、步态不稳、浅至中度昏迷，血液碳氧血红蛋白浓度可高于30％；重度患者深度昏迷、瞳孔缩小、肌张力增强、频繁抽搐、大小便失禁、休克、肺水肿、严重心肌损害等，血液碳氧血红蛋白可高于50％。部分患者昏迷苏醒后，约经2～60天的症状缓解期后，又可能出现迟发性脑病，以意识精神障碍、锥体系或锥体外系损害为主。慢性影响：能否造成慢性中毒及对心血管影响无定论。</w:t>
            </w:r>
          </w:p>
          <w:p w14:paraId="3A4A136A">
            <w:pPr>
              <w:adjustRightInd w:val="0"/>
              <w:snapToGrid w:val="0"/>
            </w:pPr>
            <w:r>
              <w:t>环境危害：对环境有危害，对水体、土壤和大气可造成污染。</w:t>
            </w:r>
          </w:p>
        </w:tc>
      </w:tr>
      <w:tr w14:paraId="34FB9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 w:type="pct"/>
            <w:tcBorders>
              <w:top w:val="single" w:color="auto" w:sz="4" w:space="0"/>
              <w:left w:val="single" w:color="auto" w:sz="4" w:space="0"/>
              <w:bottom w:val="single" w:color="auto" w:sz="4" w:space="0"/>
              <w:right w:val="single" w:color="auto" w:sz="4" w:space="0"/>
            </w:tcBorders>
            <w:vAlign w:val="center"/>
          </w:tcPr>
          <w:p w14:paraId="5FBE89D2">
            <w:pPr>
              <w:adjustRightInd w:val="0"/>
              <w:snapToGrid w:val="0"/>
              <w:jc w:val="center"/>
            </w:pPr>
            <w:r>
              <w:t>急救</w:t>
            </w:r>
          </w:p>
        </w:tc>
        <w:tc>
          <w:tcPr>
            <w:tcW w:w="4762" w:type="pct"/>
            <w:gridSpan w:val="6"/>
            <w:tcBorders>
              <w:top w:val="single" w:color="auto" w:sz="4" w:space="0"/>
              <w:left w:val="single" w:color="auto" w:sz="4" w:space="0"/>
              <w:bottom w:val="single" w:color="auto" w:sz="4" w:space="0"/>
              <w:right w:val="single" w:color="auto" w:sz="4" w:space="0"/>
            </w:tcBorders>
            <w:vAlign w:val="center"/>
          </w:tcPr>
          <w:p w14:paraId="15CE6DA7">
            <w:pPr>
              <w:adjustRightInd w:val="0"/>
              <w:snapToGrid w:val="0"/>
            </w:pPr>
            <w:r>
              <w:t>吸入：迅速脱离现场至空气新鲜处。保持呼吸道通畅。如呼吸困难，给输氧。呼吸心跳停止时，立即进行人工呼吸和胸外心脏按压术。就医。</w:t>
            </w:r>
          </w:p>
        </w:tc>
      </w:tr>
      <w:tr w14:paraId="4DC0F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7" w:hRule="atLeast"/>
        </w:trPr>
        <w:tc>
          <w:tcPr>
            <w:tcW w:w="238" w:type="pct"/>
            <w:tcBorders>
              <w:top w:val="single" w:color="auto" w:sz="4" w:space="0"/>
              <w:left w:val="single" w:color="auto" w:sz="4" w:space="0"/>
              <w:bottom w:val="single" w:color="auto" w:sz="4" w:space="0"/>
              <w:right w:val="single" w:color="auto" w:sz="4" w:space="0"/>
            </w:tcBorders>
            <w:vAlign w:val="center"/>
          </w:tcPr>
          <w:p w14:paraId="42B22142">
            <w:pPr>
              <w:adjustRightInd w:val="0"/>
              <w:snapToGrid w:val="0"/>
              <w:jc w:val="center"/>
            </w:pPr>
            <w:r>
              <w:t>防护</w:t>
            </w:r>
          </w:p>
        </w:tc>
        <w:tc>
          <w:tcPr>
            <w:tcW w:w="4762" w:type="pct"/>
            <w:gridSpan w:val="6"/>
            <w:tcBorders>
              <w:top w:val="single" w:color="auto" w:sz="4" w:space="0"/>
              <w:left w:val="single" w:color="auto" w:sz="4" w:space="0"/>
              <w:bottom w:val="single" w:color="auto" w:sz="4" w:space="0"/>
              <w:right w:val="single" w:color="auto" w:sz="4" w:space="0"/>
            </w:tcBorders>
            <w:vAlign w:val="center"/>
          </w:tcPr>
          <w:p w14:paraId="63501D62">
            <w:pPr>
              <w:adjustRightInd w:val="0"/>
              <w:snapToGrid w:val="0"/>
            </w:pPr>
            <w:r>
              <w:t>工程控制：严加密闭，提供充分的局部排风和全面通风。生产生活用气必须分路。</w:t>
            </w:r>
          </w:p>
          <w:p w14:paraId="47269F89">
            <w:pPr>
              <w:adjustRightInd w:val="0"/>
              <w:snapToGrid w:val="0"/>
            </w:pPr>
            <w:r>
              <w:t>呼吸系统防护：空气中浓度超标时，佩戴自吸过滤式防毒面具(半面罩)。紧急事态抢救或撤离时，建议佩戴空气呼吸器、一氧化碳过滤式自救器。</w:t>
            </w:r>
          </w:p>
          <w:p w14:paraId="797BE556">
            <w:pPr>
              <w:adjustRightInd w:val="0"/>
              <w:snapToGrid w:val="0"/>
            </w:pPr>
            <w:r>
              <w:t>眼睛防护：一般不需特殊防护。</w:t>
            </w:r>
          </w:p>
          <w:p w14:paraId="049BA616">
            <w:pPr>
              <w:adjustRightInd w:val="0"/>
              <w:snapToGrid w:val="0"/>
            </w:pPr>
            <w:r>
              <w:t>身体防护：穿防静电工作服。</w:t>
            </w:r>
          </w:p>
          <w:p w14:paraId="67680A4F">
            <w:pPr>
              <w:adjustRightInd w:val="0"/>
              <w:snapToGrid w:val="0"/>
            </w:pPr>
            <w:r>
              <w:t>手防护：戴一般作业防护手套。</w:t>
            </w:r>
          </w:p>
          <w:p w14:paraId="7BF1D507">
            <w:pPr>
              <w:adjustRightInd w:val="0"/>
              <w:snapToGrid w:val="0"/>
            </w:pPr>
            <w:r>
              <w:t>其他防护：工作现场严禁吸烟。实行就业前和定期的体检。避免高浓度吸入。进入罐、限制性空间或其它高浓度区作业，须有人监护。</w:t>
            </w:r>
          </w:p>
        </w:tc>
      </w:tr>
      <w:tr w14:paraId="7BF46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 w:type="pct"/>
            <w:tcBorders>
              <w:top w:val="single" w:color="auto" w:sz="4" w:space="0"/>
              <w:left w:val="single" w:color="auto" w:sz="4" w:space="0"/>
              <w:bottom w:val="single" w:color="auto" w:sz="4" w:space="0"/>
              <w:right w:val="single" w:color="auto" w:sz="4" w:space="0"/>
            </w:tcBorders>
            <w:vAlign w:val="center"/>
          </w:tcPr>
          <w:p w14:paraId="045F3683">
            <w:pPr>
              <w:adjustRightInd w:val="0"/>
              <w:snapToGrid w:val="0"/>
              <w:jc w:val="center"/>
            </w:pPr>
            <w:r>
              <w:t>泄漏处理</w:t>
            </w:r>
          </w:p>
        </w:tc>
        <w:tc>
          <w:tcPr>
            <w:tcW w:w="4762" w:type="pct"/>
            <w:gridSpan w:val="6"/>
            <w:tcBorders>
              <w:top w:val="single" w:color="auto" w:sz="4" w:space="0"/>
              <w:left w:val="single" w:color="auto" w:sz="4" w:space="0"/>
              <w:bottom w:val="single" w:color="auto" w:sz="4" w:space="0"/>
              <w:right w:val="single" w:color="auto" w:sz="4" w:space="0"/>
            </w:tcBorders>
            <w:vAlign w:val="center"/>
          </w:tcPr>
          <w:p w14:paraId="71453850">
            <w:pPr>
              <w:adjustRightInd w:val="0"/>
              <w:snapToGrid w:val="0"/>
            </w:pPr>
            <w:r>
              <w:t>应急处理：迅速撤离泄漏污染区人员至上风处，并立即隔离150m，严格限制出入。切断火源。建议应急处理人员戴自给正压式呼吸器，穿防静电工作服。尽可能切断泄漏源。合理通风，加速扩散。喷雾状水稀释、溶解。构筑围堤或挖坑收容产生的大量废水。如有可能，将漏出气用排风机送至空旷地方或装设适当喷头烧掉。漏气容器要妥善处理，修复、检验后再用。</w:t>
            </w:r>
          </w:p>
        </w:tc>
      </w:tr>
      <w:tr w14:paraId="14308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 w:type="pct"/>
            <w:tcBorders>
              <w:top w:val="single" w:color="auto" w:sz="4" w:space="0"/>
              <w:left w:val="single" w:color="auto" w:sz="4" w:space="0"/>
              <w:bottom w:val="single" w:color="auto" w:sz="4" w:space="0"/>
              <w:right w:val="single" w:color="auto" w:sz="4" w:space="0"/>
            </w:tcBorders>
            <w:vAlign w:val="center"/>
          </w:tcPr>
          <w:p w14:paraId="48469805">
            <w:pPr>
              <w:adjustRightInd w:val="0"/>
              <w:snapToGrid w:val="0"/>
              <w:jc w:val="center"/>
            </w:pPr>
            <w:r>
              <w:t>操作处置与储存</w:t>
            </w:r>
          </w:p>
        </w:tc>
        <w:tc>
          <w:tcPr>
            <w:tcW w:w="4762" w:type="pct"/>
            <w:gridSpan w:val="6"/>
            <w:tcBorders>
              <w:top w:val="single" w:color="auto" w:sz="4" w:space="0"/>
              <w:left w:val="single" w:color="auto" w:sz="4" w:space="0"/>
              <w:bottom w:val="single" w:color="auto" w:sz="4" w:space="0"/>
              <w:right w:val="single" w:color="auto" w:sz="4" w:space="0"/>
            </w:tcBorders>
            <w:vAlign w:val="center"/>
          </w:tcPr>
          <w:p w14:paraId="5935A92F">
            <w:pPr>
              <w:adjustRightInd w:val="0"/>
              <w:snapToGrid w:val="0"/>
            </w:pPr>
            <w:r>
              <w:t>操作注意事项：严加密闭，提供充分的局部排风和全面通风。操作人员必须经过专门培训，严格遵守操作规程。建议操作人员佩戴自吸过滤式防毒面具(半面罩)，穿防静电工作服。远离火种、热源，工作场所严禁吸烟。使用防爆型的通风系统和设备。防止气体泄漏到工作场所空气中。避免与氧化剂、碱类接触。在传送过程中，钢瓶和容器必须接地和跨接，防止产生静电。搬运时轻装轻卸，防止钢瓶及附件破损。配备相应品种和数量的消防器材及泄漏应急处理设备。</w:t>
            </w:r>
          </w:p>
          <w:p w14:paraId="7FF5AFE8">
            <w:pPr>
              <w:adjustRightInd w:val="0"/>
              <w:snapToGrid w:val="0"/>
            </w:pPr>
            <w:r>
              <w:t>储存注意事项：储存于阴凉、通风的库房。远离火种、热源。库温不宜超过30℃。应与氧化剂、碱类、食用化学品分开存放，切忌混储。采用防爆型照明、通风设施。禁止使用易产生火花的机械设备和工具。储区应备有泄漏应急处理设备。</w:t>
            </w:r>
          </w:p>
        </w:tc>
      </w:tr>
    </w:tbl>
    <w:p w14:paraId="7F73EE1C">
      <w:pPr>
        <w:pStyle w:val="234"/>
        <w:spacing w:before="48" w:after="48"/>
        <w:ind w:firstLine="482"/>
        <w:rPr>
          <w:b/>
          <w:bCs/>
        </w:rPr>
      </w:pPr>
      <w:r>
        <w:rPr>
          <w:b/>
          <w:bCs/>
        </w:rPr>
        <w:t>（</w:t>
      </w:r>
      <w:r>
        <w:rPr>
          <w:rFonts w:hint="eastAsia"/>
          <w:b/>
          <w:bCs/>
        </w:rPr>
        <w:t>3</w:t>
      </w:r>
      <w:r>
        <w:rPr>
          <w:b/>
          <w:bCs/>
        </w:rPr>
        <w:t>）</w:t>
      </w:r>
      <w:r>
        <w:rPr>
          <w:rFonts w:hint="eastAsia"/>
          <w:b/>
          <w:bCs/>
        </w:rPr>
        <w:t>柴油</w:t>
      </w:r>
    </w:p>
    <w:p w14:paraId="6BE513A1">
      <w:pPr>
        <w:pStyle w:val="234"/>
        <w:spacing w:before="48" w:after="48"/>
      </w:pPr>
      <w:r>
        <w:rPr>
          <w:rFonts w:hint="eastAsia"/>
        </w:rPr>
        <w:t>本工程运行期场站备用柴油发电机及柴油暂存，</w:t>
      </w:r>
      <w:r>
        <w:t>按照《石油天然气工程设计防火规范》(GB50183-2004)，</w:t>
      </w:r>
      <w:r>
        <w:rPr>
          <w:rFonts w:hint="eastAsia"/>
        </w:rPr>
        <w:t>柴油</w:t>
      </w:r>
      <w:r>
        <w:t>属于</w:t>
      </w:r>
      <w:r>
        <w:rPr>
          <w:rFonts w:hint="eastAsia"/>
        </w:rPr>
        <w:t>乙</w:t>
      </w:r>
      <w:r>
        <w:t>B类火灾危险物质</w:t>
      </w:r>
      <w:r>
        <w:rPr>
          <w:rFonts w:hint="eastAsia"/>
        </w:rPr>
        <w:t>，属易燃液体。</w:t>
      </w:r>
    </w:p>
    <w:p w14:paraId="7AF68763">
      <w:pPr>
        <w:pStyle w:val="904"/>
      </w:pPr>
      <w:r>
        <w:t xml:space="preserve">表 </w:t>
      </w:r>
      <w:r>
        <w:fldChar w:fldCharType="begin"/>
      </w:r>
      <w:r>
        <w:instrText xml:space="preserve"> STYLEREF 2 \s </w:instrText>
      </w:r>
      <w:r>
        <w:fldChar w:fldCharType="separate"/>
      </w:r>
      <w:r>
        <w:t>7.3</w:t>
      </w:r>
      <w:r>
        <w:fldChar w:fldCharType="end"/>
      </w:r>
      <w:r>
        <w:noBreakHyphen/>
      </w:r>
      <w:r>
        <w:rPr>
          <w:rFonts w:hint="eastAsia"/>
        </w:rPr>
        <w:t>3柴油</w:t>
      </w:r>
      <w:r>
        <w:t>理化性质及危险特性一览表</w:t>
      </w:r>
    </w:p>
    <w:tbl>
      <w:tblPr>
        <w:tblStyle w:val="88"/>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51"/>
        <w:gridCol w:w="2301"/>
        <w:gridCol w:w="806"/>
        <w:gridCol w:w="1320"/>
        <w:gridCol w:w="793"/>
        <w:gridCol w:w="2689"/>
      </w:tblGrid>
      <w:tr w14:paraId="29FEE0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51" w:type="dxa"/>
            <w:tcBorders>
              <w:top w:val="single" w:color="000000" w:sz="4" w:space="0"/>
              <w:left w:val="single" w:color="000000" w:sz="4" w:space="0"/>
              <w:bottom w:val="single" w:color="000000" w:sz="4" w:space="0"/>
              <w:right w:val="single" w:color="000000" w:sz="4" w:space="0"/>
            </w:tcBorders>
            <w:vAlign w:val="center"/>
          </w:tcPr>
          <w:p w14:paraId="3ADF3208">
            <w:pPr>
              <w:pStyle w:val="1343"/>
            </w:pPr>
            <w:r>
              <w:t>项目</w:t>
            </w:r>
          </w:p>
        </w:tc>
        <w:tc>
          <w:tcPr>
            <w:tcW w:w="7909" w:type="dxa"/>
            <w:gridSpan w:val="5"/>
            <w:tcBorders>
              <w:top w:val="single" w:color="000000" w:sz="4" w:space="0"/>
              <w:left w:val="single" w:color="000000" w:sz="4" w:space="0"/>
              <w:bottom w:val="single" w:color="auto" w:sz="4" w:space="0"/>
              <w:right w:val="single" w:color="000000" w:sz="4" w:space="0"/>
            </w:tcBorders>
            <w:vAlign w:val="center"/>
          </w:tcPr>
          <w:p w14:paraId="5C28E516">
            <w:pPr>
              <w:pStyle w:val="1343"/>
            </w:pPr>
            <w:r>
              <w:t>特性描述</w:t>
            </w:r>
          </w:p>
        </w:tc>
      </w:tr>
      <w:tr w14:paraId="15C976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51" w:type="dxa"/>
            <w:tcBorders>
              <w:top w:val="single" w:color="000000" w:sz="4" w:space="0"/>
              <w:left w:val="single" w:color="000000" w:sz="4" w:space="0"/>
              <w:bottom w:val="single" w:color="000000" w:sz="4" w:space="0"/>
              <w:right w:val="single" w:color="000000" w:sz="4" w:space="0"/>
            </w:tcBorders>
            <w:vAlign w:val="center"/>
          </w:tcPr>
          <w:p w14:paraId="17C54141">
            <w:pPr>
              <w:pStyle w:val="1343"/>
            </w:pPr>
            <w:r>
              <w:t>物质名称</w:t>
            </w:r>
          </w:p>
        </w:tc>
        <w:tc>
          <w:tcPr>
            <w:tcW w:w="7909" w:type="dxa"/>
            <w:gridSpan w:val="5"/>
            <w:tcBorders>
              <w:top w:val="single" w:color="auto" w:sz="4" w:space="0"/>
              <w:left w:val="single" w:color="000000" w:sz="4" w:space="0"/>
              <w:bottom w:val="single" w:color="000000" w:sz="4" w:space="0"/>
              <w:right w:val="single" w:color="000000" w:sz="4" w:space="0"/>
            </w:tcBorders>
            <w:vAlign w:val="center"/>
          </w:tcPr>
          <w:p w14:paraId="74481C4E">
            <w:pPr>
              <w:pStyle w:val="1343"/>
              <w:jc w:val="both"/>
            </w:pPr>
            <w:r>
              <w:t>化学品中文名称：</w:t>
            </w:r>
            <w:r>
              <w:rPr>
                <w:rFonts w:hint="eastAsia"/>
              </w:rPr>
              <w:t>柴油</w:t>
            </w:r>
            <w:r>
              <w:tab/>
            </w:r>
            <w:r>
              <w:rPr>
                <w:rFonts w:hint="eastAsia"/>
              </w:rPr>
              <w:t xml:space="preserve">    </w:t>
            </w:r>
            <w:r>
              <w:t>化学品英文名称：</w:t>
            </w:r>
            <w:r>
              <w:rPr>
                <w:rFonts w:hint="eastAsia"/>
              </w:rPr>
              <w:t xml:space="preserve">Diesel oil    </w:t>
            </w:r>
            <w:r>
              <w:t>CASNo.：</w:t>
            </w:r>
          </w:p>
        </w:tc>
      </w:tr>
      <w:tr w14:paraId="55FAE2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51" w:type="dxa"/>
            <w:vMerge w:val="restart"/>
            <w:tcBorders>
              <w:top w:val="single" w:color="000000" w:sz="4" w:space="0"/>
              <w:left w:val="single" w:color="000000" w:sz="4" w:space="0"/>
              <w:right w:val="single" w:color="000000" w:sz="4" w:space="0"/>
            </w:tcBorders>
            <w:vAlign w:val="center"/>
          </w:tcPr>
          <w:p w14:paraId="758B8BF1">
            <w:pPr>
              <w:pStyle w:val="1343"/>
            </w:pPr>
            <w:r>
              <w:t>理化</w:t>
            </w:r>
            <w:r>
              <w:rPr>
                <w:spacing w:val="-2"/>
              </w:rPr>
              <w:t>性</w:t>
            </w:r>
            <w:r>
              <w:t>质</w:t>
            </w:r>
          </w:p>
        </w:tc>
        <w:tc>
          <w:tcPr>
            <w:tcW w:w="2301" w:type="dxa"/>
            <w:tcBorders>
              <w:top w:val="single" w:color="000000" w:sz="4" w:space="0"/>
              <w:left w:val="single" w:color="000000" w:sz="4" w:space="0"/>
              <w:bottom w:val="single" w:color="auto" w:sz="4" w:space="0"/>
              <w:right w:val="single" w:color="auto" w:sz="4" w:space="0"/>
            </w:tcBorders>
            <w:vAlign w:val="center"/>
          </w:tcPr>
          <w:p w14:paraId="2C0D19E4">
            <w:pPr>
              <w:pStyle w:val="1343"/>
              <w:jc w:val="both"/>
            </w:pPr>
            <w:r>
              <w:rPr>
                <w:position w:val="1"/>
              </w:rPr>
              <w:t>分子</w:t>
            </w:r>
            <w:r>
              <w:rPr>
                <w:spacing w:val="-2"/>
                <w:position w:val="1"/>
              </w:rPr>
              <w:t>式</w:t>
            </w:r>
            <w:r>
              <w:rPr>
                <w:spacing w:val="-36"/>
                <w:position w:val="1"/>
              </w:rPr>
              <w:t>：</w:t>
            </w:r>
          </w:p>
        </w:tc>
        <w:tc>
          <w:tcPr>
            <w:tcW w:w="2126" w:type="dxa"/>
            <w:gridSpan w:val="2"/>
            <w:tcBorders>
              <w:top w:val="single" w:color="000000" w:sz="4" w:space="0"/>
              <w:left w:val="single" w:color="auto" w:sz="4" w:space="0"/>
              <w:bottom w:val="single" w:color="auto" w:sz="4" w:space="0"/>
              <w:right w:val="single" w:color="auto" w:sz="4" w:space="0"/>
            </w:tcBorders>
            <w:vAlign w:val="center"/>
          </w:tcPr>
          <w:p w14:paraId="0D1C02B1">
            <w:pPr>
              <w:pStyle w:val="1343"/>
              <w:jc w:val="both"/>
            </w:pPr>
            <w:r>
              <w:rPr>
                <w:position w:val="1"/>
              </w:rPr>
              <w:t>分子量</w:t>
            </w:r>
            <w:r>
              <w:rPr>
                <w:spacing w:val="-34"/>
                <w:position w:val="1"/>
              </w:rPr>
              <w:t>：</w:t>
            </w:r>
          </w:p>
        </w:tc>
        <w:tc>
          <w:tcPr>
            <w:tcW w:w="3482" w:type="dxa"/>
            <w:gridSpan w:val="2"/>
            <w:tcBorders>
              <w:top w:val="single" w:color="000000" w:sz="4" w:space="0"/>
              <w:left w:val="single" w:color="auto" w:sz="4" w:space="0"/>
              <w:bottom w:val="single" w:color="auto" w:sz="4" w:space="0"/>
              <w:right w:val="single" w:color="000000" w:sz="4" w:space="0"/>
            </w:tcBorders>
            <w:vAlign w:val="center"/>
          </w:tcPr>
          <w:p w14:paraId="3E29A798">
            <w:pPr>
              <w:pStyle w:val="1343"/>
              <w:jc w:val="both"/>
            </w:pPr>
            <w:r>
              <w:rPr>
                <w:position w:val="1"/>
              </w:rPr>
              <w:t>外观与</w:t>
            </w:r>
            <w:r>
              <w:rPr>
                <w:spacing w:val="-2"/>
                <w:position w:val="1"/>
              </w:rPr>
              <w:t>性</w:t>
            </w:r>
            <w:r>
              <w:rPr>
                <w:position w:val="1"/>
              </w:rPr>
              <w:t>状：</w:t>
            </w:r>
            <w:r>
              <w:rPr>
                <w:rFonts w:hint="eastAsia"/>
                <w:spacing w:val="-2"/>
                <w:position w:val="1"/>
              </w:rPr>
              <w:t>稍有粘性的棕色液体</w:t>
            </w:r>
          </w:p>
        </w:tc>
      </w:tr>
      <w:tr w14:paraId="1430EA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51" w:type="dxa"/>
            <w:vMerge w:val="continue"/>
            <w:tcBorders>
              <w:left w:val="single" w:color="000000" w:sz="4" w:space="0"/>
              <w:right w:val="single" w:color="000000" w:sz="4" w:space="0"/>
            </w:tcBorders>
            <w:vAlign w:val="center"/>
          </w:tcPr>
          <w:p w14:paraId="32ED29CE">
            <w:pPr>
              <w:pStyle w:val="1343"/>
            </w:pPr>
          </w:p>
        </w:tc>
        <w:tc>
          <w:tcPr>
            <w:tcW w:w="2301" w:type="dxa"/>
            <w:tcBorders>
              <w:top w:val="single" w:color="auto" w:sz="4" w:space="0"/>
              <w:left w:val="single" w:color="000000" w:sz="4" w:space="0"/>
              <w:bottom w:val="single" w:color="auto" w:sz="4" w:space="0"/>
              <w:right w:val="single" w:color="auto" w:sz="4" w:space="0"/>
            </w:tcBorders>
            <w:vAlign w:val="center"/>
          </w:tcPr>
          <w:p w14:paraId="43E59EC2">
            <w:pPr>
              <w:pStyle w:val="1343"/>
              <w:jc w:val="both"/>
              <w:rPr>
                <w:position w:val="1"/>
              </w:rPr>
            </w:pPr>
            <w:r>
              <w:rPr>
                <w:position w:val="-1"/>
              </w:rPr>
              <w:t>熔点</w:t>
            </w:r>
            <w:r>
              <w:rPr>
                <w:spacing w:val="-1"/>
                <w:position w:val="-1"/>
              </w:rPr>
              <w:t>(</w:t>
            </w:r>
            <w:r>
              <w:rPr>
                <w:position w:val="-1"/>
              </w:rPr>
              <w:t>℃</w:t>
            </w:r>
            <w:r>
              <w:rPr>
                <w:spacing w:val="-3"/>
                <w:position w:val="-1"/>
              </w:rPr>
              <w:t>)</w:t>
            </w:r>
            <w:r>
              <w:rPr>
                <w:spacing w:val="1"/>
                <w:position w:val="-1"/>
              </w:rPr>
              <w:t>：</w:t>
            </w:r>
            <w:r>
              <w:rPr>
                <w:spacing w:val="-1"/>
                <w:position w:val="-1"/>
              </w:rPr>
              <w:t>-</w:t>
            </w:r>
            <w:r>
              <w:rPr>
                <w:position w:val="-1"/>
              </w:rPr>
              <w:t>1</w:t>
            </w:r>
            <w:r>
              <w:rPr>
                <w:spacing w:val="-2"/>
                <w:position w:val="-1"/>
              </w:rPr>
              <w:t>8</w:t>
            </w:r>
          </w:p>
        </w:tc>
        <w:tc>
          <w:tcPr>
            <w:tcW w:w="2126" w:type="dxa"/>
            <w:gridSpan w:val="2"/>
            <w:tcBorders>
              <w:top w:val="single" w:color="auto" w:sz="4" w:space="0"/>
              <w:left w:val="single" w:color="auto" w:sz="4" w:space="0"/>
              <w:bottom w:val="single" w:color="auto" w:sz="4" w:space="0"/>
              <w:right w:val="single" w:color="auto" w:sz="4" w:space="0"/>
            </w:tcBorders>
            <w:vAlign w:val="center"/>
          </w:tcPr>
          <w:p w14:paraId="1CEA6433">
            <w:pPr>
              <w:pStyle w:val="1343"/>
              <w:jc w:val="both"/>
              <w:rPr>
                <w:position w:val="1"/>
              </w:rPr>
            </w:pPr>
            <w:r>
              <w:rPr>
                <w:position w:val="-1"/>
              </w:rPr>
              <w:t>沸点</w:t>
            </w:r>
            <w:r>
              <w:rPr>
                <w:spacing w:val="-1"/>
                <w:position w:val="-1"/>
              </w:rPr>
              <w:t>(</w:t>
            </w:r>
            <w:r>
              <w:rPr>
                <w:position w:val="-1"/>
              </w:rPr>
              <w:t>℃</w:t>
            </w:r>
            <w:r>
              <w:rPr>
                <w:spacing w:val="-1"/>
                <w:position w:val="-1"/>
              </w:rPr>
              <w:t>)</w:t>
            </w:r>
            <w:r>
              <w:rPr>
                <w:position w:val="-1"/>
              </w:rPr>
              <w:t>：</w:t>
            </w:r>
            <w:r>
              <w:rPr>
                <w:rFonts w:hint="eastAsia"/>
                <w:spacing w:val="-1"/>
                <w:position w:val="-1"/>
              </w:rPr>
              <w:t>282-338</w:t>
            </w:r>
            <w:r>
              <w:rPr>
                <w:rFonts w:hint="eastAsia"/>
                <w:position w:val="-1"/>
              </w:rPr>
              <w:t xml:space="preserve">    </w:t>
            </w:r>
          </w:p>
        </w:tc>
        <w:tc>
          <w:tcPr>
            <w:tcW w:w="3482" w:type="dxa"/>
            <w:gridSpan w:val="2"/>
            <w:tcBorders>
              <w:top w:val="single" w:color="auto" w:sz="4" w:space="0"/>
              <w:left w:val="single" w:color="auto" w:sz="4" w:space="0"/>
              <w:bottom w:val="single" w:color="auto" w:sz="4" w:space="0"/>
              <w:right w:val="single" w:color="000000" w:sz="4" w:space="0"/>
            </w:tcBorders>
            <w:vAlign w:val="center"/>
          </w:tcPr>
          <w:p w14:paraId="4C6FF2EF">
            <w:pPr>
              <w:pStyle w:val="1343"/>
              <w:jc w:val="both"/>
              <w:rPr>
                <w:position w:val="1"/>
              </w:rPr>
            </w:pPr>
            <w:r>
              <w:rPr>
                <w:position w:val="-1"/>
              </w:rPr>
              <w:t>相对密度</w:t>
            </w:r>
            <w:r>
              <w:rPr>
                <w:spacing w:val="-3"/>
                <w:position w:val="-1"/>
              </w:rPr>
              <w:t>(</w:t>
            </w:r>
            <w:r>
              <w:rPr>
                <w:position w:val="-1"/>
              </w:rPr>
              <w:t>水</w:t>
            </w:r>
            <w:r>
              <w:rPr>
                <w:spacing w:val="-1"/>
                <w:position w:val="-1"/>
              </w:rPr>
              <w:t>=</w:t>
            </w:r>
            <w:r>
              <w:rPr>
                <w:position w:val="-1"/>
              </w:rPr>
              <w:t>1</w:t>
            </w:r>
            <w:r>
              <w:rPr>
                <w:spacing w:val="-1"/>
                <w:position w:val="-1"/>
              </w:rPr>
              <w:t>)</w:t>
            </w:r>
            <w:r>
              <w:rPr>
                <w:position w:val="-1"/>
              </w:rPr>
              <w:t>：0</w:t>
            </w:r>
            <w:r>
              <w:rPr>
                <w:spacing w:val="-1"/>
                <w:position w:val="-1"/>
              </w:rPr>
              <w:t>.</w:t>
            </w:r>
            <w:r>
              <w:rPr>
                <w:rFonts w:hint="eastAsia"/>
                <w:spacing w:val="-2"/>
                <w:position w:val="-1"/>
              </w:rPr>
              <w:t>87-0.9</w:t>
            </w:r>
          </w:p>
        </w:tc>
      </w:tr>
      <w:tr w14:paraId="5ADBA2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51" w:type="dxa"/>
            <w:vMerge w:val="continue"/>
            <w:tcBorders>
              <w:left w:val="single" w:color="000000" w:sz="4" w:space="0"/>
              <w:right w:val="single" w:color="000000" w:sz="4" w:space="0"/>
            </w:tcBorders>
            <w:vAlign w:val="center"/>
          </w:tcPr>
          <w:p w14:paraId="73D57C6A">
            <w:pPr>
              <w:pStyle w:val="1343"/>
            </w:pPr>
          </w:p>
        </w:tc>
        <w:tc>
          <w:tcPr>
            <w:tcW w:w="3107" w:type="dxa"/>
            <w:gridSpan w:val="2"/>
            <w:tcBorders>
              <w:top w:val="single" w:color="auto" w:sz="4" w:space="0"/>
              <w:left w:val="single" w:color="000000" w:sz="4" w:space="0"/>
              <w:bottom w:val="single" w:color="auto" w:sz="4" w:space="0"/>
              <w:right w:val="single" w:color="auto" w:sz="4" w:space="0"/>
            </w:tcBorders>
            <w:vAlign w:val="center"/>
          </w:tcPr>
          <w:p w14:paraId="1F993945">
            <w:pPr>
              <w:pStyle w:val="1343"/>
              <w:jc w:val="both"/>
            </w:pPr>
            <w:r>
              <w:rPr>
                <w:position w:val="-1"/>
              </w:rPr>
              <w:t>相对</w:t>
            </w:r>
            <w:r>
              <w:rPr>
                <w:spacing w:val="-2"/>
                <w:position w:val="-1"/>
              </w:rPr>
              <w:t>蒸</w:t>
            </w:r>
            <w:r>
              <w:rPr>
                <w:position w:val="-1"/>
              </w:rPr>
              <w:t>气</w:t>
            </w:r>
            <w:r>
              <w:rPr>
                <w:spacing w:val="-2"/>
                <w:position w:val="-1"/>
              </w:rPr>
              <w:t>密</w:t>
            </w:r>
            <w:r>
              <w:rPr>
                <w:position w:val="-1"/>
              </w:rPr>
              <w:t>度</w:t>
            </w:r>
            <w:r>
              <w:rPr>
                <w:spacing w:val="-1"/>
                <w:position w:val="-1"/>
              </w:rPr>
              <w:t>(</w:t>
            </w:r>
            <w:r>
              <w:rPr>
                <w:spacing w:val="-2"/>
                <w:position w:val="-1"/>
              </w:rPr>
              <w:t>空</w:t>
            </w:r>
            <w:r>
              <w:rPr>
                <w:position w:val="-1"/>
              </w:rPr>
              <w:t>气</w:t>
            </w:r>
            <w:r>
              <w:rPr>
                <w:spacing w:val="-1"/>
                <w:position w:val="-1"/>
              </w:rPr>
              <w:t>=</w:t>
            </w:r>
            <w:r>
              <w:rPr>
                <w:position w:val="-1"/>
              </w:rPr>
              <w:t>1</w:t>
            </w:r>
            <w:r>
              <w:rPr>
                <w:spacing w:val="-1"/>
                <w:position w:val="-1"/>
              </w:rPr>
              <w:t>)</w:t>
            </w:r>
            <w:r>
              <w:rPr>
                <w:spacing w:val="-2"/>
                <w:position w:val="-1"/>
              </w:rPr>
              <w:t>：</w:t>
            </w:r>
            <w:r>
              <w:rPr>
                <w:rFonts w:hint="eastAsia"/>
                <w:spacing w:val="-2"/>
                <w:position w:val="-1"/>
              </w:rPr>
              <w:t>1.59-4</w:t>
            </w:r>
          </w:p>
        </w:tc>
        <w:tc>
          <w:tcPr>
            <w:tcW w:w="4802" w:type="dxa"/>
            <w:gridSpan w:val="3"/>
            <w:tcBorders>
              <w:top w:val="single" w:color="auto" w:sz="4" w:space="0"/>
              <w:left w:val="single" w:color="auto" w:sz="4" w:space="0"/>
              <w:bottom w:val="single" w:color="auto" w:sz="4" w:space="0"/>
              <w:right w:val="single" w:color="000000" w:sz="4" w:space="0"/>
            </w:tcBorders>
            <w:vAlign w:val="center"/>
          </w:tcPr>
          <w:p w14:paraId="76414AD7">
            <w:pPr>
              <w:pStyle w:val="1343"/>
              <w:jc w:val="both"/>
            </w:pPr>
            <w:r>
              <w:rPr>
                <w:position w:val="-1"/>
              </w:rPr>
              <w:t>饱和蒸</w:t>
            </w:r>
            <w:r>
              <w:rPr>
                <w:spacing w:val="-2"/>
                <w:position w:val="-1"/>
              </w:rPr>
              <w:t>气</w:t>
            </w:r>
            <w:r>
              <w:rPr>
                <w:position w:val="-1"/>
              </w:rPr>
              <w:t>压</w:t>
            </w:r>
            <w:r>
              <w:rPr>
                <w:spacing w:val="-3"/>
                <w:position w:val="-1"/>
              </w:rPr>
              <w:t>(</w:t>
            </w:r>
            <w:r>
              <w:rPr>
                <w:position w:val="-1"/>
              </w:rPr>
              <w:t>kPa)</w:t>
            </w:r>
            <w:r>
              <w:rPr>
                <w:spacing w:val="-2"/>
                <w:position w:val="-1"/>
              </w:rPr>
              <w:t>：</w:t>
            </w:r>
            <w:r>
              <w:rPr>
                <w:rFonts w:hint="eastAsia"/>
                <w:spacing w:val="-2"/>
                <w:position w:val="-1"/>
              </w:rPr>
              <w:t>无资料</w:t>
            </w:r>
          </w:p>
        </w:tc>
      </w:tr>
      <w:tr w14:paraId="052C9D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51" w:type="dxa"/>
            <w:vMerge w:val="continue"/>
            <w:tcBorders>
              <w:left w:val="single" w:color="000000" w:sz="4" w:space="0"/>
              <w:right w:val="single" w:color="000000" w:sz="4" w:space="0"/>
            </w:tcBorders>
            <w:vAlign w:val="center"/>
          </w:tcPr>
          <w:p w14:paraId="6643852A">
            <w:pPr>
              <w:pStyle w:val="1343"/>
            </w:pPr>
          </w:p>
        </w:tc>
        <w:tc>
          <w:tcPr>
            <w:tcW w:w="3107" w:type="dxa"/>
            <w:gridSpan w:val="2"/>
            <w:tcBorders>
              <w:top w:val="single" w:color="auto" w:sz="4" w:space="0"/>
              <w:left w:val="single" w:color="000000" w:sz="4" w:space="0"/>
              <w:bottom w:val="single" w:color="auto" w:sz="4" w:space="0"/>
              <w:right w:val="single" w:color="auto" w:sz="4" w:space="0"/>
            </w:tcBorders>
            <w:vAlign w:val="center"/>
          </w:tcPr>
          <w:p w14:paraId="21F820B0">
            <w:pPr>
              <w:pStyle w:val="1343"/>
              <w:jc w:val="both"/>
              <w:rPr>
                <w:position w:val="-1"/>
              </w:rPr>
            </w:pPr>
            <w:r>
              <w:rPr>
                <w:position w:val="-1"/>
              </w:rPr>
              <w:t>燃烧热</w:t>
            </w:r>
            <w:r>
              <w:rPr>
                <w:spacing w:val="-3"/>
                <w:position w:val="-1"/>
              </w:rPr>
              <w:t>(</w:t>
            </w:r>
            <w:r>
              <w:rPr>
                <w:position w:val="-1"/>
              </w:rPr>
              <w:t>kJ</w:t>
            </w:r>
            <w:r>
              <w:rPr>
                <w:spacing w:val="-4"/>
                <w:position w:val="-1"/>
              </w:rPr>
              <w:t>/</w:t>
            </w:r>
            <w:r>
              <w:rPr>
                <w:spacing w:val="1"/>
                <w:position w:val="-1"/>
              </w:rPr>
              <w:t>m</w:t>
            </w:r>
            <w:r>
              <w:rPr>
                <w:spacing w:val="-2"/>
                <w:position w:val="-1"/>
              </w:rPr>
              <w:t>o</w:t>
            </w:r>
            <w:r>
              <w:rPr>
                <w:spacing w:val="1"/>
                <w:position w:val="-1"/>
              </w:rPr>
              <w:t>l)</w:t>
            </w:r>
            <w:r>
              <w:rPr>
                <w:position w:val="-1"/>
              </w:rPr>
              <w:t>：</w:t>
            </w:r>
            <w:r>
              <w:rPr>
                <w:rFonts w:hint="eastAsia"/>
                <w:spacing w:val="-2"/>
                <w:position w:val="-1"/>
              </w:rPr>
              <w:t>3000-46000</w:t>
            </w:r>
          </w:p>
        </w:tc>
        <w:tc>
          <w:tcPr>
            <w:tcW w:w="4802" w:type="dxa"/>
            <w:gridSpan w:val="3"/>
            <w:tcBorders>
              <w:top w:val="single" w:color="auto" w:sz="4" w:space="0"/>
              <w:left w:val="single" w:color="auto" w:sz="4" w:space="0"/>
              <w:bottom w:val="single" w:color="auto" w:sz="4" w:space="0"/>
              <w:right w:val="single" w:color="000000" w:sz="4" w:space="0"/>
            </w:tcBorders>
            <w:vAlign w:val="center"/>
          </w:tcPr>
          <w:p w14:paraId="29A08357">
            <w:pPr>
              <w:pStyle w:val="1343"/>
              <w:jc w:val="both"/>
              <w:rPr>
                <w:position w:val="-1"/>
              </w:rPr>
            </w:pPr>
            <w:r>
              <w:rPr>
                <w:position w:val="-1"/>
              </w:rPr>
              <w:t>临界</w:t>
            </w:r>
            <w:r>
              <w:rPr>
                <w:spacing w:val="-2"/>
                <w:position w:val="-1"/>
              </w:rPr>
              <w:t>温</w:t>
            </w:r>
            <w:r>
              <w:rPr>
                <w:position w:val="-1"/>
              </w:rPr>
              <w:t>度</w:t>
            </w:r>
            <w:r>
              <w:rPr>
                <w:spacing w:val="-1"/>
                <w:position w:val="-1"/>
              </w:rPr>
              <w:t>(</w:t>
            </w:r>
            <w:r>
              <w:rPr>
                <w:position w:val="-1"/>
              </w:rPr>
              <w:t>℃</w:t>
            </w:r>
            <w:r>
              <w:rPr>
                <w:spacing w:val="-3"/>
                <w:position w:val="-1"/>
              </w:rPr>
              <w:t>)</w:t>
            </w:r>
            <w:r>
              <w:rPr>
                <w:position w:val="-1"/>
              </w:rPr>
              <w:t>：</w:t>
            </w:r>
            <w:r>
              <w:rPr>
                <w:rFonts w:hint="eastAsia"/>
                <w:spacing w:val="-2"/>
                <w:position w:val="-1"/>
              </w:rPr>
              <w:t>无资料</w:t>
            </w:r>
          </w:p>
        </w:tc>
      </w:tr>
      <w:tr w14:paraId="36E941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51" w:type="dxa"/>
            <w:vMerge w:val="continue"/>
            <w:tcBorders>
              <w:left w:val="single" w:color="000000" w:sz="4" w:space="0"/>
              <w:right w:val="single" w:color="000000" w:sz="4" w:space="0"/>
            </w:tcBorders>
            <w:vAlign w:val="center"/>
          </w:tcPr>
          <w:p w14:paraId="427E2D2F">
            <w:pPr>
              <w:pStyle w:val="1343"/>
            </w:pPr>
          </w:p>
        </w:tc>
        <w:tc>
          <w:tcPr>
            <w:tcW w:w="3107" w:type="dxa"/>
            <w:gridSpan w:val="2"/>
            <w:tcBorders>
              <w:top w:val="single" w:color="auto" w:sz="4" w:space="0"/>
              <w:left w:val="single" w:color="000000" w:sz="4" w:space="0"/>
              <w:bottom w:val="single" w:color="auto" w:sz="4" w:space="0"/>
              <w:right w:val="single" w:color="auto" w:sz="4" w:space="0"/>
            </w:tcBorders>
            <w:vAlign w:val="center"/>
          </w:tcPr>
          <w:p w14:paraId="73FF171D">
            <w:pPr>
              <w:pStyle w:val="1343"/>
              <w:jc w:val="both"/>
              <w:rPr>
                <w:position w:val="-1"/>
              </w:rPr>
            </w:pPr>
            <w:r>
              <w:rPr>
                <w:position w:val="-1"/>
              </w:rPr>
              <w:t>临界</w:t>
            </w:r>
            <w:r>
              <w:rPr>
                <w:spacing w:val="-2"/>
                <w:position w:val="-1"/>
              </w:rPr>
              <w:t>压</w:t>
            </w:r>
            <w:r>
              <w:rPr>
                <w:position w:val="-1"/>
              </w:rPr>
              <w:t>力</w:t>
            </w:r>
            <w:r>
              <w:rPr>
                <w:spacing w:val="-1"/>
                <w:position w:val="-1"/>
              </w:rPr>
              <w:t>(</w:t>
            </w:r>
            <w:r>
              <w:rPr>
                <w:spacing w:val="-3"/>
                <w:position w:val="-1"/>
              </w:rPr>
              <w:t>M</w:t>
            </w:r>
            <w:r>
              <w:rPr>
                <w:position w:val="-1"/>
              </w:rPr>
              <w:t>Pa)</w:t>
            </w:r>
            <w:r>
              <w:rPr>
                <w:spacing w:val="-2"/>
                <w:position w:val="-1"/>
              </w:rPr>
              <w:t>：</w:t>
            </w:r>
            <w:r>
              <w:rPr>
                <w:rFonts w:hint="eastAsia"/>
                <w:spacing w:val="-2"/>
                <w:position w:val="-1"/>
              </w:rPr>
              <w:t>无资料</w:t>
            </w:r>
          </w:p>
        </w:tc>
        <w:tc>
          <w:tcPr>
            <w:tcW w:w="2113" w:type="dxa"/>
            <w:gridSpan w:val="2"/>
            <w:tcBorders>
              <w:top w:val="single" w:color="auto" w:sz="4" w:space="0"/>
              <w:left w:val="single" w:color="auto" w:sz="4" w:space="0"/>
              <w:bottom w:val="single" w:color="auto" w:sz="4" w:space="0"/>
              <w:right w:val="single" w:color="auto" w:sz="4" w:space="0"/>
            </w:tcBorders>
            <w:vAlign w:val="center"/>
          </w:tcPr>
          <w:p w14:paraId="20DF8B9E">
            <w:pPr>
              <w:pStyle w:val="1343"/>
              <w:jc w:val="both"/>
              <w:rPr>
                <w:position w:val="-1"/>
              </w:rPr>
            </w:pPr>
            <w:r>
              <w:rPr>
                <w:position w:val="-1"/>
              </w:rPr>
              <w:t>闪点</w:t>
            </w:r>
            <w:r>
              <w:rPr>
                <w:spacing w:val="-1"/>
                <w:position w:val="-1"/>
              </w:rPr>
              <w:t>(</w:t>
            </w:r>
            <w:r>
              <w:rPr>
                <w:position w:val="-1"/>
              </w:rPr>
              <w:t>℃)</w:t>
            </w:r>
            <w:r>
              <w:rPr>
                <w:rFonts w:hint="eastAsia"/>
                <w:spacing w:val="-1"/>
                <w:position w:val="-1"/>
              </w:rPr>
              <w:t>：38</w:t>
            </w:r>
          </w:p>
        </w:tc>
        <w:tc>
          <w:tcPr>
            <w:tcW w:w="2689" w:type="dxa"/>
            <w:tcBorders>
              <w:top w:val="single" w:color="auto" w:sz="4" w:space="0"/>
              <w:left w:val="single" w:color="auto" w:sz="4" w:space="0"/>
              <w:bottom w:val="single" w:color="auto" w:sz="4" w:space="0"/>
              <w:right w:val="single" w:color="000000" w:sz="4" w:space="0"/>
            </w:tcBorders>
            <w:vAlign w:val="center"/>
          </w:tcPr>
          <w:p w14:paraId="1F85C669">
            <w:pPr>
              <w:pStyle w:val="1343"/>
              <w:jc w:val="both"/>
              <w:rPr>
                <w:position w:val="-1"/>
              </w:rPr>
            </w:pPr>
            <w:r>
              <w:rPr>
                <w:position w:val="-1"/>
              </w:rPr>
              <w:t>引燃温度</w:t>
            </w:r>
            <w:r>
              <w:rPr>
                <w:spacing w:val="-3"/>
                <w:position w:val="-1"/>
              </w:rPr>
              <w:t>(</w:t>
            </w:r>
            <w:r>
              <w:rPr>
                <w:position w:val="-1"/>
              </w:rPr>
              <w:t>℃</w:t>
            </w:r>
            <w:r>
              <w:rPr>
                <w:spacing w:val="-1"/>
                <w:position w:val="-1"/>
              </w:rPr>
              <w:t>)</w:t>
            </w:r>
            <w:r>
              <w:rPr>
                <w:position w:val="-1"/>
              </w:rPr>
              <w:t>：</w:t>
            </w:r>
            <w:r>
              <w:rPr>
                <w:rFonts w:hint="eastAsia"/>
                <w:spacing w:val="-2"/>
                <w:position w:val="-1"/>
              </w:rPr>
              <w:t>257</w:t>
            </w:r>
          </w:p>
        </w:tc>
      </w:tr>
      <w:tr w14:paraId="04D7EA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51" w:type="dxa"/>
            <w:vMerge w:val="continue"/>
            <w:tcBorders>
              <w:left w:val="single" w:color="000000" w:sz="4" w:space="0"/>
              <w:right w:val="single" w:color="000000" w:sz="4" w:space="0"/>
            </w:tcBorders>
            <w:vAlign w:val="center"/>
          </w:tcPr>
          <w:p w14:paraId="41CFD016">
            <w:pPr>
              <w:pStyle w:val="1343"/>
            </w:pPr>
          </w:p>
        </w:tc>
        <w:tc>
          <w:tcPr>
            <w:tcW w:w="3107" w:type="dxa"/>
            <w:gridSpan w:val="2"/>
            <w:tcBorders>
              <w:top w:val="single" w:color="auto" w:sz="4" w:space="0"/>
              <w:left w:val="single" w:color="000000" w:sz="4" w:space="0"/>
              <w:bottom w:val="single" w:color="auto" w:sz="4" w:space="0"/>
              <w:right w:val="single" w:color="auto" w:sz="4" w:space="0"/>
            </w:tcBorders>
            <w:vAlign w:val="center"/>
          </w:tcPr>
          <w:p w14:paraId="31BC0408">
            <w:pPr>
              <w:pStyle w:val="1343"/>
              <w:jc w:val="both"/>
              <w:rPr>
                <w:position w:val="-1"/>
              </w:rPr>
            </w:pPr>
            <w:r>
              <w:rPr>
                <w:position w:val="-1"/>
              </w:rPr>
              <w:t>爆炸</w:t>
            </w:r>
            <w:r>
              <w:rPr>
                <w:spacing w:val="-2"/>
                <w:position w:val="-1"/>
              </w:rPr>
              <w:t>上</w:t>
            </w:r>
            <w:r>
              <w:rPr>
                <w:position w:val="-1"/>
              </w:rPr>
              <w:t>限%</w:t>
            </w:r>
            <w:r>
              <w:rPr>
                <w:spacing w:val="-4"/>
                <w:position w:val="-1"/>
              </w:rPr>
              <w:t>(</w:t>
            </w:r>
            <w:r>
              <w:rPr>
                <w:position w:val="-1"/>
              </w:rPr>
              <w:t>V</w:t>
            </w:r>
            <w:r>
              <w:rPr>
                <w:spacing w:val="-1"/>
                <w:position w:val="-1"/>
              </w:rPr>
              <w:t>/</w:t>
            </w:r>
            <w:r>
              <w:rPr>
                <w:position w:val="-1"/>
              </w:rPr>
              <w:t>V)</w:t>
            </w:r>
            <w:r>
              <w:rPr>
                <w:spacing w:val="-2"/>
                <w:position w:val="-1"/>
              </w:rPr>
              <w:t>：</w:t>
            </w:r>
            <w:r>
              <w:rPr>
                <w:rFonts w:hint="eastAsia"/>
                <w:spacing w:val="-2"/>
                <w:position w:val="-1"/>
              </w:rPr>
              <w:t>6.5</w:t>
            </w:r>
          </w:p>
        </w:tc>
        <w:tc>
          <w:tcPr>
            <w:tcW w:w="4802" w:type="dxa"/>
            <w:gridSpan w:val="3"/>
            <w:tcBorders>
              <w:top w:val="single" w:color="auto" w:sz="4" w:space="0"/>
              <w:left w:val="single" w:color="auto" w:sz="4" w:space="0"/>
              <w:bottom w:val="single" w:color="auto" w:sz="4" w:space="0"/>
              <w:right w:val="single" w:color="000000" w:sz="4" w:space="0"/>
            </w:tcBorders>
            <w:vAlign w:val="center"/>
          </w:tcPr>
          <w:p w14:paraId="0698C79B">
            <w:pPr>
              <w:pStyle w:val="1343"/>
              <w:jc w:val="both"/>
              <w:rPr>
                <w:position w:val="-1"/>
              </w:rPr>
            </w:pPr>
            <w:r>
              <w:rPr>
                <w:position w:val="-1"/>
              </w:rPr>
              <w:t>爆炸</w:t>
            </w:r>
            <w:r>
              <w:rPr>
                <w:spacing w:val="-2"/>
                <w:position w:val="-1"/>
              </w:rPr>
              <w:t>下</w:t>
            </w:r>
            <w:r>
              <w:rPr>
                <w:position w:val="-1"/>
              </w:rPr>
              <w:t>限%</w:t>
            </w:r>
            <w:r>
              <w:rPr>
                <w:spacing w:val="-4"/>
                <w:position w:val="-1"/>
              </w:rPr>
              <w:t>(</w:t>
            </w:r>
            <w:r>
              <w:rPr>
                <w:position w:val="-1"/>
              </w:rPr>
              <w:t>V</w:t>
            </w:r>
            <w:r>
              <w:rPr>
                <w:spacing w:val="-1"/>
                <w:position w:val="-1"/>
              </w:rPr>
              <w:t>/</w:t>
            </w:r>
            <w:r>
              <w:rPr>
                <w:position w:val="-1"/>
              </w:rPr>
              <w:t>V)</w:t>
            </w:r>
            <w:r>
              <w:rPr>
                <w:spacing w:val="-2"/>
                <w:position w:val="-1"/>
              </w:rPr>
              <w:t>：</w:t>
            </w:r>
            <w:r>
              <w:rPr>
                <w:rFonts w:hint="eastAsia"/>
                <w:spacing w:val="-2"/>
                <w:position w:val="-1"/>
              </w:rPr>
              <w:t>0.6</w:t>
            </w:r>
          </w:p>
        </w:tc>
      </w:tr>
      <w:tr w14:paraId="250FD9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51" w:type="dxa"/>
            <w:vMerge w:val="continue"/>
            <w:tcBorders>
              <w:left w:val="single" w:color="000000" w:sz="4" w:space="0"/>
              <w:bottom w:val="single" w:color="000000" w:sz="4" w:space="0"/>
              <w:right w:val="single" w:color="000000" w:sz="4" w:space="0"/>
            </w:tcBorders>
            <w:vAlign w:val="center"/>
          </w:tcPr>
          <w:p w14:paraId="62BB6CB2">
            <w:pPr>
              <w:pStyle w:val="1343"/>
            </w:pPr>
          </w:p>
        </w:tc>
        <w:tc>
          <w:tcPr>
            <w:tcW w:w="7909" w:type="dxa"/>
            <w:gridSpan w:val="5"/>
            <w:tcBorders>
              <w:top w:val="single" w:color="auto" w:sz="4" w:space="0"/>
              <w:left w:val="single" w:color="000000" w:sz="4" w:space="0"/>
              <w:bottom w:val="single" w:color="000000" w:sz="4" w:space="0"/>
              <w:right w:val="single" w:color="000000" w:sz="4" w:space="0"/>
            </w:tcBorders>
            <w:vAlign w:val="center"/>
          </w:tcPr>
          <w:p w14:paraId="7FB582D6">
            <w:pPr>
              <w:pStyle w:val="1343"/>
              <w:jc w:val="both"/>
              <w:rPr>
                <w:position w:val="-1"/>
              </w:rPr>
            </w:pPr>
            <w:r>
              <w:rPr>
                <w:position w:val="-2"/>
              </w:rPr>
              <w:t>溶解</w:t>
            </w:r>
            <w:r>
              <w:rPr>
                <w:spacing w:val="-2"/>
                <w:position w:val="-2"/>
              </w:rPr>
              <w:t>性</w:t>
            </w:r>
            <w:r>
              <w:rPr>
                <w:position w:val="-2"/>
              </w:rPr>
              <w:t>：</w:t>
            </w:r>
            <w:r>
              <w:rPr>
                <w:rFonts w:hint="eastAsia"/>
                <w:position w:val="-2"/>
              </w:rPr>
              <w:t>难溶于水，易溶于醇和其他有机溶剂</w:t>
            </w:r>
            <w:r>
              <w:rPr>
                <w:position w:val="-2"/>
              </w:rPr>
              <w:t>。</w:t>
            </w:r>
          </w:p>
        </w:tc>
      </w:tr>
      <w:tr w14:paraId="26164F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51" w:type="dxa"/>
            <w:tcBorders>
              <w:top w:val="single" w:color="000000" w:sz="4" w:space="0"/>
              <w:left w:val="single" w:color="000000" w:sz="4" w:space="0"/>
              <w:bottom w:val="single" w:color="000000" w:sz="4" w:space="0"/>
              <w:right w:val="single" w:color="000000" w:sz="4" w:space="0"/>
            </w:tcBorders>
            <w:vAlign w:val="center"/>
          </w:tcPr>
          <w:p w14:paraId="7E737D98">
            <w:pPr>
              <w:pStyle w:val="1343"/>
            </w:pPr>
            <w:r>
              <w:t>稳定性</w:t>
            </w:r>
          </w:p>
        </w:tc>
        <w:tc>
          <w:tcPr>
            <w:tcW w:w="7909" w:type="dxa"/>
            <w:gridSpan w:val="5"/>
            <w:tcBorders>
              <w:top w:val="single" w:color="000000" w:sz="4" w:space="0"/>
              <w:left w:val="single" w:color="000000" w:sz="4" w:space="0"/>
              <w:bottom w:val="single" w:color="000000" w:sz="4" w:space="0"/>
              <w:right w:val="single" w:color="000000" w:sz="4" w:space="0"/>
            </w:tcBorders>
            <w:vAlign w:val="center"/>
          </w:tcPr>
          <w:p w14:paraId="3C7A6D9F">
            <w:pPr>
              <w:pStyle w:val="1343"/>
              <w:jc w:val="both"/>
            </w:pPr>
            <w:r>
              <w:t>禁配物：强氧化剂、</w:t>
            </w:r>
            <w:r>
              <w:rPr>
                <w:rFonts w:hint="eastAsia"/>
              </w:rPr>
              <w:t>卤素</w:t>
            </w:r>
            <w:r>
              <w:t>。</w:t>
            </w:r>
          </w:p>
        </w:tc>
      </w:tr>
      <w:tr w14:paraId="6F64E6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51" w:type="dxa"/>
            <w:tcBorders>
              <w:top w:val="single" w:color="000000" w:sz="4" w:space="0"/>
              <w:left w:val="single" w:color="000000" w:sz="4" w:space="0"/>
              <w:bottom w:val="single" w:color="000000" w:sz="4" w:space="0"/>
              <w:right w:val="single" w:color="000000" w:sz="4" w:space="0"/>
            </w:tcBorders>
            <w:vAlign w:val="center"/>
          </w:tcPr>
          <w:p w14:paraId="1E7F7708">
            <w:pPr>
              <w:pStyle w:val="1343"/>
            </w:pPr>
            <w:r>
              <w:t>操作处置</w:t>
            </w:r>
          </w:p>
        </w:tc>
        <w:tc>
          <w:tcPr>
            <w:tcW w:w="7909" w:type="dxa"/>
            <w:gridSpan w:val="5"/>
            <w:tcBorders>
              <w:top w:val="single" w:color="000000" w:sz="4" w:space="0"/>
              <w:left w:val="single" w:color="000000" w:sz="4" w:space="0"/>
              <w:bottom w:val="single" w:color="000000" w:sz="4" w:space="0"/>
              <w:right w:val="single" w:color="000000" w:sz="4" w:space="0"/>
            </w:tcBorders>
            <w:vAlign w:val="center"/>
          </w:tcPr>
          <w:p w14:paraId="0D2B4D22">
            <w:pPr>
              <w:pStyle w:val="1343"/>
              <w:jc w:val="both"/>
            </w:pPr>
            <w:r>
              <w:rPr>
                <w:rFonts w:hint="eastAsia"/>
              </w:rPr>
              <w:t>密闭操作，注意通风。操作人员必须经过专门培训，严格遵守操作规程。建议操作人员佩戴自吸过滤式防毒面具(半面罩），戴化学安全防护眼镜，戴橡胶耐油手套。远离火种、热源，工作场所严禁吸烟。使用防爆型的通风系统和设备。防止蒸气泄漏到工作场所空气中。避免与氧化剂、卤素接触。充装要控制流速，防止静电积聚。搬运时要轻装轻卸，防止包装及容器损坏。配备相应品种和数量的消防器材及泄漏应急处理设备。倒空的容器可能残留有害物</w:t>
            </w:r>
            <w:r>
              <w:t>。</w:t>
            </w:r>
          </w:p>
        </w:tc>
      </w:tr>
      <w:tr w14:paraId="64EE02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51" w:type="dxa"/>
            <w:tcBorders>
              <w:top w:val="single" w:color="000000" w:sz="4" w:space="0"/>
              <w:left w:val="single" w:color="000000" w:sz="4" w:space="0"/>
              <w:bottom w:val="single" w:color="000000" w:sz="4" w:space="0"/>
              <w:right w:val="single" w:color="000000" w:sz="4" w:space="0"/>
            </w:tcBorders>
            <w:vAlign w:val="center"/>
          </w:tcPr>
          <w:p w14:paraId="15942286">
            <w:pPr>
              <w:pStyle w:val="1343"/>
            </w:pPr>
            <w:r>
              <w:t>危险性概述</w:t>
            </w:r>
          </w:p>
        </w:tc>
        <w:tc>
          <w:tcPr>
            <w:tcW w:w="7909" w:type="dxa"/>
            <w:gridSpan w:val="5"/>
            <w:tcBorders>
              <w:top w:val="single" w:color="000000" w:sz="4" w:space="0"/>
              <w:left w:val="single" w:color="000000" w:sz="4" w:space="0"/>
              <w:bottom w:val="single" w:color="000000" w:sz="4" w:space="0"/>
              <w:right w:val="single" w:color="000000" w:sz="4" w:space="0"/>
            </w:tcBorders>
            <w:vAlign w:val="center"/>
          </w:tcPr>
          <w:p w14:paraId="7041DC62">
            <w:pPr>
              <w:pStyle w:val="1343"/>
              <w:jc w:val="both"/>
            </w:pPr>
            <w:r>
              <w:t>健康危害：</w:t>
            </w:r>
            <w:r>
              <w:rPr>
                <w:rFonts w:hint="eastAsia"/>
              </w:rPr>
              <w:t>支肤接触可为主要吸收途径，可致急性肾脏损害。柴油可引起接触性皮炎、油性痤疮。吸入其雾滴或液体呛入可引起吸入性肺炎。能经胎盘进入胎儿血中。柴油废气可引起眼、鼻刺激症状，头晕及头痛。</w:t>
            </w:r>
          </w:p>
          <w:p w14:paraId="0B63DF91">
            <w:pPr>
              <w:pStyle w:val="1343"/>
              <w:jc w:val="both"/>
            </w:pPr>
            <w:r>
              <w:rPr>
                <w:rFonts w:hint="eastAsia"/>
              </w:rPr>
              <w:t>环境危害</w:t>
            </w:r>
            <w:r>
              <w:t>：</w:t>
            </w:r>
            <w:r>
              <w:rPr>
                <w:rFonts w:hint="eastAsia"/>
              </w:rPr>
              <w:t>对环境有危害，对水体和大气可造成污染。</w:t>
            </w:r>
          </w:p>
          <w:p w14:paraId="37C8DE22">
            <w:pPr>
              <w:pStyle w:val="1343"/>
              <w:jc w:val="both"/>
            </w:pPr>
            <w:r>
              <w:t>燃爆危险：本品易燃，具</w:t>
            </w:r>
            <w:r>
              <w:rPr>
                <w:rFonts w:hint="eastAsia"/>
              </w:rPr>
              <w:t>刺激</w:t>
            </w:r>
            <w:r>
              <w:t>性。</w:t>
            </w:r>
          </w:p>
        </w:tc>
      </w:tr>
      <w:tr w14:paraId="198481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51" w:type="dxa"/>
            <w:tcBorders>
              <w:top w:val="single" w:color="000000" w:sz="4" w:space="0"/>
              <w:left w:val="single" w:color="000000" w:sz="4" w:space="0"/>
              <w:bottom w:val="single" w:color="000000" w:sz="4" w:space="0"/>
              <w:right w:val="single" w:color="000000" w:sz="4" w:space="0"/>
            </w:tcBorders>
            <w:vAlign w:val="center"/>
          </w:tcPr>
          <w:p w14:paraId="08433F0F">
            <w:pPr>
              <w:pStyle w:val="1343"/>
            </w:pPr>
            <w:r>
              <w:t>泄漏应急</w:t>
            </w:r>
          </w:p>
          <w:p w14:paraId="05F5EEA0">
            <w:pPr>
              <w:pStyle w:val="1343"/>
            </w:pPr>
            <w:r>
              <w:t>处理</w:t>
            </w:r>
          </w:p>
        </w:tc>
        <w:tc>
          <w:tcPr>
            <w:tcW w:w="7909" w:type="dxa"/>
            <w:gridSpan w:val="5"/>
            <w:tcBorders>
              <w:top w:val="single" w:color="000000" w:sz="4" w:space="0"/>
              <w:left w:val="single" w:color="000000" w:sz="4" w:space="0"/>
              <w:bottom w:val="single" w:color="000000" w:sz="4" w:space="0"/>
              <w:right w:val="single" w:color="000000" w:sz="4" w:space="0"/>
            </w:tcBorders>
            <w:vAlign w:val="center"/>
          </w:tcPr>
          <w:p w14:paraId="27AE64B2">
            <w:pPr>
              <w:pStyle w:val="1343"/>
              <w:jc w:val="both"/>
            </w:pPr>
            <w:r>
              <w:t>应急处理：</w:t>
            </w:r>
            <w:r>
              <w:rPr>
                <w:rFonts w:hint="eastAsia"/>
              </w:rPr>
              <w:t>迅速撤离泄漏污染区人员至安全区，并进行隔离，严格限制出入。切断火源。建议应急处理人员戴自给正压式呼吸器，穿一般作业工作服。尽可能切断泄漏源。防止流入下水道、排洪沟等限制性空间。小量泄漏：用活性炭或其它惰性材料吸收。大量泄漏：构筑围堤或挖坑收容。用泵转移至槽车或专用收集器内，回收或运至废物处理场所处置</w:t>
            </w:r>
            <w:r>
              <w:t>。</w:t>
            </w:r>
          </w:p>
        </w:tc>
      </w:tr>
      <w:tr w14:paraId="7C3DC6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51" w:type="dxa"/>
            <w:tcBorders>
              <w:top w:val="single" w:color="000000" w:sz="4" w:space="0"/>
              <w:left w:val="single" w:color="000000" w:sz="4" w:space="0"/>
              <w:bottom w:val="single" w:color="000000" w:sz="4" w:space="0"/>
              <w:right w:val="single" w:color="000000" w:sz="4" w:space="0"/>
            </w:tcBorders>
            <w:vAlign w:val="center"/>
          </w:tcPr>
          <w:p w14:paraId="7A97BD0B">
            <w:pPr>
              <w:pStyle w:val="1343"/>
            </w:pPr>
            <w:r>
              <w:t>急救措施</w:t>
            </w:r>
          </w:p>
        </w:tc>
        <w:tc>
          <w:tcPr>
            <w:tcW w:w="7909" w:type="dxa"/>
            <w:gridSpan w:val="5"/>
            <w:tcBorders>
              <w:top w:val="single" w:color="000000" w:sz="4" w:space="0"/>
              <w:left w:val="single" w:color="000000" w:sz="4" w:space="0"/>
              <w:bottom w:val="single" w:color="000000" w:sz="4" w:space="0"/>
              <w:right w:val="single" w:color="000000" w:sz="4" w:space="0"/>
            </w:tcBorders>
            <w:vAlign w:val="center"/>
          </w:tcPr>
          <w:p w14:paraId="61B61E0A">
            <w:pPr>
              <w:pStyle w:val="1343"/>
              <w:jc w:val="both"/>
            </w:pPr>
            <w:r>
              <w:rPr>
                <w:rFonts w:hint="eastAsia"/>
              </w:rPr>
              <w:t>皮肤接触：立即脱去污染的衣着，用肥皂水和清水彻底冲洗皮肤。就医。</w:t>
            </w:r>
          </w:p>
          <w:p w14:paraId="5B6EEFBF">
            <w:pPr>
              <w:pStyle w:val="1343"/>
              <w:jc w:val="both"/>
            </w:pPr>
            <w:r>
              <w:rPr>
                <w:rFonts w:hint="eastAsia"/>
              </w:rPr>
              <w:t>眼睛接触：提起眼睑，用流动清水或生理盐水冲洗。就医。</w:t>
            </w:r>
          </w:p>
          <w:p w14:paraId="560E9971">
            <w:pPr>
              <w:pStyle w:val="1343"/>
              <w:jc w:val="both"/>
            </w:pPr>
            <w:r>
              <w:rPr>
                <w:rFonts w:hint="eastAsia"/>
              </w:rPr>
              <w:t>吸入：迅速脱离现场至空气新鲜处。保持呼吸道通畅。如呼吸困难，给输氧。如呼吸停止，立即进行人工呼吸。就医。</w:t>
            </w:r>
          </w:p>
          <w:p w14:paraId="57EB8476">
            <w:pPr>
              <w:pStyle w:val="1343"/>
              <w:jc w:val="both"/>
            </w:pPr>
            <w:r>
              <w:rPr>
                <w:rFonts w:hint="eastAsia"/>
              </w:rPr>
              <w:t>食入：尽快彻底洗胃。就医。</w:t>
            </w:r>
          </w:p>
        </w:tc>
      </w:tr>
      <w:tr w14:paraId="4C87D5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51" w:type="dxa"/>
            <w:tcBorders>
              <w:top w:val="single" w:color="000000" w:sz="4" w:space="0"/>
              <w:left w:val="single" w:color="000000" w:sz="4" w:space="0"/>
              <w:bottom w:val="single" w:color="000000" w:sz="4" w:space="0"/>
              <w:right w:val="single" w:color="000000" w:sz="4" w:space="0"/>
            </w:tcBorders>
            <w:vAlign w:val="center"/>
          </w:tcPr>
          <w:p w14:paraId="5A650E44">
            <w:pPr>
              <w:pStyle w:val="1343"/>
            </w:pPr>
            <w:r>
              <w:t>消防措施</w:t>
            </w:r>
          </w:p>
        </w:tc>
        <w:tc>
          <w:tcPr>
            <w:tcW w:w="7909" w:type="dxa"/>
            <w:gridSpan w:val="5"/>
            <w:tcBorders>
              <w:top w:val="single" w:color="000000" w:sz="4" w:space="0"/>
              <w:left w:val="single" w:color="000000" w:sz="4" w:space="0"/>
              <w:bottom w:val="single" w:color="000000" w:sz="4" w:space="0"/>
              <w:right w:val="single" w:color="000000" w:sz="4" w:space="0"/>
            </w:tcBorders>
            <w:vAlign w:val="center"/>
          </w:tcPr>
          <w:p w14:paraId="6216A3EC">
            <w:pPr>
              <w:pStyle w:val="1343"/>
              <w:jc w:val="both"/>
            </w:pPr>
            <w:r>
              <w:rPr>
                <w:rFonts w:hint="eastAsia"/>
              </w:rPr>
              <w:t>危险特性：遇明火、高热或与氧化剂接触，有引起燃烧爆炸的危险。若遇高热，容器内压增大，有开裂和爆炸的危险。</w:t>
            </w:r>
          </w:p>
          <w:p w14:paraId="02D07B98">
            <w:pPr>
              <w:pStyle w:val="1343"/>
              <w:jc w:val="both"/>
            </w:pPr>
            <w:r>
              <w:rPr>
                <w:rFonts w:hint="eastAsia"/>
              </w:rPr>
              <w:t>有害燃烧产物：—氧化碳、二氧化碳。</w:t>
            </w:r>
          </w:p>
          <w:p w14:paraId="3BCB0661">
            <w:pPr>
              <w:pStyle w:val="1343"/>
              <w:jc w:val="both"/>
            </w:pPr>
            <w:r>
              <w:rPr>
                <w:rFonts w:hint="eastAsia"/>
              </w:rPr>
              <w:t>灭火方法：消防人员须佩戴防毒面具、穿全身消防服，在上风向灭火。尽可能将容器从火场移至空旷处。喷水保持火场容器冷却，直至灭火结束。处在火场中的容器若已变色或从安全泄压装置中产生声音，必须马上撤离。灭火剂：雾状水、泡沫、干粉、二氧化碳、砂土</w:t>
            </w:r>
            <w:r>
              <w:t>。</w:t>
            </w:r>
          </w:p>
        </w:tc>
      </w:tr>
      <w:tr w14:paraId="21C8A1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51" w:type="dxa"/>
            <w:tcBorders>
              <w:top w:val="single" w:color="000000" w:sz="4" w:space="0"/>
              <w:left w:val="single" w:color="000000" w:sz="4" w:space="0"/>
              <w:bottom w:val="single" w:color="000000" w:sz="4" w:space="0"/>
              <w:right w:val="single" w:color="000000" w:sz="4" w:space="0"/>
            </w:tcBorders>
            <w:vAlign w:val="center"/>
          </w:tcPr>
          <w:p w14:paraId="32B35972">
            <w:pPr>
              <w:pStyle w:val="1343"/>
            </w:pPr>
            <w:r>
              <w:t>接触控制/个体防护</w:t>
            </w:r>
          </w:p>
        </w:tc>
        <w:tc>
          <w:tcPr>
            <w:tcW w:w="7909" w:type="dxa"/>
            <w:gridSpan w:val="5"/>
            <w:tcBorders>
              <w:top w:val="single" w:color="000000" w:sz="4" w:space="0"/>
              <w:left w:val="single" w:color="000000" w:sz="4" w:space="0"/>
              <w:bottom w:val="single" w:color="000000" w:sz="4" w:space="0"/>
              <w:right w:val="single" w:color="000000" w:sz="4" w:space="0"/>
            </w:tcBorders>
            <w:vAlign w:val="center"/>
          </w:tcPr>
          <w:p w14:paraId="20544772">
            <w:pPr>
              <w:pStyle w:val="1343"/>
              <w:jc w:val="both"/>
            </w:pPr>
            <w:r>
              <w:rPr>
                <w:rFonts w:hint="eastAsia"/>
              </w:rPr>
              <w:t>工程控制：密闭操作，注意通风。</w:t>
            </w:r>
          </w:p>
          <w:p w14:paraId="6085CD94">
            <w:pPr>
              <w:pStyle w:val="1343"/>
              <w:jc w:val="both"/>
            </w:pPr>
            <w:r>
              <w:rPr>
                <w:rFonts w:hint="eastAsia"/>
              </w:rPr>
              <w:t>呼吸系统防护：空气中浓度超标时，建议佩戴自吸过滤式防毒面具(半面罩)。紧急事态抢救或撤离时，应该佩戴空气呼吸器。</w:t>
            </w:r>
          </w:p>
          <w:p w14:paraId="7C84F5C1">
            <w:pPr>
              <w:pStyle w:val="1343"/>
              <w:jc w:val="both"/>
            </w:pPr>
            <w:r>
              <w:rPr>
                <w:rFonts w:hint="eastAsia"/>
              </w:rPr>
              <w:t>眼睛防护：戴化学安全防护眼镜。身体防护:穿—般作业防护服。</w:t>
            </w:r>
          </w:p>
          <w:p w14:paraId="772E3465">
            <w:pPr>
              <w:pStyle w:val="1343"/>
              <w:jc w:val="both"/>
            </w:pPr>
            <w:r>
              <w:rPr>
                <w:rFonts w:hint="eastAsia"/>
              </w:rPr>
              <w:t>手防护：戴橡胶耐油手套。</w:t>
            </w:r>
          </w:p>
          <w:p w14:paraId="67294D99">
            <w:pPr>
              <w:pStyle w:val="1343"/>
              <w:jc w:val="both"/>
            </w:pPr>
            <w:r>
              <w:rPr>
                <w:rFonts w:hint="eastAsia"/>
              </w:rPr>
              <w:t>其他防护：工作现场严禁吸烟。避免长期反复接触。</w:t>
            </w:r>
          </w:p>
        </w:tc>
      </w:tr>
    </w:tbl>
    <w:p w14:paraId="4DBB1566">
      <w:pPr>
        <w:pStyle w:val="5"/>
        <w:spacing w:before="120" w:beforeLines="50"/>
        <w:rPr>
          <w:b/>
          <w:color w:val="auto"/>
        </w:rPr>
      </w:pPr>
      <w:r>
        <w:rPr>
          <w:color w:val="auto"/>
        </w:rPr>
        <w:t xml:space="preserve"> 生产系统风险识别</w:t>
      </w:r>
    </w:p>
    <w:p w14:paraId="58FC7DE3">
      <w:pPr>
        <w:pStyle w:val="7"/>
      </w:pPr>
      <w:r>
        <w:t>生产设施风险识别</w:t>
      </w:r>
    </w:p>
    <w:p w14:paraId="6386607D">
      <w:pPr>
        <w:pStyle w:val="234"/>
        <w:spacing w:before="48" w:after="48"/>
        <w:ind w:firstLine="476"/>
      </w:pPr>
      <w:r>
        <w:rPr>
          <w:spacing w:val="-2"/>
        </w:rPr>
        <w:t>本工程生产单元可分为管道部分和站场部分。站场危险性生产单元主要为站内的管道及截断阀等设施。根据管道事故长期统计资料，管道事故因素主要涉及外力作用、腐蚀、设计缺陷和误操作等四大类。</w:t>
      </w:r>
    </w:p>
    <w:p w14:paraId="7671502E">
      <w:pPr>
        <w:pStyle w:val="234"/>
        <w:spacing w:before="48" w:after="48"/>
      </w:pPr>
      <w:r>
        <w:t>（1）外力作用：各种第三方施工活动、不良地质灾害区、地震活动等导致管道的泄漏。包括洪水、地面沉降、地裂缝、崩塌等自然灾害及矿产资源采空区、塌陷区。</w:t>
      </w:r>
    </w:p>
    <w:p w14:paraId="4E31BEF7">
      <w:pPr>
        <w:pStyle w:val="234"/>
        <w:spacing w:before="48" w:after="48"/>
      </w:pPr>
      <w:r>
        <w:t>（2）腐蚀、老化：由于腐蚀管道的阴极保护和防腐材料失效和破损，在一些腐蚀性较强 的土壤环境中，导致穿孔泄漏。</w:t>
      </w:r>
    </w:p>
    <w:p w14:paraId="5F9E63B1">
      <w:pPr>
        <w:pStyle w:val="234"/>
        <w:spacing w:before="48" w:after="48"/>
      </w:pPr>
      <w:r>
        <w:t>（3）设计缺陷：选材、焊接、设计参数差等缺陷引起的管道破损事故。站场阀门、法兰、垫片等选择不当造成的设计压力下气体泄漏。</w:t>
      </w:r>
    </w:p>
    <w:p w14:paraId="1E14686F">
      <w:pPr>
        <w:pStyle w:val="234"/>
        <w:spacing w:before="48" w:after="48"/>
      </w:pPr>
      <w:r>
        <w:t>（4）误操作：生产运行中因操作失误引起的管道泄漏。清管、分离、过滤等设备因异常原因超压，若安全泄压装置失灵，将造成超压导致气体泄漏。当系统发生事故气体需要排放时，通过站场放空管排放，若气体扩散条件不好，当这些气体与空气混合达到爆炸极限时，存在爆炸危险。</w:t>
      </w:r>
    </w:p>
    <w:p w14:paraId="2178324B">
      <w:pPr>
        <w:pStyle w:val="234"/>
        <w:spacing w:before="48" w:after="48"/>
      </w:pPr>
      <w:r>
        <w:t>（5）站场阀门、法兰、垫片等选择不当或老化损坏造成的气体泄漏</w:t>
      </w:r>
      <w:r>
        <w:rPr>
          <w:rFonts w:hint="eastAsia"/>
        </w:rPr>
        <w:t>。</w:t>
      </w:r>
    </w:p>
    <w:p w14:paraId="1D76AA20">
      <w:pPr>
        <w:pStyle w:val="234"/>
        <w:spacing w:before="48" w:after="48"/>
      </w:pPr>
      <w:r>
        <w:rPr>
          <w:rFonts w:hint="eastAsia"/>
        </w:rPr>
        <w:t>（6）站场柴油发电机房暂存柴油，若发电机发生破损过故障，易造成柴油泄漏</w:t>
      </w:r>
      <w:r>
        <w:t>。</w:t>
      </w:r>
    </w:p>
    <w:p w14:paraId="5AEA0013">
      <w:pPr>
        <w:pStyle w:val="904"/>
      </w:pPr>
      <w:r>
        <w:t xml:space="preserve">表 </w:t>
      </w:r>
      <w:r>
        <w:fldChar w:fldCharType="begin"/>
      </w:r>
      <w:r>
        <w:instrText xml:space="preserve"> STYLEREF 2 \s </w:instrText>
      </w:r>
      <w:r>
        <w:fldChar w:fldCharType="separate"/>
      </w:r>
      <w:r>
        <w:t>7.3</w:t>
      </w:r>
      <w:r>
        <w:fldChar w:fldCharType="end"/>
      </w:r>
      <w:r>
        <w:noBreakHyphen/>
      </w:r>
      <w:r>
        <w:t>4本工程主要危险单元及风险类型一览表</w:t>
      </w:r>
    </w:p>
    <w:tbl>
      <w:tblPr>
        <w:tblStyle w:val="1396"/>
        <w:tblW w:w="94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934"/>
        <w:gridCol w:w="988"/>
        <w:gridCol w:w="707"/>
        <w:gridCol w:w="707"/>
        <w:gridCol w:w="794"/>
        <w:gridCol w:w="3629"/>
        <w:gridCol w:w="1098"/>
      </w:tblGrid>
      <w:tr w14:paraId="5C1C3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14:paraId="56B4B2E8">
            <w:pPr>
              <w:pStyle w:val="1343"/>
            </w:pPr>
            <w:r>
              <w:t>序号</w:t>
            </w:r>
          </w:p>
        </w:tc>
        <w:tc>
          <w:tcPr>
            <w:tcW w:w="1922" w:type="dxa"/>
            <w:gridSpan w:val="2"/>
            <w:vAlign w:val="center"/>
          </w:tcPr>
          <w:p w14:paraId="5FF4389E">
            <w:pPr>
              <w:pStyle w:val="1343"/>
            </w:pPr>
            <w:r>
              <w:rPr>
                <w:spacing w:val="-1"/>
              </w:rPr>
              <w:t>危险单元</w:t>
            </w:r>
          </w:p>
        </w:tc>
        <w:tc>
          <w:tcPr>
            <w:tcW w:w="707" w:type="dxa"/>
            <w:vMerge w:val="restart"/>
            <w:vAlign w:val="center"/>
          </w:tcPr>
          <w:p w14:paraId="791BC8DE">
            <w:pPr>
              <w:pStyle w:val="1343"/>
            </w:pPr>
            <w:r>
              <w:rPr>
                <w:spacing w:val="-1"/>
              </w:rPr>
              <w:t>危险物质</w:t>
            </w:r>
          </w:p>
        </w:tc>
        <w:tc>
          <w:tcPr>
            <w:tcW w:w="707" w:type="dxa"/>
            <w:vMerge w:val="restart"/>
            <w:vAlign w:val="center"/>
          </w:tcPr>
          <w:p w14:paraId="3FBFD0D7">
            <w:pPr>
              <w:pStyle w:val="1343"/>
            </w:pPr>
            <w:r>
              <w:t>介质属性</w:t>
            </w:r>
          </w:p>
        </w:tc>
        <w:tc>
          <w:tcPr>
            <w:tcW w:w="794" w:type="dxa"/>
            <w:vMerge w:val="restart"/>
            <w:vAlign w:val="center"/>
          </w:tcPr>
          <w:p w14:paraId="578B804C">
            <w:pPr>
              <w:pStyle w:val="1343"/>
            </w:pPr>
            <w:r>
              <w:t>最大在线量t</w:t>
            </w:r>
          </w:p>
        </w:tc>
        <w:tc>
          <w:tcPr>
            <w:tcW w:w="3629" w:type="dxa"/>
            <w:vMerge w:val="restart"/>
            <w:vAlign w:val="center"/>
          </w:tcPr>
          <w:p w14:paraId="2D63C233">
            <w:pPr>
              <w:pStyle w:val="1343"/>
            </w:pPr>
            <w:r>
              <w:t>环境特征</w:t>
            </w:r>
          </w:p>
        </w:tc>
        <w:tc>
          <w:tcPr>
            <w:tcW w:w="1098" w:type="dxa"/>
            <w:vMerge w:val="restart"/>
            <w:vAlign w:val="center"/>
          </w:tcPr>
          <w:p w14:paraId="27D216A5">
            <w:pPr>
              <w:pStyle w:val="1343"/>
            </w:pPr>
            <w:r>
              <w:t>风险类型</w:t>
            </w:r>
          </w:p>
        </w:tc>
      </w:tr>
      <w:tr w14:paraId="5BE45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16BD3159">
            <w:pPr>
              <w:pStyle w:val="1343"/>
              <w:rPr>
                <w:lang w:eastAsia="en-US"/>
              </w:rPr>
            </w:pPr>
          </w:p>
        </w:tc>
        <w:tc>
          <w:tcPr>
            <w:tcW w:w="934" w:type="dxa"/>
            <w:vAlign w:val="center"/>
          </w:tcPr>
          <w:p w14:paraId="65DF7A22">
            <w:pPr>
              <w:pStyle w:val="1343"/>
            </w:pPr>
            <w:r>
              <w:t>起点</w:t>
            </w:r>
          </w:p>
        </w:tc>
        <w:tc>
          <w:tcPr>
            <w:tcW w:w="988" w:type="dxa"/>
            <w:vAlign w:val="center"/>
          </w:tcPr>
          <w:p w14:paraId="67544710">
            <w:pPr>
              <w:pStyle w:val="1343"/>
            </w:pPr>
            <w:r>
              <w:t>终点</w:t>
            </w:r>
          </w:p>
        </w:tc>
        <w:tc>
          <w:tcPr>
            <w:tcW w:w="707" w:type="dxa"/>
            <w:vMerge w:val="continue"/>
            <w:vAlign w:val="center"/>
          </w:tcPr>
          <w:p w14:paraId="56AA12AD">
            <w:pPr>
              <w:pStyle w:val="1343"/>
              <w:rPr>
                <w:lang w:eastAsia="en-US"/>
              </w:rPr>
            </w:pPr>
          </w:p>
        </w:tc>
        <w:tc>
          <w:tcPr>
            <w:tcW w:w="707" w:type="dxa"/>
            <w:vMerge w:val="continue"/>
            <w:vAlign w:val="center"/>
          </w:tcPr>
          <w:p w14:paraId="45FE5A38">
            <w:pPr>
              <w:pStyle w:val="1343"/>
              <w:rPr>
                <w:rFonts w:eastAsia="Times New Roman"/>
              </w:rPr>
            </w:pPr>
          </w:p>
        </w:tc>
        <w:tc>
          <w:tcPr>
            <w:tcW w:w="794" w:type="dxa"/>
            <w:vMerge w:val="continue"/>
            <w:vAlign w:val="center"/>
          </w:tcPr>
          <w:p w14:paraId="31F57F9B">
            <w:pPr>
              <w:pStyle w:val="1343"/>
              <w:rPr>
                <w:rFonts w:eastAsia="Times New Roman"/>
              </w:rPr>
            </w:pPr>
          </w:p>
        </w:tc>
        <w:tc>
          <w:tcPr>
            <w:tcW w:w="3629" w:type="dxa"/>
            <w:vMerge w:val="continue"/>
            <w:vAlign w:val="center"/>
          </w:tcPr>
          <w:p w14:paraId="2ABDF3EB">
            <w:pPr>
              <w:pStyle w:val="1343"/>
              <w:rPr>
                <w:lang w:eastAsia="en-US"/>
              </w:rPr>
            </w:pPr>
          </w:p>
        </w:tc>
        <w:tc>
          <w:tcPr>
            <w:tcW w:w="1098" w:type="dxa"/>
            <w:vMerge w:val="continue"/>
            <w:vAlign w:val="center"/>
          </w:tcPr>
          <w:p w14:paraId="12B59032">
            <w:pPr>
              <w:pStyle w:val="1343"/>
              <w:rPr>
                <w:lang w:eastAsia="en-US"/>
              </w:rPr>
            </w:pPr>
          </w:p>
        </w:tc>
      </w:tr>
      <w:tr w14:paraId="57E9E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86523E0">
            <w:pPr>
              <w:pStyle w:val="1343"/>
              <w:rPr>
                <w:rFonts w:eastAsia="Times New Roman"/>
              </w:rPr>
            </w:pPr>
            <w:r>
              <w:t>1</w:t>
            </w:r>
          </w:p>
        </w:tc>
        <w:tc>
          <w:tcPr>
            <w:tcW w:w="934" w:type="dxa"/>
            <w:vAlign w:val="center"/>
          </w:tcPr>
          <w:p w14:paraId="76D385D1">
            <w:pPr>
              <w:pStyle w:val="1343"/>
            </w:pPr>
            <w:r>
              <w:rPr>
                <w:rFonts w:hint="eastAsia"/>
              </w:rPr>
              <w:t>28号阀室</w:t>
            </w:r>
          </w:p>
        </w:tc>
        <w:tc>
          <w:tcPr>
            <w:tcW w:w="988" w:type="dxa"/>
            <w:vAlign w:val="center"/>
          </w:tcPr>
          <w:p w14:paraId="466D2595">
            <w:pPr>
              <w:pStyle w:val="1343"/>
            </w:pPr>
            <w:r>
              <w:rPr>
                <w:rFonts w:hint="eastAsia"/>
              </w:rPr>
              <w:t>耒阳分输站</w:t>
            </w:r>
          </w:p>
        </w:tc>
        <w:tc>
          <w:tcPr>
            <w:tcW w:w="707" w:type="dxa"/>
            <w:vMerge w:val="restart"/>
            <w:vAlign w:val="center"/>
          </w:tcPr>
          <w:p w14:paraId="22581C53">
            <w:pPr>
              <w:pStyle w:val="1343"/>
            </w:pPr>
            <w:r>
              <w:t>天然气</w:t>
            </w:r>
          </w:p>
        </w:tc>
        <w:tc>
          <w:tcPr>
            <w:tcW w:w="707" w:type="dxa"/>
            <w:vMerge w:val="restart"/>
            <w:vAlign w:val="center"/>
          </w:tcPr>
          <w:p w14:paraId="2DEA7660">
            <w:pPr>
              <w:pStyle w:val="1343"/>
            </w:pPr>
            <w:r>
              <w:t>易燃易爆气体</w:t>
            </w:r>
          </w:p>
        </w:tc>
        <w:tc>
          <w:tcPr>
            <w:tcW w:w="794" w:type="dxa"/>
            <w:vAlign w:val="center"/>
          </w:tcPr>
          <w:p w14:paraId="0BC5169E">
            <w:pPr>
              <w:pStyle w:val="1343"/>
              <w:rPr>
                <w:rFonts w:hint="eastAsia" w:eastAsiaTheme="minorEastAsia"/>
                <w:lang w:eastAsia="zh-CN"/>
              </w:rPr>
            </w:pPr>
            <w:r>
              <w:rPr>
                <w:rFonts w:hint="eastAsia" w:eastAsiaTheme="minorEastAsia"/>
                <w:color w:val="auto"/>
              </w:rPr>
              <w:t>3.4</w:t>
            </w:r>
            <w:r>
              <w:rPr>
                <w:rFonts w:hint="eastAsia" w:eastAsiaTheme="minorEastAsia"/>
                <w:color w:val="auto"/>
                <w:lang w:val="en-US" w:eastAsia="zh-CN"/>
              </w:rPr>
              <w:t>4</w:t>
            </w:r>
          </w:p>
        </w:tc>
        <w:tc>
          <w:tcPr>
            <w:tcW w:w="3629" w:type="dxa"/>
            <w:vAlign w:val="center"/>
          </w:tcPr>
          <w:p w14:paraId="0A427EAC">
            <w:pPr>
              <w:pStyle w:val="1343"/>
              <w:jc w:val="both"/>
              <w:rPr>
                <w:rFonts w:eastAsia="Times New Roman"/>
              </w:rPr>
            </w:pPr>
            <w:r>
              <w:t>该段管线两侧</w:t>
            </w:r>
            <w:r>
              <w:rPr>
                <w:rFonts w:hint="eastAsia"/>
              </w:rPr>
              <w:t>1</w:t>
            </w:r>
            <w:r>
              <w:t>00m范围内分布有</w:t>
            </w:r>
            <w:r>
              <w:rPr>
                <w:rFonts w:hint="eastAsia"/>
              </w:rPr>
              <w:t>蒋家冲、资家湾</w:t>
            </w:r>
            <w:r>
              <w:t>，人数</w:t>
            </w:r>
            <w:r>
              <w:rPr>
                <w:rFonts w:hint="eastAsia"/>
              </w:rPr>
              <w:t>165</w:t>
            </w:r>
            <w:r>
              <w:t>人；无特殊及重要生态敏感目标，无珍稀濒危野生动植物；</w:t>
            </w:r>
          </w:p>
        </w:tc>
        <w:tc>
          <w:tcPr>
            <w:tcW w:w="1098" w:type="dxa"/>
            <w:vMerge w:val="restart"/>
            <w:vAlign w:val="center"/>
          </w:tcPr>
          <w:p w14:paraId="433215F5">
            <w:pPr>
              <w:pStyle w:val="1343"/>
            </w:pPr>
            <w:r>
              <w:t>天然气泄漏、火灾、爆炸、及火灾爆炸引发次生污染物排放</w:t>
            </w:r>
          </w:p>
        </w:tc>
      </w:tr>
      <w:tr w14:paraId="608C8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341E3B34">
            <w:pPr>
              <w:pStyle w:val="1343"/>
            </w:pPr>
            <w:r>
              <w:rPr>
                <w:rFonts w:hint="eastAsia"/>
              </w:rPr>
              <w:t>2</w:t>
            </w:r>
          </w:p>
        </w:tc>
        <w:tc>
          <w:tcPr>
            <w:tcW w:w="1922" w:type="dxa"/>
            <w:gridSpan w:val="2"/>
            <w:vAlign w:val="center"/>
          </w:tcPr>
          <w:p w14:paraId="1F08B655">
            <w:pPr>
              <w:pStyle w:val="1343"/>
              <w:rPr>
                <w:spacing w:val="-1"/>
              </w:rPr>
            </w:pPr>
            <w:r>
              <w:rPr>
                <w:rFonts w:hint="eastAsia"/>
                <w:spacing w:val="-1"/>
              </w:rPr>
              <w:t>耒阳分输站</w:t>
            </w:r>
          </w:p>
        </w:tc>
        <w:tc>
          <w:tcPr>
            <w:tcW w:w="707" w:type="dxa"/>
            <w:vMerge w:val="continue"/>
            <w:vAlign w:val="center"/>
          </w:tcPr>
          <w:p w14:paraId="7B03263A">
            <w:pPr>
              <w:pStyle w:val="1343"/>
            </w:pPr>
          </w:p>
        </w:tc>
        <w:tc>
          <w:tcPr>
            <w:tcW w:w="707" w:type="dxa"/>
            <w:vMerge w:val="continue"/>
            <w:vAlign w:val="center"/>
          </w:tcPr>
          <w:p w14:paraId="06879FE3">
            <w:pPr>
              <w:pStyle w:val="1343"/>
              <w:rPr>
                <w:rFonts w:eastAsiaTheme="minorEastAsia"/>
              </w:rPr>
            </w:pPr>
          </w:p>
        </w:tc>
        <w:tc>
          <w:tcPr>
            <w:tcW w:w="794" w:type="dxa"/>
            <w:vAlign w:val="center"/>
          </w:tcPr>
          <w:p w14:paraId="25F27BAE">
            <w:pPr>
              <w:pStyle w:val="1343"/>
              <w:rPr>
                <w:rFonts w:eastAsiaTheme="minorEastAsia"/>
              </w:rPr>
            </w:pPr>
            <w:r>
              <w:rPr>
                <w:rFonts w:hint="eastAsia" w:eastAsiaTheme="minorEastAsia"/>
              </w:rPr>
              <w:t>1.72</w:t>
            </w:r>
          </w:p>
        </w:tc>
        <w:tc>
          <w:tcPr>
            <w:tcW w:w="3629" w:type="dxa"/>
            <w:vAlign w:val="center"/>
          </w:tcPr>
          <w:p w14:paraId="1EF427D3">
            <w:pPr>
              <w:pStyle w:val="1343"/>
              <w:jc w:val="left"/>
            </w:pPr>
            <w:r>
              <w:t>以站场为中心，半径5km范围内总人口总数约</w:t>
            </w:r>
            <w:r>
              <w:rPr>
                <w:rFonts w:hint="eastAsia"/>
              </w:rPr>
              <w:t>5110</w:t>
            </w:r>
            <w:r>
              <w:t>人，无特殊及重要生态敏感目标，无珍稀濒危野生动植物；</w:t>
            </w:r>
          </w:p>
        </w:tc>
        <w:tc>
          <w:tcPr>
            <w:tcW w:w="1098" w:type="dxa"/>
            <w:vMerge w:val="continue"/>
            <w:vAlign w:val="center"/>
          </w:tcPr>
          <w:p w14:paraId="39FEA764">
            <w:pPr>
              <w:pStyle w:val="1343"/>
            </w:pPr>
          </w:p>
        </w:tc>
      </w:tr>
    </w:tbl>
    <w:p w14:paraId="16EDBDC4">
      <w:pPr>
        <w:pStyle w:val="7"/>
        <w:spacing w:before="120" w:beforeLines="50"/>
      </w:pPr>
      <w:r>
        <w:t>事故伴生/次生污染分析</w:t>
      </w:r>
    </w:p>
    <w:p w14:paraId="1BAD4C06">
      <w:pPr>
        <w:pStyle w:val="234"/>
        <w:spacing w:before="48" w:after="48"/>
      </w:pPr>
      <w:r>
        <w:t>在发生泄漏、火灾、爆炸事故处理过程中，会产生以下伴生/次生污染：本工程管道及站场设备泄漏物料天然气挥发、引起的火灾和爆炸。事故处理过程的伴生/次生污染主要涉及CO有毒有害</w:t>
      </w:r>
      <w:r>
        <w:rPr>
          <w:rFonts w:hint="eastAsia"/>
        </w:rPr>
        <w:t>气体</w:t>
      </w:r>
      <w:r>
        <w:t>。</w:t>
      </w:r>
    </w:p>
    <w:p w14:paraId="6BF90817">
      <w:pPr>
        <w:pStyle w:val="5"/>
        <w:rPr>
          <w:b/>
          <w:bCs/>
          <w:color w:val="auto"/>
        </w:rPr>
      </w:pPr>
      <w:r>
        <w:rPr>
          <w:rFonts w:hint="eastAsia"/>
          <w:color w:val="auto"/>
        </w:rPr>
        <w:t>可能影响的途径</w:t>
      </w:r>
    </w:p>
    <w:p w14:paraId="30DDCA26">
      <w:pPr>
        <w:pStyle w:val="234"/>
        <w:spacing w:before="48" w:after="48"/>
      </w:pPr>
      <w:r>
        <w:t>根据前述危险物质和生产系统危险性识别，识别出本工程环境风险类型主要为</w:t>
      </w:r>
      <w:r>
        <w:rPr>
          <w:rFonts w:hint="eastAsia"/>
        </w:rPr>
        <w:t>运营期</w:t>
      </w:r>
      <w:r>
        <w:t>输气管道及站场的天然气泄漏及泄漏后得火灾爆炸</w:t>
      </w:r>
      <w:r>
        <w:rPr>
          <w:rFonts w:hint="eastAsia"/>
        </w:rPr>
        <w:t>、柴油发电机房柴油泄漏</w:t>
      </w:r>
      <w:r>
        <w:t>等。</w:t>
      </w:r>
    </w:p>
    <w:p w14:paraId="5DF968CC">
      <w:pPr>
        <w:pStyle w:val="234"/>
        <w:spacing w:before="48" w:after="48"/>
      </w:pPr>
      <w:r>
        <w:rPr>
          <w:rFonts w:hint="eastAsia"/>
        </w:rPr>
        <w:t>（1）</w:t>
      </w:r>
      <w:r>
        <w:t>火灾爆炸</w:t>
      </w:r>
    </w:p>
    <w:p w14:paraId="38EAD450">
      <w:pPr>
        <w:pStyle w:val="234"/>
        <w:spacing w:before="48" w:after="48"/>
      </w:pPr>
      <w:r>
        <w:t>本工程管道工艺设计压力为10MPa，属高压输气管道。若因不法分子钻孔盗气、管道上方违章施工等第三方破坏、管道腐蚀、管道质量缺陷、施工缺陷以及洪水、滑坡、地震等自然灾害造成管道破裂，导致天然气泄漏，可能发生火灾、爆炸事故。天然气管道失效形成的危害种类和潜在影响区域取决于管道失效模式、气体释放、扩散条件和点燃方式。对于天然气管道泄漏而言，由于气体的浮力，在地表无法形成持久的易燃气云，延迟点燃发生闪火的可能性较低。</w:t>
      </w:r>
    </w:p>
    <w:p w14:paraId="42762D9B">
      <w:pPr>
        <w:pStyle w:val="234"/>
        <w:spacing w:before="48" w:after="48"/>
      </w:pPr>
      <w:r>
        <w:t>因此，主要的危险来自喷射火热辐射和受限蒸气压产生的爆炸超压。火灾、爆炸事故是管道运行期的主要风险类型。</w:t>
      </w:r>
    </w:p>
    <w:p w14:paraId="1CFEA102">
      <w:pPr>
        <w:pStyle w:val="234"/>
        <w:spacing w:before="48" w:after="48"/>
      </w:pPr>
      <w:r>
        <w:t>（</w:t>
      </w:r>
      <w:r>
        <w:rPr>
          <w:rFonts w:hint="eastAsia"/>
        </w:rPr>
        <w:t>2）</w:t>
      </w:r>
      <w:r>
        <w:t>中毒、窒息危害</w:t>
      </w:r>
    </w:p>
    <w:p w14:paraId="48C9E8FB">
      <w:pPr>
        <w:pStyle w:val="234"/>
        <w:spacing w:before="48" w:after="48"/>
      </w:pPr>
      <w:r>
        <w:t>天然气主要成分为甲烷，甲烷属于低毒性物质、窒息性气体，尤其在密闭空间，易造成窒息死亡。空气中甲烷浓度过高能使人无知觉地窒息、死亡。因此，当发生泄漏事故，出现高浓度天然气环境时，也属于一种风险事故类型。</w:t>
      </w:r>
    </w:p>
    <w:p w14:paraId="701DBBA3">
      <w:pPr>
        <w:pStyle w:val="234"/>
        <w:spacing w:before="48" w:after="48"/>
      </w:pPr>
      <w:r>
        <w:t>本工程气源天然气主要成分为甲烷，含量</w:t>
      </w:r>
      <w:r>
        <w:rPr>
          <w:rFonts w:hint="eastAsia"/>
        </w:rPr>
        <w:t>高于</w:t>
      </w:r>
      <w:r>
        <w:t>9</w:t>
      </w:r>
      <w:r>
        <w:rPr>
          <w:rFonts w:hint="eastAsia"/>
        </w:rPr>
        <w:t>1</w:t>
      </w:r>
      <w:r>
        <w:t>%，几乎不含硫。因此在泄漏事故情景，不考虑H</w:t>
      </w:r>
      <w:r>
        <w:rPr>
          <w:vertAlign w:val="subscript"/>
        </w:rPr>
        <w:t>2</w:t>
      </w:r>
      <w:r>
        <w:t>S的环境风险影响，只考虑甲烷</w:t>
      </w:r>
      <w:r>
        <w:rPr>
          <w:rFonts w:hint="eastAsia"/>
        </w:rPr>
        <w:t>浓度过高引起周边居民</w:t>
      </w:r>
      <w:r>
        <w:t>窒息的环境风险影响。</w:t>
      </w:r>
    </w:p>
    <w:p w14:paraId="27D89B4B">
      <w:pPr>
        <w:pStyle w:val="234"/>
        <w:spacing w:before="48" w:after="48"/>
      </w:pPr>
      <w:r>
        <w:t>（</w:t>
      </w:r>
      <w:r>
        <w:rPr>
          <w:rFonts w:hint="eastAsia"/>
        </w:rPr>
        <w:t>3</w:t>
      </w:r>
      <w:r>
        <w:t>）事故的次生环境影响</w:t>
      </w:r>
    </w:p>
    <w:p w14:paraId="1D7AB2B9">
      <w:pPr>
        <w:pStyle w:val="234"/>
        <w:spacing w:before="48" w:after="48"/>
      </w:pPr>
      <w:r>
        <w:t>输气管段及输气站场发生天然气泄漏，极易引发火灾。天然气瞬时大量泄漏，不容易完全燃烧，会产生一氧化碳；火焰温度超过800℃时，会产生NO</w:t>
      </w:r>
      <w:r>
        <w:rPr>
          <w:vertAlign w:val="subscript"/>
        </w:rPr>
        <w:t>x</w:t>
      </w:r>
      <w:r>
        <w:t>。泄漏事故时，由于天然气不完全燃烧，产生的一氧化碳量较大，事故场所周围有限范围内环境空气中的一氧化碳浓度会有明显增高；本工程管道和站场处于开放空间，火灾事故不会产生大量NOx。</w:t>
      </w:r>
    </w:p>
    <w:p w14:paraId="0ADE85F4">
      <w:pPr>
        <w:pStyle w:val="234"/>
        <w:spacing w:before="48" w:after="48"/>
      </w:pPr>
      <w:r>
        <w:rPr>
          <w:rFonts w:hint="eastAsia"/>
        </w:rPr>
        <w:t>（4）柴油泄漏</w:t>
      </w:r>
    </w:p>
    <w:p w14:paraId="3CC0E8C4">
      <w:pPr>
        <w:pStyle w:val="234"/>
        <w:spacing w:before="48" w:after="48"/>
      </w:pPr>
      <w:r>
        <w:rPr>
          <w:rFonts w:hint="eastAsia"/>
        </w:rPr>
        <w:t>本工程耒阳分输站备用柴油发电机需要使用柴油，储存量为发电机最大容量的70%（0.12t），储存位置为柴油发电机内。一旦发电机发生破裂或故障等事故，可能导致油品泄漏。</w:t>
      </w:r>
    </w:p>
    <w:p w14:paraId="7B4CF933">
      <w:pPr>
        <w:pStyle w:val="234"/>
        <w:spacing w:before="48" w:after="48"/>
      </w:pPr>
      <w:r>
        <w:t>因此，结合项目周边环境敏感目标分布，本工程环境风险识别见</w:t>
      </w:r>
      <w:r>
        <w:rPr>
          <w:rFonts w:hint="eastAsia"/>
        </w:rPr>
        <w:t>表7</w:t>
      </w:r>
      <w:r>
        <w:t>.3</w:t>
      </w:r>
      <w:r>
        <w:rPr>
          <w:rFonts w:hint="eastAsia"/>
        </w:rPr>
        <w:t>-</w:t>
      </w:r>
      <w:r>
        <w:t>5。</w:t>
      </w:r>
    </w:p>
    <w:p w14:paraId="49E58385">
      <w:pPr>
        <w:pStyle w:val="904"/>
      </w:pPr>
      <w:bookmarkStart w:id="221" w:name="_Ref77786575"/>
      <w:r>
        <w:t xml:space="preserve">表 </w:t>
      </w:r>
      <w:r>
        <w:fldChar w:fldCharType="begin"/>
      </w:r>
      <w:r>
        <w:instrText xml:space="preserve"> STYLEREF 2 \s </w:instrText>
      </w:r>
      <w:r>
        <w:fldChar w:fldCharType="separate"/>
      </w:r>
      <w:r>
        <w:t>7.3</w:t>
      </w:r>
      <w:r>
        <w:fldChar w:fldCharType="end"/>
      </w:r>
      <w:r>
        <w:noBreakHyphen/>
      </w:r>
      <w:bookmarkEnd w:id="221"/>
      <w:r>
        <w:t>5本工程环境风险识别表</w:t>
      </w:r>
    </w:p>
    <w:tbl>
      <w:tblPr>
        <w:tblStyle w:val="88"/>
        <w:tblW w:w="501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14"/>
        <w:gridCol w:w="1194"/>
        <w:gridCol w:w="1361"/>
        <w:gridCol w:w="996"/>
        <w:gridCol w:w="1565"/>
        <w:gridCol w:w="2067"/>
        <w:gridCol w:w="1522"/>
      </w:tblGrid>
      <w:tr w14:paraId="65544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79" w:type="pct"/>
            <w:vAlign w:val="center"/>
          </w:tcPr>
          <w:p w14:paraId="3F06FC73">
            <w:pPr>
              <w:pStyle w:val="1343"/>
            </w:pPr>
            <w:r>
              <w:t>危险单元</w:t>
            </w:r>
          </w:p>
        </w:tc>
        <w:tc>
          <w:tcPr>
            <w:tcW w:w="633" w:type="pct"/>
            <w:vAlign w:val="center"/>
          </w:tcPr>
          <w:p w14:paraId="4B89F4D8">
            <w:pPr>
              <w:pStyle w:val="1343"/>
            </w:pPr>
            <w:r>
              <w:t>风险源</w:t>
            </w:r>
          </w:p>
        </w:tc>
        <w:tc>
          <w:tcPr>
            <w:tcW w:w="722" w:type="pct"/>
            <w:vAlign w:val="center"/>
          </w:tcPr>
          <w:p w14:paraId="6BA3A992">
            <w:pPr>
              <w:pStyle w:val="1343"/>
            </w:pPr>
            <w:r>
              <w:t>主要参数</w:t>
            </w:r>
          </w:p>
        </w:tc>
        <w:tc>
          <w:tcPr>
            <w:tcW w:w="528" w:type="pct"/>
            <w:vAlign w:val="center"/>
          </w:tcPr>
          <w:p w14:paraId="2549C61F">
            <w:pPr>
              <w:pStyle w:val="1343"/>
            </w:pPr>
            <w:r>
              <w:t>涉及风险物质</w:t>
            </w:r>
          </w:p>
        </w:tc>
        <w:tc>
          <w:tcPr>
            <w:tcW w:w="830" w:type="pct"/>
            <w:vAlign w:val="center"/>
          </w:tcPr>
          <w:p w14:paraId="7FD4AAC6">
            <w:pPr>
              <w:pStyle w:val="1343"/>
            </w:pPr>
            <w:r>
              <w:t>环境风险类型</w:t>
            </w:r>
          </w:p>
        </w:tc>
        <w:tc>
          <w:tcPr>
            <w:tcW w:w="1096" w:type="pct"/>
            <w:vAlign w:val="center"/>
          </w:tcPr>
          <w:p w14:paraId="64165E32">
            <w:pPr>
              <w:pStyle w:val="1343"/>
            </w:pPr>
            <w:r>
              <w:t>环境影响途径</w:t>
            </w:r>
          </w:p>
        </w:tc>
        <w:tc>
          <w:tcPr>
            <w:tcW w:w="807" w:type="pct"/>
            <w:vAlign w:val="center"/>
          </w:tcPr>
          <w:p w14:paraId="4FF771CA">
            <w:pPr>
              <w:pStyle w:val="1343"/>
            </w:pPr>
            <w:r>
              <w:t>可能受影响的环境敏感目标</w:t>
            </w:r>
          </w:p>
        </w:tc>
      </w:tr>
      <w:tr w14:paraId="7469F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8" w:hRule="atLeast"/>
          <w:jc w:val="center"/>
        </w:trPr>
        <w:tc>
          <w:tcPr>
            <w:tcW w:w="379" w:type="pct"/>
            <w:vAlign w:val="center"/>
          </w:tcPr>
          <w:p w14:paraId="7FC95A25">
            <w:pPr>
              <w:pStyle w:val="1343"/>
            </w:pPr>
            <w:r>
              <w:t>本工程管道</w:t>
            </w:r>
          </w:p>
        </w:tc>
        <w:tc>
          <w:tcPr>
            <w:tcW w:w="633" w:type="pct"/>
            <w:vAlign w:val="center"/>
          </w:tcPr>
          <w:p w14:paraId="73AFB37A">
            <w:pPr>
              <w:pStyle w:val="1343"/>
            </w:pPr>
            <w:r>
              <w:t>管道</w:t>
            </w:r>
          </w:p>
        </w:tc>
        <w:tc>
          <w:tcPr>
            <w:tcW w:w="722" w:type="pct"/>
            <w:vAlign w:val="center"/>
          </w:tcPr>
          <w:p w14:paraId="6FB0ADA5">
            <w:pPr>
              <w:pStyle w:val="1343"/>
            </w:pPr>
            <w:r>
              <w:t>管线</w:t>
            </w:r>
            <w:r>
              <w:rPr>
                <w:rFonts w:hint="eastAsia"/>
              </w:rPr>
              <w:t>0.</w:t>
            </w:r>
            <w:r>
              <w:rPr>
                <w:rFonts w:hint="eastAsia"/>
                <w:lang w:eastAsia="zh-CN"/>
              </w:rPr>
              <w:t>760</w:t>
            </w:r>
            <w:r>
              <w:t>km，管径</w:t>
            </w:r>
            <w:r>
              <w:rPr>
                <w:rFonts w:hint="eastAsia"/>
              </w:rPr>
              <w:t>300</w:t>
            </w:r>
            <w:r>
              <w:t>mm</w:t>
            </w:r>
          </w:p>
        </w:tc>
        <w:tc>
          <w:tcPr>
            <w:tcW w:w="528" w:type="pct"/>
            <w:vAlign w:val="center"/>
          </w:tcPr>
          <w:p w14:paraId="520834EB">
            <w:pPr>
              <w:pStyle w:val="1343"/>
            </w:pPr>
            <w:r>
              <w:t>甲烷、CO等</w:t>
            </w:r>
          </w:p>
        </w:tc>
        <w:tc>
          <w:tcPr>
            <w:tcW w:w="830" w:type="pct"/>
            <w:vMerge w:val="restart"/>
            <w:vAlign w:val="center"/>
          </w:tcPr>
          <w:p w14:paraId="7A340E69">
            <w:pPr>
              <w:pStyle w:val="1343"/>
            </w:pPr>
            <w:r>
              <w:rPr>
                <w:rFonts w:hint="eastAsia" w:ascii="宋体" w:hAnsi="宋体" w:cs="宋体"/>
              </w:rPr>
              <w:t>①</w:t>
            </w:r>
            <w:r>
              <w:t>管道泄漏引发污染物排放；</w:t>
            </w:r>
          </w:p>
          <w:p w14:paraId="40ACDB16">
            <w:pPr>
              <w:pStyle w:val="1343"/>
            </w:pPr>
            <w:r>
              <w:rPr>
                <w:rFonts w:hint="eastAsia" w:ascii="宋体" w:hAnsi="宋体" w:cs="宋体"/>
              </w:rPr>
              <w:t>②</w:t>
            </w:r>
            <w:r>
              <w:t>火灾爆炸不完全燃烧产生CO</w:t>
            </w:r>
          </w:p>
        </w:tc>
        <w:tc>
          <w:tcPr>
            <w:tcW w:w="1096" w:type="pct"/>
            <w:vMerge w:val="restart"/>
            <w:vAlign w:val="center"/>
          </w:tcPr>
          <w:p w14:paraId="644CE0CD">
            <w:pPr>
              <w:pStyle w:val="1343"/>
            </w:pPr>
            <w:r>
              <w:rPr>
                <w:rFonts w:hint="eastAsia" w:ascii="宋体" w:hAnsi="宋体" w:cs="宋体"/>
              </w:rPr>
              <w:t>①</w:t>
            </w:r>
            <w:r>
              <w:t>泄漏天然气污染环境；</w:t>
            </w:r>
            <w:r>
              <w:rPr>
                <w:rFonts w:hint="eastAsia" w:ascii="宋体" w:hAnsi="宋体" w:cs="宋体"/>
              </w:rPr>
              <w:t>②</w:t>
            </w:r>
            <w:r>
              <w:t>泄漏的天然气遇明火或其他原因引发火灾和爆炸燃烧产生的次生CO污染大气环境</w:t>
            </w:r>
          </w:p>
        </w:tc>
        <w:tc>
          <w:tcPr>
            <w:tcW w:w="807" w:type="pct"/>
            <w:vAlign w:val="center"/>
          </w:tcPr>
          <w:p w14:paraId="43BB0C99">
            <w:pPr>
              <w:pStyle w:val="1343"/>
            </w:pPr>
            <w:r>
              <w:t>周边居民、植被等</w:t>
            </w:r>
          </w:p>
        </w:tc>
      </w:tr>
      <w:tr w14:paraId="105A3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79" w:type="pct"/>
            <w:vMerge w:val="restart"/>
            <w:vAlign w:val="center"/>
          </w:tcPr>
          <w:p w14:paraId="02C18EC5">
            <w:pPr>
              <w:pStyle w:val="1343"/>
            </w:pPr>
            <w:r>
              <w:t>站场</w:t>
            </w:r>
          </w:p>
        </w:tc>
        <w:tc>
          <w:tcPr>
            <w:tcW w:w="633" w:type="pct"/>
            <w:vAlign w:val="center"/>
          </w:tcPr>
          <w:p w14:paraId="0776A6B1">
            <w:pPr>
              <w:pStyle w:val="1343"/>
            </w:pPr>
            <w:r>
              <w:t>站场内管道、截断阀</w:t>
            </w:r>
          </w:p>
        </w:tc>
        <w:tc>
          <w:tcPr>
            <w:tcW w:w="722" w:type="pct"/>
            <w:vAlign w:val="center"/>
          </w:tcPr>
          <w:p w14:paraId="09299399">
            <w:pPr>
              <w:pStyle w:val="1343"/>
            </w:pPr>
            <w:r>
              <w:t>站内管线</w:t>
            </w:r>
          </w:p>
        </w:tc>
        <w:tc>
          <w:tcPr>
            <w:tcW w:w="528" w:type="pct"/>
            <w:vAlign w:val="center"/>
          </w:tcPr>
          <w:p w14:paraId="1F774099">
            <w:pPr>
              <w:pStyle w:val="1343"/>
            </w:pPr>
            <w:r>
              <w:t>甲烷、CO等</w:t>
            </w:r>
          </w:p>
        </w:tc>
        <w:tc>
          <w:tcPr>
            <w:tcW w:w="830" w:type="pct"/>
            <w:vMerge w:val="continue"/>
            <w:vAlign w:val="center"/>
          </w:tcPr>
          <w:p w14:paraId="4D35BA4F">
            <w:pPr>
              <w:pStyle w:val="1343"/>
            </w:pPr>
          </w:p>
        </w:tc>
        <w:tc>
          <w:tcPr>
            <w:tcW w:w="1096" w:type="pct"/>
            <w:vMerge w:val="continue"/>
            <w:vAlign w:val="center"/>
          </w:tcPr>
          <w:p w14:paraId="1315E401">
            <w:pPr>
              <w:pStyle w:val="1343"/>
            </w:pPr>
          </w:p>
        </w:tc>
        <w:tc>
          <w:tcPr>
            <w:tcW w:w="807" w:type="pct"/>
            <w:vAlign w:val="center"/>
          </w:tcPr>
          <w:p w14:paraId="6553FBE6">
            <w:pPr>
              <w:pStyle w:val="1343"/>
            </w:pPr>
            <w:r>
              <w:t>周边居民、植被等</w:t>
            </w:r>
          </w:p>
        </w:tc>
      </w:tr>
      <w:tr w14:paraId="5E5B5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79" w:type="pct"/>
            <w:vMerge w:val="continue"/>
            <w:vAlign w:val="center"/>
          </w:tcPr>
          <w:p w14:paraId="462C4668">
            <w:pPr>
              <w:pStyle w:val="1343"/>
            </w:pPr>
            <w:bookmarkStart w:id="222" w:name="_Toc65162880"/>
          </w:p>
        </w:tc>
        <w:tc>
          <w:tcPr>
            <w:tcW w:w="633" w:type="pct"/>
            <w:vAlign w:val="center"/>
          </w:tcPr>
          <w:p w14:paraId="0125CB4C">
            <w:pPr>
              <w:pStyle w:val="1343"/>
            </w:pPr>
            <w:r>
              <w:rPr>
                <w:rFonts w:hint="eastAsia"/>
              </w:rPr>
              <w:t>柴油发电机</w:t>
            </w:r>
          </w:p>
        </w:tc>
        <w:tc>
          <w:tcPr>
            <w:tcW w:w="722" w:type="pct"/>
            <w:vAlign w:val="center"/>
          </w:tcPr>
          <w:p w14:paraId="5DF50FA4">
            <w:pPr>
              <w:pStyle w:val="1343"/>
            </w:pPr>
            <w:r>
              <w:rPr>
                <w:rFonts w:hint="eastAsia"/>
              </w:rPr>
              <w:t>140L</w:t>
            </w:r>
          </w:p>
        </w:tc>
        <w:tc>
          <w:tcPr>
            <w:tcW w:w="528" w:type="pct"/>
            <w:vAlign w:val="center"/>
          </w:tcPr>
          <w:p w14:paraId="073C7C71">
            <w:pPr>
              <w:pStyle w:val="1343"/>
            </w:pPr>
            <w:r>
              <w:rPr>
                <w:rFonts w:hint="eastAsia"/>
              </w:rPr>
              <w:t>柴油</w:t>
            </w:r>
          </w:p>
        </w:tc>
        <w:tc>
          <w:tcPr>
            <w:tcW w:w="830" w:type="pct"/>
            <w:vAlign w:val="center"/>
          </w:tcPr>
          <w:p w14:paraId="33CC9A41">
            <w:pPr>
              <w:pStyle w:val="1343"/>
            </w:pPr>
            <w:r>
              <w:rPr>
                <w:rFonts w:hint="eastAsia"/>
              </w:rPr>
              <w:t>柴油泄漏引发污染物排放</w:t>
            </w:r>
          </w:p>
        </w:tc>
        <w:tc>
          <w:tcPr>
            <w:tcW w:w="1096" w:type="pct"/>
            <w:vAlign w:val="center"/>
          </w:tcPr>
          <w:p w14:paraId="5D9B74FF">
            <w:pPr>
              <w:pStyle w:val="1343"/>
            </w:pPr>
            <w:r>
              <w:rPr>
                <w:rFonts w:hint="eastAsia"/>
              </w:rPr>
              <w:t>泄漏柴油污染环境</w:t>
            </w:r>
          </w:p>
        </w:tc>
        <w:tc>
          <w:tcPr>
            <w:tcW w:w="807" w:type="pct"/>
            <w:vAlign w:val="center"/>
          </w:tcPr>
          <w:p w14:paraId="50868764">
            <w:pPr>
              <w:pStyle w:val="1343"/>
            </w:pPr>
            <w:r>
              <w:rPr>
                <w:rFonts w:hint="eastAsia"/>
              </w:rPr>
              <w:t>周边潜水含水层</w:t>
            </w:r>
          </w:p>
        </w:tc>
      </w:tr>
    </w:tbl>
    <w:p w14:paraId="1C5723D7">
      <w:pPr>
        <w:pStyle w:val="4"/>
        <w:spacing w:before="120" w:beforeLines="50"/>
      </w:pPr>
      <w:r>
        <w:t xml:space="preserve"> </w:t>
      </w:r>
      <w:bookmarkStart w:id="223" w:name="_Toc28776"/>
      <w:r>
        <w:rPr>
          <w:rFonts w:hint="eastAsia"/>
          <w:lang w:val="en-US"/>
        </w:rPr>
        <w:t>环境</w:t>
      </w:r>
      <w:r>
        <w:t>风险</w:t>
      </w:r>
      <w:r>
        <w:rPr>
          <w:rFonts w:hint="eastAsia"/>
          <w:lang w:val="en-US"/>
        </w:rPr>
        <w:t>分析</w:t>
      </w:r>
      <w:bookmarkEnd w:id="222"/>
      <w:bookmarkEnd w:id="223"/>
    </w:p>
    <w:p w14:paraId="5082ACDC">
      <w:pPr>
        <w:pStyle w:val="5"/>
        <w:rPr>
          <w:color w:val="auto"/>
        </w:rPr>
      </w:pPr>
      <w:r>
        <w:rPr>
          <w:color w:val="auto"/>
        </w:rPr>
        <w:t>大气环境风险</w:t>
      </w:r>
      <w:r>
        <w:rPr>
          <w:rFonts w:hint="eastAsia"/>
          <w:color w:val="auto"/>
        </w:rPr>
        <w:t>分析</w:t>
      </w:r>
    </w:p>
    <w:p w14:paraId="4741171D">
      <w:pPr>
        <w:pStyle w:val="7"/>
      </w:pPr>
      <w:r>
        <w:t xml:space="preserve"> </w:t>
      </w:r>
      <w:r>
        <w:rPr>
          <w:rFonts w:hint="eastAsia"/>
        </w:rPr>
        <w:t>管线大气环境风险影响分析</w:t>
      </w:r>
    </w:p>
    <w:p w14:paraId="17A1BD77">
      <w:pPr>
        <w:pStyle w:val="234"/>
        <w:spacing w:before="48" w:after="48"/>
      </w:pPr>
      <w:bookmarkStart w:id="224" w:name="_Hlk82091914"/>
      <w:r>
        <w:rPr>
          <w:rFonts w:hint="eastAsia"/>
        </w:rPr>
        <w:t>本项目天然气管道事故时泄漏天然气进入空气，其主要危险物质甲烷将会对较近居民产生一定的影响，若发生火灾事故将有伴生的CO产生，可引起管道两侧居民中毒。由于本工程管线较短，天然气在线量较小，场站设有监控设施及自动在线截断装置，一旦事故发生可在2min内及时关闭阀门，泄漏时间较短、泄漏的天然气量较少，且天然气由场站外放空立管集中排放，可减少事故发生地点甲烷排放量及避免火灾、爆炸事故的发生。</w:t>
      </w:r>
    </w:p>
    <w:p w14:paraId="7F3F52A6">
      <w:pPr>
        <w:pStyle w:val="234"/>
        <w:spacing w:before="48" w:after="48"/>
      </w:pPr>
      <w:r>
        <w:rPr>
          <w:rFonts w:hint="eastAsia"/>
        </w:rPr>
        <w:t>经调查，本工程管道两侧100m范围敏感点为40m处的蒋家冲和50m处的资家湾，本工程天然气输气管道所经区域均为野外，其地势开阔易于扩散，甲烷扩散后浓度较低，管线两侧100m范围内居民中毒的可能性较低。若发生火灾事故时伴生的CO量较少，且周围居民较少，经距离及大气扩散后，CO聚积量较小，引发中毒可能性较低。</w:t>
      </w:r>
    </w:p>
    <w:bookmarkEnd w:id="224"/>
    <w:p w14:paraId="6B1834A1">
      <w:pPr>
        <w:pStyle w:val="7"/>
      </w:pPr>
      <w:r>
        <w:rPr>
          <w:rFonts w:hint="eastAsia"/>
        </w:rPr>
        <w:t>站场大气环境风险影响分析</w:t>
      </w:r>
    </w:p>
    <w:p w14:paraId="49563855">
      <w:pPr>
        <w:pStyle w:val="234"/>
        <w:spacing w:before="48" w:after="48"/>
      </w:pPr>
      <w:r>
        <w:rPr>
          <w:rFonts w:hint="eastAsia"/>
        </w:rPr>
        <w:t>本项目为天然气管道输送项目，站场事故时泄漏天然气进入空气，其主要危险物质甲烷将会对站场较近的居民产生一定的影响，若发生火灾事故将有伴生的CO产生，可引起周围居民的中毒。</w:t>
      </w:r>
    </w:p>
    <w:p w14:paraId="18EA079F">
      <w:pPr>
        <w:pStyle w:val="234"/>
        <w:spacing w:before="48" w:after="48"/>
      </w:pPr>
      <w:r>
        <w:rPr>
          <w:rFonts w:hint="eastAsia"/>
        </w:rPr>
        <w:t>站场天然气储量较小，且事故发生时站内及时关闭相应控制阀门并排除故障，使天然气释放量减至最少，因此事故泄漏时产生的甲烷量很少；当站内天然气泄漏事故发生时，28号阀室及耒阳分输站放空立管集中排放，可避免火灾、爆炸事故的发生，同时由于站场围墙阻挡，泄漏时发生火灾爆炸的实际危险性较小，因此站内火灾爆炸伴生的CO产生机率较小。</w:t>
      </w:r>
    </w:p>
    <w:p w14:paraId="62294852">
      <w:pPr>
        <w:pStyle w:val="234"/>
        <w:spacing w:before="48" w:after="48"/>
      </w:pPr>
      <w:r>
        <w:rPr>
          <w:rFonts w:hint="eastAsia"/>
        </w:rPr>
        <w:t>经调查，本项目耒阳分输站站址周围100m范围内无敏感点，若站场发生泄漏事故时，甲烷和火灾、爆炸伴生的CO对环境的影响基本在站场内及场界范围，影响范围较小，事故时有毒有害物质引起居民中毒的可能性低</w:t>
      </w:r>
      <w:r>
        <w:t>。</w:t>
      </w:r>
    </w:p>
    <w:p w14:paraId="3AF1B6A2">
      <w:pPr>
        <w:pStyle w:val="5"/>
        <w:rPr>
          <w:color w:val="auto"/>
        </w:rPr>
      </w:pPr>
      <w:r>
        <w:rPr>
          <w:color w:val="auto"/>
        </w:rPr>
        <w:t>水环境</w:t>
      </w:r>
      <w:r>
        <w:rPr>
          <w:rFonts w:hint="eastAsia"/>
          <w:color w:val="auto"/>
        </w:rPr>
        <w:t>风险</w:t>
      </w:r>
      <w:r>
        <w:rPr>
          <w:color w:val="auto"/>
        </w:rPr>
        <w:t>分析</w:t>
      </w:r>
    </w:p>
    <w:p w14:paraId="33B0995D">
      <w:pPr>
        <w:pStyle w:val="234"/>
        <w:spacing w:before="48" w:after="48"/>
      </w:pPr>
      <w:r>
        <w:t>由于天然气密度比空气小，沸点极低(-161.5℃)，且几乎不溶于水，在事故状态下输气管道发生破裂，天然气对</w:t>
      </w:r>
      <w:r>
        <w:rPr>
          <w:rFonts w:hint="eastAsia"/>
        </w:rPr>
        <w:t>地表水和地下水</w:t>
      </w:r>
      <w:r>
        <w:t>水质的直接影响很小。如果发生管道火灾爆炸事故的抢维修会扰动</w:t>
      </w:r>
      <w:r>
        <w:rPr>
          <w:rFonts w:hint="eastAsia"/>
        </w:rPr>
        <w:t>地表</w:t>
      </w:r>
      <w:r>
        <w:t>水体，增加水体悬浮物，短期内会影响</w:t>
      </w:r>
      <w:r>
        <w:rPr>
          <w:rFonts w:hint="eastAsia"/>
        </w:rPr>
        <w:t>水</w:t>
      </w:r>
      <w:r>
        <w:t>质。运营单位应通过严格管理，规范抢修过程作业，可将影响降低到最小</w:t>
      </w:r>
      <w:r>
        <w:rPr>
          <w:rFonts w:hint="eastAsia"/>
        </w:rPr>
        <w:t>。</w:t>
      </w:r>
    </w:p>
    <w:p w14:paraId="674C30CE">
      <w:pPr>
        <w:pStyle w:val="234"/>
        <w:spacing w:before="48" w:after="48"/>
      </w:pPr>
      <w:r>
        <w:t>若发生火灾，根据一般的灭火经验，采取关闭泄漏管段两侧最近的阶段阀室，切断气源，同时在两侧阀门处通过放散管进行放散，减少泄漏量。由于天然气燃烧过程中不产生有害物质，因此，本项目</w:t>
      </w:r>
      <w:r>
        <w:rPr>
          <w:rFonts w:hint="eastAsia"/>
        </w:rPr>
        <w:t>附近坑塘</w:t>
      </w:r>
      <w:r>
        <w:t>不会受到消防废水的环境风险威胁。</w:t>
      </w:r>
    </w:p>
    <w:p w14:paraId="472F2423">
      <w:pPr>
        <w:pStyle w:val="234"/>
        <w:spacing w:before="48" w:after="48"/>
      </w:pPr>
      <w:r>
        <w:rPr>
          <w:rFonts w:hint="eastAsia"/>
        </w:rPr>
        <w:t>柴油发电机内暂存柴油，正常状况下不会发生泄漏，且柴油发电机房地面为混凝土，门口设门槛，若发生泄漏可控制在发电机房内，且不会渗入地下，因此本工程的地下水环境风险是可控的。</w:t>
      </w:r>
    </w:p>
    <w:p w14:paraId="5DC0290B">
      <w:pPr>
        <w:pStyle w:val="5"/>
        <w:rPr>
          <w:color w:val="auto"/>
        </w:rPr>
      </w:pPr>
      <w:r>
        <w:rPr>
          <w:color w:val="auto"/>
        </w:rPr>
        <w:t>生态系统风险分析</w:t>
      </w:r>
    </w:p>
    <w:p w14:paraId="6414639A">
      <w:pPr>
        <w:pStyle w:val="234"/>
        <w:spacing w:before="48" w:after="48"/>
      </w:pPr>
      <w:r>
        <w:t>天然气为烃类混合物，属低毒性物质，且泄漏的天然气将很快扩散，对植物生长影响较小。</w:t>
      </w:r>
    </w:p>
    <w:p w14:paraId="78E3A0F8">
      <w:pPr>
        <w:pStyle w:val="234"/>
        <w:spacing w:before="48" w:after="48"/>
      </w:pPr>
      <w:r>
        <w:t>但是，一旦发生火灾、爆炸等事故，将会对管道近距离植被造成损害，造成火焰、冲击波等影响区域的植被死亡，使农作物减产。但是本工程管道风险事故火灾、爆炸影响范围有限，相对整个区域而言，植被破坏较小，且均为人工种植的农作物或常见种，及时扑救并采取生态补偿后，不会对区域生态环境造成大的影响。</w:t>
      </w:r>
    </w:p>
    <w:p w14:paraId="47093B11">
      <w:pPr>
        <w:pStyle w:val="4"/>
      </w:pPr>
      <w:bookmarkStart w:id="225" w:name="_Toc17614"/>
      <w:bookmarkStart w:id="226" w:name="_Toc65162881"/>
      <w:r>
        <w:t>环境风险防范措施</w:t>
      </w:r>
      <w:bookmarkEnd w:id="225"/>
      <w:bookmarkEnd w:id="226"/>
    </w:p>
    <w:p w14:paraId="57C80B2F">
      <w:pPr>
        <w:pStyle w:val="5"/>
        <w:rPr>
          <w:color w:val="auto"/>
        </w:rPr>
      </w:pPr>
      <w:r>
        <w:rPr>
          <w:color w:val="auto"/>
        </w:rPr>
        <w:t>设计拟采取的风险防范措施</w:t>
      </w:r>
    </w:p>
    <w:p w14:paraId="2547211B">
      <w:pPr>
        <w:pStyle w:val="7"/>
      </w:pPr>
      <w:r>
        <w:t>管道路由优化</w:t>
      </w:r>
    </w:p>
    <w:p w14:paraId="6A6F92A7">
      <w:pPr>
        <w:pStyle w:val="234"/>
        <w:spacing w:before="48" w:after="48"/>
      </w:pPr>
      <w:r>
        <w:rPr>
          <w:rFonts w:hint="eastAsia"/>
        </w:rPr>
        <w:t>（1）</w:t>
      </w:r>
      <w:r>
        <w:t>选择线路走向时，充分考虑沿线所经过城镇的总体规划，尽可能避开居民区、城镇规划区和工矿区，充分考虑当地政府部门的合理意见和建议，合理用地。尽量避开居民区以及不良地质地段、复杂地质地段、地震活动断裂带和灾害地质段。如无法完全避让，也应尽量减少上述地段的通过长度，确保管道长期安全运行。</w:t>
      </w:r>
    </w:p>
    <w:p w14:paraId="6EE6E81C">
      <w:pPr>
        <w:pStyle w:val="234"/>
        <w:spacing w:before="48" w:after="48"/>
      </w:pPr>
      <w:r>
        <w:rPr>
          <w:rFonts w:hint="eastAsia"/>
        </w:rPr>
        <w:t>（2）</w:t>
      </w:r>
      <w:r>
        <w:t>尽量减少与</w:t>
      </w:r>
      <w:r>
        <w:rPr>
          <w:rFonts w:hint="eastAsia"/>
        </w:rPr>
        <w:t>公路</w:t>
      </w:r>
      <w:r>
        <w:t>等大型建构筑物的交叉。</w:t>
      </w:r>
    </w:p>
    <w:p w14:paraId="26B8DDEB">
      <w:pPr>
        <w:pStyle w:val="234"/>
        <w:spacing w:before="48" w:after="48"/>
      </w:pPr>
      <w:r>
        <w:rPr>
          <w:rFonts w:hint="eastAsia"/>
        </w:rPr>
        <w:t>（3）</w:t>
      </w:r>
      <w:r>
        <w:t>根据《输气管道工程设计规范》(GB 50251</w:t>
      </w:r>
      <w:r>
        <w:rPr>
          <w:rFonts w:hint="eastAsia"/>
        </w:rPr>
        <w:t>-</w:t>
      </w:r>
      <w:r>
        <w:t>2015)的要求，输气管道通过的地区，应按沿线居民户数和建筑物的密集程度，划分地区等级，并依据地区等级作出相应的管道设计。</w:t>
      </w:r>
    </w:p>
    <w:p w14:paraId="61D7409E">
      <w:pPr>
        <w:pStyle w:val="234"/>
        <w:spacing w:before="48" w:after="48"/>
      </w:pPr>
      <w:r>
        <w:rPr>
          <w:rFonts w:hint="eastAsia"/>
        </w:rPr>
        <w:t>（4）</w:t>
      </w:r>
      <w:r>
        <w:t>对管道沿线人口密集、房屋距管道较近等敏感地区，提高设计系数，增加管道壁厚，以增强管道抵抗外部可能造成破坏的能力。</w:t>
      </w:r>
    </w:p>
    <w:p w14:paraId="6A62482E">
      <w:pPr>
        <w:pStyle w:val="7"/>
      </w:pPr>
      <w:r>
        <w:t>总图布置安全防护措施</w:t>
      </w:r>
    </w:p>
    <w:p w14:paraId="2D10C879">
      <w:pPr>
        <w:pStyle w:val="234"/>
        <w:spacing w:before="48" w:after="48"/>
      </w:pPr>
      <w:r>
        <w:rPr>
          <w:rFonts w:hint="eastAsia"/>
        </w:rPr>
        <w:t>（1）</w:t>
      </w:r>
      <w:r>
        <w:t>本工程各工艺站场建构筑物间距满足安全防火距离，符合《石油天然气工程设计防火规范》（GB50183-2004）要求。</w:t>
      </w:r>
    </w:p>
    <w:p w14:paraId="21ADEE3F">
      <w:pPr>
        <w:pStyle w:val="234"/>
        <w:spacing w:before="48" w:after="48"/>
      </w:pPr>
      <w:r>
        <w:rPr>
          <w:rFonts w:hint="eastAsia"/>
        </w:rPr>
        <w:t>（2）</w:t>
      </w:r>
      <w:r>
        <w:t>管道与地面建构筑物的最小间距符合《石油天然气工程设计防火规范》(GB 50183-2004)、《输气管道工程设计规范》(GB 50251-2015)等规范要求。</w:t>
      </w:r>
    </w:p>
    <w:p w14:paraId="7D418F95">
      <w:pPr>
        <w:pStyle w:val="234"/>
        <w:spacing w:before="48" w:after="48"/>
      </w:pPr>
      <w:r>
        <w:rPr>
          <w:rFonts w:hint="eastAsia"/>
        </w:rPr>
        <w:t>（3）</w:t>
      </w:r>
      <w:r>
        <w:t>站场内利用道路和围墙进行功能分区，将生产区和生产管理区分开，以减少生产区和生产管理区的相互干扰，降低危险隐患</w:t>
      </w:r>
      <w:r>
        <w:rPr>
          <w:rFonts w:hint="eastAsia"/>
        </w:rPr>
        <w:t>。</w:t>
      </w:r>
    </w:p>
    <w:p w14:paraId="251CA718">
      <w:pPr>
        <w:pStyle w:val="234"/>
        <w:spacing w:before="48" w:after="48"/>
      </w:pPr>
      <w:r>
        <w:rPr>
          <w:rFonts w:hint="eastAsia"/>
        </w:rPr>
        <w:t>（4）柴油发电机房应采取地面硬化措施，门口设门槛，尽量远离其他设备设施</w:t>
      </w:r>
      <w:r>
        <w:t>。</w:t>
      </w:r>
    </w:p>
    <w:p w14:paraId="1C2A4AFA">
      <w:pPr>
        <w:pStyle w:val="7"/>
      </w:pPr>
      <w:r>
        <w:t>工艺设计和设备选择</w:t>
      </w:r>
    </w:p>
    <w:p w14:paraId="46066510">
      <w:pPr>
        <w:pStyle w:val="234"/>
        <w:spacing w:before="48" w:after="48"/>
      </w:pPr>
      <w:r>
        <w:rPr>
          <w:rFonts w:hint="eastAsia"/>
        </w:rPr>
        <w:t>（1）</w:t>
      </w:r>
      <w:r>
        <w:t>设计选用质量可靠的管材和关键工艺设备，保证管道的运行安全。本工程线路用钢管管径为DN</w:t>
      </w:r>
      <w:r>
        <w:rPr>
          <w:rFonts w:hint="eastAsia"/>
        </w:rPr>
        <w:t>300</w:t>
      </w:r>
      <w:r>
        <w:t>，采用L4</w:t>
      </w:r>
      <w:r>
        <w:rPr>
          <w:rFonts w:hint="eastAsia"/>
        </w:rPr>
        <w:t>15</w:t>
      </w:r>
      <w:r>
        <w:t>钢级钢材。</w:t>
      </w:r>
    </w:p>
    <w:p w14:paraId="412DE5D8">
      <w:pPr>
        <w:pStyle w:val="234"/>
        <w:spacing w:before="48" w:after="48"/>
      </w:pPr>
      <w:r>
        <w:rPr>
          <w:rFonts w:hint="eastAsia"/>
        </w:rPr>
        <w:t>（2）</w:t>
      </w:r>
      <w:r>
        <w:t>管道穿越不同特殊地段，设计采用不同的敷设方式，保证管道安全。如管道穿越公路，采用加套管保护和提高管道设计系数等方法。</w:t>
      </w:r>
    </w:p>
    <w:p w14:paraId="013F9083">
      <w:pPr>
        <w:pStyle w:val="234"/>
        <w:spacing w:before="48" w:after="48"/>
      </w:pPr>
      <w:r>
        <w:rPr>
          <w:rFonts w:hint="eastAsia"/>
        </w:rPr>
        <w:t>（3）</w:t>
      </w:r>
      <w:r>
        <w:t>钢管制造</w:t>
      </w:r>
    </w:p>
    <w:p w14:paraId="0500E6FC">
      <w:pPr>
        <w:pStyle w:val="234"/>
        <w:spacing w:before="48" w:after="48"/>
      </w:pPr>
      <w:r>
        <w:t>管材合金成分加严，保证焊接工艺的适应性。限定钢管强度上限，有利于管材与焊接强度匹配。</w:t>
      </w:r>
    </w:p>
    <w:p w14:paraId="0DEA11D8">
      <w:pPr>
        <w:pStyle w:val="234"/>
        <w:spacing w:before="48" w:after="48"/>
      </w:pPr>
      <w:r>
        <w:rPr>
          <w:rFonts w:hint="eastAsia"/>
        </w:rPr>
        <w:t>（4）</w:t>
      </w:r>
      <w:r>
        <w:t>强度系数</w:t>
      </w:r>
    </w:p>
    <w:p w14:paraId="0588EC3B">
      <w:pPr>
        <w:pStyle w:val="234"/>
        <w:spacing w:before="48" w:after="48"/>
      </w:pPr>
      <w:r>
        <w:t>强度系数的选取严格执行《输气管道工程设计规范》(GB 50251-2015)和《油气输送管道穿越工程设计规范》(GB 50423-2013)的要求。</w:t>
      </w:r>
    </w:p>
    <w:p w14:paraId="27BD4AFF">
      <w:pPr>
        <w:pStyle w:val="234"/>
        <w:spacing w:before="48" w:after="48"/>
      </w:pPr>
      <w:r>
        <w:rPr>
          <w:rFonts w:hint="eastAsia"/>
        </w:rPr>
        <w:t>（5）</w:t>
      </w:r>
      <w:r>
        <w:t>管道焊接</w:t>
      </w:r>
    </w:p>
    <w:p w14:paraId="0B6CEE13">
      <w:pPr>
        <w:pStyle w:val="234"/>
        <w:spacing w:before="48" w:after="48"/>
      </w:pPr>
      <w:r>
        <w:rPr>
          <w:rFonts w:hint="eastAsia" w:ascii="宋体" w:hAnsi="宋体" w:cs="宋体"/>
        </w:rPr>
        <w:t>①</w:t>
      </w:r>
      <w:r>
        <w:t>本工程主线路焊接主要采用自动焊或组合自动焊的方式施工。对于直管—热煨弯管、连头段环焊缝焊接采用组合自动焊的焊接方式。返修焊推荐采用手工电弧焊焊接方式。</w:t>
      </w:r>
    </w:p>
    <w:p w14:paraId="615FB9BC">
      <w:pPr>
        <w:pStyle w:val="234"/>
        <w:spacing w:before="48" w:after="48"/>
      </w:pPr>
      <w:r>
        <w:rPr>
          <w:rFonts w:hint="eastAsia" w:ascii="宋体" w:hAnsi="宋体" w:cs="宋体"/>
        </w:rPr>
        <w:t>②</w:t>
      </w:r>
      <w:r>
        <w:t>对于L</w:t>
      </w:r>
      <w:r>
        <w:rPr>
          <w:rFonts w:hint="eastAsia"/>
        </w:rPr>
        <w:t>415</w:t>
      </w:r>
      <w:r>
        <w:t>钢管的焊接，为使焊缝的力学性能与管体母材相匹配，针对不同的焊接方式，选用不同焊接材料。</w:t>
      </w:r>
    </w:p>
    <w:p w14:paraId="45B12DDB">
      <w:pPr>
        <w:pStyle w:val="234"/>
        <w:spacing w:before="48" w:after="48"/>
      </w:pPr>
      <w:r>
        <w:rPr>
          <w:rFonts w:hint="eastAsia" w:ascii="宋体" w:hAnsi="宋体" w:cs="宋体"/>
        </w:rPr>
        <w:t>③</w:t>
      </w:r>
      <w:r>
        <w:t>优化焊口内坡口形式，提高焊缝质量和降低应力集中。</w:t>
      </w:r>
    </w:p>
    <w:p w14:paraId="507D09C6">
      <w:pPr>
        <w:pStyle w:val="234"/>
        <w:spacing w:before="48" w:after="48"/>
      </w:pPr>
      <w:r>
        <w:rPr>
          <w:rFonts w:hint="eastAsia" w:ascii="宋体" w:hAnsi="宋体" w:cs="宋体"/>
        </w:rPr>
        <w:t>④</w:t>
      </w:r>
      <w:r>
        <w:t>细化环焊缝冲击韧性的要求。</w:t>
      </w:r>
    </w:p>
    <w:p w14:paraId="5B5BD19D">
      <w:pPr>
        <w:pStyle w:val="7"/>
      </w:pPr>
      <w:r>
        <w:t>防腐设计</w:t>
      </w:r>
    </w:p>
    <w:p w14:paraId="5F2CB5B9">
      <w:pPr>
        <w:pStyle w:val="234"/>
        <w:spacing w:before="48" w:after="48"/>
      </w:pPr>
      <w:r>
        <w:rPr>
          <w:rFonts w:hint="eastAsia"/>
        </w:rPr>
        <w:t>（1）</w:t>
      </w:r>
      <w:r>
        <w:t>输气管道外防腐</w:t>
      </w:r>
    </w:p>
    <w:p w14:paraId="240E6C11">
      <w:pPr>
        <w:pStyle w:val="234"/>
        <w:spacing w:before="48" w:after="48"/>
      </w:pPr>
      <w:r>
        <w:t>为减轻输气管线腐蚀，输气管道</w:t>
      </w:r>
      <w:r>
        <w:rPr>
          <w:smallCaps/>
          <w:lang w:val="en-GB"/>
        </w:rPr>
        <w:t>一般地段线路管道（包括冷弯管）采用常温型三层PE普通级防腐层</w:t>
      </w:r>
      <w:r>
        <w:t>。</w:t>
      </w:r>
    </w:p>
    <w:p w14:paraId="18111675">
      <w:pPr>
        <w:pStyle w:val="234"/>
        <w:spacing w:before="48" w:after="48"/>
      </w:pPr>
      <w:r>
        <w:t>一般线路段管道补口采用</w:t>
      </w:r>
      <w:r>
        <w:rPr>
          <w:rFonts w:hint="eastAsia"/>
        </w:rPr>
        <w:t>带配套环氧底漆（干膜厚度</w:t>
      </w:r>
      <w:r>
        <w:t>≥</w:t>
      </w:r>
      <w:r>
        <w:rPr>
          <w:rFonts w:hint="eastAsia"/>
        </w:rPr>
        <w:t>2</w:t>
      </w:r>
      <w:r>
        <w:t>00μm</w:t>
      </w:r>
      <w:r>
        <w:rPr>
          <w:rFonts w:hint="eastAsia"/>
        </w:rPr>
        <w:t>）+聚乙烯热收缩补口带</w:t>
      </w:r>
      <w:r>
        <w:t>施工方式。</w:t>
      </w:r>
    </w:p>
    <w:p w14:paraId="77C5B877">
      <w:pPr>
        <w:pStyle w:val="234"/>
        <w:spacing w:before="48" w:after="48"/>
      </w:pPr>
      <w:r>
        <w:rPr>
          <w:rFonts w:hint="eastAsia"/>
        </w:rPr>
        <w:t>（2）</w:t>
      </w:r>
      <w:r>
        <w:t>阴极保护</w:t>
      </w:r>
    </w:p>
    <w:p w14:paraId="35E63FDF">
      <w:pPr>
        <w:pStyle w:val="234"/>
        <w:spacing w:before="48" w:after="48"/>
      </w:pPr>
      <w:r>
        <w:t>本工程采用</w:t>
      </w:r>
      <w:r>
        <w:rPr>
          <w:rFonts w:hint="eastAsia"/>
        </w:rPr>
        <w:t>牺牲阳极</w:t>
      </w:r>
      <w:r>
        <w:t>阴极保护方案</w:t>
      </w:r>
      <w:r>
        <w:rPr>
          <w:rFonts w:hint="eastAsia"/>
        </w:rPr>
        <w:t>，在耒阳分输站内设阴极保护站</w:t>
      </w:r>
      <w:r>
        <w:t>。</w:t>
      </w:r>
    </w:p>
    <w:p w14:paraId="32EF450F">
      <w:pPr>
        <w:pStyle w:val="7"/>
      </w:pPr>
      <w:r>
        <w:t>自动控制设计安全防护措施</w:t>
      </w:r>
    </w:p>
    <w:p w14:paraId="2DD752D0">
      <w:pPr>
        <w:pStyle w:val="234"/>
        <w:spacing w:before="48" w:after="48"/>
      </w:pPr>
      <w:r>
        <w:t>自动控制系统采用SCADA系统</w:t>
      </w:r>
      <w:r>
        <w:rPr>
          <w:rFonts w:hint="eastAsia"/>
        </w:rPr>
        <w:t>对全线各站场及阀室进行监控、监视、调度和管理</w:t>
      </w:r>
      <w:r>
        <w:t>。</w:t>
      </w:r>
      <w:r>
        <w:rPr>
          <w:rFonts w:hint="eastAsia"/>
        </w:rPr>
        <w:t>监控数据经上游新气管道以潜江－韶关输气管道已建光通信链路接入新建管道光通信网络，上传至北京调控中心和廊坊备用调控中心，</w:t>
      </w:r>
      <w:r>
        <w:t>对输气管道各站实施远距离的数据采集、监视控制、安全保护和统一调度管理。</w:t>
      </w:r>
    </w:p>
    <w:p w14:paraId="1A413492">
      <w:pPr>
        <w:pStyle w:val="7"/>
      </w:pPr>
      <w:r>
        <w:t>消防措施</w:t>
      </w:r>
    </w:p>
    <w:p w14:paraId="6853C1AF">
      <w:pPr>
        <w:pStyle w:val="234"/>
        <w:spacing w:before="48" w:after="48"/>
      </w:pPr>
      <w:r>
        <w:t>本工程2</w:t>
      </w:r>
      <w:r>
        <w:rPr>
          <w:rFonts w:hint="eastAsia"/>
        </w:rPr>
        <w:t>8号阀室</w:t>
      </w:r>
      <w:r>
        <w:t>消防设施依托原有设施</w:t>
      </w:r>
      <w:r>
        <w:rPr>
          <w:rFonts w:hint="eastAsia"/>
        </w:rPr>
        <w:t>，新建耒阳分输站配置灭火器箱、磷酸铵盐干粉灭火器等消防器材</w:t>
      </w:r>
      <w:r>
        <w:t>。</w:t>
      </w:r>
    </w:p>
    <w:p w14:paraId="775FF869">
      <w:pPr>
        <w:pStyle w:val="7"/>
      </w:pPr>
      <w:r>
        <w:t>防雷、防暴、防静电措施</w:t>
      </w:r>
    </w:p>
    <w:p w14:paraId="2C22F437">
      <w:pPr>
        <w:pStyle w:val="234"/>
        <w:spacing w:before="48" w:after="48"/>
      </w:pPr>
      <w:r>
        <w:t>根据《建筑物防雷设计规范》(GB 50057-2010)有关要求，本工程防雷等级划分如下：工艺装置区按照第二类建(构)筑物考虑；综合设备间等辅助建筑物按第三类建筑物考虑。</w:t>
      </w:r>
    </w:p>
    <w:p w14:paraId="288F85B0">
      <w:pPr>
        <w:pStyle w:val="7"/>
      </w:pPr>
      <w:r>
        <w:t>管道标志桩(测试桩)、警示牌及特殊安全保护设施</w:t>
      </w:r>
    </w:p>
    <w:p w14:paraId="3F1D4472">
      <w:pPr>
        <w:pStyle w:val="234"/>
        <w:spacing w:before="48" w:after="48"/>
      </w:pPr>
      <w:r>
        <w:t>为便于管理，管道标识应按照《油气管道地面标识设置规范》(Q/SY 1357-2010)要求设置，管道地面标识制作参照《油气管道线路标识通用图集》(CDP-M-OGP-PL-008-2013-2)。</w:t>
      </w:r>
    </w:p>
    <w:p w14:paraId="01ED6435">
      <w:pPr>
        <w:pStyle w:val="234"/>
        <w:spacing w:before="48" w:after="48"/>
      </w:pPr>
      <w:r>
        <w:t>本工程管道沿线共设置</w:t>
      </w:r>
      <w:r>
        <w:rPr>
          <w:rFonts w:hint="eastAsia"/>
        </w:rPr>
        <w:t>转角</w:t>
      </w:r>
      <w:r>
        <w:t>桩</w:t>
      </w:r>
      <w:r>
        <w:rPr>
          <w:rFonts w:hint="eastAsia"/>
        </w:rPr>
        <w:t>11</w:t>
      </w:r>
      <w:r>
        <w:t>个</w:t>
      </w:r>
      <w:r>
        <w:rPr>
          <w:rFonts w:hint="eastAsia"/>
        </w:rPr>
        <w:t>、加密桩7个、标志桩9个、</w:t>
      </w:r>
      <w:r>
        <w:t>警示牌共</w:t>
      </w:r>
      <w:r>
        <w:rPr>
          <w:rFonts w:hint="eastAsia"/>
        </w:rPr>
        <w:t>4</w:t>
      </w:r>
      <w:r>
        <w:t>个</w:t>
      </w:r>
      <w:r>
        <w:rPr>
          <w:rFonts w:hint="eastAsia"/>
        </w:rPr>
        <w:t>、警示带0.</w:t>
      </w:r>
      <w:r>
        <w:rPr>
          <w:rFonts w:hint="eastAsia"/>
          <w:lang w:eastAsia="zh-CN"/>
        </w:rPr>
        <w:t>760</w:t>
      </w:r>
      <w:r>
        <w:rPr>
          <w:rFonts w:hint="eastAsia"/>
        </w:rPr>
        <w:t>km</w:t>
      </w:r>
      <w:r>
        <w:t>。</w:t>
      </w:r>
    </w:p>
    <w:p w14:paraId="16BC85BA">
      <w:pPr>
        <w:pStyle w:val="5"/>
        <w:rPr>
          <w:color w:val="auto"/>
        </w:rPr>
      </w:pPr>
      <w:r>
        <w:rPr>
          <w:color w:val="auto"/>
        </w:rPr>
        <w:t>施工期事故防范措施</w:t>
      </w:r>
    </w:p>
    <w:p w14:paraId="1BAE3861">
      <w:pPr>
        <w:pStyle w:val="234"/>
        <w:spacing w:before="48" w:after="48"/>
      </w:pPr>
      <w:r>
        <w:rPr>
          <w:rFonts w:hint="eastAsia"/>
        </w:rPr>
        <w:t>（1）一般措施</w:t>
      </w:r>
    </w:p>
    <w:p w14:paraId="0B7A6907">
      <w:pPr>
        <w:pStyle w:val="234"/>
        <w:spacing w:before="48" w:after="48"/>
      </w:pPr>
      <w:r>
        <w:rPr>
          <w:rFonts w:hint="eastAsia"/>
        </w:rPr>
        <w:fldChar w:fldCharType="begin"/>
      </w:r>
      <w:r>
        <w:rPr>
          <w:rFonts w:hint="eastAsia"/>
        </w:rPr>
        <w:instrText xml:space="preserve"> = 1 \* GB3 \* MERGEFORMAT </w:instrText>
      </w:r>
      <w:r>
        <w:rPr>
          <w:rFonts w:hint="eastAsia"/>
        </w:rPr>
        <w:fldChar w:fldCharType="separate"/>
      </w:r>
      <w:r>
        <w:t>①</w:t>
      </w:r>
      <w:r>
        <w:rPr>
          <w:rFonts w:hint="eastAsia"/>
        </w:rPr>
        <w:fldChar w:fldCharType="end"/>
      </w:r>
      <w:r>
        <w:t>严格保证各类建设材料的质量，严禁使用不合格产品；</w:t>
      </w:r>
    </w:p>
    <w:p w14:paraId="1D6ECCB9">
      <w:pPr>
        <w:pStyle w:val="234"/>
        <w:spacing w:before="48" w:after="48"/>
      </w:pPr>
      <w:r>
        <w:rPr>
          <w:rFonts w:hint="eastAsia"/>
        </w:rPr>
        <w:fldChar w:fldCharType="begin"/>
      </w:r>
      <w:r>
        <w:rPr>
          <w:rFonts w:hint="eastAsia"/>
        </w:rPr>
        <w:instrText xml:space="preserve"> = 2 \* GB3 \* MERGEFORMAT </w:instrText>
      </w:r>
      <w:r>
        <w:rPr>
          <w:rFonts w:hint="eastAsia"/>
        </w:rPr>
        <w:fldChar w:fldCharType="separate"/>
      </w:r>
      <w:r>
        <w:t>②</w:t>
      </w:r>
      <w:r>
        <w:rPr>
          <w:rFonts w:hint="eastAsia"/>
        </w:rPr>
        <w:fldChar w:fldCharType="end"/>
      </w:r>
      <w:r>
        <w:t>施工过程中加强监理，确保涂层、管道接口焊接等工程施工质量；</w:t>
      </w:r>
    </w:p>
    <w:p w14:paraId="1B19FB69">
      <w:pPr>
        <w:pStyle w:val="234"/>
        <w:spacing w:before="48" w:after="48"/>
      </w:pPr>
      <w:r>
        <w:rPr>
          <w:rFonts w:hint="eastAsia"/>
        </w:rPr>
        <w:fldChar w:fldCharType="begin"/>
      </w:r>
      <w:r>
        <w:rPr>
          <w:rFonts w:hint="eastAsia"/>
        </w:rPr>
        <w:instrText xml:space="preserve"> = 3 \* GB3 \* MERGEFORMAT </w:instrText>
      </w:r>
      <w:r>
        <w:rPr>
          <w:rFonts w:hint="eastAsia"/>
        </w:rPr>
        <w:fldChar w:fldCharType="separate"/>
      </w:r>
      <w:r>
        <w:t>③</w:t>
      </w:r>
      <w:r>
        <w:rPr>
          <w:rFonts w:hint="eastAsia"/>
        </w:rPr>
        <w:fldChar w:fldCharType="end"/>
      </w:r>
      <w:r>
        <w:t>制定严格的规章制度，发现缺陷及时正确修补并做好记录；</w:t>
      </w:r>
    </w:p>
    <w:p w14:paraId="025D3785">
      <w:pPr>
        <w:pStyle w:val="234"/>
        <w:spacing w:before="48" w:after="48"/>
      </w:pPr>
      <w:r>
        <w:rPr>
          <w:rFonts w:hint="eastAsia"/>
        </w:rPr>
        <w:fldChar w:fldCharType="begin"/>
      </w:r>
      <w:r>
        <w:rPr>
          <w:rFonts w:hint="eastAsia"/>
        </w:rPr>
        <w:instrText xml:space="preserve"> = 4 \* GB3 \* MERGEFORMAT </w:instrText>
      </w:r>
      <w:r>
        <w:rPr>
          <w:rFonts w:hint="eastAsia"/>
        </w:rPr>
        <w:fldChar w:fldCharType="separate"/>
      </w:r>
      <w:r>
        <w:t>④</w:t>
      </w:r>
      <w:r>
        <w:rPr>
          <w:rFonts w:hint="eastAsia"/>
        </w:rPr>
        <w:fldChar w:fldCharType="end"/>
      </w:r>
      <w:r>
        <w:t>建立施工质量保证体系，提高施工检验人员水平，加强检验手段；</w:t>
      </w:r>
    </w:p>
    <w:p w14:paraId="645A8EA2">
      <w:pPr>
        <w:pStyle w:val="234"/>
        <w:spacing w:before="48" w:after="48"/>
      </w:pPr>
      <w:r>
        <w:rPr>
          <w:rFonts w:hint="eastAsia"/>
        </w:rPr>
        <w:fldChar w:fldCharType="begin"/>
      </w:r>
      <w:r>
        <w:rPr>
          <w:rFonts w:hint="eastAsia"/>
        </w:rPr>
        <w:instrText xml:space="preserve"> = 5 \* GB3 \* MERGEFORMAT </w:instrText>
      </w:r>
      <w:r>
        <w:rPr>
          <w:rFonts w:hint="eastAsia"/>
        </w:rPr>
        <w:fldChar w:fldCharType="separate"/>
      </w:r>
      <w:r>
        <w:t>⑤</w:t>
      </w:r>
      <w:r>
        <w:rPr>
          <w:rFonts w:hint="eastAsia"/>
        </w:rPr>
        <w:fldChar w:fldCharType="end"/>
      </w:r>
      <w:r>
        <w:t>进行水压实验，严格排除焊缝和母材缺陷；</w:t>
      </w:r>
    </w:p>
    <w:p w14:paraId="03BCFDFA">
      <w:pPr>
        <w:pStyle w:val="234"/>
        <w:spacing w:before="48" w:after="48"/>
      </w:pPr>
      <w:r>
        <w:rPr>
          <w:rFonts w:hint="eastAsia"/>
        </w:rPr>
        <w:fldChar w:fldCharType="begin"/>
      </w:r>
      <w:r>
        <w:rPr>
          <w:rFonts w:hint="eastAsia"/>
        </w:rPr>
        <w:instrText xml:space="preserve"> = 6 \* GB3 \* MERGEFORMAT </w:instrText>
      </w:r>
      <w:r>
        <w:rPr>
          <w:rFonts w:hint="eastAsia"/>
        </w:rPr>
        <w:fldChar w:fldCharType="separate"/>
      </w:r>
      <w:r>
        <w:t>⑥</w:t>
      </w:r>
      <w:r>
        <w:rPr>
          <w:rFonts w:hint="eastAsia"/>
        </w:rPr>
        <w:fldChar w:fldCharType="end"/>
      </w:r>
      <w:r>
        <w:t>选择有丰富经验的单位进行施工，并有优秀的第三方对其施工质量进行强有力的监督，减少施工误操作</w:t>
      </w:r>
      <w:r>
        <w:rPr>
          <w:rFonts w:hint="eastAsia"/>
        </w:rPr>
        <w:t>；</w:t>
      </w:r>
    </w:p>
    <w:p w14:paraId="21C4D404">
      <w:pPr>
        <w:pStyle w:val="234"/>
        <w:spacing w:before="48" w:after="48"/>
      </w:pPr>
      <w:r>
        <w:fldChar w:fldCharType="begin"/>
      </w:r>
      <w:r>
        <w:instrText xml:space="preserve"> = 7 \* GB3 \* MERGEFORMAT </w:instrText>
      </w:r>
      <w:r>
        <w:fldChar w:fldCharType="separate"/>
      </w:r>
      <w:r>
        <w:t>⑦</w:t>
      </w:r>
      <w:r>
        <w:fldChar w:fldCharType="end"/>
      </w:r>
      <w:r>
        <w:rPr>
          <w:rFonts w:hint="eastAsia"/>
        </w:rPr>
        <w:t>严控施工期安全管理，定期进行车辆机具的维修保养，不得在水体周围进行油品储存及加油作业，油品储存必须设置防渗措施</w:t>
      </w:r>
      <w:r>
        <w:t>。</w:t>
      </w:r>
    </w:p>
    <w:p w14:paraId="6BF34751">
      <w:pPr>
        <w:pStyle w:val="35"/>
        <w:spacing w:line="360" w:lineRule="auto"/>
        <w:ind w:firstLine="420" w:firstLineChars="200"/>
      </w:pPr>
      <w:r>
        <w:rPr>
          <w:rFonts w:hint="eastAsia"/>
        </w:rPr>
        <w:t>（</w:t>
      </w:r>
      <w:r>
        <w:rPr>
          <w:rFonts w:hint="eastAsia"/>
          <w:sz w:val="24"/>
        </w:rPr>
        <w:t>2）管道与现有管道交叉施工的风险防范措施：</w:t>
      </w:r>
    </w:p>
    <w:p w14:paraId="2089E660">
      <w:pPr>
        <w:pStyle w:val="234"/>
        <w:spacing w:before="48" w:after="48"/>
      </w:pPr>
      <w:r>
        <w:fldChar w:fldCharType="begin"/>
      </w:r>
      <w:r>
        <w:instrText xml:space="preserve"> = 1 \* GB3 \* MERGEFORMAT </w:instrText>
      </w:r>
      <w:r>
        <w:fldChar w:fldCharType="separate"/>
      </w:r>
      <w:r>
        <w:t>①</w:t>
      </w:r>
      <w:r>
        <w:fldChar w:fldCharType="end"/>
      </w:r>
      <w:r>
        <w:rPr>
          <w:rFonts w:hint="eastAsia"/>
        </w:rPr>
        <w:t>设计单位、施工单位在施工前做好现有埋地管线的探管工作，明确工程与现有埋地管线的具体位置关系，并作出明显标记；</w:t>
      </w:r>
    </w:p>
    <w:p w14:paraId="4C5DD9BF">
      <w:pPr>
        <w:pStyle w:val="234"/>
        <w:spacing w:before="48" w:after="48"/>
      </w:pPr>
      <w:r>
        <w:fldChar w:fldCharType="begin"/>
      </w:r>
      <w:r>
        <w:instrText xml:space="preserve"> = 2 \* GB3 \* MERGEFORMAT </w:instrText>
      </w:r>
      <w:r>
        <w:fldChar w:fldCharType="separate"/>
      </w:r>
      <w:r>
        <w:t>②</w:t>
      </w:r>
      <w:r>
        <w:fldChar w:fldCharType="end"/>
      </w:r>
      <w:r>
        <w:rPr>
          <w:rFonts w:hint="eastAsia"/>
        </w:rPr>
        <w:t>施工车辆不得在现有管线上方及周边5m范围内作业，穿越现有管线必须采用人工开挖的施工方式，不得暴力施工；</w:t>
      </w:r>
    </w:p>
    <w:p w14:paraId="27DB0194">
      <w:pPr>
        <w:pStyle w:val="234"/>
        <w:spacing w:before="48" w:after="48"/>
      </w:pPr>
      <w:r>
        <w:fldChar w:fldCharType="begin"/>
      </w:r>
      <w:r>
        <w:instrText xml:space="preserve"> = 3 \* GB3 \* MERGEFORMAT </w:instrText>
      </w:r>
      <w:r>
        <w:fldChar w:fldCharType="separate"/>
      </w:r>
      <w:r>
        <w:t>③</w:t>
      </w:r>
      <w:r>
        <w:fldChar w:fldCharType="end"/>
      </w:r>
      <w:r>
        <w:rPr>
          <w:rFonts w:hint="eastAsia"/>
        </w:rPr>
        <w:t>管道暴露后，采用橡胶板对被穿越管道进行包裹保护。</w:t>
      </w:r>
    </w:p>
    <w:p w14:paraId="678155CA">
      <w:pPr>
        <w:pStyle w:val="234"/>
        <w:spacing w:before="48" w:after="48"/>
      </w:pPr>
      <w:r>
        <w:fldChar w:fldCharType="begin"/>
      </w:r>
      <w:r>
        <w:instrText xml:space="preserve"> = 4 \* GB3 \* MERGEFORMAT </w:instrText>
      </w:r>
      <w:r>
        <w:fldChar w:fldCharType="separate"/>
      </w:r>
      <w:r>
        <w:t>④</w:t>
      </w:r>
      <w:r>
        <w:fldChar w:fldCharType="end"/>
      </w:r>
      <w:r>
        <w:rPr>
          <w:rFonts w:hint="eastAsia"/>
        </w:rPr>
        <w:t>为方便焊接、焊口检测及补口工作，穿越处采用沟下焊接时，本工程管道焊口位置距离地下管道或光（电）缆的水平净距应根据焊接空间和操作坑尺寸确定，且不小于2m。</w:t>
      </w:r>
    </w:p>
    <w:p w14:paraId="5298A8EB">
      <w:pPr>
        <w:pStyle w:val="234"/>
        <w:spacing w:before="48" w:after="48"/>
      </w:pPr>
      <w:r>
        <w:fldChar w:fldCharType="begin"/>
      </w:r>
      <w:r>
        <w:instrText xml:space="preserve"> = 5 \* GB3 \* MERGEFORMAT </w:instrText>
      </w:r>
      <w:r>
        <w:fldChar w:fldCharType="separate"/>
      </w:r>
      <w:r>
        <w:t>⑤</w:t>
      </w:r>
      <w:r>
        <w:fldChar w:fldCharType="end"/>
      </w:r>
      <w:r>
        <w:rPr>
          <w:rFonts w:hint="eastAsia"/>
        </w:rPr>
        <w:t>穿越处管道应作为重点段突击完成，管道焊接、检测、补口应紧密连贯，顺序迅速完成。补口合格后迅速回填，以免被穿越管道长时间暴露。</w:t>
      </w:r>
    </w:p>
    <w:p w14:paraId="72CE4C35">
      <w:pPr>
        <w:pStyle w:val="234"/>
        <w:spacing w:before="48" w:after="48"/>
      </w:pPr>
      <w:r>
        <w:fldChar w:fldCharType="begin"/>
      </w:r>
      <w:r>
        <w:instrText xml:space="preserve"> = 6 \* GB3 \* MERGEFORMAT </w:instrText>
      </w:r>
      <w:r>
        <w:fldChar w:fldCharType="separate"/>
      </w:r>
      <w:r>
        <w:t>⑥</w:t>
      </w:r>
      <w:r>
        <w:fldChar w:fldCharType="end"/>
      </w:r>
      <w:r>
        <w:rPr>
          <w:rFonts w:hint="eastAsia"/>
        </w:rPr>
        <w:t>提前与现有埋地管线管理运营单位取得联系，必要时可在其监督下施工；</w:t>
      </w:r>
    </w:p>
    <w:p w14:paraId="3D47CC04">
      <w:pPr>
        <w:pStyle w:val="234"/>
        <w:spacing w:before="48" w:after="48"/>
      </w:pPr>
      <w:r>
        <w:fldChar w:fldCharType="begin"/>
      </w:r>
      <w:r>
        <w:instrText xml:space="preserve"> = 7 \* GB3 \* MERGEFORMAT </w:instrText>
      </w:r>
      <w:r>
        <w:fldChar w:fldCharType="separate"/>
      </w:r>
      <w:r>
        <w:t>⑦</w:t>
      </w:r>
      <w:r>
        <w:fldChar w:fldCharType="end"/>
      </w:r>
      <w:r>
        <w:rPr>
          <w:rFonts w:hint="eastAsia"/>
        </w:rPr>
        <w:t>施工前应编制管线交叉穿越的施工方案及应急预案，并报建设单位质量安全环保科审批；</w:t>
      </w:r>
    </w:p>
    <w:p w14:paraId="690C9A0F">
      <w:pPr>
        <w:pStyle w:val="234"/>
        <w:spacing w:before="48" w:after="48"/>
      </w:pPr>
      <w:r>
        <w:fldChar w:fldCharType="begin"/>
      </w:r>
      <w:r>
        <w:instrText xml:space="preserve"> = 8 \* GB3 \* MERGEFORMAT </w:instrText>
      </w:r>
      <w:r>
        <w:fldChar w:fldCharType="separate"/>
      </w:r>
      <w:r>
        <w:t>⑧</w:t>
      </w:r>
      <w:r>
        <w:fldChar w:fldCharType="end"/>
      </w:r>
      <w:r>
        <w:rPr>
          <w:rFonts w:hint="eastAsia"/>
        </w:rPr>
        <w:t>工程监理、环境监理应对施工全过程进行监督，规范施工操作。</w:t>
      </w:r>
    </w:p>
    <w:p w14:paraId="5C5F8ED1">
      <w:pPr>
        <w:pStyle w:val="234"/>
        <w:spacing w:before="48" w:after="48"/>
      </w:pPr>
      <w:r>
        <w:rPr>
          <w:rFonts w:hint="eastAsia"/>
        </w:rPr>
        <w:t>（3）动火作业风险防范措施：</w:t>
      </w:r>
    </w:p>
    <w:p w14:paraId="6514EA2B">
      <w:pPr>
        <w:pStyle w:val="234"/>
        <w:spacing w:before="48" w:after="48"/>
      </w:pPr>
      <w:r>
        <w:rPr>
          <w:rFonts w:hint="eastAsia"/>
        </w:rPr>
        <w:t>动火作业是指在禁火区进行</w:t>
      </w:r>
      <w:r>
        <w:fldChar w:fldCharType="begin"/>
      </w:r>
      <w:r>
        <w:instrText xml:space="preserve"> HYPERLINK "https://baike.so.com/doc/2654911-2803508.html" \t "https://baike.so.com/doc/_blank" </w:instrText>
      </w:r>
      <w:r>
        <w:fldChar w:fldCharType="separate"/>
      </w:r>
      <w:r>
        <w:t>焊接</w:t>
      </w:r>
      <w:r>
        <w:fldChar w:fldCharType="end"/>
      </w:r>
      <w:r>
        <w:t>与切割作业及在易燃易爆场所使用</w:t>
      </w:r>
      <w:r>
        <w:fldChar w:fldCharType="begin"/>
      </w:r>
      <w:r>
        <w:instrText xml:space="preserve"> HYPERLINK "https://baike.so.com/doc/6977222-7199922.html" \t "https://baike.so.com/doc/_blank" </w:instrText>
      </w:r>
      <w:r>
        <w:fldChar w:fldCharType="separate"/>
      </w:r>
      <w:r>
        <w:t>喷灯</w:t>
      </w:r>
      <w:r>
        <w:fldChar w:fldCharType="end"/>
      </w:r>
      <w:r>
        <w:t>、电钻、</w:t>
      </w:r>
      <w:r>
        <w:fldChar w:fldCharType="begin"/>
      </w:r>
      <w:r>
        <w:instrText xml:space="preserve"> HYPERLINK "https://baike.so.com/doc/5768960-5981731.html" \t "https://baike.so.com/doc/_blank" </w:instrText>
      </w:r>
      <w:r>
        <w:fldChar w:fldCharType="separate"/>
      </w:r>
      <w:r>
        <w:t>砂轮</w:t>
      </w:r>
      <w:r>
        <w:fldChar w:fldCharType="end"/>
      </w:r>
      <w:r>
        <w:t>等进行可能产生火焰、火花和炽热表面的</w:t>
      </w:r>
      <w:r>
        <w:fldChar w:fldCharType="begin"/>
      </w:r>
      <w:r>
        <w:instrText xml:space="preserve"> HYPERLINK "https://baike.so.com/doc/8594614-8915462.html" \t "https://baike.so.com/doc/_blank" </w:instrText>
      </w:r>
      <w:r>
        <w:fldChar w:fldCharType="separate"/>
      </w:r>
      <w:r>
        <w:t>临时性</w:t>
      </w:r>
      <w:r>
        <w:fldChar w:fldCharType="end"/>
      </w:r>
      <w:r>
        <w:t>作业。</w:t>
      </w:r>
      <w:r>
        <w:rPr>
          <w:rFonts w:hint="eastAsia"/>
        </w:rPr>
        <w:t>本工程与现有管道连接时需进行动火作业。</w:t>
      </w:r>
    </w:p>
    <w:p w14:paraId="1D6A0D7F">
      <w:pPr>
        <w:pStyle w:val="234"/>
        <w:spacing w:before="48" w:after="48"/>
      </w:pPr>
      <w:r>
        <w:rPr>
          <w:rFonts w:hint="eastAsia"/>
        </w:rPr>
        <w:fldChar w:fldCharType="begin"/>
      </w:r>
      <w:r>
        <w:rPr>
          <w:rFonts w:hint="eastAsia"/>
        </w:rPr>
        <w:instrText xml:space="preserve"> = 1 \* GB3 \* MERGEFORMAT </w:instrText>
      </w:r>
      <w:r>
        <w:rPr>
          <w:rFonts w:hint="eastAsia"/>
        </w:rPr>
        <w:fldChar w:fldCharType="separate"/>
      </w:r>
      <w:r>
        <w:rPr>
          <w:rFonts w:hint="eastAsia"/>
        </w:rPr>
        <w:t>①</w:t>
      </w:r>
      <w:r>
        <w:rPr>
          <w:rFonts w:hint="eastAsia"/>
        </w:rPr>
        <w:fldChar w:fldCharType="end"/>
      </w:r>
      <w:r>
        <w:rPr>
          <w:rFonts w:hint="eastAsia"/>
        </w:rPr>
        <w:t>动火作业前做好站场停输和天然气放空工作，并进行氮气置换，经检测可燃气体浓度合格后方可施工；</w:t>
      </w:r>
    </w:p>
    <w:p w14:paraId="34C9C756">
      <w:pPr>
        <w:pStyle w:val="234"/>
        <w:spacing w:before="48" w:after="48"/>
      </w:pPr>
      <w:r>
        <w:fldChar w:fldCharType="begin"/>
      </w:r>
      <w:r>
        <w:instrText xml:space="preserve"> = 2 \* GB3 \* MERGEFORMAT </w:instrText>
      </w:r>
      <w:r>
        <w:fldChar w:fldCharType="separate"/>
      </w:r>
      <w:r>
        <w:t>②</w:t>
      </w:r>
      <w:r>
        <w:fldChar w:fldCharType="end"/>
      </w:r>
      <w:r>
        <w:rPr>
          <w:rFonts w:hint="eastAsia"/>
        </w:rPr>
        <w:t>施工前应编制管线联通的施工方案及应急预案，并报建设单位质量安全环保科审批；</w:t>
      </w:r>
    </w:p>
    <w:p w14:paraId="4430BC3A">
      <w:pPr>
        <w:pStyle w:val="234"/>
        <w:spacing w:before="48" w:after="48"/>
      </w:pPr>
      <w:r>
        <w:fldChar w:fldCharType="begin"/>
      </w:r>
      <w:r>
        <w:instrText xml:space="preserve"> = 3 \* GB3 \* MERGEFORMAT </w:instrText>
      </w:r>
      <w:r>
        <w:fldChar w:fldCharType="separate"/>
      </w:r>
      <w:r>
        <w:t>③</w:t>
      </w:r>
      <w:r>
        <w:fldChar w:fldCharType="end"/>
      </w:r>
      <w:r>
        <w:rPr>
          <w:rFonts w:hint="eastAsia"/>
        </w:rPr>
        <w:t>工程监理、环境监理应对施工全过程进行监督，规范施工操作。</w:t>
      </w:r>
    </w:p>
    <w:p w14:paraId="2DACC551">
      <w:pPr>
        <w:pStyle w:val="234"/>
        <w:spacing w:before="48" w:after="48"/>
      </w:pPr>
      <w:r>
        <w:rPr>
          <w:rFonts w:hint="eastAsia"/>
        </w:rPr>
        <w:t>（4）施工期管道巡护措施</w:t>
      </w:r>
    </w:p>
    <w:p w14:paraId="720E2DF6">
      <w:pPr>
        <w:pStyle w:val="234"/>
        <w:spacing w:before="48" w:after="48"/>
      </w:pPr>
      <w:r>
        <w:rPr>
          <w:rFonts w:hint="eastAsia"/>
        </w:rPr>
        <w:fldChar w:fldCharType="begin"/>
      </w:r>
      <w:r>
        <w:rPr>
          <w:rFonts w:hint="eastAsia"/>
        </w:rPr>
        <w:instrText xml:space="preserve"> = 1 \* GB3 \* MERGEFORMAT </w:instrText>
      </w:r>
      <w:r>
        <w:rPr>
          <w:rFonts w:hint="eastAsia"/>
        </w:rPr>
        <w:fldChar w:fldCharType="separate"/>
      </w:r>
      <w:r>
        <w:t>①</w:t>
      </w:r>
      <w:r>
        <w:rPr>
          <w:rFonts w:hint="eastAsia"/>
        </w:rPr>
        <w:fldChar w:fldCharType="end"/>
      </w:r>
      <w:r>
        <w:rPr>
          <w:rFonts w:hint="eastAsia"/>
        </w:rPr>
        <w:t>施工单位应结合新建管道实际情况，编制管道巡护工作方案，在管道下沟回填后立即开展管道巡护工作，并按运行期管道现场巡查内容要求开展巡护工作，巡护方案应至少包括所辖管道概况、风险识别、巡护资源配置、巡护频次、检查考核等内容，管道巡护方案应报建设单位审批和备案。</w:t>
      </w:r>
    </w:p>
    <w:p w14:paraId="4B20DFA5">
      <w:pPr>
        <w:pStyle w:val="234"/>
        <w:spacing w:before="48" w:after="48"/>
      </w:pPr>
      <w:r>
        <w:rPr>
          <w:rFonts w:hint="eastAsia"/>
        </w:rPr>
        <w:fldChar w:fldCharType="begin"/>
      </w:r>
      <w:r>
        <w:rPr>
          <w:rFonts w:hint="eastAsia"/>
        </w:rPr>
        <w:instrText xml:space="preserve"> = 2 \* GB3 \* MERGEFORMAT </w:instrText>
      </w:r>
      <w:r>
        <w:rPr>
          <w:rFonts w:hint="eastAsia"/>
        </w:rPr>
        <w:fldChar w:fldCharType="separate"/>
      </w:r>
      <w:r>
        <w:t>②</w:t>
      </w:r>
      <w:r>
        <w:rPr>
          <w:rFonts w:hint="eastAsia"/>
        </w:rPr>
        <w:fldChar w:fldCharType="end"/>
      </w:r>
      <w:r>
        <w:rPr>
          <w:rFonts w:hint="eastAsia"/>
        </w:rPr>
        <w:t>一般管段应每天巡护1次，并做好巡护记录。</w:t>
      </w:r>
    </w:p>
    <w:p w14:paraId="51A2DF36">
      <w:pPr>
        <w:pStyle w:val="234"/>
        <w:spacing w:before="48" w:after="48"/>
      </w:pPr>
      <w:r>
        <w:rPr>
          <w:rFonts w:hint="eastAsia"/>
        </w:rPr>
        <w:fldChar w:fldCharType="begin"/>
      </w:r>
      <w:r>
        <w:rPr>
          <w:rFonts w:hint="eastAsia"/>
        </w:rPr>
        <w:instrText xml:space="preserve"> = 3 \* GB3 \* MERGEFORMAT </w:instrText>
      </w:r>
      <w:r>
        <w:rPr>
          <w:rFonts w:hint="eastAsia"/>
        </w:rPr>
        <w:fldChar w:fldCharType="separate"/>
      </w:r>
      <w:r>
        <w:t>③</w:t>
      </w:r>
      <w:r>
        <w:rPr>
          <w:rFonts w:hint="eastAsia"/>
        </w:rPr>
        <w:fldChar w:fldCharType="end"/>
      </w:r>
      <w:r>
        <w:rPr>
          <w:rFonts w:hint="eastAsia"/>
        </w:rPr>
        <w:t>发现管道及其附属设施被破坏，应立刻向监理、新建管道工程项目承办部门和建设单位汇报，并采取措施对被破坏管道及其附属设施进行修复或拆除重建，留存相关记录。</w:t>
      </w:r>
    </w:p>
    <w:p w14:paraId="50F0A405">
      <w:pPr>
        <w:pStyle w:val="234"/>
        <w:spacing w:before="48" w:after="48"/>
      </w:pPr>
      <w:r>
        <w:rPr>
          <w:rFonts w:hint="eastAsia"/>
        </w:rPr>
        <w:fldChar w:fldCharType="begin"/>
      </w:r>
      <w:r>
        <w:rPr>
          <w:rFonts w:hint="eastAsia"/>
        </w:rPr>
        <w:instrText xml:space="preserve"> = 4 \* GB3 \* MERGEFORMAT </w:instrText>
      </w:r>
      <w:r>
        <w:rPr>
          <w:rFonts w:hint="eastAsia"/>
        </w:rPr>
        <w:fldChar w:fldCharType="separate"/>
      </w:r>
      <w:r>
        <w:t>④</w:t>
      </w:r>
      <w:r>
        <w:rPr>
          <w:rFonts w:hint="eastAsia"/>
        </w:rPr>
        <w:fldChar w:fldCharType="end"/>
      </w:r>
      <w:r>
        <w:rPr>
          <w:rFonts w:hint="eastAsia"/>
        </w:rPr>
        <w:t>应将管道巡护相关记录在管道试运投产前移交建设单位。</w:t>
      </w:r>
    </w:p>
    <w:p w14:paraId="1CE00E57">
      <w:pPr>
        <w:pStyle w:val="234"/>
        <w:spacing w:before="48" w:after="48"/>
      </w:pPr>
      <w:r>
        <w:rPr>
          <w:rFonts w:hint="eastAsia"/>
        </w:rPr>
        <w:fldChar w:fldCharType="begin"/>
      </w:r>
      <w:r>
        <w:rPr>
          <w:rFonts w:hint="eastAsia"/>
        </w:rPr>
        <w:instrText xml:space="preserve"> = 5 \* GB3 \* MERGEFORMAT </w:instrText>
      </w:r>
      <w:r>
        <w:rPr>
          <w:rFonts w:hint="eastAsia"/>
        </w:rPr>
        <w:fldChar w:fldCharType="separate"/>
      </w:r>
      <w:r>
        <w:t>⑤</w:t>
      </w:r>
      <w:r>
        <w:rPr>
          <w:rFonts w:hint="eastAsia"/>
        </w:rPr>
        <w:fldChar w:fldCharType="end"/>
      </w:r>
      <w:r>
        <w:rPr>
          <w:rFonts w:hint="eastAsia"/>
        </w:rPr>
        <w:t>监理单位每周应对施工单位的管道巡护管理、巡护质量、巡护记录等进行监督检查，并将检查结果上报新建管道工程项目承办部门和建设单位。</w:t>
      </w:r>
    </w:p>
    <w:p w14:paraId="450CBF6F">
      <w:pPr>
        <w:pStyle w:val="234"/>
        <w:spacing w:before="48" w:after="48"/>
      </w:pPr>
      <w:r>
        <w:rPr>
          <w:rFonts w:hint="eastAsia"/>
        </w:rPr>
        <w:fldChar w:fldCharType="begin"/>
      </w:r>
      <w:r>
        <w:rPr>
          <w:rFonts w:hint="eastAsia"/>
        </w:rPr>
        <w:instrText xml:space="preserve"> = 6 \* GB3 \* MERGEFORMAT </w:instrText>
      </w:r>
      <w:r>
        <w:rPr>
          <w:rFonts w:hint="eastAsia"/>
        </w:rPr>
        <w:fldChar w:fldCharType="separate"/>
      </w:r>
      <w:r>
        <w:t>⑥</w:t>
      </w:r>
      <w:r>
        <w:rPr>
          <w:rFonts w:hint="eastAsia"/>
        </w:rPr>
        <w:fldChar w:fldCharType="end"/>
      </w:r>
      <w:r>
        <w:rPr>
          <w:rFonts w:hint="eastAsia"/>
        </w:rPr>
        <w:t>建设单位应每周检查管道监理和施工单位的管道巡护管理工作，收集管道巡护和隐患整改记录。</w:t>
      </w:r>
    </w:p>
    <w:p w14:paraId="72A21215">
      <w:pPr>
        <w:pStyle w:val="234"/>
        <w:spacing w:before="48" w:after="48"/>
      </w:pPr>
      <w:r>
        <w:rPr>
          <w:rFonts w:hint="eastAsia"/>
        </w:rPr>
        <w:fldChar w:fldCharType="begin"/>
      </w:r>
      <w:r>
        <w:rPr>
          <w:rFonts w:hint="eastAsia"/>
        </w:rPr>
        <w:instrText xml:space="preserve"> = 7 \* GB3 \* MERGEFORMAT </w:instrText>
      </w:r>
      <w:r>
        <w:rPr>
          <w:rFonts w:hint="eastAsia"/>
        </w:rPr>
        <w:fldChar w:fldCharType="separate"/>
      </w:r>
      <w:r>
        <w:t>⑦</w:t>
      </w:r>
      <w:r>
        <w:rPr>
          <w:rFonts w:hint="eastAsia"/>
        </w:rPr>
        <w:fldChar w:fldCharType="end"/>
      </w:r>
      <w:r>
        <w:rPr>
          <w:rFonts w:hint="eastAsia"/>
        </w:rPr>
        <w:t>建设单位应要求施工单位在管道回填后1个月内完成新建管道地面标识设置，并在投产前组织完成全部地面标识的准确性和通视性复核，对于不符合要求的，应要求新建管道工程项目承办部门在投产前组织完成整改。</w:t>
      </w:r>
    </w:p>
    <w:p w14:paraId="08F0526C">
      <w:pPr>
        <w:pStyle w:val="234"/>
        <w:spacing w:before="48" w:after="48"/>
      </w:pPr>
      <w:r>
        <w:rPr>
          <w:rFonts w:hint="eastAsia"/>
        </w:rPr>
        <w:fldChar w:fldCharType="begin"/>
      </w:r>
      <w:r>
        <w:rPr>
          <w:rFonts w:hint="eastAsia"/>
        </w:rPr>
        <w:instrText xml:space="preserve"> = 8 \* GB3 \* MERGEFORMAT </w:instrText>
      </w:r>
      <w:r>
        <w:rPr>
          <w:rFonts w:hint="eastAsia"/>
        </w:rPr>
        <w:fldChar w:fldCharType="separate"/>
      </w:r>
      <w:r>
        <w:t>⑧</w:t>
      </w:r>
      <w:r>
        <w:rPr>
          <w:rFonts w:hint="eastAsia"/>
        </w:rPr>
        <w:fldChar w:fldCharType="end"/>
      </w:r>
      <w:r>
        <w:rPr>
          <w:rFonts w:hint="eastAsia"/>
        </w:rPr>
        <w:t>建设单位应提前筹备辖区新建管道巡护工作，委托管道巡护服务单位选聘巡线员并进行业务培训，管道投产前1个月开展巡护工作。</w:t>
      </w:r>
    </w:p>
    <w:p w14:paraId="643AAAC8">
      <w:pPr>
        <w:pStyle w:val="234"/>
        <w:spacing w:before="48" w:after="48"/>
      </w:pPr>
      <w:r>
        <w:rPr>
          <w:rFonts w:hint="eastAsia"/>
        </w:rPr>
        <w:fldChar w:fldCharType="begin"/>
      </w:r>
      <w:r>
        <w:rPr>
          <w:rFonts w:hint="eastAsia"/>
        </w:rPr>
        <w:instrText xml:space="preserve"> = 9 \* GB3 \* MERGEFORMAT </w:instrText>
      </w:r>
      <w:r>
        <w:rPr>
          <w:rFonts w:hint="eastAsia"/>
        </w:rPr>
        <w:fldChar w:fldCharType="separate"/>
      </w:r>
      <w:r>
        <w:t>⑨</w:t>
      </w:r>
      <w:r>
        <w:rPr>
          <w:rFonts w:hint="eastAsia"/>
        </w:rPr>
        <w:fldChar w:fldCharType="end"/>
      </w:r>
      <w:r>
        <w:rPr>
          <w:rFonts w:hint="eastAsia"/>
        </w:rPr>
        <w:t>建设单位应重点对易发生浅埋的管道及光缆埋深情况进行复核，发现埋深不足时，应立即要求新建管道工程项目承办部门组织整改，防止管道及光缆发生第三方损坏。</w:t>
      </w:r>
    </w:p>
    <w:p w14:paraId="472692CF">
      <w:pPr>
        <w:pStyle w:val="234"/>
        <w:spacing w:before="48" w:after="48"/>
      </w:pPr>
      <w:r>
        <w:rPr>
          <w:rFonts w:hint="eastAsia"/>
        </w:rPr>
        <w:fldChar w:fldCharType="begin"/>
      </w:r>
      <w:r>
        <w:rPr>
          <w:rFonts w:hint="eastAsia"/>
        </w:rPr>
        <w:instrText xml:space="preserve"> = 10 \* GB3 \* MERGEFORMAT </w:instrText>
      </w:r>
      <w:r>
        <w:rPr>
          <w:rFonts w:hint="eastAsia"/>
        </w:rPr>
        <w:fldChar w:fldCharType="separate"/>
      </w:r>
      <w:r>
        <w:t>⑩</w:t>
      </w:r>
      <w:r>
        <w:rPr>
          <w:rFonts w:hint="eastAsia"/>
        </w:rPr>
        <w:fldChar w:fldCharType="end"/>
      </w:r>
      <w:r>
        <w:rPr>
          <w:rFonts w:hint="eastAsia"/>
        </w:rPr>
        <w:t>建设单位应要求新建管道工程项目承办部门在管道回填后一个月内提供管道中线成果图和管道坐标，应优先组织对高后区和周边存在建构筑物的管道线位进行现场复核，发现偏离或埋深不足时，应要求新建管道工程项目承办部门在投产前组织完成整改。</w:t>
      </w:r>
    </w:p>
    <w:p w14:paraId="0402988F">
      <w:pPr>
        <w:pStyle w:val="5"/>
        <w:rPr>
          <w:color w:val="auto"/>
        </w:rPr>
      </w:pPr>
      <w:r>
        <w:rPr>
          <w:color w:val="auto"/>
        </w:rPr>
        <w:t>运营期事故防范措施</w:t>
      </w:r>
    </w:p>
    <w:p w14:paraId="79CA66A5">
      <w:pPr>
        <w:pStyle w:val="7"/>
      </w:pPr>
      <w:r>
        <w:t>运营期管道事故防范措施</w:t>
      </w:r>
    </w:p>
    <w:p w14:paraId="2BD64AAB">
      <w:pPr>
        <w:pStyle w:val="234"/>
        <w:spacing w:before="48" w:after="48"/>
      </w:pPr>
      <w:r>
        <w:rPr>
          <w:rFonts w:hint="eastAsia"/>
        </w:rPr>
        <w:t>（1）</w:t>
      </w:r>
      <w:r>
        <w:t>严格控制输送天然气的气质，定期清管，排除管内的积水和污物，以减轻管道内腐蚀；</w:t>
      </w:r>
    </w:p>
    <w:p w14:paraId="51045945">
      <w:pPr>
        <w:pStyle w:val="234"/>
        <w:spacing w:before="48" w:after="48"/>
      </w:pPr>
      <w:r>
        <w:rPr>
          <w:rFonts w:hint="eastAsia"/>
        </w:rPr>
        <w:t>（2）</w:t>
      </w:r>
      <w:r>
        <w:t>定期进行管道壁厚的测量，对严重减薄的管段，及时维修更换，避免爆管事故的发生；</w:t>
      </w:r>
    </w:p>
    <w:p w14:paraId="7FFAD320">
      <w:pPr>
        <w:pStyle w:val="234"/>
        <w:spacing w:before="48" w:after="48"/>
      </w:pPr>
      <w:r>
        <w:rPr>
          <w:rFonts w:hint="eastAsia"/>
        </w:rPr>
        <w:t>（3）</w:t>
      </w:r>
      <w:r>
        <w:t>每半年检查管道安全保护系统(如截断阀、安全阀、放空系统等)，使管道在超压时能够得到安全处理，使危害影响范围减小到最低程度。</w:t>
      </w:r>
    </w:p>
    <w:p w14:paraId="014F00AE">
      <w:pPr>
        <w:pStyle w:val="234"/>
        <w:spacing w:before="48" w:after="48"/>
      </w:pPr>
      <w:r>
        <w:rPr>
          <w:rFonts w:hint="eastAsia"/>
        </w:rPr>
        <w:t>（4）</w:t>
      </w:r>
      <w:r>
        <w:t>每日巡检确保在公路</w:t>
      </w:r>
      <w:r>
        <w:rPr>
          <w:rFonts w:hint="eastAsia"/>
        </w:rPr>
        <w:t>等</w:t>
      </w:r>
      <w:r>
        <w:t>穿越点的标志不仅清楚、明确，并且其设置应能从不同方向，不同角度均可看清。</w:t>
      </w:r>
    </w:p>
    <w:p w14:paraId="6FDD2055">
      <w:pPr>
        <w:pStyle w:val="234"/>
        <w:spacing w:before="48" w:after="48"/>
      </w:pPr>
      <w:r>
        <w:rPr>
          <w:rFonts w:hint="eastAsia"/>
        </w:rPr>
        <w:t>（5）</w:t>
      </w:r>
      <w:r>
        <w:t>加大巡线频率，提高巡线的有效性；每天检查管道施工带，查看地表情况，并关注在此地带的人员活动情况，发现对管道安全有影响的行为，应及时制止、采取相应措施并向上级报告。</w:t>
      </w:r>
    </w:p>
    <w:p w14:paraId="20FB0A6D">
      <w:pPr>
        <w:pStyle w:val="234"/>
        <w:spacing w:before="48" w:after="48"/>
      </w:pPr>
      <w:r>
        <w:rPr>
          <w:rFonts w:hint="eastAsia"/>
        </w:rPr>
        <w:t>（6）智能巡线管理</w:t>
      </w:r>
    </w:p>
    <w:p w14:paraId="3B846516">
      <w:pPr>
        <w:pStyle w:val="234"/>
        <w:spacing w:before="48" w:after="48"/>
      </w:pPr>
      <w:r>
        <w:rPr>
          <w:rFonts w:hint="eastAsia"/>
        </w:rPr>
        <w:t>根据规范《石油天然气管道系统治安风险等级和安全防范要求》（GA1166-2014）中的要求,在管道沿线设置卫星定位巡检系统。</w:t>
      </w:r>
    </w:p>
    <w:p w14:paraId="17B39835">
      <w:pPr>
        <w:pStyle w:val="234"/>
        <w:spacing w:before="48" w:after="48"/>
      </w:pPr>
      <w:r>
        <w:rPr>
          <w:rFonts w:hint="eastAsia"/>
        </w:rPr>
        <w:t>巡线人员配备手机巡线终端，接收GPS卫星信号并根据GPS的定位原理完成对终端的自动定位；在监控中心通过数据收发软件实现巡线终端数据的接收(入库)，同时接收监控端对终端的指令转发；巡线人员通过系统功能实现的移动实时巡检、事件上报等需求。</w:t>
      </w:r>
    </w:p>
    <w:p w14:paraId="3E37F907">
      <w:pPr>
        <w:pStyle w:val="234"/>
        <w:spacing w:before="48" w:after="48"/>
      </w:pPr>
      <w:r>
        <w:rPr>
          <w:rFonts w:hint="eastAsia"/>
        </w:rPr>
        <w:t>（7）</w:t>
      </w:r>
      <w:r>
        <w:t>站场事故放空时，应注意防火。</w:t>
      </w:r>
    </w:p>
    <w:p w14:paraId="686CCA0A">
      <w:pPr>
        <w:pStyle w:val="7"/>
      </w:pPr>
      <w:r>
        <w:t>运营期站场事故防范措施</w:t>
      </w:r>
    </w:p>
    <w:p w14:paraId="4FCA94C9">
      <w:pPr>
        <w:pStyle w:val="234"/>
        <w:spacing w:before="48" w:after="48"/>
      </w:pPr>
      <w:r>
        <w:rPr>
          <w:rFonts w:hint="eastAsia"/>
        </w:rPr>
        <w:t>（1）</w:t>
      </w:r>
      <w:r>
        <w:t>站场严格按防火规范布置平面，站场内的电气设备及仪表按防爆等级不同选用不同的设备；</w:t>
      </w:r>
    </w:p>
    <w:p w14:paraId="0801E222">
      <w:pPr>
        <w:pStyle w:val="234"/>
        <w:spacing w:before="48" w:after="48"/>
      </w:pPr>
      <w:r>
        <w:rPr>
          <w:rFonts w:hint="eastAsia"/>
        </w:rPr>
        <w:t>（2）</w:t>
      </w:r>
      <w:r>
        <w:t>站内所有设备、管线均应做防雷、防静电接地；</w:t>
      </w:r>
    </w:p>
    <w:p w14:paraId="72DE1470">
      <w:pPr>
        <w:pStyle w:val="234"/>
        <w:spacing w:before="48" w:after="48"/>
      </w:pPr>
      <w:r>
        <w:rPr>
          <w:rFonts w:hint="eastAsia"/>
        </w:rPr>
        <w:t>（3）设置紧急停车（ESD）系统，ESD 系统命令优先于任何操作方式。</w:t>
      </w:r>
    </w:p>
    <w:p w14:paraId="167B6316">
      <w:pPr>
        <w:pStyle w:val="234"/>
        <w:spacing w:before="48" w:after="48"/>
      </w:pPr>
      <w:r>
        <w:rPr>
          <w:rFonts w:hint="eastAsia"/>
        </w:rPr>
        <w:t>（4）设置火灾检测及报警系统</w:t>
      </w:r>
      <w:r>
        <w:t>、消防自控设施；</w:t>
      </w:r>
    </w:p>
    <w:p w14:paraId="00B09475">
      <w:pPr>
        <w:pStyle w:val="234"/>
        <w:spacing w:before="48" w:after="48"/>
      </w:pPr>
      <w:r>
        <w:rPr>
          <w:rFonts w:hint="eastAsia"/>
        </w:rPr>
        <w:t>（5）</w:t>
      </w:r>
      <w:r>
        <w:t>紧急情况下，天然气可越站输送；</w:t>
      </w:r>
    </w:p>
    <w:p w14:paraId="6A1E2FE8">
      <w:pPr>
        <w:pStyle w:val="234"/>
        <w:spacing w:before="48" w:after="48"/>
      </w:pPr>
      <w:r>
        <w:rPr>
          <w:rFonts w:hint="eastAsia"/>
        </w:rPr>
        <w:t>（6）</w:t>
      </w:r>
      <w:r>
        <w:t>在可能发生天然气积聚的场所应按照《石油天然气工程可燃气体检测报警系统安全技术规范》(</w:t>
      </w:r>
      <w:r>
        <w:rPr>
          <w:rFonts w:hint="eastAsia"/>
        </w:rPr>
        <w:t>SY/T 6503-2016</w:t>
      </w:r>
      <w:r>
        <w:t>)的要求设置可燃气体报警装置；</w:t>
      </w:r>
    </w:p>
    <w:p w14:paraId="0C819CCD">
      <w:pPr>
        <w:pStyle w:val="234"/>
        <w:spacing w:before="48" w:after="48"/>
      </w:pPr>
      <w:r>
        <w:rPr>
          <w:rFonts w:hint="eastAsia"/>
        </w:rPr>
        <w:t>（7）</w:t>
      </w:r>
      <w:r>
        <w:t>设立紧急关断系统。在管线进出站等处设置紧急切断阀，对一些明显故障实施直接切断，也可通过SCADA系统进行远程关断，还可以完成全系统关断；</w:t>
      </w:r>
    </w:p>
    <w:p w14:paraId="0CAD051D">
      <w:pPr>
        <w:pStyle w:val="234"/>
        <w:spacing w:before="48" w:after="48"/>
      </w:pPr>
      <w:r>
        <w:rPr>
          <w:rFonts w:hint="eastAsia"/>
        </w:rPr>
        <w:t>（8）</w:t>
      </w:r>
      <w:r>
        <w:t>站场内利用道路进行功能分区，减少危险隐患，同时便于生产管理；</w:t>
      </w:r>
    </w:p>
    <w:p w14:paraId="4806F80B">
      <w:pPr>
        <w:pStyle w:val="234"/>
        <w:spacing w:before="48" w:after="48"/>
      </w:pPr>
      <w:r>
        <w:rPr>
          <w:rFonts w:hint="eastAsia"/>
        </w:rPr>
        <w:t>（9）</w:t>
      </w:r>
      <w:r>
        <w:t>加强设计单位相互间的配合，做好衔接、交叉部分的协调，减少设计误操作，使总体设计质量为优。</w:t>
      </w:r>
    </w:p>
    <w:p w14:paraId="563F41DB">
      <w:pPr>
        <w:pStyle w:val="234"/>
        <w:spacing w:before="48" w:after="48"/>
      </w:pPr>
      <w:r>
        <w:rPr>
          <w:rFonts w:hint="eastAsia"/>
        </w:rPr>
        <w:t>（10）</w:t>
      </w:r>
      <w:r>
        <w:t>站场发生事故，立即启动</w:t>
      </w:r>
      <w:r>
        <w:rPr>
          <w:rFonts w:hint="eastAsia"/>
        </w:rPr>
        <w:t>突发环境事件应急预案</w:t>
      </w:r>
      <w:r>
        <w:t>，应立即疏散站场附近的人员。</w:t>
      </w:r>
    </w:p>
    <w:p w14:paraId="19120A87">
      <w:pPr>
        <w:spacing w:line="360" w:lineRule="auto"/>
        <w:ind w:firstLine="480" w:firstLineChars="200"/>
        <w:rPr>
          <w:sz w:val="24"/>
        </w:rPr>
      </w:pPr>
      <w:r>
        <w:rPr>
          <w:rFonts w:hint="eastAsia"/>
          <w:sz w:val="24"/>
        </w:rPr>
        <w:t>（1</w:t>
      </w:r>
      <w:r>
        <w:rPr>
          <w:sz w:val="24"/>
        </w:rPr>
        <w:t>1</w:t>
      </w:r>
      <w:r>
        <w:rPr>
          <w:rFonts w:hint="eastAsia"/>
          <w:sz w:val="24"/>
        </w:rPr>
        <w:t>）本项目耒阳分输站放空放空立管设有冷放空功能。事故状态下放空时应根据现场事故时风速、风向、气压等气象条件和紧急状况确定放空方式。严格控制放空区周围的火源和火种，进行严格检查与巡视。</w:t>
      </w:r>
    </w:p>
    <w:p w14:paraId="3BBFD337">
      <w:pPr>
        <w:pStyle w:val="7"/>
      </w:pPr>
      <w:r>
        <w:t>运营期风险防范管理措施</w:t>
      </w:r>
    </w:p>
    <w:p w14:paraId="510CCDAE">
      <w:pPr>
        <w:pStyle w:val="234"/>
        <w:spacing w:before="48" w:after="48"/>
      </w:pPr>
      <w:r>
        <w:rPr>
          <w:rFonts w:hint="eastAsia"/>
        </w:rPr>
        <w:t>（1）</w:t>
      </w:r>
      <w:r>
        <w:t>在运行期，建设单位应加强与当地相关规划管理的沟通，协助规划部门做好管道、场站周边的规划。应《中华人民共和国石油天然气管道保护法》的要求执行以下规定：</w:t>
      </w:r>
    </w:p>
    <w:p w14:paraId="147B065E">
      <w:pPr>
        <w:pStyle w:val="234"/>
        <w:spacing w:before="48" w:after="48"/>
      </w:pPr>
      <w:r>
        <w:rPr>
          <w:rFonts w:hint="eastAsia" w:ascii="宋体" w:hAnsi="宋体" w:cs="宋体"/>
        </w:rPr>
        <w:t>①</w:t>
      </w:r>
      <w:r>
        <w:t>在管道线路中心线两侧各五米地域范围内，禁止种植乔木、灌木、藤类、芦苇、竹子或者其他根系深达管道埋设部位可能损坏管道腐层的深根植物；</w:t>
      </w:r>
    </w:p>
    <w:p w14:paraId="24934930">
      <w:pPr>
        <w:pStyle w:val="234"/>
        <w:spacing w:before="48" w:after="48"/>
      </w:pPr>
      <w:r>
        <w:rPr>
          <w:rFonts w:hint="eastAsia" w:ascii="宋体" w:hAnsi="宋体" w:cs="宋体"/>
        </w:rPr>
        <w:t>②</w:t>
      </w:r>
      <w:r>
        <w:t>禁止取土、采石、用火、堆放重物、排放腐蚀性物质、使用机械工具进行挖掘施工；</w:t>
      </w:r>
    </w:p>
    <w:p w14:paraId="20901C44">
      <w:pPr>
        <w:pStyle w:val="234"/>
        <w:spacing w:before="48" w:after="48"/>
      </w:pPr>
      <w:r>
        <w:rPr>
          <w:rFonts w:hint="eastAsia" w:ascii="宋体" w:hAnsi="宋体" w:cs="宋体"/>
        </w:rPr>
        <w:t>③</w:t>
      </w:r>
      <w:r>
        <w:t>禁止挖塘、修渠、修晒场、修建水产养殖场、建温室、建家畜棚圈、建房以及修建其他建筑物、构筑物。</w:t>
      </w:r>
    </w:p>
    <w:p w14:paraId="480AC532">
      <w:pPr>
        <w:pStyle w:val="234"/>
        <w:spacing w:before="48" w:after="48"/>
      </w:pPr>
      <w:r>
        <w:rPr>
          <w:rFonts w:hint="eastAsia" w:ascii="宋体" w:hAnsi="宋体" w:cs="宋体"/>
        </w:rPr>
        <w:t>④</w:t>
      </w:r>
      <w:r>
        <w:t>在管道中心线两侧各一千米地域范围内，禁止采石、采矿、爆破。因修建铁路、公路、水利工程等公共工程，确需实施采石、爆破作业的，应当经管道所在地县级人民政府主管管道保护工作的部门批准，并采取必要的安全防护措施，方可实施；</w:t>
      </w:r>
    </w:p>
    <w:p w14:paraId="13CBDFC1">
      <w:pPr>
        <w:pStyle w:val="234"/>
        <w:spacing w:before="48" w:after="48"/>
      </w:pPr>
      <w:r>
        <w:rPr>
          <w:rFonts w:hint="eastAsia" w:ascii="宋体" w:hAnsi="宋体" w:cs="宋体"/>
        </w:rPr>
        <w:t>⑤</w:t>
      </w:r>
      <w:r>
        <w:t>进行下列施工作业，施工单位应当向管道所在地县级人民政府主管管道保护工作的部门提出申请；</w:t>
      </w:r>
    </w:p>
    <w:p w14:paraId="12D86B4D">
      <w:pPr>
        <w:pStyle w:val="234"/>
        <w:spacing w:before="48" w:after="48"/>
      </w:pPr>
      <w:r>
        <w:t>a.穿跨越管道的施工作业；</w:t>
      </w:r>
    </w:p>
    <w:p w14:paraId="68DBC235">
      <w:pPr>
        <w:pStyle w:val="234"/>
        <w:spacing w:before="48" w:after="48"/>
      </w:pPr>
      <w:r>
        <w:t>b.在管道线路中心线两侧各5m至50m和管道附属设施周边100m地域范围内，新建、改建、扩建铁路、公路、河渠，架设电力线路，埋设地下电缆、光缆，设置安全接地体、避雷接地体；</w:t>
      </w:r>
    </w:p>
    <w:p w14:paraId="4EAE514E">
      <w:pPr>
        <w:pStyle w:val="234"/>
        <w:spacing w:before="48" w:after="48"/>
      </w:pPr>
      <w:r>
        <w:t>c.在管道线路中心线两侧各200m和管道附属设施周边500m地域范围内，进行爆破、地震法勘探或者工程挖掘、工程钻探、采矿。</w:t>
      </w:r>
    </w:p>
    <w:p w14:paraId="7A091A65">
      <w:pPr>
        <w:pStyle w:val="234"/>
        <w:spacing w:before="48" w:after="48"/>
      </w:pPr>
      <w:r>
        <w:rPr>
          <w:rFonts w:hint="eastAsia"/>
        </w:rPr>
        <w:t>（2）</w:t>
      </w:r>
      <w:r>
        <w:t>建立环境风险管理体系</w:t>
      </w:r>
    </w:p>
    <w:p w14:paraId="1B590E29">
      <w:pPr>
        <w:pStyle w:val="234"/>
        <w:spacing w:before="48" w:after="48"/>
      </w:pPr>
      <w:r>
        <w:t>管道在运营期必须制定综合管理、HSE管理和风险管理体系。综合管理体系包括：管理组织结构、任务和职责，制定操作规程，安全规章，职工培训，应急计划，建立管道系统资料档案等。为了防范事故风险，必须编制主要事故预防文件。</w:t>
      </w:r>
    </w:p>
    <w:p w14:paraId="6B68DFEC">
      <w:pPr>
        <w:pStyle w:val="234"/>
        <w:spacing w:before="48" w:after="48"/>
      </w:pPr>
      <w:r>
        <w:rPr>
          <w:rFonts w:hint="eastAsia"/>
        </w:rPr>
        <w:t>（3）</w:t>
      </w:r>
      <w:r>
        <w:t>建立输气管道完整性管理体系</w:t>
      </w:r>
    </w:p>
    <w:p w14:paraId="04DDE624">
      <w:pPr>
        <w:pStyle w:val="234"/>
        <w:spacing w:before="48" w:after="48"/>
      </w:pPr>
      <w:r>
        <w:t>为了保证输气管道沿线居民和财产的安全，管道建成后，建议管道公司建立输气管道完整性管理体系，做好管道沿线HCA(高后果区域)的调查，主要包括：</w:t>
      </w:r>
    </w:p>
    <w:p w14:paraId="11782F5D">
      <w:pPr>
        <w:pStyle w:val="234"/>
        <w:spacing w:before="48" w:after="48"/>
      </w:pPr>
      <w:r>
        <w:rPr>
          <w:rFonts w:hint="eastAsia" w:ascii="宋体" w:hAnsi="宋体" w:cs="宋体"/>
        </w:rPr>
        <w:t>①</w:t>
      </w:r>
      <w:r>
        <w:t>三类、四类地区；</w:t>
      </w:r>
    </w:p>
    <w:p w14:paraId="46B09EEC">
      <w:pPr>
        <w:pStyle w:val="234"/>
        <w:spacing w:before="48" w:after="48"/>
      </w:pPr>
      <w:r>
        <w:rPr>
          <w:rFonts w:hint="eastAsia" w:ascii="宋体" w:hAnsi="宋体" w:cs="宋体"/>
        </w:rPr>
        <w:t>②</w:t>
      </w:r>
      <w:r>
        <w:t>靠近管道的大致人数(包括考虑人工或自然障碍物可提供的保护等级)；</w:t>
      </w:r>
    </w:p>
    <w:p w14:paraId="23592FF6">
      <w:pPr>
        <w:pStyle w:val="234"/>
        <w:spacing w:before="48" w:after="48"/>
      </w:pPr>
      <w:r>
        <w:rPr>
          <w:rFonts w:hint="eastAsia" w:ascii="宋体" w:hAnsi="宋体" w:cs="宋体"/>
        </w:rPr>
        <w:t>③</w:t>
      </w:r>
      <w:r>
        <w:t>活动范围受限制或制约的场所(如医院、学校、幼儿园、养老院、监狱、娱乐场所)，特别是未加保护的外部区域内的大致人数；</w:t>
      </w:r>
    </w:p>
    <w:p w14:paraId="0A896B83">
      <w:pPr>
        <w:pStyle w:val="234"/>
        <w:spacing w:before="48" w:after="48"/>
      </w:pPr>
      <w:r>
        <w:rPr>
          <w:rFonts w:hint="eastAsia" w:ascii="宋体" w:hAnsi="宋体" w:cs="宋体"/>
        </w:rPr>
        <w:t>④</w:t>
      </w:r>
      <w:r>
        <w:t>可能的财产损坏和环境破坏；</w:t>
      </w:r>
    </w:p>
    <w:p w14:paraId="5C23D8B6">
      <w:pPr>
        <w:pStyle w:val="234"/>
        <w:spacing w:before="48" w:after="48"/>
      </w:pPr>
      <w:r>
        <w:rPr>
          <w:rFonts w:hint="eastAsia" w:ascii="宋体" w:hAnsi="宋体" w:cs="宋体"/>
        </w:rPr>
        <w:t>⑤</w:t>
      </w:r>
      <w:r>
        <w:t>公共设施和设备；</w:t>
      </w:r>
    </w:p>
    <w:p w14:paraId="59F8BBBA">
      <w:pPr>
        <w:pStyle w:val="234"/>
        <w:spacing w:before="48" w:after="48"/>
      </w:pPr>
      <w:r>
        <w:rPr>
          <w:rFonts w:hint="eastAsia" w:ascii="宋体" w:hAnsi="宋体" w:cs="宋体"/>
        </w:rPr>
        <w:t>⑥</w:t>
      </w:r>
      <w:r>
        <w:t>次级事故的可能性。</w:t>
      </w:r>
    </w:p>
    <w:p w14:paraId="22822546">
      <w:pPr>
        <w:pStyle w:val="234"/>
        <w:spacing w:before="48" w:after="48"/>
      </w:pPr>
      <w:r>
        <w:t>收集以上资料，从而为制定本工程天然气管道事故应急救援预案提供依据。</w:t>
      </w:r>
    </w:p>
    <w:p w14:paraId="2A92DCAE">
      <w:pPr>
        <w:pStyle w:val="234"/>
        <w:spacing w:before="48" w:after="48"/>
      </w:pPr>
      <w:r>
        <w:rPr>
          <w:rFonts w:hint="eastAsia"/>
        </w:rPr>
        <w:t>（4）</w:t>
      </w:r>
      <w:r>
        <w:t>在管道系统投产运行前，应制订出供正常、异常或紧急状态下的操作手册和维修手册，并对操作、维修人员进行培训，持证上岗，避免因严重操作失误而造成的事故；</w:t>
      </w:r>
    </w:p>
    <w:p w14:paraId="16C8C0DE">
      <w:pPr>
        <w:pStyle w:val="234"/>
        <w:spacing w:before="48" w:after="48"/>
      </w:pPr>
      <w:r>
        <w:rPr>
          <w:rFonts w:hint="eastAsia"/>
        </w:rPr>
        <w:t>（5）</w:t>
      </w:r>
      <w:r>
        <w:t>制订应急操作规程，在规程中应说明发生管道事故时应采取的操作步骤，规定抢修进度，限制事故的影响，另外还应说明与管道操作人员有关的安全问题；</w:t>
      </w:r>
    </w:p>
    <w:p w14:paraId="347879CC">
      <w:pPr>
        <w:pStyle w:val="234"/>
        <w:spacing w:before="48" w:after="48"/>
      </w:pPr>
      <w:r>
        <w:rPr>
          <w:rFonts w:hint="eastAsia"/>
        </w:rPr>
        <w:t>（6）</w:t>
      </w:r>
      <w:r>
        <w:t>操作人员每周应进行安全活动，提高职工的安全意识，识别事故发生前的异常状态，并采取相应的措施；</w:t>
      </w:r>
    </w:p>
    <w:p w14:paraId="60B4248D">
      <w:pPr>
        <w:pStyle w:val="234"/>
        <w:spacing w:before="48" w:after="48"/>
      </w:pPr>
      <w:r>
        <w:rPr>
          <w:rFonts w:hint="eastAsia"/>
        </w:rPr>
        <w:t>（7）</w:t>
      </w:r>
      <w:r>
        <w:t>对管道附近的居民加强教育，进一步宣传贯彻、落实</w:t>
      </w:r>
      <w:r>
        <w:rPr>
          <w:color w:val="FF0000"/>
        </w:rPr>
        <w:t>《</w:t>
      </w:r>
      <w:r>
        <w:rPr>
          <w:rFonts w:hint="eastAsia"/>
          <w:color w:val="FF0000"/>
        </w:rPr>
        <w:t>中华人民共和国</w:t>
      </w:r>
      <w:r>
        <w:t>石油天然气管道保护法》，减少、避免发生第三方破坏的事故；</w:t>
      </w:r>
    </w:p>
    <w:p w14:paraId="4054E44F">
      <w:pPr>
        <w:pStyle w:val="234"/>
        <w:spacing w:before="48" w:after="48"/>
      </w:pPr>
      <w:r>
        <w:rPr>
          <w:rFonts w:hint="eastAsia"/>
        </w:rPr>
        <w:t>（8）</w:t>
      </w:r>
      <w:r>
        <w:t>对重要的仪器设备有完善的检查项目、维护方法；按计划进行定期维护；有专门档案(包括维护记录档案)，文件齐全。</w:t>
      </w:r>
    </w:p>
    <w:p w14:paraId="2D6C1F10">
      <w:pPr>
        <w:pStyle w:val="5"/>
        <w:rPr>
          <w:color w:val="auto"/>
        </w:rPr>
      </w:pPr>
      <w:r>
        <w:rPr>
          <w:color w:val="auto"/>
        </w:rPr>
        <w:t>风险监控措施</w:t>
      </w:r>
    </w:p>
    <w:p w14:paraId="342C5B41">
      <w:pPr>
        <w:pStyle w:val="234"/>
        <w:spacing w:before="48" w:after="48"/>
      </w:pPr>
      <w:r>
        <w:t>本工程目前设置</w:t>
      </w:r>
      <w:r>
        <w:rPr>
          <w:rFonts w:hint="eastAsia"/>
        </w:rPr>
        <w:t>1</w:t>
      </w:r>
      <w:r>
        <w:t>座站场。全线采用SCADA系统，</w:t>
      </w:r>
      <w:r>
        <w:rPr>
          <w:rFonts w:hint="eastAsia"/>
        </w:rPr>
        <w:t>监控数据经上游新气管道以潜江－韶关输气管道已建光通信链路接入新建管道光通信网络，上传至北京调控中心和廊坊备用调控中心</w:t>
      </w:r>
      <w:r>
        <w:t>，</w:t>
      </w:r>
      <w:r>
        <w:rPr>
          <w:rFonts w:hint="eastAsia"/>
        </w:rPr>
        <w:t>对</w:t>
      </w:r>
      <w:r>
        <w:t>该管道集中监控、优化运行和统一调度管理。</w:t>
      </w:r>
    </w:p>
    <w:p w14:paraId="190C7BD4">
      <w:pPr>
        <w:pStyle w:val="7"/>
      </w:pPr>
      <w:r>
        <w:t>自动控制系统总体方案</w:t>
      </w:r>
    </w:p>
    <w:p w14:paraId="14AEAF42">
      <w:pPr>
        <w:pStyle w:val="234"/>
        <w:spacing w:before="48" w:after="48"/>
      </w:pPr>
      <w:r>
        <w:t>本工程将纳入到国家管网已建主备用调控中心的SCADA系统中，由调控中心负责输气过程的数据采集、集中监控、优化运行和统一调度管理等。</w:t>
      </w:r>
    </w:p>
    <w:p w14:paraId="2B7431CB">
      <w:pPr>
        <w:pStyle w:val="234"/>
        <w:spacing w:before="48" w:after="48"/>
      </w:pPr>
      <w:r>
        <w:t>在站场设置站控制系统，完成站场生产过程的监视与控制。调控中心通过建立的计算机控制系统监控站场的工艺设备。在调控中心授权的状况下，站控制系统才能够控制和运行本站的工艺设备。</w:t>
      </w:r>
    </w:p>
    <w:p w14:paraId="4EF535DE">
      <w:pPr>
        <w:pStyle w:val="234"/>
        <w:spacing w:before="48" w:after="48"/>
      </w:pPr>
      <w:r>
        <w:t>在</w:t>
      </w:r>
      <w:r>
        <w:rPr>
          <w:rFonts w:hint="eastAsia"/>
        </w:rPr>
        <w:t>耒阳分输站</w:t>
      </w:r>
      <w:r>
        <w:t>内设置远程终端装置(RTU)，执行SCADA系统调度中心下达的指令，向控制中心发送实时数据。</w:t>
      </w:r>
    </w:p>
    <w:p w14:paraId="2C8B180A">
      <w:pPr>
        <w:pStyle w:val="7"/>
      </w:pPr>
      <w:r>
        <w:t>控制系统配置及功能</w:t>
      </w:r>
    </w:p>
    <w:p w14:paraId="6C65090C">
      <w:pPr>
        <w:pStyle w:val="234"/>
        <w:spacing w:before="48" w:after="48"/>
      </w:pPr>
      <w:r>
        <w:rPr>
          <w:rFonts w:hint="eastAsia"/>
        </w:rPr>
        <w:t>（1）</w:t>
      </w:r>
      <w:r>
        <w:t>调度控制中心</w:t>
      </w:r>
    </w:p>
    <w:p w14:paraId="6E250A26">
      <w:pPr>
        <w:pStyle w:val="234"/>
        <w:spacing w:before="48" w:after="48"/>
      </w:pPr>
      <w:r>
        <w:t>本工程SCADA系统数据纳入国家管网已建主备调控中心SCADA系统。已建的主备调控中心和分控中心SCADA系统的软硬件的处理能力完全能够满足本工程扩展的需要。工程量主要是数据库扩容、OAD扩容、在线模拟仿真系统扩容，增加输气站场、阀室的控制系统HMI画面的组态，完成调控中心对站场站控制系统数据监控的调试工作。</w:t>
      </w:r>
    </w:p>
    <w:p w14:paraId="0CBA1822">
      <w:pPr>
        <w:pStyle w:val="234"/>
        <w:spacing w:before="48" w:after="48"/>
      </w:pPr>
      <w:r>
        <w:rPr>
          <w:rFonts w:hint="eastAsia"/>
        </w:rPr>
        <w:t>（2）</w:t>
      </w:r>
      <w:r>
        <w:t>站场控制系统</w:t>
      </w:r>
    </w:p>
    <w:p w14:paraId="537C7BE2">
      <w:pPr>
        <w:pStyle w:val="234"/>
        <w:spacing w:before="48" w:after="48"/>
      </w:pPr>
      <w:r>
        <w:t>本工程场站站控制系统是SCADA系统的远方控制单元，是保证SCADA系统正常运行的基础。</w:t>
      </w:r>
    </w:p>
    <w:p w14:paraId="52CA9594">
      <w:pPr>
        <w:pStyle w:val="234"/>
        <w:spacing w:before="48" w:after="48"/>
      </w:pPr>
      <w:r>
        <w:t>站控制系统安装在站场的站控制室和机柜间内，能完成站场内生产过程的数据采集并自动地传输给调度中心，同时接受调控中心指令，自动地完成输气过程的自动控制。</w:t>
      </w:r>
    </w:p>
    <w:p w14:paraId="77DC44BD">
      <w:pPr>
        <w:pStyle w:val="234"/>
        <w:spacing w:before="48" w:after="48"/>
      </w:pPr>
      <w:r>
        <w:t>在站控制系统故障的状况下，进行就地操作。</w:t>
      </w:r>
    </w:p>
    <w:p w14:paraId="6B728055">
      <w:pPr>
        <w:pStyle w:val="7"/>
      </w:pPr>
      <w:r>
        <w:t>安全仪表系统</w:t>
      </w:r>
    </w:p>
    <w:p w14:paraId="33531B64">
      <w:pPr>
        <w:pStyle w:val="234"/>
        <w:spacing w:before="48" w:after="48"/>
      </w:pPr>
      <w:r>
        <w:t>安全仪表系统具备故障诊断点和故障诊断功能。</w:t>
      </w:r>
      <w:r>
        <w:rPr>
          <w:rFonts w:hint="eastAsia"/>
        </w:rPr>
        <w:t>耒阳分输</w:t>
      </w:r>
      <w:r>
        <w:t>站的进出站及其它需紧急关闭的管路设置紧急停车关闭/放空阀(ESD阀)。压力控制系统设置紧急切断阀，紧急切断阀具有远程截断功能。</w:t>
      </w:r>
    </w:p>
    <w:p w14:paraId="4B61AC2F">
      <w:pPr>
        <w:pStyle w:val="234"/>
        <w:spacing w:before="48" w:after="48"/>
      </w:pPr>
      <w:r>
        <w:t>管道沿线各站场的进、出站紧急截断阀、越站旁通阀及阀室线路截断阀采用全焊接全通径埋地球阀，配置气液联动执行机构。并设置爆管监测功能，当上下游管道发生破损，管道内压降速率波动超过设定值时线路截断阀自动关闭，将天然气放空损失量降低到最小。</w:t>
      </w:r>
    </w:p>
    <w:p w14:paraId="6D8FF0A2">
      <w:pPr>
        <w:pStyle w:val="7"/>
      </w:pPr>
      <w:r>
        <w:t>数据通信系统</w:t>
      </w:r>
    </w:p>
    <w:p w14:paraId="1C62CEB8">
      <w:pPr>
        <w:pStyle w:val="234"/>
        <w:spacing w:before="48" w:after="48"/>
      </w:pPr>
      <w:r>
        <w:t>站控制系统具备通信中断检测功能，以满足调度控制中心通信故障判断和报警的相关要求。站场PLC增加通信中断检测程序，检测方法采用时钟法。通信中断时SCADA系统产生I类报警，通信恢复正常后报警自动复位。</w:t>
      </w:r>
    </w:p>
    <w:p w14:paraId="5F4748B1">
      <w:pPr>
        <w:pStyle w:val="234"/>
        <w:spacing w:before="48" w:after="48"/>
      </w:pPr>
      <w:r>
        <w:rPr>
          <w:rFonts w:hint="eastAsia"/>
        </w:rPr>
        <w:t>耒阳</w:t>
      </w:r>
      <w:r>
        <w:t>分输站控制系统与国家管网调度控制中心设一主一备的通信信道。光通信为主信道，卫星为备用信道，主、备信道可自动切换。</w:t>
      </w:r>
    </w:p>
    <w:p w14:paraId="0E103C87">
      <w:pPr>
        <w:pStyle w:val="7"/>
      </w:pPr>
      <w:r>
        <w:t>压力监控系统</w:t>
      </w:r>
    </w:p>
    <w:p w14:paraId="1DF5FB09">
      <w:pPr>
        <w:pStyle w:val="234"/>
        <w:spacing w:before="48" w:after="48"/>
      </w:pPr>
      <w:r>
        <w:t>为保证运营过程压力调节的可行性及实用性，在站场设置的压力控制系统采用安全切断阀＋监控调节阀+工作调节阀的设计方案，其中安全切断阀、监控调节阀采用自力式阀门采用自力式结构，工作调节阀采用电动阀。</w:t>
      </w:r>
    </w:p>
    <w:p w14:paraId="7FF6184D">
      <w:pPr>
        <w:pStyle w:val="234"/>
        <w:spacing w:before="48" w:after="48"/>
      </w:pPr>
      <w:r>
        <w:t>压力控制系统具有压力/流量选择控制功能，以实现下游用户供气的压力控制及限流控制。调压系统包括安全切断阀、监控调节阀、工作调节阀、压力表和压力变送器。</w:t>
      </w:r>
    </w:p>
    <w:p w14:paraId="5D15933D">
      <w:pPr>
        <w:pStyle w:val="7"/>
      </w:pPr>
      <w:r>
        <w:rPr>
          <w:rFonts w:hint="eastAsia"/>
        </w:rPr>
        <w:t>光纤预警</w:t>
      </w:r>
    </w:p>
    <w:p w14:paraId="3597D69B">
      <w:pPr>
        <w:pStyle w:val="234"/>
        <w:spacing w:before="48" w:after="48"/>
      </w:pPr>
      <w:r>
        <w:rPr>
          <w:rFonts w:hint="eastAsia"/>
        </w:rPr>
        <w:t>为了实现智能化管道对管道安全预警的全面感知和系统性功能提升要求，本工程在管道全线安装管道线路安全预警系统。</w:t>
      </w:r>
    </w:p>
    <w:p w14:paraId="6E1183C6">
      <w:pPr>
        <w:pStyle w:val="234"/>
        <w:spacing w:before="48" w:after="48"/>
      </w:pPr>
      <w:r>
        <w:rPr>
          <w:rFonts w:hint="eastAsia"/>
        </w:rPr>
        <w:t>管道光纤预警系统，基于干线管道的分布式管道光纤预警监测技术，利用与管道同沟敷设的通信光缆作为传感器，实现全线第三方损坏自动报警和定位功能。分布式光纤测振动系统可检测各个位置的振动信号，获得振动事件的时间、地点、事件趋势等信息，通过对振动波形分析和特征信号提取，结合信号数据库和识别算法，可对振动信号进行定性分析，及时发现管道安全威胁事件并对事件进行跟踪定位。</w:t>
      </w:r>
    </w:p>
    <w:p w14:paraId="0D1CA4DF">
      <w:pPr>
        <w:pStyle w:val="234"/>
        <w:spacing w:before="48" w:after="48"/>
      </w:pPr>
      <w:r>
        <w:rPr>
          <w:rFonts w:hint="eastAsia"/>
        </w:rPr>
        <w:t>本项目光纤预警主机探测距离在50km以内拥有最佳效果，使用随管道同沟敷设的通信光缆中的1芯作为探测光纤，在管道沿线附近形成一个无死角的保护区域，可有效防止保护区域内非法作业的发生，配合人工巡检，能够更主动、高效的开展管道巡护，提升管道安全防护等级。</w:t>
      </w:r>
    </w:p>
    <w:p w14:paraId="146776C6">
      <w:pPr>
        <w:pStyle w:val="7"/>
      </w:pPr>
      <w:r>
        <w:rPr>
          <w:rFonts w:hint="eastAsia"/>
        </w:rPr>
        <w:t>站场安全防范管理</w:t>
      </w:r>
    </w:p>
    <w:p w14:paraId="3C8D47F6">
      <w:pPr>
        <w:pStyle w:val="234"/>
        <w:spacing w:before="48" w:after="48"/>
      </w:pPr>
      <w:r>
        <w:rPr>
          <w:rFonts w:hint="eastAsia"/>
        </w:rPr>
        <w:t>无人值守站的前端摄像机主要设置在出入口、阀组区，后端设备设置在橇装化机柜间。</w:t>
      </w:r>
    </w:p>
    <w:p w14:paraId="6A619C44">
      <w:pPr>
        <w:pStyle w:val="234"/>
        <w:spacing w:before="48" w:after="48"/>
      </w:pPr>
      <w:r>
        <w:rPr>
          <w:rFonts w:hint="eastAsia"/>
        </w:rPr>
        <w:t>本工程在各站场的围墙四周设置振动光缆报警系统，与工业电视系统实行联动，当报警产生时，可通过联动的摄像机对报警区域进行图像的查看。无人值守站的报警信号可与工业电视图像一起通过光通信设备上传有人值守的站场报警显示。</w:t>
      </w:r>
    </w:p>
    <w:p w14:paraId="48C5EF8D">
      <w:pPr>
        <w:pStyle w:val="7"/>
      </w:pPr>
      <w:r>
        <w:rPr>
          <w:rFonts w:hint="eastAsia"/>
        </w:rPr>
        <w:t>站场网络覆盖</w:t>
      </w:r>
    </w:p>
    <w:p w14:paraId="5306131E">
      <w:pPr>
        <w:pStyle w:val="234"/>
        <w:spacing w:before="48" w:after="48"/>
      </w:pPr>
      <w:r>
        <w:rPr>
          <w:rFonts w:hint="eastAsia"/>
        </w:rPr>
        <w:t>管道沿线各站场均处在移动运营商无线网络覆盖范围内，可为无线数据的传输提供服务。</w:t>
      </w:r>
    </w:p>
    <w:p w14:paraId="76E447A0">
      <w:pPr>
        <w:pStyle w:val="234"/>
        <w:spacing w:before="48" w:after="48"/>
      </w:pPr>
    </w:p>
    <w:p w14:paraId="6F531472">
      <w:pPr>
        <w:pStyle w:val="234"/>
        <w:spacing w:before="48" w:after="48"/>
        <w:sectPr>
          <w:pgSz w:w="11910" w:h="16840"/>
          <w:pgMar w:top="1100" w:right="1240" w:bottom="1220" w:left="1280" w:header="680" w:footer="992" w:gutter="0"/>
          <w:cols w:space="720" w:num="1"/>
          <w:docGrid w:linePitch="286" w:charSpace="0"/>
        </w:sectPr>
      </w:pPr>
    </w:p>
    <w:p w14:paraId="626A37A2">
      <w:pPr>
        <w:pStyle w:val="5"/>
        <w:rPr>
          <w:color w:val="auto"/>
        </w:rPr>
      </w:pPr>
      <w:r>
        <w:rPr>
          <w:color w:val="auto"/>
        </w:rPr>
        <w:t>重点管段风险防范措施</w:t>
      </w:r>
    </w:p>
    <w:p w14:paraId="7E5BC47A">
      <w:pPr>
        <w:pStyle w:val="234"/>
        <w:spacing w:before="48" w:after="48"/>
      </w:pPr>
      <w:r>
        <w:t>本管道环境风险敏感性较高的重点管段，将采取针对性的风险防范措施见表7.</w:t>
      </w:r>
      <w:r>
        <w:rPr>
          <w:rFonts w:hint="eastAsia"/>
        </w:rPr>
        <w:t>5</w:t>
      </w:r>
      <w:r>
        <w:t>-1。</w:t>
      </w:r>
    </w:p>
    <w:p w14:paraId="570E3F60">
      <w:pPr>
        <w:pStyle w:val="904"/>
      </w:pPr>
      <w:r>
        <w:t>表7.</w:t>
      </w:r>
      <w:r>
        <w:rPr>
          <w:rFonts w:hint="eastAsia"/>
        </w:rPr>
        <w:t>5</w:t>
      </w:r>
      <w:r>
        <w:t>-1  重点管段风险防范措施一览表</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1005"/>
        <w:gridCol w:w="1197"/>
        <w:gridCol w:w="11823"/>
      </w:tblGrid>
      <w:tr w14:paraId="15C9D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 w:type="pct"/>
            <w:vAlign w:val="center"/>
          </w:tcPr>
          <w:p w14:paraId="0446B327">
            <w:pPr>
              <w:pStyle w:val="1343"/>
            </w:pPr>
            <w:r>
              <w:t>风险类型</w:t>
            </w:r>
          </w:p>
        </w:tc>
        <w:tc>
          <w:tcPr>
            <w:tcW w:w="341" w:type="pct"/>
            <w:vAlign w:val="center"/>
          </w:tcPr>
          <w:p w14:paraId="7B5B8C98">
            <w:pPr>
              <w:pStyle w:val="1343"/>
            </w:pPr>
            <w:r>
              <w:t>重点管段描述</w:t>
            </w:r>
          </w:p>
        </w:tc>
        <w:tc>
          <w:tcPr>
            <w:tcW w:w="406" w:type="pct"/>
            <w:vAlign w:val="center"/>
          </w:tcPr>
          <w:p w14:paraId="2D205966">
            <w:pPr>
              <w:pStyle w:val="1343"/>
            </w:pPr>
            <w:r>
              <w:t>风险影响</w:t>
            </w:r>
          </w:p>
        </w:tc>
        <w:tc>
          <w:tcPr>
            <w:tcW w:w="4010" w:type="pct"/>
            <w:vAlign w:val="center"/>
          </w:tcPr>
          <w:p w14:paraId="3902CEFE">
            <w:pPr>
              <w:pStyle w:val="1343"/>
            </w:pPr>
            <w:r>
              <w:t>风险防范措施</w:t>
            </w:r>
          </w:p>
        </w:tc>
      </w:tr>
      <w:tr w14:paraId="07C41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 w:type="pct"/>
            <w:vAlign w:val="center"/>
          </w:tcPr>
          <w:p w14:paraId="43F20B61">
            <w:pPr>
              <w:pStyle w:val="1343"/>
            </w:pPr>
            <w:r>
              <w:t>近距离居民点</w:t>
            </w:r>
          </w:p>
        </w:tc>
        <w:tc>
          <w:tcPr>
            <w:tcW w:w="341" w:type="pct"/>
            <w:vAlign w:val="center"/>
          </w:tcPr>
          <w:p w14:paraId="3E9E1EE6">
            <w:pPr>
              <w:pStyle w:val="1343"/>
            </w:pPr>
            <w:r>
              <w:t>本工程管道两侧的村庄及居民分布情况。</w:t>
            </w:r>
          </w:p>
        </w:tc>
        <w:tc>
          <w:tcPr>
            <w:tcW w:w="406" w:type="pct"/>
            <w:vAlign w:val="center"/>
          </w:tcPr>
          <w:p w14:paraId="350B485B">
            <w:pPr>
              <w:pStyle w:val="1343"/>
            </w:pPr>
            <w:r>
              <w:t>一旦发生事故，将对近距离居民生命健康造成威胁</w:t>
            </w:r>
          </w:p>
        </w:tc>
        <w:tc>
          <w:tcPr>
            <w:tcW w:w="4010" w:type="pct"/>
            <w:vAlign w:val="top"/>
          </w:tcPr>
          <w:p w14:paraId="5047F0C6">
            <w:pPr>
              <w:pStyle w:val="1343"/>
              <w:jc w:val="left"/>
            </w:pPr>
            <w:r>
              <w:t>(1)合理选择线路走向：选择线路走向时，尽量避开人口集中区以及城镇发展规划区，以减少由于天然气泄漏引起的泄漏、火灾、爆炸事故对居民危害；本工程已避让人口集中区。</w:t>
            </w:r>
          </w:p>
          <w:p w14:paraId="38140D8C">
            <w:pPr>
              <w:pStyle w:val="1343"/>
              <w:jc w:val="left"/>
            </w:pPr>
            <w:r>
              <w:t>(2)提高设计等级，以增强管道抵抗外部可能造成破坏的能力，具体如下：</w:t>
            </w:r>
            <w:r>
              <w:rPr>
                <w:rFonts w:hint="eastAsia" w:ascii="宋体" w:hAnsi="宋体" w:cs="宋体"/>
              </w:rPr>
              <w:t>①</w:t>
            </w:r>
            <w:r>
              <w:t>全线采用螺旋缝埋弧焊钢管和直缝埋弧焊钢管。</w:t>
            </w:r>
            <w:r>
              <w:fldChar w:fldCharType="begin"/>
            </w:r>
            <w:r>
              <w:instrText xml:space="preserve"> = 2 \* GB3 </w:instrText>
            </w:r>
            <w:r>
              <w:fldChar w:fldCharType="separate"/>
            </w:r>
            <w:r>
              <w:rPr>
                <w:rFonts w:hint="eastAsia" w:ascii="宋体" w:hAnsi="宋体" w:cs="宋体"/>
              </w:rPr>
              <w:t>②</w:t>
            </w:r>
            <w:r>
              <w:fldChar w:fldCharType="end"/>
            </w:r>
            <w:r>
              <w:t>管道外防腐层为三层PE。</w:t>
            </w:r>
          </w:p>
          <w:p w14:paraId="03C497E8">
            <w:pPr>
              <w:pStyle w:val="1343"/>
              <w:jc w:val="left"/>
            </w:pPr>
            <w:r>
              <w:t>(3)施工期事故防范措施：</w:t>
            </w:r>
          </w:p>
          <w:p w14:paraId="7DB849DF">
            <w:pPr>
              <w:pStyle w:val="1343"/>
              <w:jc w:val="left"/>
            </w:pPr>
            <w:r>
              <w:rPr>
                <w:rFonts w:hint="eastAsia" w:ascii="宋体" w:hAnsi="宋体" w:cs="宋体"/>
              </w:rPr>
              <w:t>①</w:t>
            </w:r>
            <w:r>
              <w:t>在施工过程中，加强监理。管道焊缝采用100%射线探伤100%超声波探伤，确保焊口质量。</w:t>
            </w:r>
          </w:p>
          <w:p w14:paraId="38299E8E">
            <w:pPr>
              <w:pStyle w:val="1343"/>
              <w:jc w:val="left"/>
            </w:pPr>
            <w:r>
              <w:rPr>
                <w:rFonts w:hint="eastAsia" w:ascii="宋体" w:hAnsi="宋体" w:cs="宋体"/>
              </w:rPr>
              <w:t>②</w:t>
            </w:r>
            <w:r>
              <w:t>建立施工质量保证体系，提高施工检验人员的水平，加强检验手段；制定严格的规章制度，发现缺陷及时正确修补并做好记录。</w:t>
            </w:r>
          </w:p>
          <w:p w14:paraId="76BCFA55">
            <w:pPr>
              <w:pStyle w:val="1343"/>
              <w:jc w:val="left"/>
            </w:pPr>
            <w:r>
              <w:rPr>
                <w:rFonts w:hint="eastAsia" w:ascii="宋体" w:hAnsi="宋体" w:cs="宋体"/>
              </w:rPr>
              <w:t>③</w:t>
            </w:r>
            <w:r>
              <w:t>选择有丰富经验的单位进行施工，并有优秀的第三方对其施工质量进行强有力的监督，减少施工误操作。</w:t>
            </w:r>
          </w:p>
          <w:p w14:paraId="0C30FFEF">
            <w:pPr>
              <w:pStyle w:val="1343"/>
              <w:jc w:val="left"/>
            </w:pPr>
            <w:r>
              <w:t>(4)运营期事故防范措施：</w:t>
            </w:r>
          </w:p>
          <w:p w14:paraId="1A790E0E">
            <w:pPr>
              <w:pStyle w:val="1343"/>
              <w:jc w:val="left"/>
            </w:pPr>
            <w:r>
              <w:rPr>
                <w:rFonts w:hint="eastAsia" w:ascii="宋体" w:hAnsi="宋体" w:cs="宋体"/>
              </w:rPr>
              <w:t>①</w:t>
            </w:r>
            <w:r>
              <w:t>加强《中华人民共和国石油天然气管道保护法》的宣传力度，普及天然气及管道输送知识，提高近距离居民点和人口集中区居民的安全防护(管道防护和自我保护)意识，发现问题及时报告；制定人口稠密区和近距离居民点专项</w:t>
            </w:r>
            <w:r>
              <w:rPr>
                <w:rFonts w:hint="eastAsia"/>
              </w:rPr>
              <w:t>突发环境事件应急预案</w:t>
            </w:r>
            <w:r>
              <w:t>。</w:t>
            </w:r>
          </w:p>
          <w:p w14:paraId="0706E916">
            <w:pPr>
              <w:pStyle w:val="1343"/>
              <w:jc w:val="left"/>
            </w:pPr>
            <w:r>
              <w:rPr>
                <w:rFonts w:hint="eastAsia" w:ascii="宋体" w:hAnsi="宋体" w:cs="宋体"/>
              </w:rPr>
              <w:t>②</w:t>
            </w:r>
            <w:r>
              <w:t>定期进行全线管道壁厚的测量，对严重管壁减薄的管段，及时维修更换，避免爆管事故发生；每半年检查管道安全保护系统(如截断阀、安全阀、放空系统等)，使管道在超压时能够得到安全处理，使危害影响范围减小到最低程度。</w:t>
            </w:r>
          </w:p>
          <w:p w14:paraId="5323B389">
            <w:pPr>
              <w:pStyle w:val="1343"/>
              <w:jc w:val="left"/>
            </w:pPr>
            <w:r>
              <w:rPr>
                <w:rFonts w:hint="eastAsia" w:ascii="宋体" w:hAnsi="宋体" w:cs="宋体"/>
              </w:rPr>
              <w:t>③</w:t>
            </w:r>
            <w:r>
              <w:t>加大巡线频率，提高巡线的有效性；定期检查管道施工带，查看地表情况，并关注在此地带的人员活动情况，发现对管道安全有影响的行为，应及时制止、采取相应措施并向上级报告；</w:t>
            </w:r>
          </w:p>
        </w:tc>
      </w:tr>
      <w:tr w14:paraId="2B9C6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1" w:type="pct"/>
            <w:vAlign w:val="center"/>
          </w:tcPr>
          <w:p w14:paraId="362D9E73">
            <w:pPr>
              <w:pStyle w:val="1343"/>
            </w:pPr>
            <w:r>
              <w:t>与其他油气、管道并行、交叉区域</w:t>
            </w:r>
          </w:p>
        </w:tc>
        <w:tc>
          <w:tcPr>
            <w:tcW w:w="341" w:type="pct"/>
            <w:vAlign w:val="center"/>
          </w:tcPr>
          <w:p w14:paraId="5D492F26">
            <w:pPr>
              <w:pStyle w:val="1343"/>
            </w:pPr>
            <w:r>
              <w:t>本工程与其他油气管道并行及交叉明细见</w:t>
            </w:r>
            <w:r>
              <w:rPr>
                <w:rFonts w:hint="eastAsia"/>
              </w:rPr>
              <w:t>表3.2-14和3.2-15</w:t>
            </w:r>
          </w:p>
        </w:tc>
        <w:tc>
          <w:tcPr>
            <w:tcW w:w="406" w:type="pct"/>
            <w:vAlign w:val="center"/>
          </w:tcPr>
          <w:p w14:paraId="7E3A6563">
            <w:pPr>
              <w:pStyle w:val="1343"/>
            </w:pPr>
            <w:r>
              <w:t>其他油气管道发生风险事件对管道造成破坏、本工程风险事件对其他管线造成破坏及影响</w:t>
            </w:r>
          </w:p>
        </w:tc>
        <w:tc>
          <w:tcPr>
            <w:tcW w:w="4010" w:type="pct"/>
            <w:vAlign w:val="center"/>
          </w:tcPr>
          <w:p w14:paraId="4F5F8D78">
            <w:pPr>
              <w:pStyle w:val="1343"/>
              <w:jc w:val="left"/>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并行、交叉管道之间距离应满足相关规范的安全防护要求。</w:t>
            </w:r>
          </w:p>
          <w:p w14:paraId="199FA9DE">
            <w:pPr>
              <w:pStyle w:val="1343"/>
              <w:jc w:val="left"/>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t>管道交叉处设置交叉桩或警示牌，并标明管道埋设深度。</w:t>
            </w:r>
          </w:p>
          <w:p w14:paraId="364DDAEB">
            <w:pPr>
              <w:pStyle w:val="1343"/>
              <w:jc w:val="left"/>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t>管道并行、交叉处阴极保护设置，考虑管道间的相互影响，进行优化设计。</w:t>
            </w:r>
          </w:p>
          <w:p w14:paraId="17B4B267">
            <w:pPr>
              <w:pStyle w:val="1343"/>
              <w:jc w:val="left"/>
            </w:pPr>
            <w:r>
              <w:fldChar w:fldCharType="begin"/>
            </w:r>
            <w:r>
              <w:instrText xml:space="preserve"> </w:instrText>
            </w:r>
            <w:r>
              <w:rPr>
                <w:rFonts w:hint="eastAsia"/>
              </w:rPr>
              <w:instrText xml:space="preserve">= 4 \* GB3</w:instrText>
            </w:r>
            <w:r>
              <w:instrText xml:space="preserve"> </w:instrText>
            </w:r>
            <w:r>
              <w:fldChar w:fldCharType="separate"/>
            </w:r>
            <w:r>
              <w:rPr>
                <w:rFonts w:hint="eastAsia"/>
              </w:rPr>
              <w:t>④</w:t>
            </w:r>
            <w:r>
              <w:fldChar w:fldCharType="end"/>
            </w:r>
            <w:r>
              <w:t>与其他管线并行与交叉时，应提高设计系数，增加管线壁厚，以增强管道抵抗外部可能造成破坏的能力。</w:t>
            </w:r>
          </w:p>
          <w:p w14:paraId="46FC7565">
            <w:pPr>
              <w:pStyle w:val="1343"/>
              <w:jc w:val="left"/>
            </w:pPr>
            <w:r>
              <w:fldChar w:fldCharType="begin"/>
            </w:r>
            <w:r>
              <w:instrText xml:space="preserve"> </w:instrText>
            </w:r>
            <w:r>
              <w:rPr>
                <w:rFonts w:hint="eastAsia"/>
              </w:rPr>
              <w:instrText xml:space="preserve">= 5 \* GB3</w:instrText>
            </w:r>
            <w:r>
              <w:instrText xml:space="preserve"> </w:instrText>
            </w:r>
            <w:r>
              <w:fldChar w:fldCharType="separate"/>
            </w:r>
            <w:r>
              <w:rPr>
                <w:rFonts w:hint="eastAsia"/>
              </w:rPr>
              <w:t>⑤</w:t>
            </w:r>
            <w:r>
              <w:fldChar w:fldCharType="end"/>
            </w:r>
            <w:r>
              <w:t>运营期风险防范措施：</w:t>
            </w:r>
          </w:p>
          <w:p w14:paraId="5A178A45">
            <w:pPr>
              <w:pStyle w:val="1343"/>
              <w:jc w:val="left"/>
            </w:pPr>
            <w:r>
              <w:rPr>
                <w:rFonts w:hint="eastAsia" w:ascii="宋体" w:hAnsi="宋体" w:cs="宋体"/>
              </w:rPr>
              <w:t>a</w:t>
            </w:r>
            <w:r>
              <w:rPr>
                <w:rFonts w:ascii="宋体" w:hAnsi="宋体" w:cs="宋体"/>
              </w:rPr>
              <w:t>.</w:t>
            </w:r>
            <w:r>
              <w:t>每年进行管道壁厚的测量，对严重管壁减薄的管段，及时维修更换，避免爆管事故发生。</w:t>
            </w:r>
          </w:p>
          <w:p w14:paraId="603554F7">
            <w:pPr>
              <w:pStyle w:val="1343"/>
              <w:jc w:val="left"/>
            </w:pPr>
            <w:r>
              <w:rPr>
                <w:rFonts w:hint="eastAsia" w:ascii="宋体" w:hAnsi="宋体" w:cs="宋体"/>
              </w:rPr>
              <w:t>b</w:t>
            </w:r>
            <w:r>
              <w:rPr>
                <w:rFonts w:ascii="宋体" w:hAnsi="宋体" w:cs="宋体"/>
              </w:rPr>
              <w:t>.</w:t>
            </w:r>
            <w:r>
              <w:t>将与其他管线交叉或并行管段，作为重点巡线路段，加大巡线频率，提高巡线的有效性；</w:t>
            </w:r>
          </w:p>
          <w:p w14:paraId="3B9542A6">
            <w:pPr>
              <w:pStyle w:val="1343"/>
              <w:jc w:val="left"/>
            </w:pPr>
            <w:r>
              <w:rPr>
                <w:rFonts w:hint="eastAsia" w:ascii="宋体" w:hAnsi="宋体" w:cs="宋体"/>
              </w:rPr>
              <w:t>c</w:t>
            </w:r>
            <w:r>
              <w:rPr>
                <w:rFonts w:ascii="宋体" w:hAnsi="宋体" w:cs="宋体"/>
              </w:rPr>
              <w:t>.</w:t>
            </w:r>
            <w:r>
              <w:t>定期检查管道安全保护系统(如截断阀、安全阀、放空系统等)，使管道在超压时能够得到安全处理，使危害影响范围减小到最低程度。</w:t>
            </w:r>
          </w:p>
          <w:p w14:paraId="346AC84E">
            <w:pPr>
              <w:pStyle w:val="1343"/>
              <w:jc w:val="left"/>
            </w:pPr>
            <w:r>
              <w:rPr>
                <w:rFonts w:hint="eastAsia"/>
              </w:rPr>
              <w:t>d</w:t>
            </w:r>
            <w:r>
              <w:t>.与并行或交叉管线所属单位，建立联合突发环境事件应急预案，实施应急联动，妥善处置风险事故对并行或交叉管线的影响。</w:t>
            </w:r>
          </w:p>
        </w:tc>
      </w:tr>
    </w:tbl>
    <w:p w14:paraId="19AC73D2">
      <w:pPr>
        <w:pStyle w:val="234"/>
        <w:spacing w:before="48" w:after="48"/>
        <w:sectPr>
          <w:pgSz w:w="16840" w:h="11910" w:orient="landscape"/>
          <w:pgMar w:top="1280" w:right="1100" w:bottom="1240" w:left="1220" w:header="880" w:footer="1034" w:gutter="0"/>
          <w:cols w:space="720" w:num="1"/>
          <w:docGrid w:linePitch="286" w:charSpace="0"/>
        </w:sectPr>
      </w:pPr>
    </w:p>
    <w:p w14:paraId="30730827">
      <w:pPr>
        <w:pStyle w:val="5"/>
        <w:rPr>
          <w:color w:val="auto"/>
        </w:rPr>
      </w:pPr>
      <w:r>
        <w:rPr>
          <w:color w:val="auto"/>
        </w:rPr>
        <w:t>应急疏散计划</w:t>
      </w:r>
    </w:p>
    <w:p w14:paraId="4DA1E84E">
      <w:pPr>
        <w:pStyle w:val="234"/>
        <w:spacing w:before="48" w:after="48"/>
      </w:pPr>
      <w:r>
        <w:t>本工程为天然气输气管道，主要风险为大气环境污染风险。运营单位须制定事故疏散与撤离计划，并结合应急预案定期进行演练。在发生突环境事件时，站场应急指挥领导立即联络当地政府及村委，请求协助安置村民。管道沿线村庄疏散原则如下：</w:t>
      </w:r>
    </w:p>
    <w:p w14:paraId="47895BE4">
      <w:pPr>
        <w:pStyle w:val="234"/>
        <w:spacing w:before="48" w:after="48"/>
      </w:pPr>
      <w:r>
        <w:rPr>
          <w:rFonts w:hint="eastAsia"/>
        </w:rPr>
        <w:t>（1）</w:t>
      </w:r>
      <w:r>
        <w:t>应与管道沿线大气环境风险范围的人口建立畅通的联络方式，以便在发生事故后及时通知可能受影响的人员疏散撤离；</w:t>
      </w:r>
    </w:p>
    <w:p w14:paraId="74BADC34">
      <w:pPr>
        <w:pStyle w:val="234"/>
        <w:spacing w:before="48" w:after="48"/>
      </w:pPr>
      <w:r>
        <w:rPr>
          <w:rFonts w:hint="eastAsia"/>
        </w:rPr>
        <w:t>（2）</w:t>
      </w:r>
      <w:r>
        <w:t>结合管道沿线及站场周围道路交通情况，建立疏散通道并合理设置人员安置场所，在发生事故的情况下，对可能受影响的居民及时进行疏散与安置；</w:t>
      </w:r>
    </w:p>
    <w:p w14:paraId="11FBE79D">
      <w:pPr>
        <w:pStyle w:val="234"/>
        <w:spacing w:before="48" w:after="48"/>
      </w:pPr>
      <w:r>
        <w:rPr>
          <w:rFonts w:hint="eastAsia"/>
        </w:rPr>
        <w:t>（3）</w:t>
      </w:r>
      <w:r>
        <w:t>发生大气污染事故后，建设单位及时通知事故发生段下风向人群立即疏散撤离，撤离的方向为当时风向的垂直方向，站场人员直接上风向撤离。</w:t>
      </w:r>
    </w:p>
    <w:p w14:paraId="6A788A12">
      <w:pPr>
        <w:pStyle w:val="4"/>
      </w:pPr>
      <w:r>
        <w:tab/>
      </w:r>
      <w:bookmarkStart w:id="227" w:name="_Toc4412"/>
      <w:r>
        <w:t>环境风险应急预案编制要求</w:t>
      </w:r>
      <w:bookmarkEnd w:id="227"/>
    </w:p>
    <w:p w14:paraId="719EDB4C">
      <w:pPr>
        <w:pStyle w:val="5"/>
        <w:rPr>
          <w:color w:val="auto"/>
          <w:lang w:val="zh-CN"/>
        </w:rPr>
      </w:pPr>
      <w:r>
        <w:rPr>
          <w:color w:val="auto"/>
          <w:lang w:val="zh-CN"/>
        </w:rPr>
        <w:t>企业现有应急预案体系</w:t>
      </w:r>
    </w:p>
    <w:p w14:paraId="1445AFB2">
      <w:pPr>
        <w:pStyle w:val="234"/>
        <w:spacing w:before="48" w:after="48"/>
      </w:pPr>
      <w:r>
        <w:t>应急预案是在贯彻预防为主的前提下，对建设项目可能出现的事故，为及时控制危害源，抢救受害人员，指导组织居民撤离，消除危害后果而组织的救援活动的预想方案。它需要建设单位和社会救援相结合。</w:t>
      </w:r>
    </w:p>
    <w:p w14:paraId="6A1F0B7C">
      <w:pPr>
        <w:pStyle w:val="234"/>
        <w:spacing w:before="48" w:after="48"/>
      </w:pPr>
      <w:r>
        <w:rPr>
          <w:rFonts w:hint="eastAsia"/>
        </w:rPr>
        <w:t>《潜江-韶关输气管道工程（湖南段）突发环境事件应急预案》已于2023年8月31日在衡阳市生态环境局备案，备案号为430400-2023-026-MT。由于本项目属于无人值守站，由潜江-韶关输气管道已设组织机构统筹管理，因此，建议本项目不单独编制突发环境事件应急预案，纳入“潜江-韶关输气管道工程（湖南段）突发环境事件应急预案”统一管理，建设单位应及时对“潜江-韶关输气管道工程（湖南段）突发环境事件应急预案”及时进行修编</w:t>
      </w:r>
      <w:r>
        <w:t>。</w:t>
      </w:r>
    </w:p>
    <w:p w14:paraId="714901D1">
      <w:pPr>
        <w:pStyle w:val="234"/>
        <w:spacing w:before="48" w:after="48"/>
        <w:sectPr>
          <w:pgSz w:w="11910" w:h="16840"/>
          <w:pgMar w:top="1100" w:right="1240" w:bottom="1220" w:left="1280" w:header="680" w:footer="1034" w:gutter="0"/>
          <w:cols w:space="720" w:num="1"/>
        </w:sectPr>
      </w:pPr>
    </w:p>
    <w:p w14:paraId="74EC26F0">
      <w:pPr>
        <w:pStyle w:val="5"/>
        <w:rPr>
          <w:color w:val="auto"/>
        </w:rPr>
      </w:pPr>
      <w:r>
        <w:rPr>
          <w:color w:val="auto"/>
        </w:rPr>
        <w:t>应急预案编制要求</w:t>
      </w:r>
    </w:p>
    <w:p w14:paraId="0B5CB7C1">
      <w:pPr>
        <w:pStyle w:val="234"/>
        <w:spacing w:before="48" w:after="48"/>
      </w:pPr>
      <w:r>
        <w:t>本工程建成后管理运营单位应根据《关于印发&lt;企业事业单位突发环境事件应急预案备案管理办法(试行)&gt;的通知》(环发〔2015〕4号)，结合国家管网管理要求，针对本工程特点</w:t>
      </w:r>
      <w:r>
        <w:rPr>
          <w:rFonts w:hint="eastAsia"/>
        </w:rPr>
        <w:t>对“潜江-韶关输气管道工程（湖南段）突发环境事件应急预案”进行修订</w:t>
      </w:r>
      <w:r>
        <w:t>，并纳入企业现有应急预案体系，预案应根据风险内容确定风险等级，不同风险等级采取相应的风险应急处置措施，落实应急物资、应急资金、应急队伍和社会救援机构的内容，并在</w:t>
      </w:r>
      <w:r>
        <w:rPr>
          <w:rFonts w:hint="eastAsia"/>
        </w:rPr>
        <w:t>耒阳市</w:t>
      </w:r>
      <w:r>
        <w:t>主管部门备案，定期进行培训和演练。</w:t>
      </w:r>
    </w:p>
    <w:p w14:paraId="7949984B">
      <w:pPr>
        <w:pStyle w:val="234"/>
        <w:spacing w:before="48" w:after="48"/>
      </w:pPr>
      <w:r>
        <w:t>环境应急预案体现自救互救、信息报告和先期处置特点，侧重明确现场组织指挥机制、应急队伍分工、信息报告、监测预警、不同情景下的应对流程和措施、应急资源保障等内容。</w:t>
      </w:r>
    </w:p>
    <w:p w14:paraId="341360AE">
      <w:pPr>
        <w:pStyle w:val="234"/>
        <w:spacing w:before="48" w:after="48"/>
      </w:pPr>
      <w:r>
        <w:t>重点说明可能的突发环境事件情景下需要采取的处置措施、向可能受影响的居民和单位通报的内容与方式、向环境保护主管部门和有关部门报告的内容与方式，以及与政府预案的衔接方式，形成环境应急预案。</w:t>
      </w:r>
    </w:p>
    <w:p w14:paraId="66F5CC2D">
      <w:pPr>
        <w:pStyle w:val="234"/>
        <w:spacing w:before="48" w:after="48"/>
      </w:pPr>
      <w:r>
        <w:t>环境应急预案经企业有关会议审议，由企业主要负责人签署发布</w:t>
      </w:r>
      <w:r>
        <w:rPr>
          <w:rFonts w:hint="eastAsia"/>
        </w:rPr>
        <w:t>。</w:t>
      </w:r>
    </w:p>
    <w:p w14:paraId="0ABCD35A">
      <w:pPr>
        <w:pStyle w:val="4"/>
        <w:rPr>
          <w:b/>
        </w:rPr>
      </w:pPr>
      <w:bookmarkStart w:id="228" w:name="_Toc65162882"/>
      <w:bookmarkStart w:id="229" w:name="_Toc28287"/>
      <w:r>
        <w:t>小结</w:t>
      </w:r>
      <w:bookmarkEnd w:id="228"/>
      <w:bookmarkEnd w:id="229"/>
    </w:p>
    <w:p w14:paraId="1ED7F830">
      <w:pPr>
        <w:pStyle w:val="234"/>
        <w:spacing w:before="48" w:after="48"/>
      </w:pPr>
      <w:r>
        <w:t>（1）通过对本工程风险识别和源项分析，工程风险物质为天然气，管段断裂天然气泄漏事故为最大可信事故，分析天然气泄漏后在空气中可能引起燃烧、爆炸，以及由此伴生的空气污染及生态破坏。</w:t>
      </w:r>
    </w:p>
    <w:p w14:paraId="504701D5">
      <w:pPr>
        <w:pStyle w:val="234"/>
        <w:spacing w:before="48" w:after="48"/>
      </w:pPr>
      <w:r>
        <w:t>（2）本工程管道沿线地势开阔，一旦发生天然气泄漏及火灾事故，污染物经过扩散后，浓度将很快被稀释，对周围环境和人体健康的危害降低。天然气中硫化氢含量很低，即便管线泄漏，对周围环境空气造成的影响不大。</w:t>
      </w:r>
    </w:p>
    <w:p w14:paraId="66E98BFA">
      <w:pPr>
        <w:pStyle w:val="234"/>
        <w:spacing w:before="48" w:after="48"/>
      </w:pPr>
      <w:r>
        <w:t>天然气为气态物质，成分均为不溶于水物质，泄漏后不会对地表水、地下水环境造成污染影响。火灾、爆炸影响范围有限，相对整个区域而言，植被破坏较小，且均为人工种植的农作物或常见种，不会对区域生态环境造成巨大影响。</w:t>
      </w:r>
    </w:p>
    <w:p w14:paraId="55E5768C">
      <w:pPr>
        <w:pStyle w:val="1328"/>
      </w:pPr>
      <w:r>
        <w:rPr>
          <w:rFonts w:ascii="Times New Roman" w:hAnsi="Times New Roman"/>
        </w:rPr>
        <w:t>（3）</w:t>
      </w:r>
      <w:r>
        <w:t>建设单位在严格落实各项环境风险防范措施，制定</w:t>
      </w:r>
      <w:r>
        <w:rPr>
          <w:rFonts w:hint="eastAsia"/>
        </w:rPr>
        <w:t>突发环境事件应急预案，纳入“潜江-韶关输气管道工程（湖南段）突发环境事件应急预案”统一管理</w:t>
      </w:r>
      <w:r>
        <w:rPr>
          <w:rFonts w:hint="eastAsia"/>
          <w:lang w:val="zh-CN"/>
        </w:rPr>
        <w:t>，做好与地方政府相关主管部门应急预案联动，</w:t>
      </w:r>
      <w:r>
        <w:t>并加强</w:t>
      </w:r>
      <w:r>
        <w:rPr>
          <w:rFonts w:hint="eastAsia"/>
        </w:rPr>
        <w:t>应急</w:t>
      </w:r>
      <w:r>
        <w:t>演练情况下，本工程运营期间产生的环境风险是可控的</w:t>
      </w:r>
      <w:r>
        <w:rPr>
          <w:rFonts w:hint="eastAsia"/>
        </w:rPr>
        <w:t>。</w:t>
      </w:r>
    </w:p>
    <w:p w14:paraId="01BA0DB1">
      <w:pPr>
        <w:pStyle w:val="904"/>
      </w:pPr>
      <w:r>
        <w:t>表</w:t>
      </w:r>
      <w:r>
        <w:rPr>
          <w:rFonts w:hint="eastAsia"/>
        </w:rPr>
        <w:t>7.7-1</w:t>
      </w:r>
      <w:r>
        <w:t xml:space="preserve"> 建设项目环境风险简单分析内容表</w:t>
      </w:r>
    </w:p>
    <w:tbl>
      <w:tblPr>
        <w:tblStyle w:val="8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11"/>
        <w:gridCol w:w="1169"/>
        <w:gridCol w:w="1760"/>
        <w:gridCol w:w="1156"/>
        <w:gridCol w:w="2059"/>
        <w:gridCol w:w="826"/>
      </w:tblGrid>
      <w:tr w14:paraId="65DCE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5" w:type="pct"/>
            <w:tcBorders>
              <w:top w:val="single" w:color="auto" w:sz="4" w:space="0"/>
              <w:left w:val="single" w:color="auto" w:sz="4" w:space="0"/>
              <w:bottom w:val="single" w:color="auto" w:sz="4" w:space="0"/>
              <w:right w:val="single" w:color="auto" w:sz="4" w:space="0"/>
            </w:tcBorders>
            <w:vAlign w:val="center"/>
          </w:tcPr>
          <w:p w14:paraId="2D854610">
            <w:pPr>
              <w:adjustRightInd w:val="0"/>
              <w:jc w:val="center"/>
              <w:rPr>
                <w:kern w:val="21"/>
                <w:szCs w:val="21"/>
              </w:rPr>
            </w:pPr>
            <w:r>
              <w:rPr>
                <w:szCs w:val="21"/>
              </w:rPr>
              <w:t>建设项目名称</w:t>
            </w:r>
          </w:p>
        </w:tc>
        <w:tc>
          <w:tcPr>
            <w:tcW w:w="3754" w:type="pct"/>
            <w:gridSpan w:val="5"/>
            <w:tcBorders>
              <w:top w:val="single" w:color="auto" w:sz="4" w:space="0"/>
              <w:left w:val="single" w:color="auto" w:sz="4" w:space="0"/>
              <w:bottom w:val="single" w:color="auto" w:sz="4" w:space="0"/>
              <w:right w:val="single" w:color="auto" w:sz="4" w:space="0"/>
            </w:tcBorders>
            <w:vAlign w:val="center"/>
          </w:tcPr>
          <w:p w14:paraId="394084FC">
            <w:pPr>
              <w:adjustRightInd w:val="0"/>
              <w:jc w:val="center"/>
              <w:rPr>
                <w:kern w:val="21"/>
                <w:szCs w:val="21"/>
              </w:rPr>
            </w:pPr>
            <w:r>
              <w:rPr>
                <w:rFonts w:hint="eastAsia"/>
                <w:szCs w:val="21"/>
              </w:rPr>
              <w:t>潜江—韶关输气管道28号阀室新增下载点改扩建项目</w:t>
            </w:r>
          </w:p>
        </w:tc>
      </w:tr>
      <w:tr w14:paraId="27F55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5" w:type="pct"/>
            <w:tcBorders>
              <w:top w:val="single" w:color="auto" w:sz="4" w:space="0"/>
              <w:left w:val="single" w:color="auto" w:sz="4" w:space="0"/>
              <w:bottom w:val="single" w:color="auto" w:sz="4" w:space="0"/>
              <w:right w:val="single" w:color="auto" w:sz="4" w:space="0"/>
            </w:tcBorders>
            <w:vAlign w:val="center"/>
          </w:tcPr>
          <w:p w14:paraId="5826E9BA">
            <w:pPr>
              <w:adjustRightInd w:val="0"/>
              <w:jc w:val="center"/>
              <w:rPr>
                <w:kern w:val="21"/>
                <w:szCs w:val="21"/>
              </w:rPr>
            </w:pPr>
            <w:r>
              <w:rPr>
                <w:szCs w:val="21"/>
              </w:rPr>
              <w:t>建设地点</w:t>
            </w:r>
          </w:p>
        </w:tc>
        <w:tc>
          <w:tcPr>
            <w:tcW w:w="630" w:type="pct"/>
            <w:tcBorders>
              <w:top w:val="single" w:color="auto" w:sz="4" w:space="0"/>
              <w:left w:val="single" w:color="auto" w:sz="4" w:space="0"/>
              <w:bottom w:val="single" w:color="auto" w:sz="4" w:space="0"/>
              <w:right w:val="single" w:color="auto" w:sz="4" w:space="0"/>
            </w:tcBorders>
            <w:vAlign w:val="center"/>
          </w:tcPr>
          <w:p w14:paraId="786A1F52">
            <w:pPr>
              <w:adjustRightInd w:val="0"/>
              <w:jc w:val="center"/>
              <w:rPr>
                <w:kern w:val="21"/>
                <w:szCs w:val="21"/>
              </w:rPr>
            </w:pPr>
            <w:r>
              <w:rPr>
                <w:szCs w:val="21"/>
              </w:rPr>
              <w:t>湖南省</w:t>
            </w:r>
          </w:p>
        </w:tc>
        <w:tc>
          <w:tcPr>
            <w:tcW w:w="948" w:type="pct"/>
            <w:tcBorders>
              <w:top w:val="single" w:color="auto" w:sz="4" w:space="0"/>
              <w:left w:val="single" w:color="auto" w:sz="4" w:space="0"/>
              <w:bottom w:val="single" w:color="auto" w:sz="4" w:space="0"/>
              <w:right w:val="single" w:color="auto" w:sz="4" w:space="0"/>
            </w:tcBorders>
            <w:vAlign w:val="center"/>
          </w:tcPr>
          <w:p w14:paraId="2290A013">
            <w:pPr>
              <w:adjustRightInd w:val="0"/>
              <w:jc w:val="center"/>
              <w:rPr>
                <w:kern w:val="21"/>
                <w:szCs w:val="21"/>
              </w:rPr>
            </w:pPr>
            <w:r>
              <w:rPr>
                <w:rFonts w:hint="eastAsia"/>
                <w:szCs w:val="21"/>
              </w:rPr>
              <w:t>衡阳市</w:t>
            </w:r>
          </w:p>
        </w:tc>
        <w:tc>
          <w:tcPr>
            <w:tcW w:w="623" w:type="pct"/>
            <w:tcBorders>
              <w:top w:val="single" w:color="auto" w:sz="4" w:space="0"/>
              <w:left w:val="single" w:color="auto" w:sz="4" w:space="0"/>
              <w:bottom w:val="single" w:color="auto" w:sz="4" w:space="0"/>
              <w:right w:val="single" w:color="auto" w:sz="4" w:space="0"/>
            </w:tcBorders>
            <w:vAlign w:val="center"/>
          </w:tcPr>
          <w:p w14:paraId="5CC734BC">
            <w:pPr>
              <w:adjustRightInd w:val="0"/>
              <w:jc w:val="center"/>
              <w:rPr>
                <w:kern w:val="21"/>
                <w:szCs w:val="21"/>
              </w:rPr>
            </w:pPr>
            <w:r>
              <w:rPr>
                <w:rFonts w:hint="eastAsia"/>
                <w:szCs w:val="21"/>
              </w:rPr>
              <w:t>耒阳市</w:t>
            </w:r>
          </w:p>
        </w:tc>
        <w:tc>
          <w:tcPr>
            <w:tcW w:w="1109" w:type="pct"/>
            <w:tcBorders>
              <w:top w:val="single" w:color="auto" w:sz="4" w:space="0"/>
              <w:left w:val="single" w:color="auto" w:sz="4" w:space="0"/>
              <w:bottom w:val="single" w:color="auto" w:sz="4" w:space="0"/>
              <w:right w:val="single" w:color="auto" w:sz="4" w:space="0"/>
            </w:tcBorders>
            <w:vAlign w:val="center"/>
          </w:tcPr>
          <w:p w14:paraId="587732C5">
            <w:pPr>
              <w:adjustRightInd w:val="0"/>
              <w:jc w:val="center"/>
              <w:rPr>
                <w:kern w:val="21"/>
                <w:szCs w:val="21"/>
              </w:rPr>
            </w:pPr>
          </w:p>
        </w:tc>
        <w:tc>
          <w:tcPr>
            <w:tcW w:w="442" w:type="pct"/>
            <w:tcBorders>
              <w:top w:val="single" w:color="auto" w:sz="4" w:space="0"/>
              <w:left w:val="single" w:color="auto" w:sz="4" w:space="0"/>
              <w:bottom w:val="single" w:color="auto" w:sz="4" w:space="0"/>
              <w:right w:val="single" w:color="auto" w:sz="4" w:space="0"/>
            </w:tcBorders>
            <w:vAlign w:val="center"/>
          </w:tcPr>
          <w:p w14:paraId="6A4D2314">
            <w:pPr>
              <w:adjustRightInd w:val="0"/>
              <w:jc w:val="center"/>
              <w:rPr>
                <w:kern w:val="21"/>
                <w:szCs w:val="21"/>
              </w:rPr>
            </w:pPr>
          </w:p>
        </w:tc>
      </w:tr>
      <w:tr w14:paraId="49F3F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5" w:type="pct"/>
            <w:tcBorders>
              <w:top w:val="single" w:color="auto" w:sz="4" w:space="0"/>
              <w:left w:val="single" w:color="auto" w:sz="4" w:space="0"/>
              <w:bottom w:val="single" w:color="auto" w:sz="4" w:space="0"/>
              <w:right w:val="single" w:color="auto" w:sz="4" w:space="0"/>
            </w:tcBorders>
            <w:vAlign w:val="center"/>
          </w:tcPr>
          <w:p w14:paraId="62FFF86E">
            <w:pPr>
              <w:adjustRightInd w:val="0"/>
              <w:jc w:val="center"/>
              <w:rPr>
                <w:kern w:val="21"/>
                <w:szCs w:val="21"/>
              </w:rPr>
            </w:pPr>
            <w:r>
              <w:rPr>
                <w:szCs w:val="21"/>
              </w:rPr>
              <w:t>地理坐标</w:t>
            </w:r>
          </w:p>
        </w:tc>
        <w:tc>
          <w:tcPr>
            <w:tcW w:w="630" w:type="pct"/>
            <w:tcBorders>
              <w:top w:val="single" w:color="auto" w:sz="4" w:space="0"/>
              <w:left w:val="single" w:color="auto" w:sz="4" w:space="0"/>
              <w:bottom w:val="single" w:color="auto" w:sz="4" w:space="0"/>
              <w:right w:val="single" w:color="auto" w:sz="4" w:space="0"/>
            </w:tcBorders>
            <w:vAlign w:val="center"/>
          </w:tcPr>
          <w:p w14:paraId="61EA4A4C">
            <w:pPr>
              <w:adjustRightInd w:val="0"/>
              <w:jc w:val="center"/>
              <w:rPr>
                <w:kern w:val="21"/>
                <w:szCs w:val="21"/>
              </w:rPr>
            </w:pPr>
            <w:r>
              <w:rPr>
                <w:szCs w:val="21"/>
              </w:rPr>
              <w:t>经度</w:t>
            </w:r>
          </w:p>
        </w:tc>
        <w:tc>
          <w:tcPr>
            <w:tcW w:w="948" w:type="pct"/>
            <w:tcBorders>
              <w:top w:val="single" w:color="auto" w:sz="4" w:space="0"/>
              <w:left w:val="single" w:color="auto" w:sz="4" w:space="0"/>
              <w:bottom w:val="single" w:color="auto" w:sz="4" w:space="0"/>
              <w:right w:val="single" w:color="auto" w:sz="4" w:space="0"/>
            </w:tcBorders>
            <w:vAlign w:val="center"/>
          </w:tcPr>
          <w:p w14:paraId="0059A411">
            <w:pPr>
              <w:adjustRightInd w:val="0"/>
              <w:jc w:val="center"/>
              <w:rPr>
                <w:kern w:val="21"/>
                <w:szCs w:val="21"/>
              </w:rPr>
            </w:pPr>
            <w:r>
              <w:rPr>
                <w:szCs w:val="21"/>
              </w:rPr>
              <w:t>112°55'26.14"</w:t>
            </w:r>
          </w:p>
        </w:tc>
        <w:tc>
          <w:tcPr>
            <w:tcW w:w="623" w:type="pct"/>
            <w:tcBorders>
              <w:top w:val="single" w:color="auto" w:sz="4" w:space="0"/>
              <w:left w:val="single" w:color="auto" w:sz="4" w:space="0"/>
              <w:bottom w:val="single" w:color="auto" w:sz="4" w:space="0"/>
              <w:right w:val="single" w:color="auto" w:sz="4" w:space="0"/>
            </w:tcBorders>
            <w:vAlign w:val="center"/>
          </w:tcPr>
          <w:p w14:paraId="5DF9B7C6">
            <w:pPr>
              <w:adjustRightInd w:val="0"/>
              <w:jc w:val="center"/>
              <w:rPr>
                <w:kern w:val="21"/>
                <w:szCs w:val="21"/>
              </w:rPr>
            </w:pPr>
            <w:r>
              <w:rPr>
                <w:szCs w:val="21"/>
              </w:rPr>
              <w:t>纬度</w:t>
            </w:r>
          </w:p>
        </w:tc>
        <w:tc>
          <w:tcPr>
            <w:tcW w:w="1552" w:type="pct"/>
            <w:gridSpan w:val="2"/>
            <w:tcBorders>
              <w:top w:val="single" w:color="auto" w:sz="4" w:space="0"/>
              <w:left w:val="single" w:color="auto" w:sz="4" w:space="0"/>
              <w:bottom w:val="single" w:color="auto" w:sz="4" w:space="0"/>
              <w:right w:val="single" w:color="auto" w:sz="4" w:space="0"/>
            </w:tcBorders>
            <w:vAlign w:val="center"/>
          </w:tcPr>
          <w:p w14:paraId="3A60FACD">
            <w:pPr>
              <w:adjustRightInd w:val="0"/>
              <w:rPr>
                <w:kern w:val="21"/>
                <w:szCs w:val="21"/>
              </w:rPr>
            </w:pPr>
            <w:r>
              <w:rPr>
                <w:szCs w:val="21"/>
              </w:rPr>
              <w:t>26°24'53.23"</w:t>
            </w:r>
          </w:p>
        </w:tc>
      </w:tr>
      <w:tr w14:paraId="1EACF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5" w:type="pct"/>
            <w:tcBorders>
              <w:top w:val="single" w:color="auto" w:sz="4" w:space="0"/>
              <w:left w:val="single" w:color="auto" w:sz="4" w:space="0"/>
              <w:bottom w:val="single" w:color="auto" w:sz="4" w:space="0"/>
              <w:right w:val="single" w:color="auto" w:sz="4" w:space="0"/>
            </w:tcBorders>
            <w:vAlign w:val="center"/>
          </w:tcPr>
          <w:p w14:paraId="551A288A">
            <w:pPr>
              <w:adjustRightInd w:val="0"/>
              <w:jc w:val="center"/>
              <w:rPr>
                <w:kern w:val="21"/>
                <w:szCs w:val="21"/>
              </w:rPr>
            </w:pPr>
            <w:r>
              <w:rPr>
                <w:szCs w:val="21"/>
              </w:rPr>
              <w:t>主要危险物质及分布</w:t>
            </w:r>
          </w:p>
        </w:tc>
        <w:tc>
          <w:tcPr>
            <w:tcW w:w="3754" w:type="pct"/>
            <w:gridSpan w:val="5"/>
            <w:tcBorders>
              <w:top w:val="single" w:color="auto" w:sz="4" w:space="0"/>
              <w:left w:val="single" w:color="auto" w:sz="4" w:space="0"/>
              <w:bottom w:val="single" w:color="auto" w:sz="4" w:space="0"/>
              <w:right w:val="single" w:color="auto" w:sz="4" w:space="0"/>
            </w:tcBorders>
            <w:vAlign w:val="center"/>
          </w:tcPr>
          <w:p w14:paraId="5B4AE3C5">
            <w:pPr>
              <w:adjustRightInd w:val="0"/>
              <w:jc w:val="center"/>
              <w:rPr>
                <w:kern w:val="21"/>
                <w:szCs w:val="21"/>
              </w:rPr>
            </w:pPr>
            <w:r>
              <w:rPr>
                <w:rFonts w:hint="eastAsia"/>
                <w:szCs w:val="21"/>
              </w:rPr>
              <w:t>管线内天然气</w:t>
            </w:r>
            <w:r>
              <w:rPr>
                <w:szCs w:val="21"/>
              </w:rPr>
              <w:t>最大量约</w:t>
            </w:r>
            <w:r>
              <w:rPr>
                <w:rFonts w:hint="eastAsia"/>
                <w:szCs w:val="21"/>
              </w:rPr>
              <w:t>3.4</w:t>
            </w:r>
            <w:r>
              <w:rPr>
                <w:rFonts w:hint="eastAsia"/>
                <w:szCs w:val="21"/>
                <w:lang w:val="en-US" w:eastAsia="zh-CN"/>
              </w:rPr>
              <w:t>4</w:t>
            </w:r>
            <w:r>
              <w:rPr>
                <w:szCs w:val="21"/>
              </w:rPr>
              <w:t>吨</w:t>
            </w:r>
            <w:r>
              <w:rPr>
                <w:rFonts w:hint="eastAsia"/>
                <w:szCs w:val="21"/>
              </w:rPr>
              <w:t>，场站内天然气最大量约1.72t，站场内暂存柴油0.12t</w:t>
            </w:r>
          </w:p>
        </w:tc>
      </w:tr>
      <w:tr w14:paraId="48EA2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5" w:type="pct"/>
            <w:tcBorders>
              <w:top w:val="single" w:color="auto" w:sz="4" w:space="0"/>
              <w:left w:val="single" w:color="auto" w:sz="4" w:space="0"/>
              <w:bottom w:val="single" w:color="auto" w:sz="4" w:space="0"/>
              <w:right w:val="single" w:color="auto" w:sz="4" w:space="0"/>
            </w:tcBorders>
            <w:vAlign w:val="center"/>
          </w:tcPr>
          <w:p w14:paraId="163CF494">
            <w:pPr>
              <w:adjustRightInd w:val="0"/>
              <w:jc w:val="center"/>
              <w:rPr>
                <w:kern w:val="21"/>
                <w:szCs w:val="21"/>
              </w:rPr>
            </w:pPr>
            <w:r>
              <w:rPr>
                <w:szCs w:val="21"/>
              </w:rPr>
              <w:t>环境影响途径及危害后果（地表水、地下水、大气等）</w:t>
            </w:r>
          </w:p>
        </w:tc>
        <w:tc>
          <w:tcPr>
            <w:tcW w:w="3754" w:type="pct"/>
            <w:gridSpan w:val="5"/>
            <w:tcBorders>
              <w:top w:val="single" w:color="auto" w:sz="4" w:space="0"/>
              <w:left w:val="single" w:color="auto" w:sz="4" w:space="0"/>
              <w:bottom w:val="single" w:color="auto" w:sz="4" w:space="0"/>
              <w:right w:val="single" w:color="auto" w:sz="4" w:space="0"/>
            </w:tcBorders>
            <w:vAlign w:val="center"/>
          </w:tcPr>
          <w:p w14:paraId="5FB52853">
            <w:pPr>
              <w:adjustRightInd w:val="0"/>
              <w:jc w:val="left"/>
              <w:rPr>
                <w:kern w:val="21"/>
                <w:szCs w:val="21"/>
              </w:rPr>
            </w:pPr>
            <w:r>
              <w:rPr>
                <w:rFonts w:hint="eastAsia"/>
                <w:szCs w:val="21"/>
              </w:rPr>
              <w:t>项目输气管线发生风险事故时，危险物质为甲烷，甲烷属于易燃易爆气体，易引发火灾和爆炸事故。当输气管线发生泄漏事故时，排放到周围环境的危险物质为甲烷，甲烷不溶于水，也不与水发生反应，不属于涉水风险物质。发生火灾时需用干粉灭火，不产生消防废水。因此本项目输气管线发生风险事故时，不向地表水、地下水环境排放风险物质。本项目输气管线不涉及地表水、地下水环境风险。</w:t>
            </w:r>
          </w:p>
        </w:tc>
      </w:tr>
      <w:tr w14:paraId="3AF75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7" w:hRule="atLeast"/>
        </w:trPr>
        <w:tc>
          <w:tcPr>
            <w:tcW w:w="1245" w:type="pct"/>
            <w:tcBorders>
              <w:top w:val="single" w:color="auto" w:sz="4" w:space="0"/>
              <w:left w:val="single" w:color="auto" w:sz="4" w:space="0"/>
              <w:bottom w:val="single" w:color="auto" w:sz="4" w:space="0"/>
              <w:right w:val="single" w:color="auto" w:sz="4" w:space="0"/>
            </w:tcBorders>
            <w:vAlign w:val="center"/>
          </w:tcPr>
          <w:p w14:paraId="78875E10">
            <w:pPr>
              <w:adjustRightInd w:val="0"/>
              <w:jc w:val="left"/>
              <w:rPr>
                <w:szCs w:val="21"/>
              </w:rPr>
            </w:pPr>
            <w:r>
              <w:rPr>
                <w:rFonts w:hint="eastAsia"/>
                <w:szCs w:val="21"/>
              </w:rPr>
              <w:t>风险防范措施要求</w:t>
            </w:r>
          </w:p>
        </w:tc>
        <w:tc>
          <w:tcPr>
            <w:tcW w:w="3754" w:type="pct"/>
            <w:gridSpan w:val="5"/>
            <w:tcBorders>
              <w:top w:val="single" w:color="auto" w:sz="4" w:space="0"/>
              <w:left w:val="single" w:color="auto" w:sz="4" w:space="0"/>
              <w:bottom w:val="single" w:color="auto" w:sz="4" w:space="0"/>
              <w:right w:val="single" w:color="auto" w:sz="4" w:space="0"/>
            </w:tcBorders>
            <w:vAlign w:val="center"/>
          </w:tcPr>
          <w:p w14:paraId="023C8D22">
            <w:pPr>
              <w:adjustRightInd w:val="0"/>
              <w:jc w:val="left"/>
              <w:rPr>
                <w:szCs w:val="21"/>
              </w:rPr>
            </w:pPr>
            <w:r>
              <w:rPr>
                <w:rFonts w:hint="eastAsia"/>
                <w:szCs w:val="21"/>
              </w:rPr>
              <w:t>1）管道路由优化：</w:t>
            </w:r>
            <w:r>
              <w:t>尽可能避开居民区、城镇规划区、工矿区</w:t>
            </w:r>
            <w:r>
              <w:rPr>
                <w:rFonts w:hint="eastAsia"/>
              </w:rPr>
              <w:t>、</w:t>
            </w:r>
            <w:r>
              <w:t>自然保护区以及不良地质地段、复杂地质地段、地震活动断裂带和灾害地质段</w:t>
            </w:r>
            <w:r>
              <w:rPr>
                <w:rFonts w:hint="eastAsia"/>
                <w:szCs w:val="21"/>
              </w:rPr>
              <w:t>。</w:t>
            </w:r>
          </w:p>
          <w:p w14:paraId="7140C7EF">
            <w:pPr>
              <w:adjustRightInd w:val="0"/>
              <w:jc w:val="left"/>
              <w:rPr>
                <w:szCs w:val="21"/>
              </w:rPr>
            </w:pPr>
            <w:r>
              <w:rPr>
                <w:rFonts w:hint="eastAsia"/>
                <w:szCs w:val="21"/>
              </w:rPr>
              <w:t>2）总图布置安全防护措施：</w:t>
            </w:r>
            <w:r>
              <w:t>各工艺站场建构筑物间距满足安全防火距离</w:t>
            </w:r>
            <w:r>
              <w:rPr>
                <w:rFonts w:hint="eastAsia"/>
              </w:rPr>
              <w:t>，</w:t>
            </w:r>
            <w:r>
              <w:t>管道与地面建构筑物的最小间距符合《石油天然气工程设计防火规范》(GB 50183-2004)、《输气管道工程设计规范》(GB 50251-2015)等规范要求</w:t>
            </w:r>
            <w:r>
              <w:rPr>
                <w:rFonts w:hint="eastAsia"/>
              </w:rPr>
              <w:t>。</w:t>
            </w:r>
          </w:p>
          <w:p w14:paraId="3A75D02C">
            <w:pPr>
              <w:adjustRightInd w:val="0"/>
              <w:jc w:val="left"/>
              <w:rPr>
                <w:szCs w:val="21"/>
              </w:rPr>
            </w:pPr>
            <w:r>
              <w:rPr>
                <w:rFonts w:hint="eastAsia"/>
                <w:szCs w:val="21"/>
              </w:rPr>
              <w:t>3）工艺设计和设备选择：</w:t>
            </w:r>
            <w:r>
              <w:t>选用质量可靠的管材和关键工艺设备，保证管道的运行安全</w:t>
            </w:r>
            <w:r>
              <w:rPr>
                <w:rFonts w:hint="eastAsia"/>
              </w:rPr>
              <w:t>。</w:t>
            </w:r>
          </w:p>
          <w:p w14:paraId="3E85D7F0">
            <w:pPr>
              <w:adjustRightInd w:val="0"/>
              <w:jc w:val="left"/>
              <w:rPr>
                <w:szCs w:val="21"/>
              </w:rPr>
            </w:pPr>
            <w:r>
              <w:rPr>
                <w:rFonts w:hint="eastAsia"/>
                <w:szCs w:val="21"/>
              </w:rPr>
              <w:t>4）自动控制：</w:t>
            </w:r>
            <w:r>
              <w:t>采用SCADA系统</w:t>
            </w:r>
            <w:r>
              <w:rPr>
                <w:rFonts w:hint="eastAsia"/>
              </w:rPr>
              <w:t>对全线各站场及阀室进行监控、监视、调度和管理</w:t>
            </w:r>
            <w:r>
              <w:rPr>
                <w:rFonts w:hint="eastAsia"/>
                <w:szCs w:val="21"/>
              </w:rPr>
              <w:t>。</w:t>
            </w:r>
          </w:p>
          <w:p w14:paraId="7F7FC28D">
            <w:pPr>
              <w:adjustRightInd w:val="0"/>
              <w:jc w:val="left"/>
              <w:rPr>
                <w:szCs w:val="21"/>
              </w:rPr>
            </w:pPr>
            <w:r>
              <w:rPr>
                <w:rFonts w:hint="eastAsia"/>
                <w:szCs w:val="21"/>
              </w:rPr>
              <w:t>5）</w:t>
            </w:r>
            <w:r>
              <w:rPr>
                <w:szCs w:val="21"/>
              </w:rPr>
              <w:t>全线铺设警示带。</w:t>
            </w:r>
          </w:p>
          <w:p w14:paraId="77A9D799">
            <w:pPr>
              <w:adjustRightInd w:val="0"/>
              <w:jc w:val="left"/>
              <w:rPr>
                <w:szCs w:val="21"/>
              </w:rPr>
            </w:pPr>
            <w:r>
              <w:rPr>
                <w:rFonts w:hint="eastAsia"/>
                <w:szCs w:val="21"/>
              </w:rPr>
              <w:t>6）管线防腐：</w:t>
            </w:r>
            <w:r>
              <w:rPr>
                <w:smallCaps/>
                <w:lang w:val="en-GB"/>
              </w:rPr>
              <w:t>一般地段线路管道（包括冷弯管）采用常温型三层PE普通级防腐</w:t>
            </w:r>
            <w:r>
              <w:rPr>
                <w:rFonts w:hint="eastAsia"/>
                <w:smallCaps/>
                <w:lang w:val="en-GB"/>
              </w:rPr>
              <w:t>，</w:t>
            </w:r>
            <w:r>
              <w:t>采用</w:t>
            </w:r>
            <w:r>
              <w:rPr>
                <w:rFonts w:hint="eastAsia"/>
              </w:rPr>
              <w:t>牺牲阳极</w:t>
            </w:r>
            <w:r>
              <w:t>阴极保护方案</w:t>
            </w:r>
            <w:r>
              <w:rPr>
                <w:rFonts w:hint="eastAsia"/>
              </w:rPr>
              <w:t>，在耒阳分输站内设阴极保护站</w:t>
            </w:r>
            <w:r>
              <w:rPr>
                <w:szCs w:val="21"/>
              </w:rPr>
              <w:t>。</w:t>
            </w:r>
          </w:p>
          <w:p w14:paraId="08986D62">
            <w:pPr>
              <w:adjustRightInd w:val="0"/>
              <w:jc w:val="left"/>
              <w:rPr>
                <w:szCs w:val="21"/>
              </w:rPr>
            </w:pPr>
            <w:r>
              <w:rPr>
                <w:rFonts w:hint="eastAsia"/>
                <w:szCs w:val="21"/>
              </w:rPr>
              <w:t>7）施工期</w:t>
            </w:r>
            <w:r>
              <w:t>加强监理，确保涂层、管道接口焊接等工程施工质量</w:t>
            </w:r>
            <w:r>
              <w:rPr>
                <w:rFonts w:hint="eastAsia"/>
              </w:rPr>
              <w:t>，</w:t>
            </w:r>
            <w:r>
              <w:t>进行水压实验，严格排除焊缝和母材缺陷</w:t>
            </w:r>
            <w:r>
              <w:rPr>
                <w:szCs w:val="21"/>
              </w:rPr>
              <w:t>。</w:t>
            </w:r>
          </w:p>
          <w:p w14:paraId="0437B0EE">
            <w:pPr>
              <w:adjustRightInd w:val="0"/>
              <w:jc w:val="left"/>
              <w:rPr>
                <w:szCs w:val="21"/>
              </w:rPr>
            </w:pPr>
            <w:r>
              <w:rPr>
                <w:rFonts w:hint="eastAsia"/>
                <w:szCs w:val="21"/>
              </w:rPr>
              <w:t>8）运营期</w:t>
            </w:r>
            <w:r>
              <w:t>定期进行管道壁厚的测量，对严重减薄的管段，及时维修更换，避免爆管事故的发生</w:t>
            </w:r>
            <w:r>
              <w:rPr>
                <w:rFonts w:hint="eastAsia"/>
              </w:rPr>
              <w:t>；</w:t>
            </w:r>
            <w:r>
              <w:t>每半年检查管道安全保护系统(如截断阀、安全阀、放空系统等)</w:t>
            </w:r>
            <w:r>
              <w:rPr>
                <w:rFonts w:hint="eastAsia"/>
              </w:rPr>
              <w:t>；</w:t>
            </w:r>
            <w:r>
              <w:t>加大巡线频率，提高巡线的有效性</w:t>
            </w:r>
            <w:r>
              <w:rPr>
                <w:rFonts w:hint="eastAsia"/>
              </w:rPr>
              <w:t>；</w:t>
            </w:r>
            <w:r>
              <w:t>站场事故放空时注意防火</w:t>
            </w:r>
            <w:r>
              <w:rPr>
                <w:rFonts w:hint="eastAsia"/>
              </w:rPr>
              <w:t>；</w:t>
            </w:r>
            <w:r>
              <w:t>站场严格按防火规范布置平面，站场内的电气设备及仪表按防爆等级不同选用不同的设备</w:t>
            </w:r>
            <w:r>
              <w:rPr>
                <w:rFonts w:hint="eastAsia"/>
              </w:rPr>
              <w:t>；</w:t>
            </w:r>
            <w:r>
              <w:t>设立紧急关断系统</w:t>
            </w:r>
            <w:r>
              <w:rPr>
                <w:rFonts w:hint="eastAsia"/>
              </w:rPr>
              <w:t>；</w:t>
            </w:r>
            <w:r>
              <w:t>制定综合管理、HSE管理和风险管理体系</w:t>
            </w:r>
            <w:r>
              <w:rPr>
                <w:szCs w:val="21"/>
              </w:rPr>
              <w:t>。</w:t>
            </w:r>
          </w:p>
        </w:tc>
      </w:tr>
      <w:tr w14:paraId="26F43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14:paraId="49CA5D7F">
            <w:pPr>
              <w:adjustRightInd w:val="0"/>
              <w:jc w:val="left"/>
              <w:rPr>
                <w:szCs w:val="21"/>
              </w:rPr>
            </w:pPr>
            <w:r>
              <w:rPr>
                <w:rFonts w:hint="eastAsia"/>
                <w:szCs w:val="21"/>
              </w:rPr>
              <w:t>填表说明（列出项目相关信息及评价说明）</w:t>
            </w:r>
          </w:p>
        </w:tc>
      </w:tr>
    </w:tbl>
    <w:p w14:paraId="77BE1EB7">
      <w:pPr>
        <w:pStyle w:val="1328"/>
      </w:pPr>
    </w:p>
    <w:p w14:paraId="5B3805D5">
      <w:pPr>
        <w:sectPr>
          <w:pgSz w:w="11906" w:h="16838"/>
          <w:pgMar w:top="1440" w:right="1418" w:bottom="1440" w:left="1418" w:header="851" w:footer="992" w:gutter="0"/>
          <w:cols w:space="425" w:num="1"/>
          <w:docGrid w:linePitch="312" w:charSpace="0"/>
        </w:sectPr>
      </w:pPr>
    </w:p>
    <w:p w14:paraId="46C23D14">
      <w:pPr>
        <w:pStyle w:val="3"/>
      </w:pPr>
      <w:bookmarkStart w:id="230" w:name="_Toc72672368"/>
      <w:bookmarkStart w:id="231" w:name="_Toc28865"/>
      <w:r>
        <w:t>环境保护措施及其可行性论证</w:t>
      </w:r>
      <w:bookmarkEnd w:id="230"/>
      <w:bookmarkEnd w:id="231"/>
    </w:p>
    <w:p w14:paraId="7C66A169">
      <w:pPr>
        <w:pStyle w:val="4"/>
      </w:pPr>
      <w:bookmarkStart w:id="232" w:name="_Toc14029"/>
      <w:r>
        <w:t>施工期环境保护措施</w:t>
      </w:r>
      <w:bookmarkEnd w:id="232"/>
    </w:p>
    <w:p w14:paraId="4F634B3D">
      <w:pPr>
        <w:pStyle w:val="5"/>
        <w:rPr>
          <w:color w:val="auto"/>
        </w:rPr>
      </w:pPr>
      <w:r>
        <w:rPr>
          <w:color w:val="auto"/>
        </w:rPr>
        <w:t>工程占地保护措施</w:t>
      </w:r>
    </w:p>
    <w:p w14:paraId="0DA25B6A">
      <w:pPr>
        <w:pStyle w:val="234"/>
      </w:pPr>
      <w:r>
        <w:t xml:space="preserve">（1）生态恢复措施 </w:t>
      </w:r>
    </w:p>
    <w:p w14:paraId="3B5C58DA">
      <w:pPr>
        <w:pStyle w:val="234"/>
      </w:pPr>
      <w:r>
        <w:t>在管道施工过程中必须做到对管沟区土壤的分层剥离、分层开挖、分层堆放和循序分层回填（即将表层比较肥沃的土壤分层剥离，集中堆放；在管道施工结束后回填土必须按次序分层覆土，最后将表层比较肥沃的土铺在最上层）。尽可能降低对土壤养分的影响，最快使土壤得以恢复。</w:t>
      </w:r>
    </w:p>
    <w:p w14:paraId="70B03736">
      <w:pPr>
        <w:pStyle w:val="234"/>
      </w:pPr>
      <w:r>
        <w:t>（2）严格控制施工占用地</w:t>
      </w:r>
    </w:p>
    <w:p w14:paraId="738BF619">
      <w:pPr>
        <w:pStyle w:val="234"/>
      </w:pPr>
      <w:r>
        <w:fldChar w:fldCharType="begin"/>
      </w:r>
      <w:r>
        <w:instrText xml:space="preserve"> = 1 \* GB3 </w:instrText>
      </w:r>
      <w:r>
        <w:fldChar w:fldCharType="separate"/>
      </w:r>
      <w:r>
        <w:rPr>
          <w:rFonts w:hint="eastAsia" w:ascii="宋体" w:hAnsi="宋体" w:cs="宋体"/>
        </w:rPr>
        <w:t>①</w:t>
      </w:r>
      <w:r>
        <w:fldChar w:fldCharType="end"/>
      </w:r>
      <w:r>
        <w:t>对管线占地合理规划，合理设置施工作业带范围。</w:t>
      </w:r>
    </w:p>
    <w:p w14:paraId="2C4BD5A8">
      <w:pPr>
        <w:pStyle w:val="234"/>
      </w:pPr>
      <w:r>
        <w:fldChar w:fldCharType="begin"/>
      </w:r>
      <w:r>
        <w:instrText xml:space="preserve"> = 2 \* GB3 </w:instrText>
      </w:r>
      <w:r>
        <w:fldChar w:fldCharType="separate"/>
      </w:r>
      <w:r>
        <w:rPr>
          <w:rFonts w:hint="eastAsia" w:ascii="宋体" w:hAnsi="宋体" w:cs="宋体"/>
        </w:rPr>
        <w:t>②</w:t>
      </w:r>
      <w:r>
        <w:fldChar w:fldCharType="end"/>
      </w:r>
      <w:r>
        <w:t>不得在施工作业带范围以外从事施工活动，严禁在规定的行车路线以外的地方行驶和作业，保持路外植被不被破坏。</w:t>
      </w:r>
    </w:p>
    <w:p w14:paraId="679A67C4">
      <w:pPr>
        <w:pStyle w:val="234"/>
      </w:pPr>
      <w:r>
        <w:fldChar w:fldCharType="begin"/>
      </w:r>
      <w:r>
        <w:instrText xml:space="preserve"> = 3 \* GB3 </w:instrText>
      </w:r>
      <w:r>
        <w:fldChar w:fldCharType="separate"/>
      </w:r>
      <w:r>
        <w:rPr>
          <w:rFonts w:hint="eastAsia" w:ascii="宋体" w:hAnsi="宋体" w:cs="宋体"/>
        </w:rPr>
        <w:t>③</w:t>
      </w:r>
      <w:r>
        <w:fldChar w:fldCharType="end"/>
      </w:r>
      <w:r>
        <w:t>尽量沿道路纵向平行布设，</w:t>
      </w:r>
      <w:r>
        <w:rPr>
          <w:rFonts w:hint="eastAsia"/>
        </w:rPr>
        <w:t>尽可能利用已有道路，</w:t>
      </w:r>
      <w:r>
        <w:t>便于施工及运营期检修维护，从而尽可能减少土壤扰动和地表植被破坏，减少裸地和土方的暴露面积。</w:t>
      </w:r>
    </w:p>
    <w:p w14:paraId="150932F0">
      <w:pPr>
        <w:pStyle w:val="234"/>
      </w:pPr>
      <w:r>
        <w:fldChar w:fldCharType="begin"/>
      </w:r>
      <w:r>
        <w:instrText xml:space="preserve"> = 4 \* GB3 </w:instrText>
      </w:r>
      <w:r>
        <w:fldChar w:fldCharType="separate"/>
      </w:r>
      <w:r>
        <w:rPr>
          <w:rFonts w:hint="eastAsia" w:ascii="宋体" w:hAnsi="宋体" w:cs="宋体"/>
        </w:rPr>
        <w:t>④</w:t>
      </w:r>
      <w:r>
        <w:fldChar w:fldCharType="end"/>
      </w:r>
      <w:r>
        <w:t>尽量利用原有公路或已有工程的伴行路进行施工作业，沿已有车辙行驶，若无原有公路，则按先修道路，后设点作业的原则进行。杜绝车辆乱碾乱轧的情况发生，不随意开设便道，以免破坏植被。</w:t>
      </w:r>
    </w:p>
    <w:p w14:paraId="30281D4F">
      <w:pPr>
        <w:pStyle w:val="234"/>
      </w:pPr>
      <w:r>
        <w:fldChar w:fldCharType="begin"/>
      </w:r>
      <w:r>
        <w:instrText xml:space="preserve"> = 5 \* GB3 </w:instrText>
      </w:r>
      <w:r>
        <w:fldChar w:fldCharType="separate"/>
      </w:r>
      <w:r>
        <w:rPr>
          <w:rFonts w:hint="eastAsia" w:ascii="宋体" w:hAnsi="宋体" w:cs="宋体"/>
        </w:rPr>
        <w:t>⑤</w:t>
      </w:r>
      <w:r>
        <w:fldChar w:fldCharType="end"/>
      </w:r>
      <w:r>
        <w:t>严禁施工材料乱堆乱放，</w:t>
      </w:r>
      <w:r>
        <w:rPr>
          <w:rFonts w:hint="eastAsia"/>
        </w:rPr>
        <w:t>堆管场设置在采矿用地范围内</w:t>
      </w:r>
      <w:r>
        <w:t>，以防对植物的破坏范围扩大。</w:t>
      </w:r>
    </w:p>
    <w:p w14:paraId="0D7030F6">
      <w:pPr>
        <w:pStyle w:val="234"/>
      </w:pPr>
      <w:r>
        <w:t>（3）恢复原有土地利用格局</w:t>
      </w:r>
    </w:p>
    <w:p w14:paraId="6C3DF93F">
      <w:pPr>
        <w:pStyle w:val="234"/>
      </w:pPr>
      <w:r>
        <w:fldChar w:fldCharType="begin"/>
      </w:r>
      <w:r>
        <w:instrText xml:space="preserve"> = 1 \* GB3 </w:instrText>
      </w:r>
      <w:r>
        <w:fldChar w:fldCharType="separate"/>
      </w:r>
      <w:r>
        <w:rPr>
          <w:rFonts w:hint="eastAsia" w:ascii="宋体" w:hAnsi="宋体" w:cs="宋体"/>
        </w:rPr>
        <w:t>①</w:t>
      </w:r>
      <w:r>
        <w:fldChar w:fldCharType="end"/>
      </w:r>
      <w:r>
        <w:t>对管沟回填后多余的土方，应均匀分散在管道中心两侧，并使管沟与周围自然地表形成平滑过渡，不得形成汇水环境，防止水土流失；当管道所经地段的原始地表存在局部凹地时，若有集水的可能，需采用管沟多余土或借土填高以防地表水汇集；当管道敷设在较平坦地段时，应在地貌恢复后使管沟与附近地表自然过渡，回填土与周围地表坡向保持一致，严禁管沟两侧有集水环境存在。</w:t>
      </w:r>
    </w:p>
    <w:p w14:paraId="54FAB6BE">
      <w:pPr>
        <w:pStyle w:val="234"/>
      </w:pPr>
      <w:r>
        <w:fldChar w:fldCharType="begin"/>
      </w:r>
      <w:r>
        <w:instrText xml:space="preserve"> = 2 \* GB3 </w:instrText>
      </w:r>
      <w:r>
        <w:fldChar w:fldCharType="separate"/>
      </w:r>
      <w:r>
        <w:rPr>
          <w:rFonts w:hint="eastAsia" w:ascii="宋体" w:hAnsi="宋体" w:cs="宋体"/>
        </w:rPr>
        <w:t>②</w:t>
      </w:r>
      <w:r>
        <w:fldChar w:fldCharType="end"/>
      </w:r>
      <w:r>
        <w:t>道路施工中挖填方尽量实现自身平衡。对</w:t>
      </w:r>
      <w:r>
        <w:rPr>
          <w:rFonts w:hint="eastAsia"/>
        </w:rPr>
        <w:t>施工</w:t>
      </w:r>
      <w:r>
        <w:t>过程中产生的</w:t>
      </w:r>
      <w:r>
        <w:rPr>
          <w:rFonts w:hint="eastAsia"/>
        </w:rPr>
        <w:t>多余</w:t>
      </w:r>
      <w:r>
        <w:t>土石方</w:t>
      </w:r>
      <w:r>
        <w:rPr>
          <w:rFonts w:hint="eastAsia"/>
        </w:rPr>
        <w:t>用于施工作业区域周围农田的平整</w:t>
      </w:r>
      <w:r>
        <w:t>，再让其自然恢复。站场地面设施施工过程中产生的挖填方亦应尽量自身平衡</w:t>
      </w:r>
      <w:r>
        <w:rPr>
          <w:rFonts w:hint="eastAsia"/>
        </w:rPr>
        <w:t>。</w:t>
      </w:r>
    </w:p>
    <w:p w14:paraId="233CC450">
      <w:pPr>
        <w:pStyle w:val="234"/>
        <w:rPr>
          <w:i/>
          <w:iCs/>
          <w:color w:val="auto"/>
          <w:u w:val="single"/>
        </w:rPr>
      </w:pPr>
      <w:r>
        <w:rPr>
          <w:rFonts w:hint="eastAsia"/>
          <w:i/>
          <w:iCs/>
          <w:color w:val="auto"/>
          <w:u w:val="single"/>
        </w:rPr>
        <w:t>（4）根据耒阳市交通运输局《关于潜江—韶关输气管道28号阀室为耒阳长城天然气有限公司新增下载点项目在耒阳市境内路由及场站选址征求意见的复函》中的建议，建设单位在施工前要提供道路施工方案依法办理涉路施工许可，经许可同意后方可施工；涉及影响交通安全的，还须征得市公安交通管理部门的同意；在G356里王村天然气管道铺设（顶管穿越）时，应严格采取安全保护预防措施，确保施工安全，确保道路畅通</w:t>
      </w:r>
      <w:r>
        <w:rPr>
          <w:i/>
          <w:iCs/>
          <w:color w:val="auto"/>
          <w:u w:val="single"/>
        </w:rPr>
        <w:t>。</w:t>
      </w:r>
    </w:p>
    <w:p w14:paraId="5A2E4CA0">
      <w:pPr>
        <w:pStyle w:val="5"/>
        <w:rPr>
          <w:color w:val="auto"/>
        </w:rPr>
      </w:pPr>
      <w:r>
        <w:rPr>
          <w:rFonts w:hint="eastAsia"/>
          <w:color w:val="auto"/>
        </w:rPr>
        <w:t xml:space="preserve"> </w:t>
      </w:r>
      <w:r>
        <w:rPr>
          <w:color w:val="auto"/>
        </w:rPr>
        <w:t xml:space="preserve">生物多样性的保护措施 </w:t>
      </w:r>
    </w:p>
    <w:p w14:paraId="0862B111">
      <w:pPr>
        <w:pStyle w:val="234"/>
      </w:pPr>
      <w:r>
        <w:rPr>
          <w:rStyle w:val="1355"/>
          <w:color w:val="auto"/>
          <w:sz w:val="24"/>
          <w:szCs w:val="24"/>
        </w:rPr>
        <w:t>（1）</w:t>
      </w:r>
      <w:r>
        <w:t>在施工过程中，应加强施工人员的管理，杜绝因施工人员对野生植物的滥砍滥伐而造成沿线地区的生态环境破坏。</w:t>
      </w:r>
    </w:p>
    <w:p w14:paraId="1BDE1715">
      <w:pPr>
        <w:pStyle w:val="234"/>
      </w:pPr>
      <w:r>
        <w:t>（2）加大对保护野生动物的宣传力度，大力宣传两栖、爬行动物、鸟类对农林卫生业的作用，禁止施工人员对野生动物滥捕滥杀，做好野生动物的保护工作。</w:t>
      </w:r>
    </w:p>
    <w:p w14:paraId="22E04071">
      <w:pPr>
        <w:pStyle w:val="5"/>
        <w:rPr>
          <w:color w:val="auto"/>
        </w:rPr>
      </w:pPr>
      <w:r>
        <w:rPr>
          <w:rFonts w:hint="eastAsia"/>
          <w:color w:val="auto"/>
        </w:rPr>
        <w:t xml:space="preserve"> </w:t>
      </w:r>
      <w:r>
        <w:rPr>
          <w:color w:val="auto"/>
        </w:rPr>
        <w:t>植被保护和恢复措施</w:t>
      </w:r>
    </w:p>
    <w:p w14:paraId="697B5064">
      <w:pPr>
        <w:pStyle w:val="234"/>
        <w:ind w:firstLineChars="0"/>
      </w:pPr>
      <w:r>
        <w:t xml:space="preserve">（1）植被保护措施 </w:t>
      </w:r>
    </w:p>
    <w:p w14:paraId="3ECA0099">
      <w:pPr>
        <w:pStyle w:val="234"/>
        <w:ind w:firstLineChars="0"/>
      </w:pPr>
      <w:r>
        <w:t>植物保护的一般原则为：在保证施工的前提下，首先尽量缩窄管道通过林区等区段的施工作业带宽度，减少对植被的破坏面积；其次应保存施工区的熟化土，对于建设中永久占地、临时用地占用耕地部分的表层土予以收集保存；最后，施工结束后及时清理、松土、覆盖收集的耕作土，复耕或选择当地适宜植物及时恢复绿化。</w:t>
      </w:r>
    </w:p>
    <w:p w14:paraId="3FD03BA8">
      <w:pPr>
        <w:pStyle w:val="234"/>
      </w:pPr>
      <w:r>
        <w:t>针对工程沿线植物资源分布的特点，对不同的保护对象提出如下保护措施：</w:t>
      </w:r>
    </w:p>
    <w:p w14:paraId="1FDFA922">
      <w:pPr>
        <w:pStyle w:val="234"/>
      </w:pPr>
      <w:r>
        <w:fldChar w:fldCharType="begin"/>
      </w:r>
      <w:r>
        <w:instrText xml:space="preserve"> = 1 \* GB3 </w:instrText>
      </w:r>
      <w:r>
        <w:fldChar w:fldCharType="separate"/>
      </w:r>
      <w:r>
        <w:rPr>
          <w:rFonts w:hint="eastAsia" w:ascii="宋体" w:hAnsi="宋体" w:cs="宋体"/>
        </w:rPr>
        <w:t>①</w:t>
      </w:r>
      <w:r>
        <w:fldChar w:fldCharType="end"/>
      </w:r>
      <w:r>
        <w:t>尽量把植被恢复安排在春季，以便更好的进行移栽植物工作。</w:t>
      </w:r>
      <w:r>
        <w:rPr>
          <w:rFonts w:hint="eastAsia"/>
        </w:rPr>
        <w:t>对于适于移栽的小树苗或经济价值较大的树种，应进行移栽种植工作。对于移栽价值不大或不适宜移栽的树木本着等量补偿的原则进行异地补偿，按照国家及地方补偿标准，进行异地补植或货币补偿。</w:t>
      </w:r>
    </w:p>
    <w:p w14:paraId="6D0349DA">
      <w:pPr>
        <w:pStyle w:val="234"/>
      </w:pPr>
      <w:r>
        <w:fldChar w:fldCharType="begin"/>
      </w:r>
      <w:r>
        <w:instrText xml:space="preserve"> = 2 \* GB3 </w:instrText>
      </w:r>
      <w:r>
        <w:fldChar w:fldCharType="separate"/>
      </w:r>
      <w:r>
        <w:rPr>
          <w:rFonts w:hint="eastAsia" w:ascii="宋体" w:hAnsi="宋体" w:cs="宋体"/>
        </w:rPr>
        <w:t>②</w:t>
      </w:r>
      <w:r>
        <w:fldChar w:fldCharType="end"/>
      </w:r>
      <w:r>
        <w:t>管线施工过程中，尽可能不破坏地形、地貌；施工完毕后，尽可能将施工地带地形、地貌恢复至施工前时的地形地貌。</w:t>
      </w:r>
    </w:p>
    <w:p w14:paraId="4A3B0336">
      <w:pPr>
        <w:pStyle w:val="234"/>
      </w:pPr>
      <w:r>
        <w:fldChar w:fldCharType="begin"/>
      </w:r>
      <w:r>
        <w:instrText xml:space="preserve"> = 3 \* GB3 </w:instrText>
      </w:r>
      <w:r>
        <w:fldChar w:fldCharType="separate"/>
      </w:r>
      <w:r>
        <w:rPr>
          <w:rFonts w:hint="eastAsia" w:ascii="宋体" w:hAnsi="宋体" w:cs="宋体"/>
        </w:rPr>
        <w:t>③</w:t>
      </w:r>
      <w:r>
        <w:fldChar w:fldCharType="end"/>
      </w:r>
      <w:r>
        <w:t>加强施工人员的环保意识。在开挖过程中，不随意砍伐植物，如发现有国家重点保护植物，要报告当地生态环境部门，立即组织挽救，应进行异地移栽保护。</w:t>
      </w:r>
    </w:p>
    <w:p w14:paraId="05B7402D">
      <w:pPr>
        <w:pStyle w:val="234"/>
      </w:pPr>
      <w:r>
        <w:fldChar w:fldCharType="begin"/>
      </w:r>
      <w:r>
        <w:instrText xml:space="preserve"> = 4 \* GB3 </w:instrText>
      </w:r>
      <w:r>
        <w:fldChar w:fldCharType="separate"/>
      </w:r>
      <w:r>
        <w:rPr>
          <w:rFonts w:hint="eastAsia" w:ascii="宋体" w:hAnsi="宋体" w:cs="宋体"/>
        </w:rPr>
        <w:t>④</w:t>
      </w:r>
      <w:r>
        <w:fldChar w:fldCharType="end"/>
      </w:r>
      <w:r>
        <w:t>加强环境管理。加大宣传力度，采取各种方式，如宣传栏、挂牌等，让施工人员了解植物的显著的特征。</w:t>
      </w:r>
    </w:p>
    <w:p w14:paraId="158674C3">
      <w:pPr>
        <w:pStyle w:val="234"/>
      </w:pPr>
      <w:r>
        <w:t>（2）植被恢复措施及建议</w:t>
      </w:r>
    </w:p>
    <w:p w14:paraId="4BD9C37B">
      <w:pPr>
        <w:pStyle w:val="234"/>
      </w:pPr>
      <w:r>
        <w:fldChar w:fldCharType="begin"/>
      </w:r>
      <w:r>
        <w:instrText xml:space="preserve"> = 1 \* GB3 </w:instrText>
      </w:r>
      <w:r>
        <w:fldChar w:fldCharType="separate"/>
      </w:r>
      <w:r>
        <w:rPr>
          <w:rFonts w:hint="eastAsia" w:ascii="宋体" w:hAnsi="宋体" w:cs="宋体"/>
        </w:rPr>
        <w:t>①</w:t>
      </w:r>
      <w:r>
        <w:fldChar w:fldCharType="end"/>
      </w:r>
      <w:r>
        <w:t>施工结束后，施工单位应负责清理现场。凡受到施工破坏的地方都要及时修正，恢复原貌，植被一时难以恢复的可在来年予以恢复。</w:t>
      </w:r>
    </w:p>
    <w:p w14:paraId="4F718C1F">
      <w:pPr>
        <w:pStyle w:val="234"/>
      </w:pPr>
      <w:r>
        <w:fldChar w:fldCharType="begin"/>
      </w:r>
      <w:r>
        <w:instrText xml:space="preserve"> = 2 \* GB3 </w:instrText>
      </w:r>
      <w:r>
        <w:fldChar w:fldCharType="separate"/>
      </w:r>
      <w:r>
        <w:rPr>
          <w:rFonts w:hint="eastAsia" w:ascii="宋体" w:hAnsi="宋体" w:cs="宋体"/>
        </w:rPr>
        <w:t>②</w:t>
      </w:r>
      <w:r>
        <w:fldChar w:fldCharType="end"/>
      </w:r>
      <w:r>
        <w:rPr>
          <w:rFonts w:hint="eastAsia"/>
        </w:rPr>
        <w:t>对于林地，在管道中心线两侧5m范围内种植灌草等浅根植物，管道中心线两侧5m范围外根据项目区植被分布及植被类型，尽量选用当地乡土树种或适生树种作为本工程的生态恢复树种。</w:t>
      </w:r>
    </w:p>
    <w:p w14:paraId="5C1B1CB4">
      <w:pPr>
        <w:pStyle w:val="234"/>
      </w:pPr>
      <w:r>
        <w:t>③对于原农业用地，在覆土后施肥，恢复农业用地</w:t>
      </w:r>
      <w:r>
        <w:rPr>
          <w:rFonts w:hint="eastAsia"/>
        </w:rPr>
        <w:t>，由村民恢复种植水稻</w:t>
      </w:r>
      <w:r>
        <w:t>、玉米、</w:t>
      </w:r>
      <w:r>
        <w:rPr>
          <w:rFonts w:hint="eastAsia"/>
        </w:rPr>
        <w:t>甘薯</w:t>
      </w:r>
      <w:r>
        <w:t>等农作物。</w:t>
      </w:r>
    </w:p>
    <w:p w14:paraId="56702C02">
      <w:pPr>
        <w:pStyle w:val="5"/>
        <w:rPr>
          <w:color w:val="auto"/>
        </w:rPr>
      </w:pPr>
      <w:r>
        <w:rPr>
          <w:rFonts w:hint="eastAsia"/>
          <w:color w:val="auto"/>
        </w:rPr>
        <w:t xml:space="preserve"> </w:t>
      </w:r>
      <w:r>
        <w:rPr>
          <w:color w:val="auto"/>
        </w:rPr>
        <w:t>对农业生态系统的保护措施</w:t>
      </w:r>
    </w:p>
    <w:p w14:paraId="640AB1D9">
      <w:pPr>
        <w:pStyle w:val="234"/>
      </w:pPr>
      <w:r>
        <w:t>（1）将农业损失纳入到工程预算中，管道通过农业区时，尤其是占用耕地等经济农业区时应尽量缩小影响范围，减少损失，降低工程对农业区生态环境的干扰和破坏。</w:t>
      </w:r>
    </w:p>
    <w:p w14:paraId="08252A77">
      <w:pPr>
        <w:pStyle w:val="234"/>
      </w:pPr>
      <w:r>
        <w:t>（2）本工程所涉及的临时占</w:t>
      </w:r>
      <w:r>
        <w:rPr>
          <w:rFonts w:hint="eastAsia"/>
        </w:rPr>
        <w:t>耕</w:t>
      </w:r>
      <w:r>
        <w:t>地应按有关土地管理办法的要求，逐级上报有审批权的政府部门批准，并按有关土地管理部门要求认真执行。</w:t>
      </w:r>
    </w:p>
    <w:p w14:paraId="23727BD7">
      <w:pPr>
        <w:pStyle w:val="234"/>
      </w:pPr>
      <w:r>
        <w:t>（3）根据当地农业活动特点，因地制宜地选择施工季节，尽量避开农作物生长期和收获期，以减少农业当季损失。</w:t>
      </w:r>
    </w:p>
    <w:p w14:paraId="7DD34E7F">
      <w:pPr>
        <w:pStyle w:val="234"/>
      </w:pPr>
      <w:r>
        <w:t>（4）提高施工效率，缩短施工时间，同时采取边敷设管道边分层覆土的措施，减少裸地的暴露时间，保持耕作层肥力，</w:t>
      </w:r>
      <w:r>
        <w:rPr>
          <w:rFonts w:hint="eastAsia"/>
        </w:rPr>
        <w:t>减少</w:t>
      </w:r>
      <w:r>
        <w:t>农业生产季节的损失。</w:t>
      </w:r>
    </w:p>
    <w:p w14:paraId="7145D068">
      <w:pPr>
        <w:pStyle w:val="234"/>
      </w:pPr>
      <w:r>
        <w:t>（</w:t>
      </w:r>
      <w:r>
        <w:rPr>
          <w:rFonts w:hint="eastAsia"/>
        </w:rPr>
        <w:t>5</w:t>
      </w:r>
      <w:r>
        <w:t>）管道施工中要采取保护土壤措施，对农业熟化土壤要分层开挖，分别堆放，分层回填，减少因施工造成生土上翻、耕层养分损失、农作物减产的后果，回填时还应留足适应的堆积层，防止因降水、径流造成地表下陷和水土流失。</w:t>
      </w:r>
    </w:p>
    <w:p w14:paraId="2A2B5B89">
      <w:pPr>
        <w:pStyle w:val="234"/>
      </w:pPr>
      <w:r>
        <w:t>（</w:t>
      </w:r>
      <w:r>
        <w:rPr>
          <w:rFonts w:hint="eastAsia"/>
        </w:rPr>
        <w:t>6</w:t>
      </w:r>
      <w:r>
        <w:t>）施工完成后做好现场清理及恢复工作，尽可能降低施工对农田生态系统带来的不利影响。</w:t>
      </w:r>
    </w:p>
    <w:p w14:paraId="20401F29">
      <w:pPr>
        <w:pStyle w:val="234"/>
      </w:pPr>
      <w:r>
        <w:t>（</w:t>
      </w:r>
      <w:r>
        <w:rPr>
          <w:rFonts w:hint="eastAsia"/>
        </w:rPr>
        <w:t>7</w:t>
      </w:r>
      <w:r>
        <w:t>）处理好管道与农田水利工程的关系，尽可能减少对排灌渠道的破坏。</w:t>
      </w:r>
    </w:p>
    <w:p w14:paraId="44FE565D">
      <w:pPr>
        <w:pStyle w:val="234"/>
        <w:rPr>
          <w:sz w:val="26"/>
          <w:szCs w:val="26"/>
        </w:rPr>
      </w:pPr>
      <w:r>
        <w:t>（</w:t>
      </w:r>
      <w:r>
        <w:rPr>
          <w:rFonts w:hint="eastAsia"/>
        </w:rPr>
        <w:t>8</w:t>
      </w:r>
      <w:r>
        <w:t>）在施工时，应避免农田基础设施受碾压而失去正常使用功能，导致灌溉区受益范围内农作物生长受影响。</w:t>
      </w:r>
    </w:p>
    <w:p w14:paraId="0C1FC548">
      <w:pPr>
        <w:pStyle w:val="5"/>
        <w:rPr>
          <w:color w:val="auto"/>
        </w:rPr>
      </w:pPr>
      <w:r>
        <w:rPr>
          <w:rFonts w:hint="eastAsia"/>
          <w:color w:val="auto"/>
        </w:rPr>
        <w:t xml:space="preserve"> </w:t>
      </w:r>
      <w:r>
        <w:rPr>
          <w:color w:val="auto"/>
        </w:rPr>
        <w:t>林地生态保护措施</w:t>
      </w:r>
    </w:p>
    <w:p w14:paraId="5D359D32">
      <w:pPr>
        <w:pStyle w:val="234"/>
      </w:pPr>
      <w:r>
        <w:rPr>
          <w:rFonts w:hint="eastAsia"/>
        </w:rPr>
        <w:t>新建耒阳分输站周围及</w:t>
      </w:r>
      <w:r>
        <w:t>管道</w:t>
      </w:r>
      <w:r>
        <w:rPr>
          <w:rFonts w:hint="eastAsia"/>
        </w:rPr>
        <w:t>沿线</w:t>
      </w:r>
      <w:r>
        <w:t>两侧分布有林地，工程施工将占用林地，因此，工程应重点从以下几个方面对林地进行恢复：</w:t>
      </w:r>
    </w:p>
    <w:p w14:paraId="5FF7DBFD">
      <w:pPr>
        <w:pStyle w:val="234"/>
      </w:pPr>
      <w:bookmarkStart w:id="233" w:name="_Hlk108444406"/>
      <w:r>
        <w:t>（1）施工过程中，加强对施工人员的管理，禁止施工人员对植被滥砍滥伐，严格限制人员的施工活动范围。管道通过林区时，工程施工将占用林地和砍伐树木，应事先向林业主管部门申报，并进行合理的赔偿。</w:t>
      </w:r>
    </w:p>
    <w:p w14:paraId="62F8873F">
      <w:pPr>
        <w:pStyle w:val="234"/>
      </w:pPr>
      <w:r>
        <w:t>（2）根据《中华人民共和国石油天然气管道保护法》（2010年10月1日</w:t>
      </w:r>
      <w:r>
        <w:rPr>
          <w:rFonts w:hint="eastAsia"/>
        </w:rPr>
        <w:t>施行</w:t>
      </w:r>
      <w:r>
        <w:t>）的规定：在管道线路中心线两侧各五米地域范围内，禁止种植乔木、灌木、藤类、芦苇、柱子或者其他根系深达管道埋设部位可能破坏管道防腐层的深根植物。因此，施工结束后，在管道覆土上采取播撒草籽、栽植花、草等措施恢复植被。施工结束后，</w:t>
      </w:r>
      <w:r>
        <w:rPr>
          <w:rFonts w:hint="eastAsia"/>
        </w:rPr>
        <w:t>对</w:t>
      </w:r>
      <w:r>
        <w:t>裸露的地面</w:t>
      </w:r>
      <w:r>
        <w:rPr>
          <w:rFonts w:hint="eastAsia"/>
        </w:rPr>
        <w:t>进行疏松处理，回填表土后</w:t>
      </w:r>
      <w:r>
        <w:t>，</w:t>
      </w:r>
      <w:r>
        <w:rPr>
          <w:rFonts w:hint="eastAsia"/>
        </w:rPr>
        <w:t>根据土地利用类型采取</w:t>
      </w:r>
      <w:r>
        <w:t>采取播撒草籽、栽植花草、种植灌木</w:t>
      </w:r>
      <w:r>
        <w:rPr>
          <w:rFonts w:hint="eastAsia"/>
        </w:rPr>
        <w:t>或种植农作物</w:t>
      </w:r>
      <w:r>
        <w:t>等措施恢复植被。</w:t>
      </w:r>
    </w:p>
    <w:p w14:paraId="154B07FA">
      <w:pPr>
        <w:pStyle w:val="234"/>
        <w:rPr>
          <w:i/>
          <w:iCs/>
          <w:color w:val="auto"/>
          <w:u w:val="single"/>
        </w:rPr>
      </w:pPr>
      <w:r>
        <w:rPr>
          <w:rFonts w:hint="eastAsia"/>
          <w:i/>
          <w:iCs/>
          <w:color w:val="auto"/>
          <w:u w:val="single"/>
        </w:rPr>
        <w:t>（3）根据耒阳市林业局《关于潜江—韶关输气管道28号阀室为耒阳长城天然气有限公司新增下载点项目在耒阳市境内路由及场站选址征求意见的复函》中的要求，工程在建设施工前应依法依规按程序办理使用林地审核审批手续，涉及采伐林木的应依法办理林木采伐许可证</w:t>
      </w:r>
      <w:r>
        <w:rPr>
          <w:i/>
          <w:iCs/>
          <w:color w:val="auto"/>
          <w:u w:val="single"/>
        </w:rPr>
        <w:t>。</w:t>
      </w:r>
    </w:p>
    <w:bookmarkEnd w:id="233"/>
    <w:p w14:paraId="14B514B9">
      <w:pPr>
        <w:pStyle w:val="5"/>
        <w:rPr>
          <w:color w:val="auto"/>
        </w:rPr>
      </w:pPr>
      <w:r>
        <w:rPr>
          <w:rFonts w:hint="eastAsia"/>
          <w:color w:val="auto"/>
        </w:rPr>
        <w:t xml:space="preserve"> </w:t>
      </w:r>
      <w:r>
        <w:rPr>
          <w:color w:val="auto"/>
        </w:rPr>
        <w:t>土壤保护措施</w:t>
      </w:r>
    </w:p>
    <w:p w14:paraId="52B6E2B8">
      <w:pPr>
        <w:pStyle w:val="234"/>
      </w:pPr>
      <w:r>
        <w:t>采用挖沟埋管为主的管道施工中，管沟挖过程中实施“分层开挖、分层堆放和分层回填”的措施，开挖过程中生熟土分开堆放，管线建设完毕后及时尽量恢复沿线地表原貌，比如种植新的草地和其他与新环境相宜的植物，使土壤生态环境的影响得到有效的控制。</w:t>
      </w:r>
    </w:p>
    <w:p w14:paraId="3F00FFD1">
      <w:pPr>
        <w:pStyle w:val="5"/>
        <w:rPr>
          <w:color w:val="auto"/>
        </w:rPr>
      </w:pPr>
      <w:r>
        <w:rPr>
          <w:rFonts w:hint="eastAsia"/>
          <w:color w:val="auto"/>
        </w:rPr>
        <w:t xml:space="preserve"> 基本农田保护</w:t>
      </w:r>
      <w:r>
        <w:rPr>
          <w:color w:val="auto"/>
        </w:rPr>
        <w:t>措施</w:t>
      </w:r>
    </w:p>
    <w:p w14:paraId="0BA828E2">
      <w:pPr>
        <w:pStyle w:val="234"/>
      </w:pPr>
      <w:r>
        <w:rPr>
          <w:rFonts w:hint="eastAsia"/>
        </w:rPr>
        <w:t>本工程在施工中将占用永久基本农田。由于基本农田属于人工生态环境，在人的干预下，施工结束后，可恢复原有土地利用性质或使用功能，虽短期内对基本农田的利用产生不利的影响，但施工结束后，土地利用性质得到恢复。</w:t>
      </w:r>
    </w:p>
    <w:p w14:paraId="1875FC9F">
      <w:pPr>
        <w:pStyle w:val="234"/>
      </w:pPr>
      <w:r>
        <w:rPr>
          <w:rFonts w:hint="eastAsia"/>
        </w:rPr>
        <w:t>根据《中华人民共和国土地管理法实施条例》（2021年9月1日施行）、《自然资源部、农业农村部关于加强和改进永久基本农田保护工作的通知》（自然资规</w:t>
      </w:r>
      <w:r>
        <w:rPr>
          <w:rFonts w:hint="eastAsia" w:ascii="宋体" w:hAnsi="宋体"/>
        </w:rPr>
        <w:t>〔</w:t>
      </w:r>
      <w:r>
        <w:rPr>
          <w:rFonts w:hint="eastAsia"/>
        </w:rPr>
        <w:t>2019</w:t>
      </w:r>
      <w:r>
        <w:rPr>
          <w:rFonts w:hint="eastAsia" w:ascii="宋体" w:hAnsi="宋体"/>
        </w:rPr>
        <w:t>〕</w:t>
      </w:r>
      <w:r>
        <w:rPr>
          <w:rFonts w:hint="eastAsia"/>
        </w:rPr>
        <w:t>1号）等相关规定要求，临时用地一般不得占用永久基本农田，建设项目施工和地质勘查需要临时用地、选址确实难以避让永久基本农田的，在不修建永久性建（构）筑物、经复垦能恢复原种植条件的前提下，土地使用者按法定程序申请临时用地并编制土地复垦方案，经县级自然资源主管部门批准可临时占用，并在市级自然资源主管部门备案，一般不超过两年，同时，通过耕地耕作层土壤剥离再利用等工程技术措施，减少对耕作层的破坏。临时用地到期后土地使用者应及时复垦恢复原种植条件，县级自然资源主管部门会同农业农村等相关主管部门开展土地复垦验收，验收合格的，继续按照永久基本农田保护和管理；验收不合格的，责令土地使用者进行整改，经整改仍不合格的。按照《土地复垦条例》规定由县级自然资源主管部门使用缴纳的土地复垦费代为组织复垦，并由县级自然资源主管部门会同农业农村等相关主管部门开展土地复垦验收。</w:t>
      </w:r>
    </w:p>
    <w:p w14:paraId="1FDB9BDD">
      <w:pPr>
        <w:pStyle w:val="234"/>
      </w:pPr>
      <w:r>
        <w:rPr>
          <w:rFonts w:hint="eastAsia"/>
        </w:rPr>
        <w:t>本工程为天然气输气管线项目，线路全长0.</w:t>
      </w:r>
      <w:r>
        <w:rPr>
          <w:rFonts w:hint="eastAsia"/>
          <w:lang w:eastAsia="zh-CN"/>
        </w:rPr>
        <w:t>760</w:t>
      </w:r>
      <w:r>
        <w:rPr>
          <w:rFonts w:hint="eastAsia"/>
        </w:rPr>
        <w:t>km，根据沿线土地用地规划，项目为线性工程，施工作业带无法避免临时占用基本农田，针对本工程实际情况，评价要求项目施工过程应采取以下措施减少对基本农田的影响。</w:t>
      </w:r>
    </w:p>
    <w:p w14:paraId="74416FAB">
      <w:pPr>
        <w:pStyle w:val="234"/>
      </w:pPr>
      <w:r>
        <w:rPr>
          <w:rFonts w:hint="eastAsia"/>
        </w:rPr>
        <w:t>①临时占用基本农田应当严格按照《中华人民共和国土地管理法实施条例》（2021年9月1日施行）、《自然资源部关于规范临时用地管理的通知》（自然资规</w:t>
      </w:r>
      <w:r>
        <w:rPr>
          <w:rFonts w:hint="eastAsia" w:ascii="宋体" w:hAnsi="宋体"/>
        </w:rPr>
        <w:t>〔</w:t>
      </w:r>
      <w:r>
        <w:rPr>
          <w:rFonts w:hint="eastAsia"/>
        </w:rPr>
        <w:t>2021</w:t>
      </w:r>
      <w:r>
        <w:rPr>
          <w:rFonts w:hint="eastAsia" w:ascii="宋体" w:hAnsi="宋体"/>
        </w:rPr>
        <w:t>〕</w:t>
      </w:r>
      <w:r>
        <w:rPr>
          <w:rFonts w:hint="eastAsia"/>
        </w:rPr>
        <w:t>2号）、《自然资源部、农业农村部关于加强和改进永久基本农田保护工作的通知》（自然资规</w:t>
      </w:r>
      <w:r>
        <w:rPr>
          <w:rFonts w:hint="eastAsia" w:ascii="宋体" w:hAnsi="宋体"/>
        </w:rPr>
        <w:t>〔</w:t>
      </w:r>
      <w:r>
        <w:rPr>
          <w:rFonts w:hint="eastAsia"/>
        </w:rPr>
        <w:t>2019</w:t>
      </w:r>
      <w:r>
        <w:rPr>
          <w:rFonts w:hint="eastAsia" w:ascii="宋体" w:hAnsi="宋体"/>
        </w:rPr>
        <w:t>〕</w:t>
      </w:r>
      <w:r>
        <w:rPr>
          <w:rFonts w:hint="eastAsia"/>
        </w:rPr>
        <w:t>1号）等相关规定要求，要本着“节约用地，尽量不占耕地（基本农田）”的原则，加强临时用地管理，严格控制建设项目占用基本农田；项目临时占地必须占用基本农田，建设单位首先向相关主管部门办理临时用地占用基本农田申请，申请报告中对临时用地占用永久基本农田的必要性、合理性以及土地复垦方案、耕作层土壤剥离利用实施方案进行论证，同时应将占用永久基本农田的空间位置、数量、质量、地类等信息申报清楚，建设单位除提供相关材料外，还需要缴纳复垦保证金，临时用地使用期满后，用地单位尽快完成土地复垦，并经验收合格。</w:t>
      </w:r>
    </w:p>
    <w:p w14:paraId="02401A95">
      <w:pPr>
        <w:pStyle w:val="234"/>
      </w:pPr>
      <w:r>
        <w:rPr>
          <w:rFonts w:hint="eastAsia"/>
        </w:rPr>
        <w:t>②优化施工组织方案，缩短工期。根据施工组织方案，确定施工用地边界，禁止进入非施工区域，严禁任意越界破坏周围耕地；合理规划道路设计，尽量利用已有道路，少建和不建施工便道；必须建设施工便道的，控制施工活动范围。</w:t>
      </w:r>
    </w:p>
    <w:p w14:paraId="1CAA09EE">
      <w:pPr>
        <w:pStyle w:val="234"/>
      </w:pPr>
      <w:r>
        <w:rPr>
          <w:rFonts w:hint="eastAsia"/>
        </w:rPr>
        <w:t>③临时占用基本农田，在开挖地表土壤时，对管沟区的土壤进行分层剥离、分层开挖、分层堆放和循序分层回填，表土剥离并单独堆放用土工布进行临时防护，覆土填埋时，考虑到表土具有良好的结构和肥力水平，其性状需要多年形成，覆土时将原表土覆盖在表层可以大大缩短土壤生产力恢复的时间，减小工程影响的时间，因此应将表土覆盖在最上面的地表层，最大程度降低对土壤养分的影响，尽快恢复农作物产量。</w:t>
      </w:r>
    </w:p>
    <w:p w14:paraId="732DBCF8">
      <w:pPr>
        <w:pStyle w:val="234"/>
      </w:pPr>
      <w:r>
        <w:rPr>
          <w:rFonts w:hint="eastAsia"/>
        </w:rPr>
        <w:t>④管沟开挖区外的施工带内土壤，由于人员践踏和车辆、机械设备碾压，土壤的机械结构和理化性质被改变，土壤变得紧实。施工结束后，可通过加大对作业带有机肥料的投入，增加土壤有机质含量，恢复土壤团粒结构，减轻对土壤的压实效应，同时及时进行田间耕作，疏松土壤，以尽快恢复耕地的生产力。</w:t>
      </w:r>
    </w:p>
    <w:p w14:paraId="2D3511EE">
      <w:pPr>
        <w:pStyle w:val="234"/>
      </w:pPr>
      <w:r>
        <w:rPr>
          <w:rFonts w:hint="eastAsia"/>
        </w:rPr>
        <w:t>⑤施工人员、施工车辆和各种设备应按规定的路线行驶，不得随意破坏道路和农田水利设施等农田基础设施。</w:t>
      </w:r>
    </w:p>
    <w:p w14:paraId="47FCA927">
      <w:pPr>
        <w:pStyle w:val="234"/>
      </w:pPr>
      <w:r>
        <w:rPr>
          <w:rFonts w:hint="eastAsia"/>
        </w:rPr>
        <w:t>⑥农田扰动区域植被恢复以农业种植复垦为主，建议复垦第一年可考虑固氮型经济作物种植，适当辅助以人工施肥措施，以提高土壤肥力，促进土地生产力恢复。</w:t>
      </w:r>
    </w:p>
    <w:p w14:paraId="44502958">
      <w:pPr>
        <w:pStyle w:val="234"/>
      </w:pPr>
      <w:r>
        <w:rPr>
          <w:rFonts w:hint="eastAsia"/>
        </w:rPr>
        <w:t>本工程仅标志桩占用少量永久基本农田，永久占用的基本农田按照《湖南省实施＜中华人民共和国土地管理法＞办法》的规定缴纳耕地开垦费，专款用于开垦新的耕地。</w:t>
      </w:r>
    </w:p>
    <w:p w14:paraId="4A57FF15">
      <w:pPr>
        <w:pStyle w:val="5"/>
        <w:rPr>
          <w:color w:val="auto"/>
        </w:rPr>
      </w:pPr>
      <w:r>
        <w:rPr>
          <w:color w:val="auto"/>
        </w:rPr>
        <w:t>生态景观环境影响减缓措施</w:t>
      </w:r>
    </w:p>
    <w:p w14:paraId="7F8881B0">
      <w:pPr>
        <w:pStyle w:val="234"/>
      </w:pPr>
      <w:r>
        <w:t>（1）加强施工队伍职工环保教育，规范施工人员行为。教育职工爱护环境，保护施工场地及周围的作物和树木。</w:t>
      </w:r>
    </w:p>
    <w:p w14:paraId="6402BC93">
      <w:pPr>
        <w:pStyle w:val="234"/>
      </w:pPr>
      <w:r>
        <w:t>（2）严格划定施工作业范围，在施工带内施工。在保证施工顺利进行的前提下，尽量减少占地面积。在林地内施工，应少用机械作业，最大限度的减少对树木的破坏，对景观的破坏。</w:t>
      </w:r>
    </w:p>
    <w:p w14:paraId="18244E50">
      <w:pPr>
        <w:pStyle w:val="234"/>
      </w:pPr>
      <w:r>
        <w:t>（3）施工中应执行分层开挖的操作规范，而且施工带不宜过长，施工完毕后，立即按土层顺序回填，同期绿化，减轻对景观生态环境的破坏。</w:t>
      </w:r>
    </w:p>
    <w:p w14:paraId="5E0419BE">
      <w:pPr>
        <w:pStyle w:val="5"/>
        <w:rPr>
          <w:color w:val="auto"/>
        </w:rPr>
      </w:pPr>
      <w:r>
        <w:rPr>
          <w:rFonts w:hint="eastAsia"/>
          <w:color w:val="auto"/>
        </w:rPr>
        <w:t xml:space="preserve"> </w:t>
      </w:r>
      <w:r>
        <w:rPr>
          <w:color w:val="auto"/>
        </w:rPr>
        <w:t>水土流失防治措施</w:t>
      </w:r>
    </w:p>
    <w:p w14:paraId="2B5B5B5E">
      <w:pPr>
        <w:pStyle w:val="234"/>
      </w:pPr>
      <w:r>
        <w:t>本工程管线途经区域多为</w:t>
      </w:r>
      <w:r>
        <w:rPr>
          <w:rFonts w:hint="eastAsia"/>
        </w:rPr>
        <w:t>丘陵</w:t>
      </w:r>
      <w:r>
        <w:t>，相应的水土流失保护措施有：</w:t>
      </w:r>
    </w:p>
    <w:p w14:paraId="292A86CB">
      <w:pPr>
        <w:pStyle w:val="234"/>
      </w:pPr>
      <w:r>
        <w:t>（</w:t>
      </w:r>
      <w:r>
        <w:rPr>
          <w:rFonts w:hint="eastAsia"/>
        </w:rPr>
        <w:t>1</w:t>
      </w:r>
      <w:r>
        <w:t>）地貌恢复</w:t>
      </w:r>
    </w:p>
    <w:p w14:paraId="005DFF85">
      <w:pPr>
        <w:pStyle w:val="234"/>
      </w:pPr>
      <w:r>
        <w:t>项目在开发建设过程中将不可避免地占用部分农地、林地，局部损坏地表植被、排水沟渠等水土保持设施，破坏原有的地形地貌，改变地表水流方向，同时开挖、运移及铺筑行为也将造成一定的土壤流失。对于工程施工作业带和施工直接影响区域，管沟回填后的覆盖防护应结合实际的地形地貌及植被情况做好水土保持。沿线施工时所破坏的耕田、林地、挡水墙、排水沟、道路等地面设施按原貌恢复或采取相应有效措施进行处理。</w:t>
      </w:r>
    </w:p>
    <w:p w14:paraId="16B2A840">
      <w:pPr>
        <w:pStyle w:val="234"/>
      </w:pPr>
      <w:r>
        <w:fldChar w:fldCharType="begin"/>
      </w:r>
      <w:r>
        <w:instrText xml:space="preserve"> = 1 \* GB3 </w:instrText>
      </w:r>
      <w:r>
        <w:fldChar w:fldCharType="separate"/>
      </w:r>
      <w:r>
        <w:rPr>
          <w:rFonts w:hint="eastAsia" w:ascii="宋体" w:hAnsi="宋体" w:cs="宋体"/>
        </w:rPr>
        <w:t>①</w:t>
      </w:r>
      <w:r>
        <w:fldChar w:fldCharType="end"/>
      </w:r>
      <w:r>
        <w:t>施工作业带占用农田时，工程结束后，将临时占用的农田尽可能恢复。管线穿越田坎，施工完成后采用浆砌石护坡、挡土墙、草袋等方式恢复田坎，避免耕作土壤的流失。</w:t>
      </w:r>
    </w:p>
    <w:p w14:paraId="24088F9E">
      <w:pPr>
        <w:pStyle w:val="234"/>
      </w:pPr>
      <w:r>
        <w:fldChar w:fldCharType="begin"/>
      </w:r>
      <w:r>
        <w:instrText xml:space="preserve"> = 2 \* GB3 </w:instrText>
      </w:r>
      <w:r>
        <w:fldChar w:fldCharType="separate"/>
      </w:r>
      <w:r>
        <w:rPr>
          <w:rFonts w:hint="eastAsia" w:ascii="宋体" w:hAnsi="宋体" w:cs="宋体"/>
        </w:rPr>
        <w:t>②</w:t>
      </w:r>
      <w:r>
        <w:fldChar w:fldCharType="end"/>
      </w:r>
      <w:r>
        <w:t>施工作业带占用林地时，施工结束后，将临时占用地种植浅根性灌草种，按照乔灌草混合种植方式进行林地恢复。</w:t>
      </w:r>
    </w:p>
    <w:p w14:paraId="7F7E2D3D">
      <w:pPr>
        <w:pStyle w:val="234"/>
      </w:pPr>
      <w:r>
        <w:fldChar w:fldCharType="begin"/>
      </w:r>
      <w:r>
        <w:instrText xml:space="preserve"> = 3 \* GB3 </w:instrText>
      </w:r>
      <w:r>
        <w:fldChar w:fldCharType="separate"/>
      </w:r>
      <w:r>
        <w:rPr>
          <w:rFonts w:hint="eastAsia" w:ascii="宋体" w:hAnsi="宋体" w:cs="宋体"/>
        </w:rPr>
        <w:t>③</w:t>
      </w:r>
      <w:r>
        <w:fldChar w:fldCharType="end"/>
      </w:r>
      <w:r>
        <w:t>对受到开挖管沟影响的路堤、路堑，有防护结构的按原结构恢复路堤、路堑；无防护结构的，可根据实际情况适当加设砌石挡土墙、护坡等防护结构，以确保管道及穿越处道路的安全。</w:t>
      </w:r>
    </w:p>
    <w:p w14:paraId="3B3F245C">
      <w:pPr>
        <w:pStyle w:val="234"/>
      </w:pPr>
      <w:r>
        <w:fldChar w:fldCharType="begin"/>
      </w:r>
      <w:r>
        <w:instrText xml:space="preserve"> = 4 \* GB3 </w:instrText>
      </w:r>
      <w:r>
        <w:fldChar w:fldCharType="separate"/>
      </w:r>
      <w:r>
        <w:rPr>
          <w:rFonts w:hint="eastAsia" w:ascii="宋体" w:hAnsi="宋体" w:cs="宋体"/>
        </w:rPr>
        <w:t>④</w:t>
      </w:r>
      <w:r>
        <w:fldChar w:fldCharType="end"/>
      </w:r>
      <w:r>
        <w:t>施工作业带占用坡地时，施工结束后，对施工占地种植灌草进行绿化。</w:t>
      </w:r>
    </w:p>
    <w:p w14:paraId="5A0D9BA6">
      <w:pPr>
        <w:pStyle w:val="234"/>
      </w:pPr>
      <w:r>
        <w:t>（</w:t>
      </w:r>
      <w:r>
        <w:rPr>
          <w:rFonts w:hint="eastAsia"/>
        </w:rPr>
        <w:t>2</w:t>
      </w:r>
      <w:r>
        <w:t>）交叉管道保护</w:t>
      </w:r>
    </w:p>
    <w:p w14:paraId="122F95BD">
      <w:pPr>
        <w:pStyle w:val="234"/>
      </w:pPr>
      <w:r>
        <w:t>本管道与其他管道并行段需要处理好对已建管道的保护</w:t>
      </w:r>
      <w:r>
        <w:rPr>
          <w:rFonts w:hint="eastAsia"/>
        </w:rPr>
        <w:t>，</w:t>
      </w:r>
      <w:r>
        <w:t>新建管道在施工期影响扰动在役管道的水土流失保护设施时，应采取可靠的防护措施。</w:t>
      </w:r>
    </w:p>
    <w:p w14:paraId="1F4313C0">
      <w:pPr>
        <w:pStyle w:val="234"/>
      </w:pPr>
      <w:r>
        <w:t>（</w:t>
      </w:r>
      <w:r>
        <w:rPr>
          <w:rFonts w:hint="eastAsia"/>
        </w:rPr>
        <w:t>3</w:t>
      </w:r>
      <w:r>
        <w:t>）其它措施</w:t>
      </w:r>
    </w:p>
    <w:p w14:paraId="5AFFA845">
      <w:pPr>
        <w:pStyle w:val="234"/>
      </w:pPr>
      <w:r>
        <w:fldChar w:fldCharType="begin"/>
      </w:r>
      <w:r>
        <w:instrText xml:space="preserve"> = 1 \* GB3 </w:instrText>
      </w:r>
      <w:r>
        <w:fldChar w:fldCharType="separate"/>
      </w:r>
      <w:r>
        <w:rPr>
          <w:rFonts w:hint="eastAsia" w:ascii="宋体" w:hAnsi="宋体" w:cs="宋体"/>
        </w:rPr>
        <w:t>①</w:t>
      </w:r>
      <w:r>
        <w:fldChar w:fldCharType="end"/>
      </w:r>
      <w:r>
        <w:t>合理安排施工进度及施工时间，施工时选择无雨、小风的季节进行，避免扬尘和水土流失。在河流和沟渠开挖段施工时应做到随挖、随运、随铺、随压，不留或尽可能少留疏松地面；尽量缩短施工期，使土壤暴露时间缩短，并快速回填。</w:t>
      </w:r>
    </w:p>
    <w:p w14:paraId="732AF378">
      <w:pPr>
        <w:pStyle w:val="234"/>
      </w:pPr>
      <w:r>
        <w:fldChar w:fldCharType="begin"/>
      </w:r>
      <w:r>
        <w:instrText xml:space="preserve"> = 2 \* GB3 </w:instrText>
      </w:r>
      <w:r>
        <w:fldChar w:fldCharType="separate"/>
      </w:r>
      <w:r>
        <w:rPr>
          <w:rFonts w:hint="eastAsia" w:ascii="宋体" w:hAnsi="宋体" w:cs="宋体"/>
        </w:rPr>
        <w:t>②</w:t>
      </w:r>
      <w:r>
        <w:fldChar w:fldCharType="end"/>
      </w:r>
      <w:r>
        <w:t>施工回填后要适当压实，并略高于原地面，防止以后因地面凹陷形成引流槽，并按适当间隔根据地形，增高回填标高以阻断槽流作用。</w:t>
      </w:r>
    </w:p>
    <w:p w14:paraId="1392B26D">
      <w:pPr>
        <w:pStyle w:val="234"/>
      </w:pPr>
      <w:r>
        <w:fldChar w:fldCharType="begin"/>
      </w:r>
      <w:r>
        <w:instrText xml:space="preserve"> = 3 \* GB3 </w:instrText>
      </w:r>
      <w:r>
        <w:fldChar w:fldCharType="separate"/>
      </w:r>
      <w:r>
        <w:rPr>
          <w:rFonts w:hint="eastAsia" w:ascii="宋体" w:hAnsi="宋体" w:cs="宋体"/>
        </w:rPr>
        <w:t>③</w:t>
      </w:r>
      <w:r>
        <w:fldChar w:fldCharType="end"/>
      </w:r>
      <w:r>
        <w:t>对开挖土方采取保护措施，如适当拍压，旱季表面喷水或用织物遮盖等，在施工作业带周围采取必要的防护措施。</w:t>
      </w:r>
    </w:p>
    <w:p w14:paraId="30419321">
      <w:pPr>
        <w:pStyle w:val="234"/>
      </w:pPr>
      <w:r>
        <w:rPr>
          <w:rFonts w:hint="eastAsia"/>
        </w:rPr>
        <w:t>通过以上环境保护措施，施工期对影响范围内的生物多样性、农业生态系统、林地生态系统、土壤、景观等的影响均可接受，措施可行。</w:t>
      </w:r>
    </w:p>
    <w:p w14:paraId="50B8DE45">
      <w:pPr>
        <w:pStyle w:val="4"/>
      </w:pPr>
      <w:r>
        <w:t xml:space="preserve"> </w:t>
      </w:r>
      <w:bookmarkStart w:id="234" w:name="_Toc72672369"/>
      <w:bookmarkStart w:id="235" w:name="_Toc28003"/>
      <w:r>
        <w:t>施工期污染防治措施</w:t>
      </w:r>
      <w:bookmarkEnd w:id="234"/>
      <w:bookmarkEnd w:id="235"/>
    </w:p>
    <w:p w14:paraId="6D50D7F0">
      <w:pPr>
        <w:pStyle w:val="5"/>
        <w:rPr>
          <w:color w:val="auto"/>
        </w:rPr>
      </w:pPr>
      <w:r>
        <w:rPr>
          <w:color w:val="auto"/>
        </w:rPr>
        <w:t xml:space="preserve"> 废气污染防治措施</w:t>
      </w:r>
    </w:p>
    <w:p w14:paraId="13935DBF">
      <w:pPr>
        <w:pStyle w:val="234"/>
      </w:pPr>
      <w:r>
        <w:t>施工废气主要来自地面开挖和运输车辆行驶产生的</w:t>
      </w:r>
      <w:r>
        <w:rPr>
          <w:rFonts w:hint="eastAsia"/>
        </w:rPr>
        <w:t>施工</w:t>
      </w:r>
      <w:r>
        <w:t>扬尘、施工机械</w:t>
      </w:r>
      <w:r>
        <w:rPr>
          <w:rFonts w:hint="eastAsia"/>
        </w:rPr>
        <w:t>及施工车辆尾气、防腐废气、</w:t>
      </w:r>
      <w:r>
        <w:t>焊接烟尘</w:t>
      </w:r>
      <w:r>
        <w:rPr>
          <w:rFonts w:hint="eastAsia"/>
        </w:rPr>
        <w:t>、放空天然气等</w:t>
      </w:r>
      <w:r>
        <w:t>。</w:t>
      </w:r>
    </w:p>
    <w:p w14:paraId="1A3AA9D5">
      <w:pPr>
        <w:pStyle w:val="234"/>
      </w:pPr>
      <w:r>
        <w:t xml:space="preserve">（1）施工扬尘 </w:t>
      </w:r>
    </w:p>
    <w:p w14:paraId="6CA1919B">
      <w:pPr>
        <w:pStyle w:val="234"/>
      </w:pPr>
      <w:r>
        <w:t>为降低或避免施工对大气环境造成的污染影响，降低扬尘影响，施工期须采取防治措施，防止扬尘对附近居民及大气环境质量的影响。拟采取如下措施：</w:t>
      </w:r>
    </w:p>
    <w:p w14:paraId="7A9D528A">
      <w:pPr>
        <w:pStyle w:val="234"/>
      </w:pPr>
      <w:r>
        <w:rPr>
          <w:rFonts w:hint="eastAsia" w:ascii="宋体" w:hAnsi="宋体" w:cs="宋体"/>
        </w:rPr>
        <w:t>①</w:t>
      </w:r>
      <w:r>
        <w:t>明确扬尘防治责任</w:t>
      </w:r>
    </w:p>
    <w:p w14:paraId="1734D148">
      <w:pPr>
        <w:pStyle w:val="234"/>
      </w:pPr>
      <w:r>
        <w:t>a.建立扬尘防治专项资金保障制度，为保障扬尘治理落到实处，应建立扬尘防治经费专用账户，建立使用台账，实行专款专用。</w:t>
      </w:r>
    </w:p>
    <w:p w14:paraId="54F8F45F">
      <w:pPr>
        <w:pStyle w:val="234"/>
      </w:pPr>
      <w:r>
        <w:t>b.建立扬尘控制的教育和技术交底制度。把环境保护知识纳入“三级教育”。对新进场人员进行环保教育，作业前对工人进行扬尘控制的技术交底。</w:t>
      </w:r>
    </w:p>
    <w:p w14:paraId="2850B669">
      <w:pPr>
        <w:pStyle w:val="234"/>
      </w:pPr>
      <w:r>
        <w:t>c.建立检查考核制度，项目部由项目经理每月组织对各班组进行检查考核评比，制定奖惩办法。</w:t>
      </w:r>
    </w:p>
    <w:p w14:paraId="1DE431C5">
      <w:pPr>
        <w:pStyle w:val="234"/>
      </w:pPr>
      <w:r>
        <w:t>d.建立有奖举报制度，公示举报电话，对举报的情况，项目部及时采取措施进行处理。</w:t>
      </w:r>
    </w:p>
    <w:p w14:paraId="096751DE">
      <w:pPr>
        <w:pStyle w:val="234"/>
      </w:pPr>
      <w:r>
        <w:rPr>
          <w:rFonts w:hint="eastAsia" w:ascii="宋体" w:hAnsi="宋体" w:cs="宋体"/>
        </w:rPr>
        <w:t>②</w:t>
      </w:r>
      <w:r>
        <w:t>扬尘防治宣传措施</w:t>
      </w:r>
    </w:p>
    <w:p w14:paraId="3C43FDED">
      <w:pPr>
        <w:pStyle w:val="234"/>
      </w:pPr>
      <w:r>
        <w:t>a.在现场主要出入口外侧悬挂防治责任牌，对扬尘防治责任单位、责任人进行明确，并予以公示。制作施工现场扬尘污染防治责任牌、扬尘防治公众监督栏。</w:t>
      </w:r>
    </w:p>
    <w:p w14:paraId="1FCAEFC3">
      <w:pPr>
        <w:pStyle w:val="234"/>
      </w:pPr>
      <w:r>
        <w:t>b.施工现场张贴扬尘防治宣传标语和宣传版画。</w:t>
      </w:r>
    </w:p>
    <w:p w14:paraId="278E883D">
      <w:pPr>
        <w:pStyle w:val="234"/>
      </w:pPr>
      <w:r>
        <w:rPr>
          <w:rFonts w:hint="eastAsia" w:ascii="宋体" w:hAnsi="宋体" w:cs="宋体"/>
        </w:rPr>
        <w:t>③</w:t>
      </w:r>
      <w:r>
        <w:t>扬尘防治临时设施</w:t>
      </w:r>
    </w:p>
    <w:p w14:paraId="6C3658A1">
      <w:pPr>
        <w:pStyle w:val="234"/>
      </w:pPr>
      <w:r>
        <w:t>施工场地应做到现场封闭</w:t>
      </w:r>
      <w:r>
        <w:rPr>
          <w:rFonts w:hint="eastAsia"/>
        </w:rPr>
        <w:t>围挡作业</w:t>
      </w:r>
      <w:r>
        <w:t>、场区道路硬化、渣土物料篷盖、洒水清扫保洁、物料密闭运输、出入车辆清洗等。</w:t>
      </w:r>
    </w:p>
    <w:p w14:paraId="52D60FF4">
      <w:pPr>
        <w:pStyle w:val="234"/>
      </w:pPr>
      <w:r>
        <w:t xml:space="preserve">a.施工道路 </w:t>
      </w:r>
    </w:p>
    <w:p w14:paraId="2D42135F">
      <w:pPr>
        <w:pStyle w:val="234"/>
      </w:pPr>
      <w:r>
        <w:t>施工现场主要出入口、施工便道、车行道路和主要材料堆放地作硬化处理，硬化施工应编制专项方案，确保承载能力满足使用要求。采取临时绿化或者覆盖防尘布或者防尘网等措施，保持施工场所和周围环境的清洁。施工现场的路而等易产生扬尘的区域，要根据不同季节、气温、土壤湿度等因素，安排洒水抑尘。施工现场必须建立洒水清扫抑尘制度，配备洒水设备。现场施工道路洒水须实现全覆盖，每2小时1次，并有专人负责。</w:t>
      </w:r>
    </w:p>
    <w:p w14:paraId="0A9426FC">
      <w:pPr>
        <w:pStyle w:val="234"/>
      </w:pPr>
      <w:r>
        <w:t xml:space="preserve">b.垃圾堆放及清运 </w:t>
      </w:r>
    </w:p>
    <w:p w14:paraId="558B05E7">
      <w:pPr>
        <w:pStyle w:val="234"/>
      </w:pPr>
      <w:r>
        <w:t>施工现场设置密闭式垃圾集中点，施工垃圾、生活垃圾分类存放，集中清运，并及时洒水压尘，严禁凌空抛掷施工现场垃圾必须日产日清，设置垃圾存放点集中堆放并严密覆盖，严禁凌空抛掷和焚烧垃圾。施工现场料具堆放整齐，无垃圾死角。施工工地产生的土石方原则上应及时外运，施工现场集中堆放的土方和裸露场地必须采取覆盖或绿化等防尘措施，严禁裸露。从事土石方和施工垃圾运输应采用密闭式运输车或采取覆盖措施；施工现场出入口应采取车辆清洁措施，设置车辆清洗设施或设备，运输车辆应及时除泥、冲洗。</w:t>
      </w:r>
    </w:p>
    <w:p w14:paraId="6FD53A86">
      <w:pPr>
        <w:pStyle w:val="234"/>
      </w:pPr>
      <w:r>
        <w:t>c.土方工程作业时，须采取湿法作业，配备创定式、移动式洒水降尘设备，落实洒水、喷雾降尘等措施。</w:t>
      </w:r>
    </w:p>
    <w:p w14:paraId="073B109C">
      <w:pPr>
        <w:pStyle w:val="234"/>
      </w:pPr>
      <w:r>
        <w:t>d.道路、绿化工程施工中，实施挖土、装土、堆土、清扫等作业时，应当辅以洒水等降尘措施；对已回填后的沟槽应当采取洒水、覆盖等降尘措施，防止扬尘污染。</w:t>
      </w:r>
    </w:p>
    <w:p w14:paraId="3B7C1DA4">
      <w:pPr>
        <w:pStyle w:val="234"/>
      </w:pPr>
      <w:r>
        <w:t>e.建设工程土石方运输必须采用经城管、公安交警等部门核准的运输单位及车辆。运输车辆号牌必须保证清晰，密闭化率、卫星定位系统安装率均达到100%，新购车辆必须全部符合新型智能环保渣土运输车辆有关技术规范；原有运输车辆必须采取严格的密封密闭措施，切实达到无外露、无遗撒、无高尖、无扬尘要求，否则一律不得上路。所有运输车辆须按规定的时间、地点、线路运输和装卸。</w:t>
      </w:r>
    </w:p>
    <w:p w14:paraId="5EA9D4E3">
      <w:pPr>
        <w:pStyle w:val="234"/>
      </w:pPr>
      <w:r>
        <w:t>f.遇有4级以上大风或重污染天气时，严禁土方开挖、回填等可能产生扬尘的作业；发布红色预警时，停止切施工作业。</w:t>
      </w:r>
    </w:p>
    <w:p w14:paraId="45F4A2CD">
      <w:pPr>
        <w:pStyle w:val="234"/>
      </w:pPr>
      <w:r>
        <w:fldChar w:fldCharType="begin"/>
      </w:r>
      <w:r>
        <w:instrText xml:space="preserve"> = 4 \* GB3 </w:instrText>
      </w:r>
      <w:r>
        <w:fldChar w:fldCharType="separate"/>
      </w:r>
      <w:r>
        <w:rPr>
          <w:rFonts w:hint="eastAsia" w:ascii="宋体" w:hAnsi="宋体" w:cs="宋体"/>
        </w:rPr>
        <w:t>④</w:t>
      </w:r>
      <w:r>
        <w:fldChar w:fldCharType="end"/>
      </w:r>
      <w:r>
        <w:t>粉状材料应罐装或袋装，禁止散装运输，严禁运输途中扬尘、散落，堆放应有篷布遮盖。土、砂、石料运输禁止超载，装高不得超出车厢板，并盖篷布，严禁沿途散落。</w:t>
      </w:r>
    </w:p>
    <w:p w14:paraId="40239B6F">
      <w:pPr>
        <w:pStyle w:val="234"/>
      </w:pPr>
      <w:r>
        <w:fldChar w:fldCharType="begin"/>
      </w:r>
      <w:r>
        <w:instrText xml:space="preserve"> = 5 \* GB3 </w:instrText>
      </w:r>
      <w:r>
        <w:fldChar w:fldCharType="separate"/>
      </w:r>
      <w:r>
        <w:rPr>
          <w:rFonts w:hint="eastAsia" w:ascii="宋体" w:hAnsi="宋体" w:cs="宋体"/>
        </w:rPr>
        <w:t>⑤</w:t>
      </w:r>
      <w:r>
        <w:fldChar w:fldCharType="end"/>
      </w:r>
      <w:r>
        <w:t>物料堆放场等应设在距居民区100m以外，并设在当地主导风向的下风向处。料场内由于积尘较大，进入料场的道路应经常洒水，使路面保持湿润，并敷设草包等，以减少由于汽车经过和风吹引起的道路扬尘。</w:t>
      </w:r>
    </w:p>
    <w:p w14:paraId="7F707221">
      <w:pPr>
        <w:pStyle w:val="234"/>
      </w:pPr>
      <w:r>
        <w:fldChar w:fldCharType="begin"/>
      </w:r>
      <w:r>
        <w:instrText xml:space="preserve"> = 6 \* GB3 </w:instrText>
      </w:r>
      <w:r>
        <w:fldChar w:fldCharType="separate"/>
      </w:r>
      <w:r>
        <w:rPr>
          <w:rFonts w:hint="eastAsia" w:ascii="宋体" w:hAnsi="宋体" w:cs="宋体"/>
        </w:rPr>
        <w:t>⑥</w:t>
      </w:r>
      <w:r>
        <w:fldChar w:fldCharType="end"/>
      </w:r>
      <w:r>
        <w:t>根据相关部门要求必要时编制重污染天气扬尘污染防治应急响应实施方案</w:t>
      </w:r>
      <w:r>
        <w:rPr>
          <w:rFonts w:hint="eastAsia"/>
        </w:rPr>
        <w:t>、重污染天气应急预案，根据当地政府发布的空气污染预警级别，及时采取应急应对措施</w:t>
      </w:r>
      <w:r>
        <w:t>。</w:t>
      </w:r>
    </w:p>
    <w:p w14:paraId="1955864E">
      <w:pPr>
        <w:pStyle w:val="234"/>
      </w:pPr>
      <w:r>
        <w:fldChar w:fldCharType="begin"/>
      </w:r>
      <w:r>
        <w:instrText xml:space="preserve"> = 7 \* GB3 </w:instrText>
      </w:r>
      <w:r>
        <w:fldChar w:fldCharType="separate"/>
      </w:r>
      <w:r>
        <w:rPr>
          <w:rFonts w:hint="eastAsia" w:ascii="宋体" w:hAnsi="宋体" w:cs="宋体"/>
        </w:rPr>
        <w:t>⑦</w:t>
      </w:r>
      <w:r>
        <w:fldChar w:fldCharType="end"/>
      </w:r>
      <w:r>
        <w:rPr>
          <w:rFonts w:hint="eastAsia"/>
        </w:rPr>
        <w:t>施工区域应100%围挡、裸土及物料堆放100%覆盖、施工场地100%洒水清扫、出入车辆100%冲洗、施工道路100%硬化、渣土车辆100%密闭运输。</w:t>
      </w:r>
    </w:p>
    <w:p w14:paraId="45626783">
      <w:pPr>
        <w:pStyle w:val="234"/>
      </w:pPr>
      <w:r>
        <w:rPr>
          <w:rFonts w:hint="eastAsia" w:ascii="宋体" w:hAnsi="宋体"/>
        </w:rPr>
        <w:t>⑧</w:t>
      </w:r>
      <w:r>
        <w:t>施工工地按照住房城乡建设部办公厅《关于进一步加强施工工地和道路扬尘管控工作的通知》（建办质〔2019〕23号）要求，严格落实各项防尘降尘管控措施。</w:t>
      </w:r>
    </w:p>
    <w:p w14:paraId="2AB86A5E">
      <w:pPr>
        <w:pStyle w:val="234"/>
      </w:pPr>
      <w:r>
        <w:t>（2）</w:t>
      </w:r>
      <w:r>
        <w:rPr>
          <w:rFonts w:hint="eastAsia"/>
        </w:rPr>
        <w:t>施工机械设备及车辆尾气</w:t>
      </w:r>
    </w:p>
    <w:p w14:paraId="1A61F351">
      <w:pPr>
        <w:pStyle w:val="234"/>
      </w:pPr>
      <w:r>
        <w:t>根据《非道路移动机械污染防治技术政策》（生态环境部</w:t>
      </w:r>
      <w:r>
        <w:rPr>
          <w:rFonts w:hint="eastAsia"/>
        </w:rPr>
        <w:t>公告</w:t>
      </w:r>
      <w:r>
        <w:t>2018年第34号）、《柴油货车污染治理攻坚战行动计划》（环大气〔2018〕179号）</w:t>
      </w:r>
      <w:r>
        <w:rPr>
          <w:rFonts w:hint="eastAsia"/>
        </w:rPr>
        <w:t>等相关</w:t>
      </w:r>
      <w:r>
        <w:t>要求，本次环评针对项目实施过程中非道路移动源的大气污染问题提出以下措施：</w:t>
      </w:r>
    </w:p>
    <w:p w14:paraId="4A66F5A8">
      <w:pPr>
        <w:pStyle w:val="234"/>
      </w:pPr>
      <w:r>
        <w:fldChar w:fldCharType="begin"/>
      </w:r>
      <w:r>
        <w:instrText xml:space="preserve"> = 1 \* GB3 </w:instrText>
      </w:r>
      <w:r>
        <w:fldChar w:fldCharType="separate"/>
      </w:r>
      <w:r>
        <w:rPr>
          <w:rFonts w:hint="eastAsia" w:ascii="宋体" w:hAnsi="宋体" w:cs="宋体"/>
        </w:rPr>
        <w:t>①</w:t>
      </w:r>
      <w:r>
        <w:fldChar w:fldCharType="end"/>
      </w:r>
      <w:r>
        <w:t>应使用达到国Ⅲ标准及以上非道路移动机械，禁止使用高排放、检测不达标的非道路移动机械；</w:t>
      </w:r>
    </w:p>
    <w:p w14:paraId="4A41A3A6">
      <w:pPr>
        <w:pStyle w:val="234"/>
      </w:pPr>
      <w:r>
        <w:fldChar w:fldCharType="begin"/>
      </w:r>
      <w:r>
        <w:instrText xml:space="preserve"> = 2 \* GB3 </w:instrText>
      </w:r>
      <w:r>
        <w:fldChar w:fldCharType="separate"/>
      </w:r>
      <w:r>
        <w:rPr>
          <w:rFonts w:hint="eastAsia" w:ascii="宋体" w:hAnsi="宋体" w:cs="宋体"/>
        </w:rPr>
        <w:t>②</w:t>
      </w:r>
      <w:r>
        <w:fldChar w:fldCharType="end"/>
      </w:r>
      <w:r>
        <w:t>非道路移动机械进入施工现场前，须由生态环境主管部门等有关部门检查合格后方可投入使用；</w:t>
      </w:r>
    </w:p>
    <w:p w14:paraId="19988B7B">
      <w:pPr>
        <w:pStyle w:val="234"/>
      </w:pPr>
      <w:r>
        <w:fldChar w:fldCharType="begin"/>
      </w:r>
      <w:r>
        <w:instrText xml:space="preserve"> = 3 \* GB3 </w:instrText>
      </w:r>
      <w:r>
        <w:fldChar w:fldCharType="separate"/>
      </w:r>
      <w:r>
        <w:rPr>
          <w:rFonts w:hint="eastAsia" w:ascii="宋体" w:hAnsi="宋体" w:cs="宋体"/>
        </w:rPr>
        <w:t>③</w:t>
      </w:r>
      <w:r>
        <w:fldChar w:fldCharType="end"/>
      </w:r>
      <w:r>
        <w:t>施工车辆及非道路移动机械应使用符合国六标准的汽柴油</w:t>
      </w:r>
      <w:r>
        <w:rPr>
          <w:rFonts w:hint="eastAsia"/>
        </w:rPr>
        <w:t>，按照机械设备使用说明要求做好机械设备的日常维护与保养工作</w:t>
      </w:r>
      <w:r>
        <w:t>。</w:t>
      </w:r>
    </w:p>
    <w:p w14:paraId="7537E6E1">
      <w:pPr>
        <w:pStyle w:val="234"/>
      </w:pPr>
      <w:r>
        <w:t>（3）焊接烟尘</w:t>
      </w:r>
    </w:p>
    <w:p w14:paraId="16EFB13F">
      <w:pPr>
        <w:pStyle w:val="234"/>
      </w:pPr>
      <w:r>
        <w:t>工程在设备安装、管道连接等均使用焊接，在焊接过程中将有一部分焊接烟气产生。其中对环境影响较大的主要是焊接烟尘。施工建设过程中，焊材使用量最大的工部为管道组焊，焊接烟尘主要集中在</w:t>
      </w:r>
      <w:r>
        <w:rPr>
          <w:rFonts w:hint="eastAsia"/>
        </w:rPr>
        <w:t>施工</w:t>
      </w:r>
      <w:r>
        <w:t>作业现场</w:t>
      </w:r>
      <w:r>
        <w:rPr>
          <w:rFonts w:hint="eastAsia"/>
        </w:rPr>
        <w:t>。</w:t>
      </w:r>
      <w:r>
        <w:t>本工程管道焊接采用分段焊接、分段组装的方式，焊接烟气比较分散，并且当施工结束后，该影响将随之消失。</w:t>
      </w:r>
    </w:p>
    <w:p w14:paraId="7519E832">
      <w:pPr>
        <w:pStyle w:val="234"/>
      </w:pPr>
      <w:r>
        <w:t>（4）防腐废气</w:t>
      </w:r>
    </w:p>
    <w:p w14:paraId="047453D3">
      <w:pPr>
        <w:pStyle w:val="234"/>
      </w:pPr>
      <w:r>
        <w:t>本工程施工期防腐废气产生量较小，且管道补口分段实施，挥发废气较为分散，</w:t>
      </w:r>
      <w:r>
        <w:rPr>
          <w:rFonts w:hint="eastAsia"/>
        </w:rPr>
        <w:t>且</w:t>
      </w:r>
      <w:r>
        <w:t>施工现场</w:t>
      </w:r>
      <w:r>
        <w:rPr>
          <w:kern w:val="0"/>
        </w:rPr>
        <w:t>空旷</w:t>
      </w:r>
      <w:r>
        <w:t>有利空气扩散得条件，因此对周边区域的环境影响很小。</w:t>
      </w:r>
    </w:p>
    <w:p w14:paraId="497DE024">
      <w:pPr>
        <w:pStyle w:val="234"/>
      </w:pPr>
      <w:r>
        <w:rPr>
          <w:rFonts w:hint="eastAsia"/>
        </w:rPr>
        <w:t>（5）涂装废气</w:t>
      </w:r>
    </w:p>
    <w:p w14:paraId="25B1F3F4">
      <w:pPr>
        <w:pStyle w:val="234"/>
      </w:pPr>
      <w:r>
        <w:rPr>
          <w:rFonts w:hint="eastAsia"/>
        </w:rPr>
        <w:t>工程施工期涂装废气产生量较小，涂装作业时间较短，且耒阳分输站所在地地势较为开阔，空气扩散条件较好，因此对周边区域的环境影响很小。</w:t>
      </w:r>
    </w:p>
    <w:p w14:paraId="3CFEF647">
      <w:pPr>
        <w:pStyle w:val="234"/>
      </w:pPr>
      <w:r>
        <w:t>（</w:t>
      </w:r>
      <w:r>
        <w:rPr>
          <w:rFonts w:hint="eastAsia"/>
        </w:rPr>
        <w:t>6</w:t>
      </w:r>
      <w:r>
        <w:t>）放空天然气</w:t>
      </w:r>
    </w:p>
    <w:p w14:paraId="14423F54">
      <w:pPr>
        <w:pStyle w:val="234"/>
        <w:rPr>
          <w:kern w:val="0"/>
        </w:rPr>
      </w:pPr>
      <w:r>
        <w:t>本工程</w:t>
      </w:r>
      <w:r>
        <w:rPr>
          <w:rFonts w:hint="eastAsia"/>
        </w:rPr>
        <w:t>耒阳分输站</w:t>
      </w:r>
      <w:r>
        <w:t>放空口应远离交通线和居民点，放空</w:t>
      </w:r>
      <w:r>
        <w:rPr>
          <w:rFonts w:hint="eastAsia"/>
        </w:rPr>
        <w:t>区周边</w:t>
      </w:r>
      <w:r>
        <w:t>设置临时警示带，不允许有烟火和静电火花产生。</w:t>
      </w:r>
      <w:r>
        <w:rPr>
          <w:kern w:val="0"/>
        </w:rPr>
        <w:t>且</w:t>
      </w:r>
      <w:r>
        <w:rPr>
          <w:rFonts w:hint="eastAsia"/>
          <w:kern w:val="0"/>
        </w:rPr>
        <w:t>耒阳</w:t>
      </w:r>
      <w:r>
        <w:rPr>
          <w:kern w:val="0"/>
        </w:rPr>
        <w:t>分输站放空区周围较空旷，有利于空气的扩散，因此放空天然气放空对环境影响较小。</w:t>
      </w:r>
    </w:p>
    <w:p w14:paraId="4198FF5E">
      <w:pPr>
        <w:pStyle w:val="234"/>
      </w:pPr>
      <w:r>
        <w:rPr>
          <w:rFonts w:hint="eastAsia"/>
        </w:rPr>
        <w:t>综上所述，本工程施工期大气污染防治措施有效可行，采取上述防治措施后，可以有效地降低施工期各种废气对周围大气环境的污染影响。</w:t>
      </w:r>
    </w:p>
    <w:p w14:paraId="33C6FE21">
      <w:pPr>
        <w:pStyle w:val="5"/>
        <w:rPr>
          <w:color w:val="auto"/>
        </w:rPr>
      </w:pPr>
      <w:r>
        <w:rPr>
          <w:rFonts w:hint="eastAsia"/>
          <w:color w:val="auto"/>
        </w:rPr>
        <w:t xml:space="preserve"> </w:t>
      </w:r>
      <w:r>
        <w:rPr>
          <w:color w:val="auto"/>
        </w:rPr>
        <w:t>废水污染防治措施</w:t>
      </w:r>
    </w:p>
    <w:p w14:paraId="1F27F249">
      <w:pPr>
        <w:pStyle w:val="234"/>
      </w:pPr>
      <w:r>
        <w:t>施工期废水主要来自施工人员在施工作业中产生的生活污水及管道安装完后清管、试压中排放的试压排水。</w:t>
      </w:r>
    </w:p>
    <w:p w14:paraId="0E500244">
      <w:pPr>
        <w:pStyle w:val="234"/>
      </w:pPr>
      <w:r>
        <w:t>（</w:t>
      </w:r>
      <w:r>
        <w:rPr>
          <w:rFonts w:hint="eastAsia"/>
          <w:lang w:val="en-US" w:eastAsia="zh-CN"/>
        </w:rPr>
        <w:t>1</w:t>
      </w:r>
      <w:r>
        <w:t xml:space="preserve">）生活污水 </w:t>
      </w:r>
    </w:p>
    <w:p w14:paraId="68DAA42C">
      <w:pPr>
        <w:pStyle w:val="234"/>
      </w:pPr>
      <w:r>
        <w:t>施工生活污水</w:t>
      </w:r>
      <w:r>
        <w:rPr>
          <w:rFonts w:hint="eastAsia"/>
        </w:rPr>
        <w:t>排入当地农村现有设施处理，严禁</w:t>
      </w:r>
      <w:r>
        <w:t>生活污水</w:t>
      </w:r>
      <w:r>
        <w:rPr>
          <w:rFonts w:hint="eastAsia"/>
        </w:rPr>
        <w:t>排入</w:t>
      </w:r>
      <w:r>
        <w:t>河道。</w:t>
      </w:r>
    </w:p>
    <w:p w14:paraId="0C60E276">
      <w:pPr>
        <w:pStyle w:val="234"/>
      </w:pPr>
      <w:r>
        <w:t>（</w:t>
      </w:r>
      <w:r>
        <w:rPr>
          <w:rFonts w:hint="eastAsia"/>
          <w:lang w:val="en-US" w:eastAsia="zh-CN"/>
        </w:rPr>
        <w:t>2</w:t>
      </w:r>
      <w:r>
        <w:t xml:space="preserve">）清管试压排水 </w:t>
      </w:r>
    </w:p>
    <w:p w14:paraId="04C545E1">
      <w:pPr>
        <w:pStyle w:val="234"/>
      </w:pPr>
      <w:r>
        <w:t>本工程试压以测试管道的强度和密闭性，试压介质为清洁水。清管试压排水主要污染物为悬浮物，</w:t>
      </w:r>
      <w:r>
        <w:rPr>
          <w:rFonts w:hint="eastAsia"/>
        </w:rPr>
        <w:t>采用过滤处理后回用于农田灌溉、道路洒水等。</w:t>
      </w:r>
      <w:r>
        <w:t>施工期试压排水对周边地表水环境影响不大。</w:t>
      </w:r>
    </w:p>
    <w:p w14:paraId="3FAFE4F6">
      <w:pPr>
        <w:pStyle w:val="234"/>
      </w:pPr>
      <w:r>
        <w:t>（</w:t>
      </w:r>
      <w:r>
        <w:rPr>
          <w:rFonts w:hint="eastAsia"/>
          <w:lang w:val="en-US" w:eastAsia="zh-CN"/>
        </w:rPr>
        <w:t>3</w:t>
      </w:r>
      <w:r>
        <w:t>）优化施工时序安排，缩短施工时间，并尽量避免在雨季施工。</w:t>
      </w:r>
    </w:p>
    <w:p w14:paraId="5A184E27">
      <w:pPr>
        <w:pStyle w:val="234"/>
        <w:rPr>
          <w:rFonts w:hint="eastAsia"/>
          <w:lang w:eastAsia="zh-CN"/>
        </w:rPr>
      </w:pPr>
      <w:r>
        <w:t>（</w:t>
      </w:r>
      <w:r>
        <w:rPr>
          <w:rFonts w:hint="eastAsia"/>
          <w:lang w:val="en-US" w:eastAsia="zh-CN"/>
        </w:rPr>
        <w:t>4</w:t>
      </w:r>
      <w:r>
        <w:t>）禁止在开挖管沟内给施工机械加油、清洗施工机械和排放污水，防止漏油、生活污水污染土壤和地下水；加强施工机械管理，柴油机油箱底部设置防渗托盘</w:t>
      </w:r>
      <w:r>
        <w:rPr>
          <w:rFonts w:hint="eastAsia"/>
          <w:lang w:eastAsia="zh-CN"/>
        </w:rPr>
        <w:t>。</w:t>
      </w:r>
    </w:p>
    <w:p w14:paraId="16D18CDA">
      <w:pPr>
        <w:pStyle w:val="234"/>
      </w:pPr>
      <w:r>
        <w:rPr>
          <w:rFonts w:hint="eastAsia"/>
          <w:lang w:eastAsia="zh-CN"/>
        </w:rPr>
        <w:t>（</w:t>
      </w:r>
      <w:r>
        <w:rPr>
          <w:rFonts w:hint="eastAsia"/>
          <w:lang w:val="en-US" w:eastAsia="zh-CN"/>
        </w:rPr>
        <w:t>5</w:t>
      </w:r>
      <w:r>
        <w:rPr>
          <w:rFonts w:hint="eastAsia"/>
          <w:lang w:eastAsia="zh-CN"/>
        </w:rPr>
        <w:t>）</w:t>
      </w:r>
      <w:r>
        <w:rPr>
          <w:rFonts w:hint="eastAsia"/>
          <w:lang w:val="en-US" w:eastAsia="zh-CN"/>
        </w:rPr>
        <w:t>施工机械不在施工现场清洗</w:t>
      </w:r>
      <w:r>
        <w:t>。</w:t>
      </w:r>
    </w:p>
    <w:p w14:paraId="4658EFBE">
      <w:pPr>
        <w:pStyle w:val="234"/>
      </w:pPr>
      <w:r>
        <w:rPr>
          <w:rFonts w:hint="eastAsia"/>
        </w:rPr>
        <w:t>综上所述，通过采取相关治理措施后，可有效控制工程施工</w:t>
      </w:r>
      <w:r>
        <w:rPr>
          <w:rFonts w:hint="eastAsia"/>
          <w:lang w:val="en-US" w:eastAsia="zh-CN"/>
        </w:rPr>
        <w:t>期</w:t>
      </w:r>
      <w:r>
        <w:rPr>
          <w:rFonts w:hint="eastAsia"/>
        </w:rPr>
        <w:t>废水直接排入地表水体，可将施工对区域地表水环境的影响降到最低，施工</w:t>
      </w:r>
      <w:r>
        <w:rPr>
          <w:rFonts w:hint="eastAsia"/>
          <w:lang w:val="en-US" w:eastAsia="zh-CN"/>
        </w:rPr>
        <w:t>期</w:t>
      </w:r>
      <w:r>
        <w:rPr>
          <w:rFonts w:hint="eastAsia"/>
        </w:rPr>
        <w:t>废水治理措施可行。</w:t>
      </w:r>
    </w:p>
    <w:p w14:paraId="7B42167C">
      <w:pPr>
        <w:pStyle w:val="5"/>
        <w:rPr>
          <w:color w:val="auto"/>
        </w:rPr>
      </w:pPr>
      <w:r>
        <w:rPr>
          <w:rFonts w:hint="eastAsia"/>
          <w:color w:val="auto"/>
        </w:rPr>
        <w:t xml:space="preserve"> </w:t>
      </w:r>
      <w:r>
        <w:rPr>
          <w:color w:val="auto"/>
        </w:rPr>
        <w:t>噪声污染防治措施</w:t>
      </w:r>
    </w:p>
    <w:p w14:paraId="7D614AE2">
      <w:pPr>
        <w:pStyle w:val="234"/>
      </w:pPr>
      <w:r>
        <w:t>施工期噪声源主要来自施工作业</w:t>
      </w:r>
      <w:r>
        <w:rPr>
          <w:spacing w:val="-1"/>
        </w:rPr>
        <w:t>挖掘机、电焊机、</w:t>
      </w:r>
      <w:r>
        <w:t>吊管机、载重汽车、柴油发电机等，其强度</w:t>
      </w:r>
      <w:r>
        <w:rPr>
          <w:rFonts w:hint="eastAsia"/>
        </w:rPr>
        <w:t>距离施工机械及车辆5m处</w:t>
      </w:r>
      <w:r>
        <w:t>在81dB（A）～100dB（A）</w:t>
      </w:r>
      <w:r>
        <w:rPr>
          <w:rFonts w:hint="eastAsia"/>
        </w:rPr>
        <w:t>之间，以及28号阀室动火放空噪声，强度在95</w:t>
      </w:r>
      <w:r>
        <w:t>dB（A）～10</w:t>
      </w:r>
      <w:r>
        <w:rPr>
          <w:rFonts w:hint="eastAsia"/>
        </w:rPr>
        <w:t>5</w:t>
      </w:r>
      <w:r>
        <w:t>dB（A）</w:t>
      </w:r>
      <w:r>
        <w:rPr>
          <w:rFonts w:hint="eastAsia"/>
        </w:rPr>
        <w:t>之间</w:t>
      </w:r>
      <w:r>
        <w:t>。施工期拟采取如下噪声防治措施：</w:t>
      </w:r>
    </w:p>
    <w:p w14:paraId="65CC8463">
      <w:pPr>
        <w:pStyle w:val="234"/>
      </w:pPr>
      <w:r>
        <w:t>（1）施工单位必须选用符合国家有关标准的施工机具和运输车辆，尽量选用低噪声的施工机械和工艺，振动较大的固定机械设备应加装减振机座，同时加强各类施工设备的维护和保养，保持其良好的工况，以便从根本上降低噪声源强。</w:t>
      </w:r>
    </w:p>
    <w:p w14:paraId="33833BD4">
      <w:pPr>
        <w:pStyle w:val="234"/>
      </w:pPr>
      <w:r>
        <w:rPr>
          <w:rFonts w:hint="eastAsia"/>
        </w:rPr>
        <w:t>（2）合理安排施工时间，提高操作水平，</w:t>
      </w:r>
      <w:r>
        <w:t>严格执行当地政府控制规定，严禁在晚上10时至次日6时进行高噪声施工，夜间施工应向环保部门申请，批准后才能根据规定施工</w:t>
      </w:r>
      <w:r>
        <w:rPr>
          <w:rFonts w:hint="eastAsia"/>
        </w:rPr>
        <w:t>，与周围居民做好沟通工作，减少对敏感点的影响，防止发生噪声扰民现象。</w:t>
      </w:r>
    </w:p>
    <w:p w14:paraId="4262570A">
      <w:pPr>
        <w:pStyle w:val="234"/>
      </w:pPr>
      <w:r>
        <w:rPr>
          <w:rFonts w:hint="eastAsia"/>
        </w:rPr>
        <w:t>（3）施工过程中可根据情况适当建立移动式隔声屏障，尤其距离村庄较近一侧。</w:t>
      </w:r>
    </w:p>
    <w:p w14:paraId="33406FAF">
      <w:pPr>
        <w:pStyle w:val="234"/>
      </w:pPr>
      <w:r>
        <w:rPr>
          <w:rFonts w:hint="eastAsia"/>
        </w:rPr>
        <w:t>（4）合理布局施工现场，避免在同一地点安排大量动力机械设备同时施工，以免局部声级过高。</w:t>
      </w:r>
    </w:p>
    <w:p w14:paraId="558AA87F">
      <w:pPr>
        <w:pStyle w:val="234"/>
      </w:pPr>
      <w:r>
        <w:rPr>
          <w:rFonts w:hint="eastAsia"/>
        </w:rPr>
        <w:t>（5）制定合理的运输线路，严禁运输车辆及其他施工车辆进出施工现场、路过村镇时鸣笛。</w:t>
      </w:r>
    </w:p>
    <w:p w14:paraId="57E76491">
      <w:pPr>
        <w:pStyle w:val="234"/>
      </w:pPr>
      <w:r>
        <w:rPr>
          <w:rFonts w:hint="eastAsia"/>
        </w:rPr>
        <w:t>（6）按照《非道路移动机械污染防治技术政策》（生态环境部公告2018年第34号）要求，加强非道路移动机械的噪声控制。禁止任何单位或个人擅自拆除弃用非道路移动机械的消声、隔声和吸声装置，加强对噪声控制装置的维护保养。</w:t>
      </w:r>
    </w:p>
    <w:p w14:paraId="1FEC18F6">
      <w:pPr>
        <w:pStyle w:val="234"/>
      </w:pPr>
      <w:r>
        <w:t>（7）</w:t>
      </w:r>
      <w:r>
        <w:rPr>
          <w:rFonts w:hint="eastAsia"/>
        </w:rPr>
        <w:t>对高噪声设备的底座安装减振器，通过基础减振来降低噪声影响，安装局部隔声罩和部分吸声结构，以降低高噪声设备噪声传播的强度。</w:t>
      </w:r>
    </w:p>
    <w:p w14:paraId="11645BB3">
      <w:pPr>
        <w:pStyle w:val="234"/>
      </w:pPr>
      <w:r>
        <w:t>（8）</w:t>
      </w:r>
      <w:r>
        <w:rPr>
          <w:rFonts w:hint="eastAsia"/>
        </w:rPr>
        <w:t>做好环保法制宣传工作，加强现场科学管理，增强施工人员的环境保护意识，提倡文明施工，提高防止噪声扰民的自觉性，减少人为噪声污染。</w:t>
      </w:r>
    </w:p>
    <w:p w14:paraId="7F58D451">
      <w:pPr>
        <w:pStyle w:val="234"/>
      </w:pPr>
      <w:r>
        <w:rPr>
          <w:rFonts w:hint="eastAsia"/>
        </w:rPr>
        <w:t>（9）合理安排放空时间，建设单位在发生超压放空时，应及时与当地环保主管部门报备，及时告知周围居民，并与周边居民做好充分沟通，积极配合地方政府开展告知及安抚工作</w:t>
      </w:r>
      <w:r>
        <w:t>。</w:t>
      </w:r>
    </w:p>
    <w:p w14:paraId="571C93BA">
      <w:pPr>
        <w:pStyle w:val="234"/>
      </w:pPr>
      <w:r>
        <w:rPr>
          <w:rFonts w:hint="eastAsia"/>
        </w:rPr>
        <w:t>施工噪声影响具有暂时性和局部性。施工噪声影响随着施工结束而结束。采取以上措施能有效降低施工现场的施工噪声，噪声污染能降低到可接受水平。</w:t>
      </w:r>
    </w:p>
    <w:p w14:paraId="613FBCDA">
      <w:pPr>
        <w:pStyle w:val="5"/>
        <w:rPr>
          <w:color w:val="auto"/>
        </w:rPr>
      </w:pPr>
      <w:r>
        <w:rPr>
          <w:color w:val="auto"/>
        </w:rPr>
        <w:t xml:space="preserve"> 固体废物污染防治措施</w:t>
      </w:r>
    </w:p>
    <w:p w14:paraId="1A278963">
      <w:pPr>
        <w:pStyle w:val="234"/>
      </w:pPr>
      <w:r>
        <w:t>施工期产生的固体废物主要为工程施工废料</w:t>
      </w:r>
      <w:r>
        <w:rPr>
          <w:rFonts w:hint="eastAsia"/>
        </w:rPr>
        <w:t>、清管废渣、建筑垃圾</w:t>
      </w:r>
      <w:r>
        <w:t>、生活垃圾等。</w:t>
      </w:r>
    </w:p>
    <w:p w14:paraId="6178393C">
      <w:pPr>
        <w:pStyle w:val="234"/>
        <w:rPr>
          <w:kern w:val="0"/>
        </w:rPr>
      </w:pPr>
      <w:r>
        <w:t>（1）</w:t>
      </w:r>
      <w:r>
        <w:rPr>
          <w:kern w:val="0"/>
        </w:rPr>
        <w:t>施工废料</w:t>
      </w:r>
    </w:p>
    <w:p w14:paraId="354E231F">
      <w:pPr>
        <w:pStyle w:val="234"/>
      </w:pPr>
      <w:r>
        <w:t>根据工程分析</w:t>
      </w:r>
      <w:r>
        <w:rPr>
          <w:rFonts w:hint="eastAsia"/>
        </w:rPr>
        <w:t>，本工程</w:t>
      </w:r>
      <w:r>
        <w:t>施工废料包括废焊头焊渣、废防腐材料等，施工废料部分回收利用，剩余废料交由工业废物回收单位处置。</w:t>
      </w:r>
    </w:p>
    <w:p w14:paraId="38071115">
      <w:pPr>
        <w:pStyle w:val="234"/>
      </w:pPr>
      <w:r>
        <w:rPr>
          <w:rFonts w:hint="eastAsia"/>
        </w:rPr>
        <w:t>（2）清管废渣</w:t>
      </w:r>
    </w:p>
    <w:p w14:paraId="29C74479">
      <w:pPr>
        <w:pStyle w:val="234"/>
      </w:pPr>
      <w:r>
        <w:rPr>
          <w:rFonts w:hint="eastAsia"/>
        </w:rPr>
        <w:t>本工程清管废渣产生量较少，及时清运至环卫部门指定地点集中处置。</w:t>
      </w:r>
    </w:p>
    <w:p w14:paraId="0C177990">
      <w:pPr>
        <w:pStyle w:val="234"/>
      </w:pPr>
      <w:r>
        <w:rPr>
          <w:rFonts w:hint="eastAsia"/>
        </w:rPr>
        <w:t>（3）建筑垃圾</w:t>
      </w:r>
    </w:p>
    <w:p w14:paraId="588E591A">
      <w:pPr>
        <w:pStyle w:val="234"/>
      </w:pPr>
      <w:r>
        <w:rPr>
          <w:rFonts w:hint="eastAsia"/>
        </w:rPr>
        <w:t>本工程建筑垃圾清运至当地政府指定建筑垃圾消纳场进行处理。</w:t>
      </w:r>
    </w:p>
    <w:p w14:paraId="006B5EA0">
      <w:pPr>
        <w:pStyle w:val="234"/>
      </w:pPr>
      <w:r>
        <w:rPr>
          <w:rFonts w:hint="eastAsia"/>
        </w:rPr>
        <w:t>（4）废油漆桶</w:t>
      </w:r>
    </w:p>
    <w:p w14:paraId="0145C142">
      <w:pPr>
        <w:pStyle w:val="234"/>
      </w:pPr>
      <w:r>
        <w:rPr>
          <w:rFonts w:hint="eastAsia"/>
        </w:rPr>
        <w:t>本工程涂装作业时间较短，废油漆桶产生量较少，涂装作业结束后及时委托有资质单位拉运处理。</w:t>
      </w:r>
    </w:p>
    <w:p w14:paraId="06BD2492">
      <w:pPr>
        <w:pStyle w:val="234"/>
      </w:pPr>
      <w:r>
        <w:t>（</w:t>
      </w:r>
      <w:r>
        <w:rPr>
          <w:rFonts w:hint="eastAsia"/>
        </w:rPr>
        <w:t>5</w:t>
      </w:r>
      <w:r>
        <w:t>）生活垃圾</w:t>
      </w:r>
    </w:p>
    <w:p w14:paraId="466BA68F">
      <w:pPr>
        <w:pStyle w:val="234"/>
      </w:pPr>
      <w:r>
        <w:rPr>
          <w:rFonts w:hint="eastAsia"/>
        </w:rPr>
        <w:t>本工程</w:t>
      </w:r>
      <w:r>
        <w:t>施工人员生活垃圾经分类收集后，</w:t>
      </w:r>
      <w:r>
        <w:rPr>
          <w:rFonts w:hint="eastAsia"/>
        </w:rPr>
        <w:t>交由</w:t>
      </w:r>
      <w:r>
        <w:rPr>
          <w:spacing w:val="-1"/>
        </w:rPr>
        <w:t>当地环卫部门</w:t>
      </w:r>
      <w:r>
        <w:rPr>
          <w:rFonts w:hint="eastAsia"/>
          <w:spacing w:val="-1"/>
        </w:rPr>
        <w:t>清运</w:t>
      </w:r>
      <w:r>
        <w:rPr>
          <w:spacing w:val="-1"/>
        </w:rPr>
        <w:t>处置。</w:t>
      </w:r>
    </w:p>
    <w:p w14:paraId="0E2D4FA8">
      <w:pPr>
        <w:pStyle w:val="234"/>
        <w:rPr>
          <w:rFonts w:hint="eastAsia"/>
        </w:rPr>
      </w:pPr>
      <w:r>
        <w:rPr>
          <w:rFonts w:hint="eastAsia"/>
        </w:rPr>
        <w:t>综上所述，施工期固体废物均得到合理妥善的处置，措施可行。</w:t>
      </w:r>
    </w:p>
    <w:p w14:paraId="4848C01B">
      <w:pPr>
        <w:pStyle w:val="5"/>
        <w:rPr>
          <w:color w:val="auto"/>
          <w:highlight w:val="none"/>
        </w:rPr>
      </w:pPr>
      <w:r>
        <w:rPr>
          <w:color w:val="auto"/>
          <w:highlight w:val="none"/>
        </w:rPr>
        <w:t xml:space="preserve"> </w:t>
      </w:r>
      <w:r>
        <w:rPr>
          <w:rFonts w:hint="eastAsia"/>
          <w:color w:val="auto"/>
          <w:highlight w:val="none"/>
          <w:lang w:val="en-US" w:eastAsia="zh-CN"/>
        </w:rPr>
        <w:t>环境敏感目标保护</w:t>
      </w:r>
      <w:r>
        <w:rPr>
          <w:color w:val="auto"/>
          <w:highlight w:val="none"/>
        </w:rPr>
        <w:t>措施</w:t>
      </w:r>
    </w:p>
    <w:p w14:paraId="1FC2CC49">
      <w:pPr>
        <w:pStyle w:val="234"/>
        <w:rPr>
          <w:rFonts w:hint="eastAsia" w:ascii="Times New Roman" w:hAnsi="Times New Roman" w:eastAsia="宋体" w:cs="Times New Roman"/>
          <w:i/>
          <w:iCs/>
          <w:color w:val="auto"/>
          <w:highlight w:val="none"/>
          <w:u w:val="single"/>
          <w:lang w:val="en-US" w:eastAsia="zh-CN"/>
        </w:rPr>
      </w:pPr>
      <w:r>
        <w:rPr>
          <w:rFonts w:hint="eastAsia" w:ascii="Times New Roman" w:hAnsi="Times New Roman" w:eastAsia="宋体" w:cs="Times New Roman"/>
          <w:i/>
          <w:iCs/>
          <w:color w:val="auto"/>
          <w:highlight w:val="none"/>
          <w:u w:val="single"/>
          <w:lang w:val="en-US" w:eastAsia="zh-CN"/>
        </w:rPr>
        <w:t>本工程对沿线环境敏感目标的影响主要是</w:t>
      </w:r>
      <w:r>
        <w:rPr>
          <w:rFonts w:hint="eastAsia" w:ascii="Times New Roman" w:hAnsi="Times New Roman" w:eastAsia="宋体" w:cs="Times New Roman"/>
          <w:i/>
          <w:iCs/>
          <w:color w:val="auto"/>
          <w:highlight w:val="none"/>
          <w:u w:val="single"/>
        </w:rPr>
        <w:t>施工机械、车辆排放的废气、扬尘</w:t>
      </w:r>
      <w:r>
        <w:rPr>
          <w:rFonts w:hint="eastAsia" w:ascii="Times New Roman" w:hAnsi="Times New Roman" w:eastAsia="宋体" w:cs="Times New Roman"/>
          <w:i/>
          <w:iCs/>
          <w:color w:val="auto"/>
          <w:highlight w:val="none"/>
          <w:u w:val="single"/>
          <w:lang w:val="en-US" w:eastAsia="zh-CN"/>
        </w:rPr>
        <w:t>和</w:t>
      </w:r>
      <w:r>
        <w:rPr>
          <w:rFonts w:hint="eastAsia" w:ascii="Times New Roman" w:hAnsi="Times New Roman" w:eastAsia="宋体" w:cs="Times New Roman"/>
          <w:i/>
          <w:iCs/>
          <w:color w:val="auto"/>
          <w:highlight w:val="none"/>
          <w:u w:val="single"/>
        </w:rPr>
        <w:t>噪声影响</w:t>
      </w:r>
      <w:r>
        <w:rPr>
          <w:rFonts w:hint="eastAsia" w:ascii="Times New Roman" w:hAnsi="Times New Roman" w:eastAsia="宋体" w:cs="Times New Roman"/>
          <w:i/>
          <w:iCs/>
          <w:color w:val="auto"/>
          <w:highlight w:val="none"/>
          <w:u w:val="single"/>
          <w:lang w:eastAsia="zh-CN"/>
        </w:rPr>
        <w:t>。</w:t>
      </w:r>
      <w:r>
        <w:rPr>
          <w:rFonts w:hint="eastAsia" w:ascii="Times New Roman" w:hAnsi="Times New Roman" w:eastAsia="宋体" w:cs="Times New Roman"/>
          <w:i/>
          <w:iCs/>
          <w:color w:val="auto"/>
          <w:highlight w:val="none"/>
          <w:u w:val="single"/>
          <w:lang w:val="en-US" w:eastAsia="zh-CN"/>
        </w:rPr>
        <w:t>针对环境敏感目标，采取的主要环境保护措施如下：</w:t>
      </w:r>
    </w:p>
    <w:p w14:paraId="633366A8">
      <w:pPr>
        <w:pStyle w:val="234"/>
        <w:rPr>
          <w:rFonts w:hint="eastAsia" w:ascii="Times New Roman" w:hAnsi="Times New Roman" w:eastAsia="宋体" w:cs="Times New Roman"/>
          <w:i/>
          <w:iCs/>
          <w:color w:val="auto"/>
          <w:highlight w:val="none"/>
          <w:u w:val="single"/>
        </w:rPr>
      </w:pPr>
      <w:r>
        <w:rPr>
          <w:rFonts w:hint="eastAsia" w:ascii="Times New Roman" w:hAnsi="Times New Roman" w:eastAsia="宋体" w:cs="Times New Roman"/>
          <w:i/>
          <w:iCs/>
          <w:color w:val="auto"/>
          <w:highlight w:val="none"/>
          <w:u w:val="single"/>
          <w:lang w:eastAsia="zh-CN"/>
        </w:rPr>
        <w:t>（</w:t>
      </w:r>
      <w:r>
        <w:rPr>
          <w:rFonts w:hint="eastAsia" w:ascii="Times New Roman" w:hAnsi="Times New Roman" w:eastAsia="宋体" w:cs="Times New Roman"/>
          <w:i/>
          <w:iCs/>
          <w:color w:val="auto"/>
          <w:highlight w:val="none"/>
          <w:u w:val="single"/>
          <w:lang w:val="en-US" w:eastAsia="zh-CN"/>
        </w:rPr>
        <w:t>1</w:t>
      </w:r>
      <w:r>
        <w:rPr>
          <w:rFonts w:hint="eastAsia" w:ascii="Times New Roman" w:hAnsi="Times New Roman" w:eastAsia="宋体" w:cs="Times New Roman"/>
          <w:i/>
          <w:iCs/>
          <w:color w:val="auto"/>
          <w:highlight w:val="none"/>
          <w:u w:val="single"/>
          <w:lang w:eastAsia="zh-CN"/>
        </w:rPr>
        <w:t>）</w:t>
      </w:r>
      <w:r>
        <w:rPr>
          <w:rFonts w:hint="eastAsia" w:ascii="Times New Roman" w:hAnsi="Times New Roman" w:eastAsia="宋体" w:cs="Times New Roman"/>
          <w:i/>
          <w:iCs/>
          <w:color w:val="auto"/>
          <w:highlight w:val="none"/>
          <w:u w:val="single"/>
        </w:rPr>
        <w:t>施工时应采用土工布对料堆进行覆盖，工地应实施半封闭隔离施工，如防尘隔声护围，以减轻施工扬尘及噪声对周围环境的影响。</w:t>
      </w:r>
    </w:p>
    <w:p w14:paraId="5D31073A">
      <w:pPr>
        <w:pStyle w:val="234"/>
        <w:rPr>
          <w:rFonts w:hint="default" w:ascii="Times New Roman" w:hAnsi="Times New Roman" w:eastAsia="宋体" w:cs="Times New Roman"/>
          <w:i/>
          <w:iCs/>
          <w:color w:val="auto"/>
          <w:highlight w:val="none"/>
          <w:u w:val="single"/>
          <w:lang w:eastAsia="zh-CN"/>
        </w:rPr>
      </w:pPr>
      <w:bookmarkStart w:id="236" w:name="_Toc72672370"/>
      <w:bookmarkStart w:id="237" w:name="_Toc8674"/>
      <w:r>
        <w:rPr>
          <w:rFonts w:hint="default" w:ascii="Times New Roman" w:hAnsi="Times New Roman" w:eastAsia="宋体" w:cs="Times New Roman"/>
          <w:i/>
          <w:iCs/>
          <w:color w:val="auto"/>
          <w:highlight w:val="none"/>
          <w:u w:val="single"/>
          <w:lang w:eastAsia="zh-CN"/>
        </w:rPr>
        <w:t>（</w:t>
      </w:r>
      <w:r>
        <w:rPr>
          <w:rFonts w:hint="eastAsia" w:ascii="Times New Roman" w:hAnsi="Times New Roman" w:eastAsia="宋体" w:cs="Times New Roman"/>
          <w:i/>
          <w:iCs/>
          <w:color w:val="auto"/>
          <w:highlight w:val="none"/>
          <w:u w:val="single"/>
          <w:lang w:val="en-US" w:eastAsia="zh-CN"/>
        </w:rPr>
        <w:t>2</w:t>
      </w:r>
      <w:r>
        <w:rPr>
          <w:rFonts w:hint="default" w:ascii="Times New Roman" w:hAnsi="Times New Roman" w:eastAsia="宋体" w:cs="Times New Roman"/>
          <w:i/>
          <w:iCs/>
          <w:color w:val="auto"/>
          <w:highlight w:val="none"/>
          <w:u w:val="single"/>
          <w:lang w:eastAsia="zh-CN"/>
        </w:rPr>
        <w:t>）施工现场土方开挖作业配备喷雾式降尘器喷雾降尘，采取湿法作业。</w:t>
      </w:r>
    </w:p>
    <w:p w14:paraId="3A86DCF3">
      <w:pPr>
        <w:pStyle w:val="234"/>
        <w:rPr>
          <w:rFonts w:hint="default" w:ascii="Times New Roman" w:hAnsi="Times New Roman" w:eastAsia="宋体" w:cs="Times New Roman"/>
          <w:i/>
          <w:iCs/>
          <w:color w:val="auto"/>
          <w:highlight w:val="none"/>
          <w:u w:val="single"/>
          <w:lang w:eastAsia="zh-CN"/>
        </w:rPr>
      </w:pPr>
      <w:r>
        <w:rPr>
          <w:rFonts w:hint="default" w:ascii="Times New Roman" w:hAnsi="Times New Roman" w:eastAsia="宋体" w:cs="Times New Roman"/>
          <w:i/>
          <w:iCs/>
          <w:color w:val="auto"/>
          <w:highlight w:val="none"/>
          <w:u w:val="single"/>
          <w:lang w:eastAsia="zh-CN"/>
        </w:rPr>
        <w:t>（</w:t>
      </w:r>
      <w:r>
        <w:rPr>
          <w:rFonts w:hint="eastAsia" w:ascii="Times New Roman" w:hAnsi="Times New Roman" w:eastAsia="宋体" w:cs="Times New Roman"/>
          <w:i/>
          <w:iCs/>
          <w:color w:val="auto"/>
          <w:highlight w:val="none"/>
          <w:u w:val="single"/>
          <w:lang w:val="en-US" w:eastAsia="zh-CN"/>
        </w:rPr>
        <w:t>3</w:t>
      </w:r>
      <w:r>
        <w:rPr>
          <w:rFonts w:hint="default" w:ascii="Times New Roman" w:hAnsi="Times New Roman" w:eastAsia="宋体" w:cs="Times New Roman"/>
          <w:i/>
          <w:iCs/>
          <w:color w:val="auto"/>
          <w:highlight w:val="none"/>
          <w:u w:val="single"/>
          <w:lang w:eastAsia="zh-CN"/>
        </w:rPr>
        <w:t>）加强施工机械和车辆的管理，禁止使用排放不达标的施工机械和车辆。</w:t>
      </w:r>
    </w:p>
    <w:p w14:paraId="6F3ABFA1">
      <w:pPr>
        <w:pStyle w:val="234"/>
        <w:rPr>
          <w:rFonts w:hint="default" w:ascii="Times New Roman" w:hAnsi="Times New Roman" w:eastAsia="宋体" w:cs="Times New Roman"/>
          <w:i/>
          <w:iCs/>
          <w:color w:val="auto"/>
          <w:highlight w:val="none"/>
          <w:u w:val="single"/>
          <w:lang w:val="en-US" w:eastAsia="zh-CN"/>
        </w:rPr>
      </w:pPr>
      <w:r>
        <w:rPr>
          <w:rFonts w:hint="default" w:ascii="Times New Roman" w:hAnsi="Times New Roman" w:eastAsia="宋体" w:cs="Times New Roman"/>
          <w:i/>
          <w:iCs/>
          <w:color w:val="auto"/>
          <w:highlight w:val="none"/>
          <w:u w:val="single"/>
          <w:lang w:eastAsia="zh-CN"/>
        </w:rPr>
        <w:t>（</w:t>
      </w:r>
      <w:r>
        <w:rPr>
          <w:rFonts w:hint="eastAsia" w:ascii="Times New Roman" w:hAnsi="Times New Roman" w:eastAsia="宋体" w:cs="Times New Roman"/>
          <w:i/>
          <w:iCs/>
          <w:color w:val="auto"/>
          <w:highlight w:val="none"/>
          <w:u w:val="single"/>
          <w:lang w:val="en-US" w:eastAsia="zh-CN"/>
        </w:rPr>
        <w:t>4</w:t>
      </w:r>
      <w:r>
        <w:rPr>
          <w:rFonts w:hint="default" w:ascii="Times New Roman" w:hAnsi="Times New Roman" w:eastAsia="宋体" w:cs="Times New Roman"/>
          <w:i/>
          <w:iCs/>
          <w:color w:val="auto"/>
          <w:highlight w:val="none"/>
          <w:u w:val="single"/>
          <w:lang w:eastAsia="zh-CN"/>
        </w:rPr>
        <w:t>）</w:t>
      </w:r>
      <w:r>
        <w:rPr>
          <w:rFonts w:hint="default" w:ascii="Times New Roman" w:hAnsi="Times New Roman" w:eastAsia="宋体" w:cs="Times New Roman"/>
          <w:i/>
          <w:iCs/>
          <w:color w:val="auto"/>
          <w:highlight w:val="none"/>
          <w:u w:val="single"/>
          <w:lang w:val="en-US" w:eastAsia="zh-CN"/>
        </w:rPr>
        <w:t>保持运输车辆完好，不过满装载，尽量采取遮盖、密闭措施，减少沿程抛洒，及时清扫散落在路面上的泥土和建筑材料，冲洗轮胎，定时洒水压尘，减少运输过程中的扬尘。</w:t>
      </w:r>
    </w:p>
    <w:p w14:paraId="38D95A71">
      <w:pPr>
        <w:pStyle w:val="234"/>
        <w:rPr>
          <w:rFonts w:hint="default" w:ascii="Times New Roman" w:hAnsi="Times New Roman" w:eastAsia="宋体" w:cs="Times New Roman"/>
          <w:i/>
          <w:iCs/>
          <w:color w:val="auto"/>
          <w:highlight w:val="none"/>
          <w:u w:val="single"/>
          <w:lang w:val="en-US" w:eastAsia="zh-CN"/>
        </w:rPr>
      </w:pPr>
      <w:r>
        <w:rPr>
          <w:rFonts w:hint="eastAsia" w:ascii="Times New Roman" w:hAnsi="Times New Roman" w:eastAsia="宋体" w:cs="Times New Roman"/>
          <w:i/>
          <w:iCs/>
          <w:color w:val="auto"/>
          <w:highlight w:val="none"/>
          <w:u w:val="single"/>
          <w:lang w:val="en-US" w:eastAsia="zh-CN"/>
        </w:rPr>
        <w:t>（5）</w:t>
      </w:r>
      <w:r>
        <w:rPr>
          <w:rFonts w:hint="default" w:ascii="Times New Roman" w:hAnsi="Times New Roman" w:eastAsia="宋体" w:cs="Times New Roman"/>
          <w:i/>
          <w:iCs/>
          <w:color w:val="auto"/>
          <w:highlight w:val="none"/>
          <w:u w:val="single"/>
          <w:lang w:val="en-US" w:eastAsia="zh-CN"/>
        </w:rPr>
        <w:t>使用的主要机械设备应为低噪声机械设备，同时在施工过程中施工单位应设专人对设备进行定期保养和维护，避免由于设备故障而导致噪声增强现象的发生。并负责对现场工作人员进行培训，严格按操作规范使用各类机械。</w:t>
      </w:r>
    </w:p>
    <w:p w14:paraId="6269CC3F">
      <w:pPr>
        <w:pStyle w:val="234"/>
        <w:rPr>
          <w:rFonts w:hint="default" w:ascii="Times New Roman" w:hAnsi="Times New Roman" w:eastAsia="宋体" w:cs="Times New Roman"/>
          <w:i/>
          <w:iCs/>
          <w:color w:val="auto"/>
          <w:highlight w:val="none"/>
          <w:u w:val="single"/>
          <w:lang w:val="en-US" w:eastAsia="zh-CN"/>
        </w:rPr>
      </w:pPr>
      <w:r>
        <w:rPr>
          <w:rFonts w:hint="eastAsia" w:ascii="Times New Roman" w:hAnsi="Times New Roman" w:eastAsia="宋体" w:cs="Times New Roman"/>
          <w:i/>
          <w:iCs/>
          <w:color w:val="auto"/>
          <w:highlight w:val="none"/>
          <w:u w:val="single"/>
          <w:lang w:val="en-US" w:eastAsia="zh-CN"/>
        </w:rPr>
        <w:t>（6）</w:t>
      </w:r>
      <w:r>
        <w:rPr>
          <w:rFonts w:hint="default" w:ascii="Times New Roman" w:hAnsi="Times New Roman" w:eastAsia="宋体" w:cs="Times New Roman"/>
          <w:i/>
          <w:iCs/>
          <w:color w:val="auto"/>
          <w:highlight w:val="none"/>
          <w:u w:val="single"/>
          <w:lang w:val="en-US" w:eastAsia="zh-CN"/>
        </w:rPr>
        <w:t>在不影响施工情况下将噪声设备尽量不集中安排，并将其移至距离居民住宅等敏感点较远处。</w:t>
      </w:r>
    </w:p>
    <w:p w14:paraId="042E3B28">
      <w:pPr>
        <w:pStyle w:val="234"/>
        <w:rPr>
          <w:rFonts w:hint="default" w:ascii="Times New Roman" w:hAnsi="Times New Roman" w:eastAsia="宋体" w:cs="Times New Roman"/>
          <w:i/>
          <w:iCs/>
          <w:color w:val="auto"/>
          <w:highlight w:val="none"/>
          <w:u w:val="single"/>
          <w:lang w:val="en-US" w:eastAsia="zh-CN"/>
        </w:rPr>
      </w:pPr>
      <w:r>
        <w:rPr>
          <w:rFonts w:hint="eastAsia" w:ascii="Times New Roman" w:hAnsi="Times New Roman" w:eastAsia="宋体" w:cs="Times New Roman"/>
          <w:i/>
          <w:iCs/>
          <w:color w:val="auto"/>
          <w:highlight w:val="none"/>
          <w:u w:val="single"/>
          <w:lang w:val="en-US" w:eastAsia="zh-CN"/>
        </w:rPr>
        <w:t>（7）</w:t>
      </w:r>
      <w:r>
        <w:rPr>
          <w:rFonts w:hint="default" w:ascii="Times New Roman" w:hAnsi="Times New Roman" w:eastAsia="宋体" w:cs="Times New Roman"/>
          <w:i/>
          <w:iCs/>
          <w:color w:val="auto"/>
          <w:highlight w:val="none"/>
          <w:u w:val="single"/>
          <w:lang w:val="en-US" w:eastAsia="zh-CN"/>
        </w:rPr>
        <w:t>在居民点附近施工需采取设置隔声屏障、加强施工管理等相关的降噪措施。</w:t>
      </w:r>
    </w:p>
    <w:p w14:paraId="2652EC4D">
      <w:pPr>
        <w:pStyle w:val="234"/>
        <w:rPr>
          <w:rFonts w:hint="default" w:ascii="Times New Roman" w:hAnsi="Times New Roman" w:eastAsia="宋体" w:cs="Times New Roman"/>
          <w:i/>
          <w:iCs/>
          <w:color w:val="auto"/>
          <w:highlight w:val="none"/>
          <w:u w:val="single"/>
          <w:lang w:val="en-US" w:eastAsia="zh-CN"/>
        </w:rPr>
      </w:pPr>
      <w:r>
        <w:rPr>
          <w:rFonts w:hint="eastAsia" w:ascii="Times New Roman" w:hAnsi="Times New Roman" w:eastAsia="宋体" w:cs="Times New Roman"/>
          <w:i/>
          <w:iCs/>
          <w:color w:val="auto"/>
          <w:highlight w:val="none"/>
          <w:u w:val="single"/>
          <w:lang w:val="en-US" w:eastAsia="zh-CN"/>
        </w:rPr>
        <w:t>（8）</w:t>
      </w:r>
      <w:r>
        <w:rPr>
          <w:rFonts w:hint="default" w:ascii="Times New Roman" w:hAnsi="Times New Roman" w:eastAsia="宋体" w:cs="Times New Roman"/>
          <w:i/>
          <w:iCs/>
          <w:color w:val="auto"/>
          <w:highlight w:val="none"/>
          <w:u w:val="single"/>
          <w:lang w:val="en-US" w:eastAsia="zh-CN"/>
        </w:rPr>
        <w:t>施工场地的施工车辆出入地点应尽量远离敏感点，车辆出入现场时应低速、禁鸣。</w:t>
      </w:r>
    </w:p>
    <w:p w14:paraId="2095B43F">
      <w:pPr>
        <w:pStyle w:val="234"/>
        <w:rPr>
          <w:rFonts w:hint="default" w:ascii="Times New Roman" w:hAnsi="Times New Roman" w:eastAsia="宋体" w:cs="Times New Roman"/>
          <w:i/>
          <w:iCs/>
          <w:color w:val="auto"/>
          <w:highlight w:val="none"/>
          <w:u w:val="single"/>
          <w:lang w:val="en-US" w:eastAsia="zh-CN"/>
        </w:rPr>
      </w:pPr>
      <w:r>
        <w:rPr>
          <w:rFonts w:hint="eastAsia" w:ascii="Times New Roman" w:hAnsi="Times New Roman" w:eastAsia="宋体" w:cs="Times New Roman"/>
          <w:i/>
          <w:iCs/>
          <w:color w:val="auto"/>
          <w:highlight w:val="none"/>
          <w:u w:val="single"/>
          <w:lang w:val="en-US" w:eastAsia="zh-CN"/>
        </w:rPr>
        <w:t>（9）</w:t>
      </w:r>
      <w:r>
        <w:rPr>
          <w:rFonts w:hint="default" w:ascii="Times New Roman" w:hAnsi="Times New Roman" w:eastAsia="宋体" w:cs="Times New Roman"/>
          <w:i/>
          <w:iCs/>
          <w:color w:val="auto"/>
          <w:highlight w:val="none"/>
          <w:u w:val="single"/>
          <w:lang w:val="en-US" w:eastAsia="zh-CN"/>
        </w:rPr>
        <w:t>建设管理部门应加强对施工场地的噪声管理，施工企业也应对施工噪声进行自律，文明施工，避免因施工噪声产生纠纷。</w:t>
      </w:r>
    </w:p>
    <w:p w14:paraId="24BAB87A">
      <w:pPr>
        <w:pStyle w:val="234"/>
        <w:rPr>
          <w:rFonts w:hint="default" w:ascii="Times New Roman" w:hAnsi="Times New Roman" w:eastAsia="宋体" w:cs="Times New Roman"/>
          <w:i/>
          <w:iCs/>
          <w:color w:val="auto"/>
          <w:highlight w:val="none"/>
          <w:u w:val="single"/>
          <w:lang w:val="en-US" w:eastAsia="zh-CN"/>
        </w:rPr>
      </w:pPr>
      <w:r>
        <w:rPr>
          <w:rFonts w:hint="default" w:ascii="Times New Roman" w:hAnsi="Times New Roman" w:eastAsia="宋体" w:cs="Times New Roman"/>
          <w:i/>
          <w:iCs/>
          <w:color w:val="auto"/>
          <w:highlight w:val="none"/>
          <w:u w:val="single"/>
          <w:lang w:val="en-US" w:eastAsia="zh-CN"/>
        </w:rPr>
        <w:t>由于施工期</w:t>
      </w:r>
      <w:r>
        <w:rPr>
          <w:rFonts w:hint="eastAsia" w:ascii="Times New Roman" w:hAnsi="Times New Roman" w:eastAsia="宋体" w:cs="Times New Roman"/>
          <w:i/>
          <w:iCs/>
          <w:color w:val="auto"/>
          <w:highlight w:val="none"/>
          <w:u w:val="single"/>
          <w:lang w:val="en-US" w:eastAsia="zh-CN"/>
        </w:rPr>
        <w:t>废气和</w:t>
      </w:r>
      <w:r>
        <w:rPr>
          <w:rFonts w:hint="default" w:ascii="Times New Roman" w:hAnsi="Times New Roman" w:eastAsia="宋体" w:cs="Times New Roman"/>
          <w:i/>
          <w:iCs/>
          <w:color w:val="auto"/>
          <w:highlight w:val="none"/>
          <w:u w:val="single"/>
          <w:lang w:val="en-US" w:eastAsia="zh-CN"/>
        </w:rPr>
        <w:t>噪声影响为短暂影响，施工结束后其影响将消失，采取以上防治措施后，施工期</w:t>
      </w:r>
      <w:r>
        <w:rPr>
          <w:rFonts w:hint="eastAsia" w:ascii="Times New Roman" w:hAnsi="Times New Roman" w:eastAsia="宋体" w:cs="Times New Roman"/>
          <w:i/>
          <w:iCs/>
          <w:color w:val="auto"/>
          <w:highlight w:val="none"/>
          <w:u w:val="single"/>
          <w:lang w:val="en-US" w:eastAsia="zh-CN"/>
        </w:rPr>
        <w:t>废气和噪声</w:t>
      </w:r>
      <w:r>
        <w:rPr>
          <w:rFonts w:hint="default" w:ascii="Times New Roman" w:hAnsi="Times New Roman" w:eastAsia="宋体" w:cs="Times New Roman"/>
          <w:i/>
          <w:iCs/>
          <w:color w:val="auto"/>
          <w:highlight w:val="none"/>
          <w:u w:val="single"/>
          <w:lang w:val="en-US" w:eastAsia="zh-CN"/>
        </w:rPr>
        <w:t>对敏感点影响程度有限。</w:t>
      </w:r>
    </w:p>
    <w:p w14:paraId="3D2D459D">
      <w:pPr>
        <w:pStyle w:val="4"/>
      </w:pPr>
      <w:r>
        <w:t>运营期污染防治措施</w:t>
      </w:r>
      <w:bookmarkEnd w:id="236"/>
      <w:bookmarkEnd w:id="237"/>
    </w:p>
    <w:p w14:paraId="6B51F456">
      <w:pPr>
        <w:pStyle w:val="5"/>
        <w:rPr>
          <w:color w:val="auto"/>
          <w:lang w:val="zh-CN"/>
        </w:rPr>
      </w:pPr>
      <w:r>
        <w:rPr>
          <w:color w:val="auto"/>
          <w:lang w:val="zh-CN"/>
        </w:rPr>
        <w:t>废气污染防治措施</w:t>
      </w:r>
    </w:p>
    <w:p w14:paraId="79B6EAA1">
      <w:pPr>
        <w:pStyle w:val="234"/>
      </w:pPr>
      <w:r>
        <w:t>根据工程分析，</w:t>
      </w:r>
      <w:r>
        <w:rPr>
          <w:rFonts w:hint="eastAsia"/>
        </w:rPr>
        <w:t>本工程输气管道均为密闭输送，正常工况时无废气产生。本工程大气污染物主要是站场无组织排放的非甲烷总烃，过滤分离器检修、超压时排放的天然气。本工程依托阀室及新建场站过滤分离器检修、超压时排放的天然气通过放空系统排放。本工程拟采取的主要治理措施有：</w:t>
      </w:r>
    </w:p>
    <w:p w14:paraId="0DE22289">
      <w:pPr>
        <w:pStyle w:val="234"/>
      </w:pPr>
      <w:r>
        <w:rPr>
          <w:rFonts w:hint="eastAsia"/>
        </w:rPr>
        <w:t>（1）</w:t>
      </w:r>
      <w:r>
        <w:t>采用先进的密闭输送工艺，</w:t>
      </w:r>
      <w:r>
        <w:rPr>
          <w:rFonts w:hint="eastAsia"/>
        </w:rPr>
        <w:t>选用优质材料，管道及其附属设施应充分考虑抗震，保证正常生产无泄漏。</w:t>
      </w:r>
    </w:p>
    <w:p w14:paraId="1408DDC6">
      <w:pPr>
        <w:pStyle w:val="234"/>
        <w:ind w:firstLineChars="0"/>
      </w:pPr>
      <w:r>
        <w:rPr>
          <w:rFonts w:hint="eastAsia"/>
        </w:rPr>
        <w:t>（2）</w:t>
      </w:r>
      <w:r>
        <w:t>加强场站设备运行维护</w:t>
      </w:r>
      <w:r>
        <w:rPr>
          <w:rFonts w:hint="eastAsia"/>
        </w:rPr>
        <w:t>管理，定期对设备与管线组件检查与检测</w:t>
      </w:r>
      <w:r>
        <w:t>，减少</w:t>
      </w:r>
      <w:r>
        <w:rPr>
          <w:rFonts w:hint="eastAsia"/>
        </w:rPr>
        <w:t>阀门、法兰连接件等处</w:t>
      </w:r>
      <w:r>
        <w:t>无组织废气的排放。</w:t>
      </w:r>
    </w:p>
    <w:p w14:paraId="4D1CE42B">
      <w:pPr>
        <w:pStyle w:val="234"/>
      </w:pPr>
      <w:r>
        <w:t>（3）加强管理措施，</w:t>
      </w:r>
      <w:r>
        <w:rPr>
          <w:rFonts w:hint="eastAsia"/>
        </w:rPr>
        <w:t>尽量减少过滤分离器检修、超压时放空的天然气。</w:t>
      </w:r>
      <w:r>
        <w:t xml:space="preserve"> </w:t>
      </w:r>
    </w:p>
    <w:p w14:paraId="24FA2760">
      <w:pPr>
        <w:pStyle w:val="234"/>
      </w:pPr>
      <w:r>
        <w:t>（4）</w:t>
      </w:r>
      <w:r>
        <w:rPr>
          <w:rFonts w:hint="eastAsia"/>
        </w:rPr>
        <w:t>耒阳分输站</w:t>
      </w:r>
      <w:r>
        <w:t>发生</w:t>
      </w:r>
      <w:r>
        <w:rPr>
          <w:rFonts w:hint="eastAsia"/>
        </w:rPr>
        <w:t>天然气</w:t>
      </w:r>
      <w:r>
        <w:t>放空时通过站场外的</w:t>
      </w:r>
      <w:r>
        <w:rPr>
          <w:rFonts w:hint="eastAsia"/>
        </w:rPr>
        <w:t>放空立管系统</w:t>
      </w:r>
      <w:r>
        <w:t>放空</w:t>
      </w:r>
      <w:r>
        <w:rPr>
          <w:rFonts w:hint="eastAsia"/>
        </w:rPr>
        <w:t>，减少天然气排放对周围环境的影响</w:t>
      </w:r>
      <w:r>
        <w:t>。</w:t>
      </w:r>
    </w:p>
    <w:p w14:paraId="18866410">
      <w:pPr>
        <w:pStyle w:val="234"/>
      </w:pPr>
      <w:r>
        <w:rPr>
          <w:rFonts w:hint="eastAsia"/>
        </w:rPr>
        <w:t>本工程运营期各站场无组织排放的非甲烷总烃能够满足《大气污染物综合排放标准》(GB16297-1996)表2中厂界监控点浓度限值，站场排放的污染物对大气环境的影响较小。因此，本工程采取的废气污染防治措施是可行的。</w:t>
      </w:r>
    </w:p>
    <w:p w14:paraId="6E68B363">
      <w:pPr>
        <w:pStyle w:val="5"/>
        <w:rPr>
          <w:color w:val="auto"/>
        </w:rPr>
      </w:pPr>
      <w:r>
        <w:rPr>
          <w:color w:val="auto"/>
        </w:rPr>
        <w:t>废水污染防治措施</w:t>
      </w:r>
    </w:p>
    <w:p w14:paraId="3C10F613">
      <w:pPr>
        <w:pStyle w:val="234"/>
      </w:pPr>
      <w:r>
        <w:t>本工程运营期由于采用密闭输气工艺，正常情况下无</w:t>
      </w:r>
      <w:r>
        <w:rPr>
          <w:rFonts w:hint="eastAsia"/>
        </w:rPr>
        <w:t>生产</w:t>
      </w:r>
      <w:r>
        <w:t>废水产生。本工程</w:t>
      </w:r>
      <w:r>
        <w:rPr>
          <w:rFonts w:hint="eastAsia"/>
        </w:rPr>
        <w:t>运营期新建</w:t>
      </w:r>
      <w:r>
        <w:t>场站</w:t>
      </w:r>
      <w:r>
        <w:rPr>
          <w:rFonts w:hint="eastAsia"/>
        </w:rPr>
        <w:t>及</w:t>
      </w:r>
      <w:r>
        <w:t>依托</w:t>
      </w:r>
      <w:r>
        <w:rPr>
          <w:rFonts w:hint="eastAsia"/>
        </w:rPr>
        <w:t>阀室均为无人值守站</w:t>
      </w:r>
      <w:r>
        <w:t>，不新增职工定员，</w:t>
      </w:r>
      <w:r>
        <w:rPr>
          <w:rFonts w:hint="eastAsia"/>
        </w:rPr>
        <w:t>仅耒阳分输站巡检人员会产生少量生活污水，排入站内撬装卫生间后，定期委托拉运处理</w:t>
      </w:r>
      <w:r>
        <w:t>。</w:t>
      </w:r>
    </w:p>
    <w:p w14:paraId="0B70951A">
      <w:pPr>
        <w:pStyle w:val="5"/>
        <w:rPr>
          <w:color w:val="auto"/>
        </w:rPr>
      </w:pPr>
      <w:r>
        <w:rPr>
          <w:color w:val="auto"/>
        </w:rPr>
        <w:t>噪声污染防治措施</w:t>
      </w:r>
    </w:p>
    <w:p w14:paraId="3EC24A6B">
      <w:pPr>
        <w:pStyle w:val="234"/>
      </w:pPr>
      <w:r>
        <w:rPr>
          <w:rFonts w:hint="eastAsia"/>
        </w:rPr>
        <w:t>本工程运营期噪声源主要来自站场过滤分离器、调压撬、计量撬、放空系统等设备运行噪声。</w:t>
      </w:r>
    </w:p>
    <w:p w14:paraId="17897AFB">
      <w:pPr>
        <w:pStyle w:val="234"/>
      </w:pPr>
      <w:r>
        <w:t>为降低噪声影响，</w:t>
      </w:r>
      <w:r>
        <w:rPr>
          <w:rFonts w:hint="eastAsia"/>
        </w:rPr>
        <w:t>拟</w:t>
      </w:r>
      <w:r>
        <w:t>采取</w:t>
      </w:r>
      <w:r>
        <w:rPr>
          <w:rFonts w:hint="eastAsia"/>
        </w:rPr>
        <w:t>以下</w:t>
      </w:r>
      <w:r>
        <w:t>降噪措施：</w:t>
      </w:r>
    </w:p>
    <w:p w14:paraId="05970426">
      <w:pPr>
        <w:pStyle w:val="234"/>
      </w:pPr>
      <w:r>
        <w:t>（1）尽可能选用低噪声设备，</w:t>
      </w:r>
      <w:r>
        <w:rPr>
          <w:rFonts w:hint="eastAsia"/>
        </w:rPr>
        <w:t>对主要噪声设备</w:t>
      </w:r>
      <w:r>
        <w:t>采取</w:t>
      </w:r>
      <w:r>
        <w:rPr>
          <w:rFonts w:hint="eastAsia"/>
        </w:rPr>
        <w:t>隔声、</w:t>
      </w:r>
      <w:r>
        <w:t>基础</w:t>
      </w:r>
      <w:r>
        <w:rPr>
          <w:rFonts w:hint="eastAsia"/>
        </w:rPr>
        <w:t>减振</w:t>
      </w:r>
      <w:r>
        <w:t>等措施。</w:t>
      </w:r>
    </w:p>
    <w:p w14:paraId="35E6D208">
      <w:pPr>
        <w:pStyle w:val="234"/>
      </w:pPr>
      <w:r>
        <w:rPr>
          <w:rFonts w:hint="eastAsia"/>
        </w:rPr>
        <w:t>（2）定期对生产设备进行维修保养，保持设备良好的运行状态，尽量减少对周围环境的影响。</w:t>
      </w:r>
    </w:p>
    <w:p w14:paraId="5FC9994C">
      <w:pPr>
        <w:pStyle w:val="234"/>
      </w:pPr>
      <w:r>
        <w:t>（3）非正常工况放空噪声具有突然性且影响较大，除异常超压情况外，在需要检修放空前应及时告知周围居民</w:t>
      </w:r>
      <w:r>
        <w:rPr>
          <w:rFonts w:hint="eastAsia"/>
        </w:rPr>
        <w:t>，</w:t>
      </w:r>
      <w:r>
        <w:t>并做好</w:t>
      </w:r>
      <w:r>
        <w:rPr>
          <w:rFonts w:hint="eastAsia"/>
        </w:rPr>
        <w:t>与周围居民的</w:t>
      </w:r>
      <w:r>
        <w:t>沟通工作。</w:t>
      </w:r>
    </w:p>
    <w:p w14:paraId="1DE4675D">
      <w:pPr>
        <w:pStyle w:val="234"/>
      </w:pPr>
      <w:r>
        <w:rPr>
          <w:rFonts w:hint="eastAsia"/>
        </w:rPr>
        <w:t>采取以上降噪措施后，本工程站场厂界噪声贡献值满足《工业企业厂界环境噪声排放标准》（GB12348-2008）中</w:t>
      </w:r>
      <w:r>
        <w:t>2</w:t>
      </w:r>
      <w:r>
        <w:rPr>
          <w:rFonts w:hint="eastAsia"/>
        </w:rPr>
        <w:t>类标准要求，从技术角度讲是可靠的，经济上是合理的。</w:t>
      </w:r>
    </w:p>
    <w:p w14:paraId="2C29F84B">
      <w:pPr>
        <w:pStyle w:val="5"/>
        <w:adjustRightInd/>
        <w:rPr>
          <w:color w:val="auto"/>
        </w:rPr>
      </w:pPr>
      <w:r>
        <w:rPr>
          <w:color w:val="auto"/>
        </w:rPr>
        <w:t>固体废物治理措施</w:t>
      </w:r>
    </w:p>
    <w:p w14:paraId="4DFA5AD4">
      <w:pPr>
        <w:pStyle w:val="234"/>
      </w:pPr>
      <w:r>
        <w:rPr>
          <w:rFonts w:hint="eastAsia"/>
        </w:rPr>
        <w:t>本工程</w:t>
      </w:r>
      <w:r>
        <w:t>运营期采用密闭输气工艺，且不新增劳动定员，</w:t>
      </w:r>
      <w:r>
        <w:rPr>
          <w:rFonts w:hint="eastAsia"/>
        </w:rPr>
        <w:t>固体废物主要来自分离器检修产生的废渣、废滤芯和废铅酸蓄电池</w:t>
      </w:r>
      <w:r>
        <w:t>。</w:t>
      </w:r>
    </w:p>
    <w:p w14:paraId="40548ACD">
      <w:pPr>
        <w:spacing w:line="360" w:lineRule="auto"/>
        <w:ind w:firstLine="480" w:firstLineChars="200"/>
        <w:rPr>
          <w:sz w:val="24"/>
        </w:rPr>
      </w:pPr>
      <w:r>
        <w:rPr>
          <w:sz w:val="24"/>
        </w:rPr>
        <w:t>（</w:t>
      </w:r>
      <w:r>
        <w:rPr>
          <w:rFonts w:hint="eastAsia"/>
          <w:sz w:val="24"/>
        </w:rPr>
        <w:t>1</w:t>
      </w:r>
      <w:r>
        <w:rPr>
          <w:sz w:val="24"/>
        </w:rPr>
        <w:t>）</w:t>
      </w:r>
      <w:r>
        <w:rPr>
          <w:rFonts w:hint="eastAsia"/>
          <w:sz w:val="24"/>
        </w:rPr>
        <w:t>站场的分离器检修是通过自身压力排尘的，主要污染物成份为粉尘，为避免粉尘的飘散，需将清除的废物导入排污池中。</w:t>
      </w:r>
      <w:r>
        <w:rPr>
          <w:sz w:val="24"/>
        </w:rPr>
        <w:t>本工程</w:t>
      </w:r>
      <w:r>
        <w:rPr>
          <w:rFonts w:hint="eastAsia"/>
          <w:sz w:val="24"/>
        </w:rPr>
        <w:t>耒阳分输</w:t>
      </w:r>
      <w:r>
        <w:rPr>
          <w:sz w:val="24"/>
        </w:rPr>
        <w:t>站</w:t>
      </w:r>
      <w:r>
        <w:rPr>
          <w:rFonts w:hint="eastAsia"/>
          <w:sz w:val="24"/>
        </w:rPr>
        <w:t>废渣的定期清运，委托有资质单位妥善处置</w:t>
      </w:r>
      <w:r>
        <w:rPr>
          <w:sz w:val="24"/>
        </w:rPr>
        <w:t>。</w:t>
      </w:r>
    </w:p>
    <w:p w14:paraId="54A3174A">
      <w:pPr>
        <w:pStyle w:val="234"/>
      </w:pPr>
      <w:r>
        <w:t>（</w:t>
      </w:r>
      <w:r>
        <w:rPr>
          <w:rFonts w:hint="eastAsia"/>
        </w:rPr>
        <w:t>2</w:t>
      </w:r>
      <w:r>
        <w:t>）本工程</w:t>
      </w:r>
      <w:r>
        <w:rPr>
          <w:rFonts w:hint="eastAsia"/>
        </w:rPr>
        <w:t>耒阳分输</w:t>
      </w:r>
      <w:r>
        <w:t>站新建过滤分离器，过滤分离器需定期进行滤芯更换，</w:t>
      </w:r>
      <w:r>
        <w:rPr>
          <w:rFonts w:hint="eastAsia"/>
        </w:rPr>
        <w:t>废滤芯为危险固废，委托有资质单位处置</w:t>
      </w:r>
      <w:r>
        <w:t>。</w:t>
      </w:r>
    </w:p>
    <w:p w14:paraId="0D17D9A6">
      <w:pPr>
        <w:pStyle w:val="234"/>
      </w:pPr>
      <w:r>
        <w:t>（</w:t>
      </w:r>
      <w:r>
        <w:rPr>
          <w:rFonts w:hint="eastAsia"/>
        </w:rPr>
        <w:t>3</w:t>
      </w:r>
      <w:r>
        <w:t>）</w:t>
      </w:r>
      <w:r>
        <w:rPr>
          <w:rFonts w:hint="eastAsia"/>
        </w:rPr>
        <w:t>耒阳分输站设置紧急切断阀（ESD），采用电动球阀，通过UPS系统不间断供电。站场UPS系统应急电源为密封铅酸蓄电池，一般每8年更换一次，属于危险废物，暂存于危废暂存间，委托有资质单位处置</w:t>
      </w:r>
      <w:r>
        <w:t>。</w:t>
      </w:r>
    </w:p>
    <w:p w14:paraId="4CE06ADF">
      <w:pPr>
        <w:pStyle w:val="234"/>
      </w:pPr>
      <w:r>
        <w:rPr>
          <w:rFonts w:hint="eastAsia"/>
        </w:rPr>
        <w:t>（4）本工程危废暂存间为撬装装置，采用防爆轴流风机进行通风，并设置三频红外式火焰探测器。暂存间为密闭设施，可做到防风、防晒、防雨、防渗漏。满足废滤芯和废铅酸蓄电池的暂存要求。危险废物的运输和处置均委托有资质单位进行。</w:t>
      </w:r>
    </w:p>
    <w:p w14:paraId="4D4537FE">
      <w:pPr>
        <w:pStyle w:val="234"/>
      </w:pPr>
      <w:r>
        <w:rPr>
          <w:rFonts w:hint="eastAsia"/>
        </w:rPr>
        <w:t>在采取以上措施后，本工程运营期固体废物均得到妥善处置，对周边环境影响较小。</w:t>
      </w:r>
    </w:p>
    <w:p w14:paraId="16F86327">
      <w:pPr>
        <w:pStyle w:val="5"/>
        <w:rPr>
          <w:color w:val="auto"/>
        </w:rPr>
      </w:pPr>
      <w:r>
        <w:rPr>
          <w:color w:val="auto"/>
        </w:rPr>
        <w:t>环境风险防范措施</w:t>
      </w:r>
    </w:p>
    <w:p w14:paraId="7CD0DCAE">
      <w:pPr>
        <w:pStyle w:val="234"/>
      </w:pPr>
      <w:r>
        <w:t>本工程为天然气管线工程，营运期正常运行的情况下，无污染物产生。营运期污染防治措施主要针对事故泄漏、火灾爆炸等环境风险事故提出。</w:t>
      </w:r>
    </w:p>
    <w:p w14:paraId="149071CA">
      <w:pPr>
        <w:pStyle w:val="234"/>
      </w:pPr>
      <w:r>
        <w:t>（1）采用合理的输气工艺，选用优质材料，在设计时，管道及其附属设施应充分考虑抗震，保证管道正常运行无泄漏。</w:t>
      </w:r>
    </w:p>
    <w:p w14:paraId="7875751B">
      <w:pPr>
        <w:pStyle w:val="234"/>
      </w:pPr>
      <w:r>
        <w:t>（2）管道投运前</w:t>
      </w:r>
      <w:r>
        <w:rPr>
          <w:rFonts w:hint="eastAsia"/>
        </w:rPr>
        <w:t>建设单位</w:t>
      </w:r>
      <w:r>
        <w:t>应做好试压及各种检测，确保管道安全，减少事故发生概率。</w:t>
      </w:r>
    </w:p>
    <w:p w14:paraId="6690AEF2">
      <w:pPr>
        <w:pStyle w:val="234"/>
      </w:pPr>
      <w:r>
        <w:t>（3）管道建成投入使用后，设置安全警示标志，加大巡线力度，尽量避免发生突发环境事件。</w:t>
      </w:r>
    </w:p>
    <w:p w14:paraId="117B1B4C">
      <w:pPr>
        <w:pStyle w:val="234"/>
      </w:pPr>
      <w:r>
        <w:t>（4）营运期间，</w:t>
      </w:r>
      <w:r>
        <w:rPr>
          <w:rFonts w:hint="eastAsia"/>
        </w:rPr>
        <w:t>由建设单位</w:t>
      </w:r>
      <w:r>
        <w:t>定期进行应急演练，联合地方政府消防、公安、安监等部门进行应急联合演练，将环境风险降低到合理可行的最低水平上。</w:t>
      </w:r>
    </w:p>
    <w:p w14:paraId="46D6C5FF">
      <w:pPr>
        <w:pStyle w:val="234"/>
      </w:pPr>
      <w:r>
        <w:t>（5）根据《中华人民共和国石油天然气管道保护法》及输气管道工程设计等相关要求，对管道沿线两侧安全环保及未来开发进行管理。具体环境风险防范措施见7.</w:t>
      </w:r>
      <w:r>
        <w:rPr>
          <w:rFonts w:hint="eastAsia"/>
        </w:rPr>
        <w:t>5</w:t>
      </w:r>
      <w:r>
        <w:t>章节</w:t>
      </w:r>
      <w:r>
        <w:rPr>
          <w:rFonts w:hint="eastAsia"/>
        </w:rPr>
        <w:t>。</w:t>
      </w:r>
    </w:p>
    <w:p w14:paraId="68B918DD">
      <w:pPr>
        <w:pStyle w:val="234"/>
      </w:pPr>
      <w:r>
        <w:rPr>
          <w:rFonts w:hint="eastAsia"/>
          <w:i/>
          <w:iCs/>
          <w:color w:val="auto"/>
          <w:u w:val="single"/>
        </w:rPr>
        <w:t>根据《潜江一韶关输气管道 28#阀室新增下载点改扩建项目安全评价》结论：国家管网集团新疆煤制天然气外输管道有限责任公司潜江一韶关输气管道 28#阀室新增下载点改扩建项目的管线路由、输气站场的选址符合国家法律法规及现行标准规范的要求；设计输气能力与管道系统输气能力匹配，输气线路及输气站场的工艺设计符合规范要求；建设项目单位安全管理满足输气管道的运行条件，具备突发事故状态下的应急救援能力。国家管网集团新疆煤制天然气外输管道有限责任公司潜江一韶关输气管道28#阀室新增下载点改扩建项目安全条件符合国家法律法规、规章及现行标准规范的要求</w:t>
      </w:r>
      <w:r>
        <w:rPr>
          <w:rFonts w:hint="eastAsia"/>
        </w:rPr>
        <w:t>。</w:t>
      </w:r>
    </w:p>
    <w:p w14:paraId="26850828">
      <w:pPr>
        <w:pStyle w:val="234"/>
      </w:pPr>
    </w:p>
    <w:p w14:paraId="658FFE23">
      <w:pPr>
        <w:pStyle w:val="234"/>
      </w:pPr>
    </w:p>
    <w:p w14:paraId="0A782D9B">
      <w:pPr>
        <w:pStyle w:val="234"/>
        <w:sectPr>
          <w:pgSz w:w="11906" w:h="16838"/>
          <w:pgMar w:top="1440" w:right="1418" w:bottom="1440" w:left="1418" w:header="851" w:footer="992" w:gutter="0"/>
          <w:cols w:space="425" w:num="1"/>
          <w:docGrid w:linePitch="312" w:charSpace="0"/>
        </w:sectPr>
      </w:pPr>
    </w:p>
    <w:p w14:paraId="313B4625">
      <w:pPr>
        <w:pStyle w:val="3"/>
      </w:pPr>
      <w:bookmarkStart w:id="238" w:name="_Toc72672373"/>
      <w:bookmarkStart w:id="239" w:name="_Toc25678"/>
      <w:r>
        <w:t>环境经济损益分析</w:t>
      </w:r>
      <w:bookmarkEnd w:id="238"/>
      <w:bookmarkEnd w:id="239"/>
    </w:p>
    <w:p w14:paraId="5BB0ED8F">
      <w:pPr>
        <w:pStyle w:val="234"/>
      </w:pPr>
      <w:r>
        <w:t>本工程建设不可避免的会对管道沿线的自然环境产生一定影响。在进行本工程的效益分析时，不仅要考虑工程的经济效益，还应考虑对自然环境造成的影响，同时也要从提高社会经济效益为出发点，分析对社会和经济的影响。本章将对该项目建设的社会、经济效益、环境损益进行分析，并按照定性和定量相结合的方法，着重从环境经济损益角度分析该项目对沿线环境的影响程度。</w:t>
      </w:r>
    </w:p>
    <w:p w14:paraId="1C92FCA0">
      <w:pPr>
        <w:pStyle w:val="4"/>
      </w:pPr>
      <w:bookmarkStart w:id="240" w:name="_Toc833"/>
      <w:r>
        <w:t>环保投资估算</w:t>
      </w:r>
      <w:bookmarkEnd w:id="240"/>
    </w:p>
    <w:p w14:paraId="26FD505C">
      <w:pPr>
        <w:pStyle w:val="234"/>
        <w:ind w:firstLine="476"/>
      </w:pPr>
      <w:r>
        <w:rPr>
          <w:rFonts w:hint="eastAsia"/>
          <w:spacing w:val="-2"/>
        </w:rPr>
        <w:t>参照</w:t>
      </w:r>
      <w:r>
        <w:rPr>
          <w:spacing w:val="-2"/>
        </w:rPr>
        <w:t>《石油化工环境保护设计规范》中的有关规定，建设项目的环境保护投资计算方法为：凡为防治污染、保护环境所设的装置、设备和设施，其投资应全部计入环</w:t>
      </w:r>
      <w:r>
        <w:t>境保护投资</w:t>
      </w:r>
      <w:r>
        <w:rPr>
          <w:spacing w:val="-24"/>
        </w:rPr>
        <w:t>；</w:t>
      </w:r>
      <w:r>
        <w:t>生产需要又为环境保护服务的设施</w:t>
      </w:r>
      <w:r>
        <w:rPr>
          <w:spacing w:val="-24"/>
        </w:rPr>
        <w:t>，</w:t>
      </w:r>
      <w:r>
        <w:t>其投资应按不同的比例部分计入环境保护投资。某些特殊的环境保护设施，其投资可按实际计入。</w:t>
      </w:r>
    </w:p>
    <w:p w14:paraId="07B37682">
      <w:pPr>
        <w:pStyle w:val="234"/>
      </w:pPr>
      <w:r>
        <w:t>本工程估算总投资为</w:t>
      </w:r>
      <w:r>
        <w:rPr>
          <w:rFonts w:hint="eastAsia"/>
        </w:rPr>
        <w:t>4327.91</w:t>
      </w:r>
      <w:r>
        <w:t>万元，其中环境保护投资为</w:t>
      </w:r>
      <w:r>
        <w:rPr>
          <w:rFonts w:hint="eastAsia"/>
        </w:rPr>
        <w:t>150.03</w:t>
      </w:r>
      <w:r>
        <w:t>万元，详细分项见</w:t>
      </w:r>
      <w:r>
        <w:fldChar w:fldCharType="begin"/>
      </w:r>
      <w:r>
        <w:instrText xml:space="preserve"> REF _Ref78295333 \h  \* MERGEFORMAT </w:instrText>
      </w:r>
      <w:r>
        <w:fldChar w:fldCharType="separate"/>
      </w:r>
      <w:r>
        <w:t>表 9.1</w:t>
      </w:r>
      <w:r>
        <w:noBreakHyphen/>
      </w:r>
      <w:r>
        <w:t>1</w:t>
      </w:r>
      <w:r>
        <w:fldChar w:fldCharType="end"/>
      </w:r>
      <w:r>
        <w:t>。</w:t>
      </w:r>
    </w:p>
    <w:p w14:paraId="73548AE7">
      <w:pPr>
        <w:pStyle w:val="904"/>
      </w:pPr>
      <w:bookmarkStart w:id="241" w:name="_Ref78295333"/>
      <w:r>
        <w:t xml:space="preserve">表 </w:t>
      </w:r>
      <w:r>
        <w:fldChar w:fldCharType="begin"/>
      </w:r>
      <w:r>
        <w:instrText xml:space="preserve"> STYLEREF 2 \s </w:instrText>
      </w:r>
      <w:r>
        <w:fldChar w:fldCharType="separate"/>
      </w:r>
      <w:r>
        <w:t>9.1</w:t>
      </w:r>
      <w:r>
        <w:fldChar w:fldCharType="end"/>
      </w:r>
      <w:r>
        <w:noBreakHyphen/>
      </w:r>
      <w:r>
        <w:fldChar w:fldCharType="begin"/>
      </w:r>
      <w:r>
        <w:instrText xml:space="preserve"> SEQ 表 \* ARABIC \s 2 </w:instrText>
      </w:r>
      <w:r>
        <w:fldChar w:fldCharType="separate"/>
      </w:r>
      <w:r>
        <w:t>1</w:t>
      </w:r>
      <w:r>
        <w:fldChar w:fldCharType="end"/>
      </w:r>
      <w:bookmarkEnd w:id="241"/>
      <w:r>
        <w:t>本工程环保投资一览表</w:t>
      </w:r>
    </w:p>
    <w:tbl>
      <w:tblPr>
        <w:tblStyle w:val="1396"/>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2268"/>
        <w:gridCol w:w="958"/>
        <w:gridCol w:w="5500"/>
      </w:tblGrid>
      <w:tr w14:paraId="63017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28790206">
            <w:pPr>
              <w:pStyle w:val="1343"/>
            </w:pPr>
            <w:r>
              <w:t>时段</w:t>
            </w:r>
          </w:p>
        </w:tc>
        <w:tc>
          <w:tcPr>
            <w:tcW w:w="2268" w:type="dxa"/>
            <w:vAlign w:val="center"/>
          </w:tcPr>
          <w:p w14:paraId="6E15AB0F">
            <w:pPr>
              <w:pStyle w:val="1343"/>
            </w:pPr>
            <w:r>
              <w:t>项目</w:t>
            </w:r>
          </w:p>
        </w:tc>
        <w:tc>
          <w:tcPr>
            <w:tcW w:w="958" w:type="dxa"/>
            <w:vAlign w:val="center"/>
          </w:tcPr>
          <w:p w14:paraId="6C6B2A05">
            <w:pPr>
              <w:pStyle w:val="1343"/>
            </w:pPr>
            <w:r>
              <w:t>费用</w:t>
            </w:r>
          </w:p>
          <w:p w14:paraId="008BB1CD">
            <w:pPr>
              <w:pStyle w:val="1343"/>
            </w:pPr>
            <w:r>
              <w:t>(万元)</w:t>
            </w:r>
          </w:p>
        </w:tc>
        <w:tc>
          <w:tcPr>
            <w:tcW w:w="5500" w:type="dxa"/>
            <w:vAlign w:val="center"/>
          </w:tcPr>
          <w:p w14:paraId="4DC2F40B">
            <w:pPr>
              <w:pStyle w:val="1343"/>
            </w:pPr>
            <w:r>
              <w:t>备注</w:t>
            </w:r>
          </w:p>
        </w:tc>
      </w:tr>
      <w:tr w14:paraId="14583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562" w:type="dxa"/>
            <w:vMerge w:val="restart"/>
            <w:vAlign w:val="center"/>
          </w:tcPr>
          <w:p w14:paraId="6E1E5AE0">
            <w:pPr>
              <w:pStyle w:val="1343"/>
            </w:pPr>
            <w:r>
              <w:t>施工期</w:t>
            </w:r>
          </w:p>
        </w:tc>
        <w:tc>
          <w:tcPr>
            <w:tcW w:w="2268" w:type="dxa"/>
            <w:vAlign w:val="center"/>
          </w:tcPr>
          <w:p w14:paraId="377F30B4">
            <w:pPr>
              <w:pStyle w:val="1343"/>
            </w:pPr>
            <w:r>
              <w:t>水环境保护措施</w:t>
            </w:r>
          </w:p>
        </w:tc>
        <w:tc>
          <w:tcPr>
            <w:tcW w:w="958" w:type="dxa"/>
            <w:vAlign w:val="center"/>
          </w:tcPr>
          <w:p w14:paraId="0BFA057E">
            <w:pPr>
              <w:pStyle w:val="1343"/>
            </w:pPr>
            <w:r>
              <w:rPr>
                <w:rFonts w:hint="eastAsia"/>
              </w:rPr>
              <w:t>5</w:t>
            </w:r>
          </w:p>
        </w:tc>
        <w:tc>
          <w:tcPr>
            <w:tcW w:w="5500" w:type="dxa"/>
            <w:vAlign w:val="center"/>
          </w:tcPr>
          <w:p w14:paraId="59917A1E">
            <w:pPr>
              <w:pStyle w:val="1343"/>
              <w:jc w:val="left"/>
            </w:pPr>
            <w:r>
              <w:t>生活污水</w:t>
            </w:r>
            <w:r>
              <w:rPr>
                <w:rFonts w:hint="eastAsia"/>
              </w:rPr>
              <w:t>排入当地农村现有设施处理。管道试压排水采用过滤处理后回用于农田灌溉、道路洒水等。</w:t>
            </w:r>
          </w:p>
        </w:tc>
      </w:tr>
      <w:tr w14:paraId="2A107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0C6B1901">
            <w:pPr>
              <w:pStyle w:val="1343"/>
            </w:pPr>
          </w:p>
        </w:tc>
        <w:tc>
          <w:tcPr>
            <w:tcW w:w="2268" w:type="dxa"/>
            <w:vAlign w:val="center"/>
          </w:tcPr>
          <w:p w14:paraId="5CE2845E">
            <w:pPr>
              <w:pStyle w:val="1343"/>
            </w:pPr>
            <w:r>
              <w:t>环境空气保护措施</w:t>
            </w:r>
          </w:p>
        </w:tc>
        <w:tc>
          <w:tcPr>
            <w:tcW w:w="958" w:type="dxa"/>
            <w:vAlign w:val="center"/>
          </w:tcPr>
          <w:p w14:paraId="21652B42">
            <w:pPr>
              <w:pStyle w:val="1343"/>
            </w:pPr>
            <w:r>
              <w:rPr>
                <w:rFonts w:hint="eastAsia"/>
              </w:rPr>
              <w:t>12</w:t>
            </w:r>
          </w:p>
        </w:tc>
        <w:tc>
          <w:tcPr>
            <w:tcW w:w="5500" w:type="dxa"/>
            <w:vAlign w:val="center"/>
          </w:tcPr>
          <w:p w14:paraId="7CCB05FF">
            <w:pPr>
              <w:pStyle w:val="1343"/>
            </w:pPr>
            <w:r>
              <w:t>施工区及施工道路洒水抑尘，按2万元/月计</w:t>
            </w:r>
          </w:p>
        </w:tc>
      </w:tr>
      <w:tr w14:paraId="147BB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50FBD5C8">
            <w:pPr>
              <w:pStyle w:val="1343"/>
            </w:pPr>
          </w:p>
        </w:tc>
        <w:tc>
          <w:tcPr>
            <w:tcW w:w="2268" w:type="dxa"/>
            <w:vAlign w:val="center"/>
          </w:tcPr>
          <w:p w14:paraId="15B829F2">
            <w:pPr>
              <w:pStyle w:val="1343"/>
            </w:pPr>
            <w:r>
              <w:t>施工噪声防治措施</w:t>
            </w:r>
          </w:p>
        </w:tc>
        <w:tc>
          <w:tcPr>
            <w:tcW w:w="958" w:type="dxa"/>
            <w:vAlign w:val="center"/>
          </w:tcPr>
          <w:p w14:paraId="7F9BF1E7">
            <w:pPr>
              <w:pStyle w:val="1343"/>
            </w:pPr>
            <w:r>
              <w:rPr>
                <w:rFonts w:hint="eastAsia"/>
              </w:rPr>
              <w:t>8</w:t>
            </w:r>
          </w:p>
        </w:tc>
        <w:tc>
          <w:tcPr>
            <w:tcW w:w="5500" w:type="dxa"/>
            <w:vAlign w:val="center"/>
          </w:tcPr>
          <w:p w14:paraId="4ED31F6C">
            <w:pPr>
              <w:pStyle w:val="1343"/>
            </w:pPr>
            <w:r>
              <w:rPr>
                <w:rFonts w:hint="eastAsia"/>
              </w:rPr>
              <w:t>采取围挡等措施，村庄</w:t>
            </w:r>
            <w:r>
              <w:t>附近施工时</w:t>
            </w:r>
            <w:r>
              <w:rPr>
                <w:rFonts w:hint="eastAsia"/>
              </w:rPr>
              <w:t>设置移动式隔声屏障</w:t>
            </w:r>
          </w:p>
        </w:tc>
      </w:tr>
      <w:tr w14:paraId="38869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52D34F2D">
            <w:pPr>
              <w:pStyle w:val="1343"/>
            </w:pPr>
          </w:p>
        </w:tc>
        <w:tc>
          <w:tcPr>
            <w:tcW w:w="2268" w:type="dxa"/>
            <w:vAlign w:val="center"/>
          </w:tcPr>
          <w:p w14:paraId="104BD8D5">
            <w:pPr>
              <w:pStyle w:val="1343"/>
            </w:pPr>
            <w:r>
              <w:t>固体废物处理</w:t>
            </w:r>
          </w:p>
        </w:tc>
        <w:tc>
          <w:tcPr>
            <w:tcW w:w="958" w:type="dxa"/>
            <w:vAlign w:val="center"/>
          </w:tcPr>
          <w:p w14:paraId="18071763">
            <w:pPr>
              <w:pStyle w:val="1343"/>
            </w:pPr>
            <w:r>
              <w:rPr>
                <w:rFonts w:hint="eastAsia"/>
              </w:rPr>
              <w:t>1.5</w:t>
            </w:r>
          </w:p>
        </w:tc>
        <w:tc>
          <w:tcPr>
            <w:tcW w:w="5500" w:type="dxa"/>
            <w:vAlign w:val="center"/>
          </w:tcPr>
          <w:p w14:paraId="153FEF26">
            <w:pPr>
              <w:pStyle w:val="1343"/>
            </w:pPr>
            <w:r>
              <w:t>施工废料回收</w:t>
            </w:r>
            <w:r>
              <w:rPr>
                <w:rFonts w:hint="eastAsia"/>
              </w:rPr>
              <w:t>、建筑垃圾</w:t>
            </w:r>
            <w:r>
              <w:t>及生活垃圾收集清运，每吨按0.</w:t>
            </w:r>
            <w:r>
              <w:rPr>
                <w:rFonts w:hint="eastAsia"/>
              </w:rPr>
              <w:t>05</w:t>
            </w:r>
            <w:r>
              <w:t>万元计</w:t>
            </w:r>
            <w:r>
              <w:rPr>
                <w:rFonts w:hint="eastAsia"/>
              </w:rPr>
              <w:t>。废油漆桶委托有资质单位处置</w:t>
            </w:r>
          </w:p>
        </w:tc>
      </w:tr>
      <w:tr w14:paraId="6F69A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11997064">
            <w:pPr>
              <w:pStyle w:val="1343"/>
            </w:pPr>
          </w:p>
        </w:tc>
        <w:tc>
          <w:tcPr>
            <w:tcW w:w="2268" w:type="dxa"/>
            <w:vMerge w:val="restart"/>
            <w:vAlign w:val="center"/>
          </w:tcPr>
          <w:p w14:paraId="61E91643">
            <w:pPr>
              <w:pStyle w:val="1343"/>
            </w:pPr>
            <w:r>
              <w:t>生态保护措施</w:t>
            </w:r>
          </w:p>
        </w:tc>
        <w:tc>
          <w:tcPr>
            <w:tcW w:w="958" w:type="dxa"/>
            <w:vAlign w:val="center"/>
          </w:tcPr>
          <w:p w14:paraId="02A145FB">
            <w:pPr>
              <w:pStyle w:val="1343"/>
            </w:pPr>
            <w:r>
              <w:rPr>
                <w:rFonts w:hint="eastAsia"/>
              </w:rPr>
              <w:t>0.6</w:t>
            </w:r>
          </w:p>
        </w:tc>
        <w:tc>
          <w:tcPr>
            <w:tcW w:w="5500" w:type="dxa"/>
            <w:vAlign w:val="center"/>
          </w:tcPr>
          <w:p w14:paraId="1769D578">
            <w:pPr>
              <w:pStyle w:val="1343"/>
            </w:pPr>
            <w:r>
              <w:t>恢复地貌、地表平整等，按5000元/hm</w:t>
            </w:r>
            <w:r>
              <w:rPr>
                <w:vertAlign w:val="superscript"/>
              </w:rPr>
              <w:t>2</w:t>
            </w:r>
            <w:r>
              <w:t>进行计算</w:t>
            </w:r>
          </w:p>
        </w:tc>
      </w:tr>
      <w:tr w14:paraId="07086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4C9FB64B">
            <w:pPr>
              <w:pStyle w:val="1343"/>
            </w:pPr>
          </w:p>
        </w:tc>
        <w:tc>
          <w:tcPr>
            <w:tcW w:w="2268" w:type="dxa"/>
            <w:vMerge w:val="continue"/>
            <w:vAlign w:val="center"/>
          </w:tcPr>
          <w:p w14:paraId="331BFF59">
            <w:pPr>
              <w:pStyle w:val="1343"/>
            </w:pPr>
          </w:p>
        </w:tc>
        <w:tc>
          <w:tcPr>
            <w:tcW w:w="958" w:type="dxa"/>
            <w:vAlign w:val="center"/>
          </w:tcPr>
          <w:p w14:paraId="5FE95CB5">
            <w:pPr>
              <w:pStyle w:val="1343"/>
              <w:rPr>
                <w:i/>
                <w:iCs/>
                <w:color w:val="auto"/>
                <w:u w:val="single"/>
              </w:rPr>
            </w:pPr>
            <w:r>
              <w:rPr>
                <w:rFonts w:hint="eastAsia"/>
                <w:i/>
                <w:iCs/>
                <w:color w:val="auto"/>
                <w:u w:val="single"/>
              </w:rPr>
              <w:t>14</w:t>
            </w:r>
          </w:p>
        </w:tc>
        <w:tc>
          <w:tcPr>
            <w:tcW w:w="5500" w:type="dxa"/>
            <w:vAlign w:val="center"/>
          </w:tcPr>
          <w:p w14:paraId="27282318">
            <w:pPr>
              <w:pStyle w:val="1343"/>
              <w:rPr>
                <w:i/>
                <w:iCs/>
                <w:color w:val="auto"/>
                <w:u w:val="single"/>
              </w:rPr>
            </w:pPr>
            <w:r>
              <w:rPr>
                <w:i/>
                <w:iCs/>
                <w:color w:val="auto"/>
                <w:u w:val="single"/>
              </w:rPr>
              <w:t>临时占地区植被恢复及赔偿，按农田恢复费用为5.5万元/hm</w:t>
            </w:r>
            <w:r>
              <w:rPr>
                <w:i/>
                <w:iCs/>
                <w:color w:val="auto"/>
                <w:u w:val="single"/>
                <w:vertAlign w:val="superscript"/>
              </w:rPr>
              <w:t>2</w:t>
            </w:r>
            <w:r>
              <w:rPr>
                <w:i/>
                <w:iCs/>
                <w:color w:val="auto"/>
                <w:u w:val="single"/>
              </w:rPr>
              <w:t>、林地恢复费8.0万元/hm</w:t>
            </w:r>
            <w:r>
              <w:rPr>
                <w:i/>
                <w:iCs/>
                <w:color w:val="auto"/>
                <w:u w:val="single"/>
                <w:vertAlign w:val="superscript"/>
              </w:rPr>
              <w:t>2</w:t>
            </w:r>
            <w:r>
              <w:rPr>
                <w:i/>
                <w:iCs/>
                <w:color w:val="auto"/>
                <w:u w:val="single"/>
              </w:rPr>
              <w:t>计算</w:t>
            </w:r>
          </w:p>
        </w:tc>
      </w:tr>
      <w:tr w14:paraId="3511A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1EB7CAB4">
            <w:pPr>
              <w:pStyle w:val="1343"/>
            </w:pPr>
          </w:p>
        </w:tc>
        <w:tc>
          <w:tcPr>
            <w:tcW w:w="2268" w:type="dxa"/>
            <w:vMerge w:val="continue"/>
            <w:vAlign w:val="center"/>
          </w:tcPr>
          <w:p w14:paraId="4BDCDA47">
            <w:pPr>
              <w:pStyle w:val="1343"/>
            </w:pPr>
          </w:p>
        </w:tc>
        <w:tc>
          <w:tcPr>
            <w:tcW w:w="958" w:type="dxa"/>
            <w:vAlign w:val="center"/>
          </w:tcPr>
          <w:p w14:paraId="4BFA240D">
            <w:pPr>
              <w:pStyle w:val="1343"/>
            </w:pPr>
            <w:r>
              <w:rPr>
                <w:rFonts w:hint="eastAsia"/>
              </w:rPr>
              <w:t>10</w:t>
            </w:r>
          </w:p>
        </w:tc>
        <w:tc>
          <w:tcPr>
            <w:tcW w:w="5500" w:type="dxa"/>
            <w:vAlign w:val="center"/>
          </w:tcPr>
          <w:p w14:paraId="3F22709E">
            <w:pPr>
              <w:pStyle w:val="1343"/>
            </w:pPr>
            <w:r>
              <w:t>草方格、浆砌石、挡土墙、排水沟、边坡防护等</w:t>
            </w:r>
          </w:p>
        </w:tc>
      </w:tr>
      <w:tr w14:paraId="2C3AB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6A99EDF1">
            <w:pPr>
              <w:pStyle w:val="1343"/>
            </w:pPr>
          </w:p>
        </w:tc>
        <w:tc>
          <w:tcPr>
            <w:tcW w:w="2268" w:type="dxa"/>
            <w:vAlign w:val="center"/>
          </w:tcPr>
          <w:p w14:paraId="77B4FA40">
            <w:pPr>
              <w:pStyle w:val="1343"/>
            </w:pPr>
            <w:r>
              <w:t>社会环境保护措施</w:t>
            </w:r>
          </w:p>
        </w:tc>
        <w:tc>
          <w:tcPr>
            <w:tcW w:w="958" w:type="dxa"/>
            <w:vAlign w:val="center"/>
          </w:tcPr>
          <w:p w14:paraId="14F994D9">
            <w:pPr>
              <w:pStyle w:val="1343"/>
            </w:pPr>
            <w:r>
              <w:t>5</w:t>
            </w:r>
          </w:p>
        </w:tc>
        <w:tc>
          <w:tcPr>
            <w:tcW w:w="5500" w:type="dxa"/>
            <w:vAlign w:val="center"/>
          </w:tcPr>
          <w:p w14:paraId="45C9EB46">
            <w:pPr>
              <w:pStyle w:val="1343"/>
            </w:pPr>
            <w:r>
              <w:t>告示牌、</w:t>
            </w:r>
            <w:r>
              <w:rPr>
                <w:rFonts w:hint="eastAsia"/>
              </w:rPr>
              <w:t>环保宣传牌</w:t>
            </w:r>
            <w:r>
              <w:t>等。</w:t>
            </w:r>
          </w:p>
        </w:tc>
      </w:tr>
      <w:tr w14:paraId="01F17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20BB83EF">
            <w:pPr>
              <w:pStyle w:val="1343"/>
            </w:pPr>
          </w:p>
        </w:tc>
        <w:tc>
          <w:tcPr>
            <w:tcW w:w="2268" w:type="dxa"/>
            <w:vAlign w:val="center"/>
          </w:tcPr>
          <w:p w14:paraId="4A6E99F9">
            <w:pPr>
              <w:pStyle w:val="1343"/>
            </w:pPr>
            <w:r>
              <w:t>人员培训费用</w:t>
            </w:r>
          </w:p>
        </w:tc>
        <w:tc>
          <w:tcPr>
            <w:tcW w:w="958" w:type="dxa"/>
            <w:vAlign w:val="center"/>
          </w:tcPr>
          <w:p w14:paraId="176F59F9">
            <w:pPr>
              <w:pStyle w:val="1343"/>
              <w:rPr>
                <w:rFonts w:hint="default" w:eastAsia="宋体"/>
                <w:i/>
                <w:iCs/>
                <w:color w:val="auto"/>
                <w:u w:val="single"/>
                <w:lang w:val="en-US" w:eastAsia="zh-CN"/>
              </w:rPr>
            </w:pPr>
            <w:r>
              <w:rPr>
                <w:rFonts w:hint="eastAsia"/>
                <w:i/>
                <w:iCs/>
                <w:color w:val="auto"/>
                <w:u w:val="single"/>
                <w:lang w:val="en-US" w:eastAsia="zh-CN"/>
              </w:rPr>
              <w:t>2</w:t>
            </w:r>
          </w:p>
        </w:tc>
        <w:tc>
          <w:tcPr>
            <w:tcW w:w="5500" w:type="dxa"/>
            <w:vAlign w:val="center"/>
          </w:tcPr>
          <w:p w14:paraId="0E31C8DE">
            <w:pPr>
              <w:pStyle w:val="1343"/>
              <w:rPr>
                <w:i/>
                <w:iCs/>
                <w:color w:val="auto"/>
                <w:u w:val="single"/>
              </w:rPr>
            </w:pPr>
            <w:r>
              <w:rPr>
                <w:i/>
                <w:iCs/>
                <w:color w:val="auto"/>
                <w:u w:val="single"/>
              </w:rPr>
              <w:t>环境保护相关内容培训</w:t>
            </w:r>
          </w:p>
        </w:tc>
      </w:tr>
      <w:tr w14:paraId="261E0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562" w:type="dxa"/>
            <w:vMerge w:val="continue"/>
            <w:vAlign w:val="center"/>
          </w:tcPr>
          <w:p w14:paraId="40BC9D70">
            <w:pPr>
              <w:pStyle w:val="1343"/>
            </w:pPr>
          </w:p>
        </w:tc>
        <w:tc>
          <w:tcPr>
            <w:tcW w:w="2268" w:type="dxa"/>
            <w:vAlign w:val="center"/>
          </w:tcPr>
          <w:p w14:paraId="14154FA8">
            <w:pPr>
              <w:pStyle w:val="1343"/>
              <w:rPr>
                <w:color w:val="FF0000"/>
              </w:rPr>
            </w:pPr>
            <w:r>
              <w:rPr>
                <w:color w:val="auto"/>
              </w:rPr>
              <w:t>环境监测费</w:t>
            </w:r>
          </w:p>
        </w:tc>
        <w:tc>
          <w:tcPr>
            <w:tcW w:w="958" w:type="dxa"/>
            <w:vAlign w:val="center"/>
          </w:tcPr>
          <w:p w14:paraId="191BD090">
            <w:pPr>
              <w:pStyle w:val="1343"/>
              <w:rPr>
                <w:i/>
                <w:iCs/>
                <w:color w:val="auto"/>
                <w:u w:val="single"/>
              </w:rPr>
            </w:pPr>
            <w:r>
              <w:rPr>
                <w:rFonts w:hint="eastAsia"/>
                <w:i/>
                <w:iCs/>
                <w:color w:val="auto"/>
                <w:u w:val="single"/>
              </w:rPr>
              <w:t>8</w:t>
            </w:r>
          </w:p>
        </w:tc>
        <w:tc>
          <w:tcPr>
            <w:tcW w:w="5500" w:type="dxa"/>
            <w:vAlign w:val="center"/>
          </w:tcPr>
          <w:p w14:paraId="752CB396">
            <w:pPr>
              <w:pStyle w:val="1343"/>
              <w:rPr>
                <w:i/>
                <w:iCs/>
                <w:color w:val="auto"/>
                <w:u w:val="single"/>
              </w:rPr>
            </w:pPr>
            <w:r>
              <w:rPr>
                <w:i/>
                <w:iCs/>
                <w:color w:val="auto"/>
                <w:u w:val="single"/>
              </w:rPr>
              <w:t>施工期环境监测</w:t>
            </w:r>
          </w:p>
        </w:tc>
      </w:tr>
      <w:tr w14:paraId="2CE16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14CC196F">
            <w:pPr>
              <w:pStyle w:val="1343"/>
            </w:pPr>
          </w:p>
        </w:tc>
        <w:tc>
          <w:tcPr>
            <w:tcW w:w="2268" w:type="dxa"/>
            <w:vAlign w:val="center"/>
          </w:tcPr>
          <w:p w14:paraId="47A10083">
            <w:pPr>
              <w:pStyle w:val="1343"/>
            </w:pPr>
            <w:r>
              <w:t>环境监理费</w:t>
            </w:r>
          </w:p>
        </w:tc>
        <w:tc>
          <w:tcPr>
            <w:tcW w:w="958" w:type="dxa"/>
            <w:vAlign w:val="center"/>
          </w:tcPr>
          <w:p w14:paraId="69AFF9B0">
            <w:pPr>
              <w:pStyle w:val="1343"/>
              <w:rPr>
                <w:rFonts w:hint="default" w:eastAsia="宋体"/>
                <w:i/>
                <w:iCs/>
                <w:color w:val="auto"/>
                <w:u w:val="single"/>
                <w:lang w:val="en-US" w:eastAsia="zh-CN"/>
              </w:rPr>
            </w:pPr>
            <w:r>
              <w:rPr>
                <w:rFonts w:hint="eastAsia"/>
                <w:i/>
                <w:iCs/>
                <w:color w:val="auto"/>
                <w:u w:val="single"/>
                <w:lang w:val="en-US" w:eastAsia="zh-CN"/>
              </w:rPr>
              <w:t>18</w:t>
            </w:r>
          </w:p>
        </w:tc>
        <w:tc>
          <w:tcPr>
            <w:tcW w:w="5500" w:type="dxa"/>
            <w:vAlign w:val="center"/>
          </w:tcPr>
          <w:p w14:paraId="3CC182B2">
            <w:pPr>
              <w:pStyle w:val="1343"/>
              <w:rPr>
                <w:i/>
                <w:iCs/>
                <w:color w:val="auto"/>
                <w:u w:val="single"/>
              </w:rPr>
            </w:pPr>
            <w:r>
              <w:rPr>
                <w:i/>
                <w:iCs/>
                <w:color w:val="auto"/>
                <w:u w:val="single"/>
              </w:rPr>
              <w:t>按</w:t>
            </w:r>
            <w:r>
              <w:rPr>
                <w:rFonts w:hint="eastAsia"/>
                <w:i/>
                <w:iCs/>
                <w:color w:val="auto"/>
                <w:u w:val="single"/>
                <w:lang w:val="en-US" w:eastAsia="zh-CN"/>
              </w:rPr>
              <w:t>3</w:t>
            </w:r>
            <w:r>
              <w:rPr>
                <w:i/>
                <w:iCs/>
                <w:color w:val="auto"/>
                <w:u w:val="single"/>
              </w:rPr>
              <w:t>万元/月计</w:t>
            </w:r>
          </w:p>
        </w:tc>
      </w:tr>
      <w:tr w14:paraId="74B17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restart"/>
            <w:vAlign w:val="center"/>
          </w:tcPr>
          <w:p w14:paraId="68BAD7BE">
            <w:pPr>
              <w:pStyle w:val="1343"/>
            </w:pPr>
            <w:r>
              <w:t>运营期</w:t>
            </w:r>
          </w:p>
        </w:tc>
        <w:tc>
          <w:tcPr>
            <w:tcW w:w="2268" w:type="dxa"/>
            <w:vAlign w:val="center"/>
          </w:tcPr>
          <w:p w14:paraId="6A83E188">
            <w:pPr>
              <w:pStyle w:val="1343"/>
            </w:pPr>
            <w:r>
              <w:t>风险防范措施</w:t>
            </w:r>
          </w:p>
        </w:tc>
        <w:tc>
          <w:tcPr>
            <w:tcW w:w="958" w:type="dxa"/>
            <w:vAlign w:val="center"/>
          </w:tcPr>
          <w:p w14:paraId="09CC1B8B">
            <w:pPr>
              <w:pStyle w:val="1343"/>
            </w:pPr>
            <w:r>
              <w:rPr>
                <w:rFonts w:hint="eastAsia"/>
              </w:rPr>
              <w:t>25</w:t>
            </w:r>
          </w:p>
        </w:tc>
        <w:tc>
          <w:tcPr>
            <w:tcW w:w="5500" w:type="dxa"/>
            <w:vAlign w:val="center"/>
          </w:tcPr>
          <w:p w14:paraId="2697326E">
            <w:pPr>
              <w:pStyle w:val="1343"/>
            </w:pPr>
            <w:r>
              <w:t>包括管道防腐、阴极保护、自控监测系统、抢维修设施</w:t>
            </w:r>
            <w:r>
              <w:rPr>
                <w:rFonts w:hint="eastAsia"/>
              </w:rPr>
              <w:t>等</w:t>
            </w:r>
          </w:p>
        </w:tc>
      </w:tr>
      <w:tr w14:paraId="79DE7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56C87B6A">
            <w:pPr>
              <w:pStyle w:val="1343"/>
            </w:pPr>
          </w:p>
        </w:tc>
        <w:tc>
          <w:tcPr>
            <w:tcW w:w="2268" w:type="dxa"/>
            <w:vAlign w:val="center"/>
          </w:tcPr>
          <w:p w14:paraId="532238FD">
            <w:pPr>
              <w:pStyle w:val="1343"/>
            </w:pPr>
            <w:r>
              <w:rPr>
                <w:rFonts w:hint="eastAsia"/>
              </w:rPr>
              <w:t>废气污染防治</w:t>
            </w:r>
          </w:p>
        </w:tc>
        <w:tc>
          <w:tcPr>
            <w:tcW w:w="958" w:type="dxa"/>
            <w:vAlign w:val="center"/>
          </w:tcPr>
          <w:p w14:paraId="2D4BEB39">
            <w:pPr>
              <w:pStyle w:val="1343"/>
            </w:pPr>
            <w:r>
              <w:rPr>
                <w:rFonts w:hint="eastAsia"/>
              </w:rPr>
              <w:t>4.9</w:t>
            </w:r>
          </w:p>
        </w:tc>
        <w:tc>
          <w:tcPr>
            <w:tcW w:w="5500" w:type="dxa"/>
            <w:vAlign w:val="center"/>
          </w:tcPr>
          <w:p w14:paraId="292CFE9D">
            <w:pPr>
              <w:pStyle w:val="1343"/>
            </w:pPr>
            <w:r>
              <w:rPr>
                <w:rFonts w:hint="eastAsia"/>
              </w:rPr>
              <w:t>放空废气均通过放空立管排放</w:t>
            </w:r>
          </w:p>
        </w:tc>
      </w:tr>
      <w:tr w14:paraId="18EB0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18610D69">
            <w:pPr>
              <w:pStyle w:val="1343"/>
            </w:pPr>
          </w:p>
        </w:tc>
        <w:tc>
          <w:tcPr>
            <w:tcW w:w="2268" w:type="dxa"/>
            <w:vAlign w:val="center"/>
          </w:tcPr>
          <w:p w14:paraId="324B036F">
            <w:pPr>
              <w:pStyle w:val="1343"/>
            </w:pPr>
            <w:r>
              <w:rPr>
                <w:rFonts w:hint="eastAsia"/>
              </w:rPr>
              <w:t>废水污染防治</w:t>
            </w:r>
          </w:p>
        </w:tc>
        <w:tc>
          <w:tcPr>
            <w:tcW w:w="958" w:type="dxa"/>
            <w:vAlign w:val="center"/>
          </w:tcPr>
          <w:p w14:paraId="7AE3A82D">
            <w:pPr>
              <w:pStyle w:val="1343"/>
            </w:pPr>
            <w:r>
              <w:rPr>
                <w:rFonts w:hint="eastAsia"/>
              </w:rPr>
              <w:t>0.7</w:t>
            </w:r>
          </w:p>
        </w:tc>
        <w:tc>
          <w:tcPr>
            <w:tcW w:w="5500" w:type="dxa"/>
            <w:vAlign w:val="center"/>
          </w:tcPr>
          <w:p w14:paraId="0D80FB29">
            <w:pPr>
              <w:pStyle w:val="1343"/>
            </w:pPr>
            <w:r>
              <w:rPr>
                <w:rFonts w:hint="eastAsia"/>
              </w:rPr>
              <w:t>耒阳分输站内建撬装卫生间，生活污水定期委托拉运</w:t>
            </w:r>
          </w:p>
        </w:tc>
      </w:tr>
      <w:tr w14:paraId="54DBA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14243BAC">
            <w:pPr>
              <w:pStyle w:val="1343"/>
            </w:pPr>
          </w:p>
        </w:tc>
        <w:tc>
          <w:tcPr>
            <w:tcW w:w="2268" w:type="dxa"/>
            <w:vMerge w:val="restart"/>
            <w:vAlign w:val="center"/>
          </w:tcPr>
          <w:p w14:paraId="727E74F6">
            <w:pPr>
              <w:pStyle w:val="1343"/>
            </w:pPr>
            <w:r>
              <w:t>固体废物处置</w:t>
            </w:r>
          </w:p>
        </w:tc>
        <w:tc>
          <w:tcPr>
            <w:tcW w:w="958" w:type="dxa"/>
            <w:vAlign w:val="center"/>
          </w:tcPr>
          <w:p w14:paraId="4D48A86D">
            <w:pPr>
              <w:pStyle w:val="1343"/>
            </w:pPr>
            <w:r>
              <w:rPr>
                <w:rFonts w:hint="eastAsia"/>
              </w:rPr>
              <w:t>6.2</w:t>
            </w:r>
          </w:p>
        </w:tc>
        <w:tc>
          <w:tcPr>
            <w:tcW w:w="5500" w:type="dxa"/>
            <w:vAlign w:val="center"/>
          </w:tcPr>
          <w:p w14:paraId="5C0276ED">
            <w:pPr>
              <w:pStyle w:val="1343"/>
            </w:pPr>
            <w:r>
              <w:rPr>
                <w:rFonts w:hint="eastAsia"/>
              </w:rPr>
              <w:t>分离器检修废渣、废滤芯、废铅酸蓄电池委托专业单位处置</w:t>
            </w:r>
          </w:p>
        </w:tc>
      </w:tr>
      <w:tr w14:paraId="55847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1CF0C838">
            <w:pPr>
              <w:pStyle w:val="1343"/>
            </w:pPr>
          </w:p>
        </w:tc>
        <w:tc>
          <w:tcPr>
            <w:tcW w:w="2268" w:type="dxa"/>
            <w:vMerge w:val="continue"/>
            <w:vAlign w:val="center"/>
          </w:tcPr>
          <w:p w14:paraId="158BA846">
            <w:pPr>
              <w:pStyle w:val="1343"/>
            </w:pPr>
          </w:p>
        </w:tc>
        <w:tc>
          <w:tcPr>
            <w:tcW w:w="958" w:type="dxa"/>
            <w:vAlign w:val="center"/>
          </w:tcPr>
          <w:p w14:paraId="47E6F9C4">
            <w:pPr>
              <w:pStyle w:val="1343"/>
            </w:pPr>
            <w:r>
              <w:rPr>
                <w:rFonts w:hint="eastAsia"/>
              </w:rPr>
              <w:t>6.1</w:t>
            </w:r>
          </w:p>
        </w:tc>
        <w:tc>
          <w:tcPr>
            <w:tcW w:w="5500" w:type="dxa"/>
            <w:vAlign w:val="center"/>
          </w:tcPr>
          <w:p w14:paraId="24DC7D4A">
            <w:pPr>
              <w:pStyle w:val="1343"/>
            </w:pPr>
            <w:r>
              <w:rPr>
                <w:rFonts w:hint="eastAsia"/>
              </w:rPr>
              <w:t>建设排污池、危废暂存间储存危险废物</w:t>
            </w:r>
          </w:p>
        </w:tc>
      </w:tr>
      <w:tr w14:paraId="1939B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0C067116">
            <w:pPr>
              <w:pStyle w:val="1343"/>
            </w:pPr>
          </w:p>
        </w:tc>
        <w:tc>
          <w:tcPr>
            <w:tcW w:w="2268" w:type="dxa"/>
            <w:vAlign w:val="center"/>
          </w:tcPr>
          <w:p w14:paraId="7C871FCE">
            <w:pPr>
              <w:pStyle w:val="1343"/>
            </w:pPr>
            <w:r>
              <w:rPr>
                <w:rFonts w:hint="eastAsia"/>
              </w:rPr>
              <w:t>噪声污染防治</w:t>
            </w:r>
          </w:p>
        </w:tc>
        <w:tc>
          <w:tcPr>
            <w:tcW w:w="958" w:type="dxa"/>
            <w:vAlign w:val="center"/>
          </w:tcPr>
          <w:p w14:paraId="7AC2563B">
            <w:pPr>
              <w:pStyle w:val="1343"/>
            </w:pPr>
            <w:r>
              <w:rPr>
                <w:rFonts w:hint="eastAsia"/>
              </w:rPr>
              <w:t>5</w:t>
            </w:r>
          </w:p>
        </w:tc>
        <w:tc>
          <w:tcPr>
            <w:tcW w:w="5500" w:type="dxa"/>
            <w:vAlign w:val="center"/>
          </w:tcPr>
          <w:p w14:paraId="1718941C">
            <w:pPr>
              <w:pStyle w:val="1343"/>
            </w:pPr>
            <w:r>
              <w:rPr>
                <w:rFonts w:hint="eastAsia"/>
              </w:rPr>
              <w:t>选用低噪声设备，安装基础减振装等</w:t>
            </w:r>
          </w:p>
        </w:tc>
      </w:tr>
      <w:tr w14:paraId="05746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gridSpan w:val="2"/>
            <w:vAlign w:val="center"/>
          </w:tcPr>
          <w:p w14:paraId="009C7106">
            <w:pPr>
              <w:pStyle w:val="1343"/>
            </w:pPr>
            <w:r>
              <w:t>合</w:t>
            </w:r>
            <w:r>
              <w:tab/>
            </w:r>
            <w:r>
              <w:t>计</w:t>
            </w:r>
          </w:p>
        </w:tc>
        <w:tc>
          <w:tcPr>
            <w:tcW w:w="958" w:type="dxa"/>
            <w:vAlign w:val="center"/>
          </w:tcPr>
          <w:p w14:paraId="1DB9A455">
            <w:pPr>
              <w:pStyle w:val="1343"/>
              <w:rPr>
                <w:rFonts w:hint="default" w:eastAsia="宋体"/>
                <w:i/>
                <w:iCs/>
                <w:color w:val="auto"/>
                <w:u w:val="single"/>
                <w:lang w:val="en-US" w:eastAsia="zh-CN"/>
              </w:rPr>
            </w:pPr>
            <w:r>
              <w:rPr>
                <w:rFonts w:hint="eastAsia"/>
                <w:i/>
                <w:iCs/>
                <w:color w:val="auto"/>
                <w:u w:val="single"/>
                <w:lang w:val="en-US" w:eastAsia="zh-CN"/>
              </w:rPr>
              <w:t>132</w:t>
            </w:r>
          </w:p>
        </w:tc>
        <w:tc>
          <w:tcPr>
            <w:tcW w:w="5500" w:type="dxa"/>
            <w:vAlign w:val="center"/>
          </w:tcPr>
          <w:p w14:paraId="4E80C46C">
            <w:pPr>
              <w:pStyle w:val="1343"/>
              <w:rPr>
                <w:i/>
                <w:iCs/>
                <w:color w:val="auto"/>
                <w:u w:val="single"/>
              </w:rPr>
            </w:pPr>
            <w:r>
              <w:rPr>
                <w:i/>
                <w:iCs/>
                <w:color w:val="auto"/>
                <w:u w:val="single"/>
              </w:rPr>
              <w:t>占工程总投资</w:t>
            </w:r>
            <w:r>
              <w:rPr>
                <w:rFonts w:hint="eastAsia"/>
                <w:i/>
                <w:iCs/>
                <w:color w:val="auto"/>
                <w:u w:val="single"/>
              </w:rPr>
              <w:t>4327.91</w:t>
            </w:r>
            <w:r>
              <w:rPr>
                <w:i/>
                <w:iCs/>
                <w:color w:val="auto"/>
                <w:u w:val="single"/>
              </w:rPr>
              <w:t>万元的</w:t>
            </w:r>
            <w:r>
              <w:rPr>
                <w:rFonts w:hint="eastAsia"/>
                <w:i/>
                <w:iCs/>
                <w:color w:val="auto"/>
                <w:u w:val="single"/>
                <w:lang w:val="en-US" w:eastAsia="zh-CN"/>
              </w:rPr>
              <w:t>3.05</w:t>
            </w:r>
            <w:r>
              <w:rPr>
                <w:i/>
                <w:iCs/>
                <w:color w:val="auto"/>
                <w:u w:val="single"/>
              </w:rPr>
              <w:t>%</w:t>
            </w:r>
          </w:p>
        </w:tc>
      </w:tr>
    </w:tbl>
    <w:p w14:paraId="4BEF9A46">
      <w:pPr>
        <w:pStyle w:val="234"/>
        <w:spacing w:before="120" w:beforeLines="50"/>
        <w:rPr>
          <w:i/>
          <w:iCs/>
          <w:color w:val="auto"/>
          <w:u w:val="single"/>
        </w:rPr>
      </w:pPr>
      <w:r>
        <w:t>由</w:t>
      </w:r>
      <w:r>
        <w:rPr>
          <w:rFonts w:hint="eastAsia"/>
        </w:rPr>
        <w:t>表9</w:t>
      </w:r>
      <w:r>
        <w:t>.1</w:t>
      </w:r>
      <w:r>
        <w:rPr>
          <w:rFonts w:hint="eastAsia"/>
        </w:rPr>
        <w:t>-</w:t>
      </w:r>
      <w:r>
        <w:t>1可知，项目环保投资费用主要为地表水环境、环境空气、声环境、地下水环境、生态环境保护措施及社会环境保护措施等，</w:t>
      </w:r>
      <w:r>
        <w:rPr>
          <w:i/>
          <w:iCs/>
          <w:color w:val="auto"/>
          <w:u w:val="single"/>
        </w:rPr>
        <w:t>共计</w:t>
      </w:r>
      <w:r>
        <w:rPr>
          <w:rFonts w:hint="eastAsia"/>
          <w:i/>
          <w:iCs/>
          <w:color w:val="auto"/>
          <w:u w:val="single"/>
          <w:lang w:val="en-US" w:eastAsia="zh-CN"/>
        </w:rPr>
        <w:t>132</w:t>
      </w:r>
      <w:r>
        <w:rPr>
          <w:i/>
          <w:iCs/>
          <w:color w:val="auto"/>
          <w:u w:val="single"/>
        </w:rPr>
        <w:t>万元；环保投资占工程总投资的</w:t>
      </w:r>
      <w:r>
        <w:rPr>
          <w:rFonts w:hint="eastAsia"/>
          <w:i/>
          <w:iCs/>
          <w:color w:val="auto"/>
          <w:u w:val="single"/>
        </w:rPr>
        <w:t>3</w:t>
      </w:r>
      <w:r>
        <w:rPr>
          <w:rFonts w:hint="eastAsia"/>
          <w:i/>
          <w:iCs/>
          <w:color w:val="auto"/>
          <w:u w:val="single"/>
          <w:lang w:val="en-US" w:eastAsia="zh-CN"/>
        </w:rPr>
        <w:t>.05</w:t>
      </w:r>
      <w:r>
        <w:rPr>
          <w:i/>
          <w:iCs/>
          <w:color w:val="auto"/>
          <w:u w:val="single"/>
        </w:rPr>
        <w:t>%。</w:t>
      </w:r>
    </w:p>
    <w:p w14:paraId="482FBC07">
      <w:pPr>
        <w:pStyle w:val="4"/>
        <w:rPr>
          <w:b/>
        </w:rPr>
      </w:pPr>
      <w:bookmarkStart w:id="242" w:name="_bookmark200"/>
      <w:bookmarkEnd w:id="242"/>
      <w:bookmarkStart w:id="243" w:name="_Toc8694"/>
      <w:r>
        <w:t>经济效益分析</w:t>
      </w:r>
      <w:bookmarkEnd w:id="243"/>
    </w:p>
    <w:p w14:paraId="0E6065A7">
      <w:pPr>
        <w:pStyle w:val="234"/>
      </w:pPr>
      <w:r>
        <w:t>本工程总投资</w:t>
      </w:r>
      <w:r>
        <w:rPr>
          <w:rFonts w:hint="eastAsia"/>
        </w:rPr>
        <w:t>4327.91</w:t>
      </w:r>
      <w:r>
        <w:t>万元。这些措施投资绝大部分在</w:t>
      </w:r>
      <w:r>
        <w:rPr>
          <w:rFonts w:hint="eastAsia"/>
          <w:i/>
          <w:iCs/>
          <w:color w:val="auto"/>
          <w:u w:val="single"/>
        </w:rPr>
        <w:t>初步设计</w:t>
      </w:r>
      <w:r>
        <w:rPr>
          <w:i/>
          <w:iCs/>
          <w:color w:val="auto"/>
          <w:u w:val="single"/>
        </w:rPr>
        <w:t>报告</w:t>
      </w:r>
      <w:r>
        <w:t>中已经得到考虑，对本工程建设和运营阶段保护生态环境，将减轻工程建设带来的不利影响。由于本工程的污染物排放量较小、污染因子较为单一，所需用污染治理设施的环保措施投资相对较少，而生态补偿与风险投资所占比例较为合理。</w:t>
      </w:r>
    </w:p>
    <w:p w14:paraId="2D7E164C">
      <w:pPr>
        <w:pStyle w:val="234"/>
      </w:pPr>
      <w:r>
        <w:t>考虑到本工程的建设将有利于满足</w:t>
      </w:r>
      <w:r>
        <w:rPr>
          <w:rFonts w:hint="eastAsia"/>
        </w:rPr>
        <w:t>耒阳</w:t>
      </w:r>
      <w:r>
        <w:t>地区社会经济发展对能源的需求，早日解决</w:t>
      </w:r>
      <w:r>
        <w:rPr>
          <w:rFonts w:hint="eastAsia"/>
        </w:rPr>
        <w:t>耒阳</w:t>
      </w:r>
      <w:r>
        <w:t>地区天然气供需矛盾，保证当地天然气供应安全，因此应努力扩大市场范围、挖掘高端用户，获得税收优惠政策及降低建设投资、运营成本等，可以大大提高项目的经济效益。</w:t>
      </w:r>
    </w:p>
    <w:p w14:paraId="0679BC04">
      <w:pPr>
        <w:pStyle w:val="234"/>
      </w:pPr>
      <w:r>
        <w:t>另外，本工程的建成还具有一定的间接经济效益，例如使用天然气发电与燃煤电厂比可大大节约投资，减少运营成本，主要为煤炭运费等，同时还可以缓解铁路和公路运输压力，改善环境提高居民生活质量等。</w:t>
      </w:r>
    </w:p>
    <w:p w14:paraId="28967CD3">
      <w:pPr>
        <w:pStyle w:val="4"/>
        <w:rPr>
          <w:b/>
        </w:rPr>
      </w:pPr>
      <w:bookmarkStart w:id="244" w:name="_bookmark201"/>
      <w:bookmarkEnd w:id="244"/>
      <w:bookmarkStart w:id="245" w:name="_Toc2202"/>
      <w:r>
        <w:t>社会效益分析</w:t>
      </w:r>
      <w:bookmarkEnd w:id="245"/>
    </w:p>
    <w:p w14:paraId="33BA79D0">
      <w:pPr>
        <w:pStyle w:val="234"/>
      </w:pPr>
      <w:r>
        <w:t>作为一种优质、高效、清洁的能源，天然气在能源竞争中的优势已逐步确立，开发利用天然气已成为当代世界的潮流。随着全球天然气探明储量和产量的同步迅速增长，天然气在能源构成中所占比例日益提高。通过本工程的建设，可有效实现</w:t>
      </w:r>
      <w:r>
        <w:rPr>
          <w:rFonts w:hint="eastAsia"/>
        </w:rPr>
        <w:t>耒阳市</w:t>
      </w:r>
      <w:r>
        <w:t>稳定供气，便于</w:t>
      </w:r>
      <w:r>
        <w:rPr>
          <w:rFonts w:hint="eastAsia"/>
        </w:rPr>
        <w:t>耒阳市</w:t>
      </w:r>
      <w:r>
        <w:t>内资源调配，有利于优化天然气供需结构，符合国家天然气发展规划，有助于国家</w:t>
      </w:r>
      <w:r>
        <w:rPr>
          <w:rFonts w:hint="eastAsia"/>
        </w:rPr>
        <w:t>天然气管网</w:t>
      </w:r>
      <w:r>
        <w:t>“全国一张网”落地实施。</w:t>
      </w:r>
      <w:r>
        <w:rPr>
          <w:spacing w:val="-2"/>
        </w:rPr>
        <w:t>本工程的建设符合国家产业政策，将使国内的</w:t>
      </w:r>
      <w:r>
        <w:t>能源配置更趋于合理</w:t>
      </w:r>
      <w:r>
        <w:rPr>
          <w:spacing w:val="-24"/>
        </w:rPr>
        <w:t>，</w:t>
      </w:r>
      <w:r>
        <w:t>使得全国经济的效益在总体上大大提高</w:t>
      </w:r>
      <w:r>
        <w:rPr>
          <w:spacing w:val="-24"/>
        </w:rPr>
        <w:t>，</w:t>
      </w:r>
      <w:r>
        <w:t>体现出中国能源供需的协调发展战略。</w:t>
      </w:r>
    </w:p>
    <w:p w14:paraId="00EF06E8">
      <w:pPr>
        <w:pStyle w:val="4"/>
        <w:rPr>
          <w:b/>
        </w:rPr>
      </w:pPr>
      <w:bookmarkStart w:id="246" w:name="_bookmark202"/>
      <w:bookmarkEnd w:id="246"/>
      <w:bookmarkStart w:id="247" w:name="_Toc11284"/>
      <w:r>
        <w:t>环境效益分析</w:t>
      </w:r>
      <w:bookmarkEnd w:id="247"/>
    </w:p>
    <w:p w14:paraId="6F30D73E">
      <w:pPr>
        <w:pStyle w:val="5"/>
        <w:rPr>
          <w:color w:val="auto"/>
        </w:rPr>
      </w:pPr>
      <w:bookmarkStart w:id="248" w:name="_bookmark203"/>
      <w:bookmarkEnd w:id="248"/>
      <w:r>
        <w:rPr>
          <w:color w:val="auto"/>
        </w:rPr>
        <w:t>环境正效益分析</w:t>
      </w:r>
    </w:p>
    <w:p w14:paraId="2CC7213B">
      <w:pPr>
        <w:pStyle w:val="234"/>
      </w:pPr>
      <w:r>
        <w:t>（1）有利于环境治理天然气是目前最为清洁的燃料，其他燃油、燃煤相对于燃气突出的问题就是SO</w:t>
      </w:r>
      <w:r>
        <w:rPr>
          <w:vertAlign w:val="subscript"/>
        </w:rPr>
        <w:t>2</w:t>
      </w:r>
      <w:r>
        <w:t>和烟尘污染较为明显，拟建项目输送天然气替代电厂及周边供气区域燃煤有利于当地环境空气质量改善。</w:t>
      </w:r>
    </w:p>
    <w:p w14:paraId="632C996C">
      <w:pPr>
        <w:pStyle w:val="234"/>
        <w:rPr>
          <w:spacing w:val="21"/>
        </w:rPr>
      </w:pPr>
      <w:r>
        <w:t>（2）天然气替代其他燃料的污染物削减量估算</w:t>
      </w:r>
    </w:p>
    <w:p w14:paraId="0A1BB936">
      <w:pPr>
        <w:pStyle w:val="234"/>
      </w:pPr>
      <w:r>
        <w:fldChar w:fldCharType="begin"/>
      </w:r>
      <w:r>
        <w:instrText xml:space="preserve"> = 1 \* GB3 </w:instrText>
      </w:r>
      <w:r>
        <w:fldChar w:fldCharType="separate"/>
      </w:r>
      <w:r>
        <w:rPr>
          <w:rFonts w:hint="eastAsia" w:ascii="宋体" w:hAnsi="宋体" w:cs="宋体"/>
        </w:rPr>
        <w:t>①</w:t>
      </w:r>
      <w:r>
        <w:fldChar w:fldCharType="end"/>
      </w:r>
      <w:r>
        <w:t>估算基础数据</w:t>
      </w:r>
    </w:p>
    <w:p w14:paraId="6009249B">
      <w:pPr>
        <w:pStyle w:val="234"/>
      </w:pPr>
      <w:r>
        <w:t>根据《天然气》（GB 17820-2018），一类天然气的总硫含量≤20mg/m</w:t>
      </w:r>
      <w:r>
        <w:rPr>
          <w:vertAlign w:val="superscript"/>
        </w:rPr>
        <w:t>3</w:t>
      </w:r>
      <w:r>
        <w:t>；根据《燃料油》（SH/T0356-1996），燃料油的硫含量≤0.5%；煤的硫含量按照全国统计数据，其硫含量平均值为1.01%。</w:t>
      </w:r>
    </w:p>
    <w:p w14:paraId="611CB7EF">
      <w:pPr>
        <w:pStyle w:val="234"/>
      </w:pPr>
      <w:r>
        <w:t>根据国家统计局全国主要能源折算标准表，原煤热值按5000kcal/kg计算，天然气热值按9310kcal/m</w:t>
      </w:r>
      <w:r>
        <w:rPr>
          <w:vertAlign w:val="superscript"/>
        </w:rPr>
        <w:t>3</w:t>
      </w:r>
      <w:r>
        <w:t>计算，燃料油热值按柴油热值10100kcal/kg计算。</w:t>
      </w:r>
    </w:p>
    <w:p w14:paraId="783D26B9">
      <w:pPr>
        <w:pStyle w:val="234"/>
      </w:pPr>
      <w:r>
        <w:fldChar w:fldCharType="begin"/>
      </w:r>
      <w:r>
        <w:instrText xml:space="preserve"> = 2 \* GB3 </w:instrText>
      </w:r>
      <w:r>
        <w:fldChar w:fldCharType="separate"/>
      </w:r>
      <w:r>
        <w:rPr>
          <w:rFonts w:hint="eastAsia" w:ascii="宋体" w:hAnsi="宋体" w:cs="宋体"/>
        </w:rPr>
        <w:t>②</w:t>
      </w:r>
      <w:r>
        <w:fldChar w:fldCharType="end"/>
      </w:r>
      <w:r>
        <w:t>污染物消减量估算</w:t>
      </w:r>
    </w:p>
    <w:p w14:paraId="4E1B162E">
      <w:pPr>
        <w:pStyle w:val="234"/>
      </w:pPr>
      <w:r>
        <w:t>根据天然气、油和煤的热值，首先计算出天然气替代油、煤的量，然后计算出SO</w:t>
      </w:r>
      <w:r>
        <w:rPr>
          <w:vertAlign w:val="subscript"/>
        </w:rPr>
        <w:t>2</w:t>
      </w:r>
      <w:r>
        <w:fldChar w:fldCharType="begin"/>
      </w:r>
      <w:r>
        <w:instrText xml:space="preserve"> HYPERLINK \l "_bookmark3" </w:instrText>
      </w:r>
      <w:r>
        <w:fldChar w:fldCharType="separate"/>
      </w:r>
      <w:r>
        <w:t>的排放量，具体计算结果见表9.4-1</w:t>
      </w:r>
      <w:r>
        <w:fldChar w:fldCharType="end"/>
      </w:r>
      <w:r>
        <w:t>。</w:t>
      </w:r>
    </w:p>
    <w:p w14:paraId="6F211424">
      <w:pPr>
        <w:pStyle w:val="904"/>
      </w:pPr>
      <w:bookmarkStart w:id="249" w:name="_bookmark3"/>
      <w:bookmarkEnd w:id="249"/>
      <w:r>
        <w:t>表 9.4-1 燃烧各种燃料污染物排放情况对比</w:t>
      </w:r>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1"/>
        <w:gridCol w:w="2929"/>
        <w:gridCol w:w="2165"/>
        <w:gridCol w:w="2171"/>
      </w:tblGrid>
      <w:tr w14:paraId="20158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088" w:type="pct"/>
            <w:vMerge w:val="restart"/>
            <w:vAlign w:val="center"/>
          </w:tcPr>
          <w:p w14:paraId="5746C0B1">
            <w:pPr>
              <w:pStyle w:val="1343"/>
            </w:pPr>
            <w:r>
              <w:t>燃料名称</w:t>
            </w:r>
          </w:p>
        </w:tc>
        <w:tc>
          <w:tcPr>
            <w:tcW w:w="1577" w:type="pct"/>
            <w:vMerge w:val="restart"/>
            <w:vAlign w:val="center"/>
          </w:tcPr>
          <w:p w14:paraId="6369C696">
            <w:pPr>
              <w:pStyle w:val="1343"/>
            </w:pPr>
            <w:r>
              <w:t>替代量</w:t>
            </w:r>
          </w:p>
        </w:tc>
        <w:tc>
          <w:tcPr>
            <w:tcW w:w="2335" w:type="pct"/>
            <w:gridSpan w:val="2"/>
            <w:vAlign w:val="center"/>
          </w:tcPr>
          <w:p w14:paraId="2681166D">
            <w:pPr>
              <w:pStyle w:val="1343"/>
            </w:pPr>
            <w:r>
              <w:t>二氧化硫（t/a）</w:t>
            </w:r>
          </w:p>
        </w:tc>
      </w:tr>
      <w:tr w14:paraId="05FC1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exact"/>
        </w:trPr>
        <w:tc>
          <w:tcPr>
            <w:tcW w:w="1088" w:type="pct"/>
            <w:vMerge w:val="continue"/>
            <w:vAlign w:val="center"/>
          </w:tcPr>
          <w:p w14:paraId="72291E1E">
            <w:pPr>
              <w:pStyle w:val="1343"/>
            </w:pPr>
          </w:p>
        </w:tc>
        <w:tc>
          <w:tcPr>
            <w:tcW w:w="1577" w:type="pct"/>
            <w:vMerge w:val="continue"/>
            <w:vAlign w:val="center"/>
          </w:tcPr>
          <w:p w14:paraId="3C3A76A7">
            <w:pPr>
              <w:pStyle w:val="1343"/>
            </w:pPr>
          </w:p>
        </w:tc>
        <w:tc>
          <w:tcPr>
            <w:tcW w:w="1166" w:type="pct"/>
            <w:vAlign w:val="center"/>
          </w:tcPr>
          <w:p w14:paraId="3055573A">
            <w:pPr>
              <w:pStyle w:val="1343"/>
            </w:pPr>
            <w:r>
              <w:t>排放量</w:t>
            </w:r>
          </w:p>
        </w:tc>
        <w:tc>
          <w:tcPr>
            <w:tcW w:w="1169" w:type="pct"/>
            <w:vAlign w:val="center"/>
          </w:tcPr>
          <w:p w14:paraId="585DFBB2">
            <w:pPr>
              <w:pStyle w:val="1343"/>
            </w:pPr>
            <w:r>
              <w:t>消减量</w:t>
            </w:r>
          </w:p>
        </w:tc>
      </w:tr>
      <w:tr w14:paraId="09A80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exact"/>
        </w:trPr>
        <w:tc>
          <w:tcPr>
            <w:tcW w:w="1088" w:type="pct"/>
            <w:vAlign w:val="center"/>
          </w:tcPr>
          <w:p w14:paraId="5234EECA">
            <w:pPr>
              <w:pStyle w:val="1343"/>
            </w:pPr>
            <w:r>
              <w:t>天然气</w:t>
            </w:r>
          </w:p>
        </w:tc>
        <w:tc>
          <w:tcPr>
            <w:tcW w:w="1577" w:type="pct"/>
            <w:vAlign w:val="center"/>
          </w:tcPr>
          <w:p w14:paraId="299416CB">
            <w:pPr>
              <w:pStyle w:val="1343"/>
            </w:pPr>
            <w:r>
              <w:rPr>
                <w:rFonts w:hint="eastAsia"/>
              </w:rPr>
              <w:t>4.2</w:t>
            </w:r>
            <w:r>
              <w:t>×10</w:t>
            </w:r>
            <w:r>
              <w:rPr>
                <w:vertAlign w:val="superscript"/>
              </w:rPr>
              <w:t>8</w:t>
            </w:r>
            <w:r>
              <w:t>m</w:t>
            </w:r>
            <w:r>
              <w:rPr>
                <w:vertAlign w:val="superscript"/>
              </w:rPr>
              <w:t>3</w:t>
            </w:r>
            <w:r>
              <w:t>/a</w:t>
            </w:r>
          </w:p>
        </w:tc>
        <w:tc>
          <w:tcPr>
            <w:tcW w:w="1166" w:type="pct"/>
            <w:vAlign w:val="center"/>
          </w:tcPr>
          <w:p w14:paraId="736E25DF">
            <w:pPr>
              <w:pStyle w:val="1343"/>
            </w:pPr>
            <w:r>
              <w:rPr>
                <w:rFonts w:hint="eastAsia"/>
              </w:rPr>
              <w:t>16.8</w:t>
            </w:r>
          </w:p>
        </w:tc>
        <w:tc>
          <w:tcPr>
            <w:tcW w:w="1169" w:type="pct"/>
            <w:vAlign w:val="center"/>
          </w:tcPr>
          <w:p w14:paraId="78B17E3C">
            <w:pPr>
              <w:pStyle w:val="1343"/>
            </w:pPr>
            <w:r>
              <w:t>/</w:t>
            </w:r>
          </w:p>
        </w:tc>
      </w:tr>
      <w:tr w14:paraId="3447A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exact"/>
        </w:trPr>
        <w:tc>
          <w:tcPr>
            <w:tcW w:w="1088" w:type="pct"/>
            <w:vAlign w:val="center"/>
          </w:tcPr>
          <w:p w14:paraId="2A1781DD">
            <w:pPr>
              <w:pStyle w:val="1343"/>
            </w:pPr>
            <w:r>
              <w:t>燃料油</w:t>
            </w:r>
          </w:p>
        </w:tc>
        <w:tc>
          <w:tcPr>
            <w:tcW w:w="1577" w:type="pct"/>
            <w:vAlign w:val="center"/>
          </w:tcPr>
          <w:p w14:paraId="70AE3D71">
            <w:pPr>
              <w:pStyle w:val="1343"/>
            </w:pPr>
            <w:r>
              <w:rPr>
                <w:rFonts w:hint="eastAsia"/>
              </w:rPr>
              <w:t>38.7</w:t>
            </w:r>
            <w:r>
              <w:t>×10</w:t>
            </w:r>
            <w:r>
              <w:rPr>
                <w:vertAlign w:val="superscript"/>
              </w:rPr>
              <w:t>4</w:t>
            </w:r>
            <w:r>
              <w:t>t/a</w:t>
            </w:r>
          </w:p>
        </w:tc>
        <w:tc>
          <w:tcPr>
            <w:tcW w:w="1166" w:type="pct"/>
            <w:vAlign w:val="center"/>
          </w:tcPr>
          <w:p w14:paraId="13DB3BE1">
            <w:pPr>
              <w:pStyle w:val="1343"/>
            </w:pPr>
            <w:r>
              <w:rPr>
                <w:rFonts w:hint="eastAsia"/>
              </w:rPr>
              <w:t>3870</w:t>
            </w:r>
          </w:p>
        </w:tc>
        <w:tc>
          <w:tcPr>
            <w:tcW w:w="1169" w:type="pct"/>
            <w:vAlign w:val="center"/>
          </w:tcPr>
          <w:p w14:paraId="76490D8F">
            <w:pPr>
              <w:pStyle w:val="1343"/>
            </w:pPr>
            <w:r>
              <w:rPr>
                <w:rFonts w:hint="eastAsia"/>
              </w:rPr>
              <w:t>3853.2</w:t>
            </w:r>
          </w:p>
        </w:tc>
      </w:tr>
      <w:tr w14:paraId="308D0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exact"/>
        </w:trPr>
        <w:tc>
          <w:tcPr>
            <w:tcW w:w="1088" w:type="pct"/>
            <w:vAlign w:val="center"/>
          </w:tcPr>
          <w:p w14:paraId="670767DA">
            <w:pPr>
              <w:pStyle w:val="1343"/>
            </w:pPr>
            <w:r>
              <w:t>燃煤</w:t>
            </w:r>
          </w:p>
        </w:tc>
        <w:tc>
          <w:tcPr>
            <w:tcW w:w="1577" w:type="pct"/>
            <w:vAlign w:val="center"/>
          </w:tcPr>
          <w:p w14:paraId="345D312E">
            <w:pPr>
              <w:pStyle w:val="1343"/>
            </w:pPr>
            <w:r>
              <w:rPr>
                <w:rFonts w:hint="eastAsia"/>
              </w:rPr>
              <w:t>78</w:t>
            </w:r>
            <w:r>
              <w:t>.2×10</w:t>
            </w:r>
            <w:r>
              <w:rPr>
                <w:vertAlign w:val="superscript"/>
              </w:rPr>
              <w:t>4</w:t>
            </w:r>
            <w:r>
              <w:t>t/a</w:t>
            </w:r>
          </w:p>
        </w:tc>
        <w:tc>
          <w:tcPr>
            <w:tcW w:w="1166" w:type="pct"/>
            <w:vAlign w:val="center"/>
          </w:tcPr>
          <w:p w14:paraId="557F8C0A">
            <w:pPr>
              <w:pStyle w:val="1343"/>
            </w:pPr>
            <w:r>
              <w:rPr>
                <w:rFonts w:hint="eastAsia"/>
              </w:rPr>
              <w:t>15796.4</w:t>
            </w:r>
          </w:p>
        </w:tc>
        <w:tc>
          <w:tcPr>
            <w:tcW w:w="1169" w:type="pct"/>
            <w:vAlign w:val="center"/>
          </w:tcPr>
          <w:p w14:paraId="38AF8CC6">
            <w:pPr>
              <w:pStyle w:val="1343"/>
            </w:pPr>
            <w:r>
              <w:rPr>
                <w:rFonts w:hint="eastAsia"/>
              </w:rPr>
              <w:t>15779.6</w:t>
            </w:r>
          </w:p>
        </w:tc>
      </w:tr>
    </w:tbl>
    <w:p w14:paraId="11F748CC">
      <w:pPr>
        <w:pStyle w:val="234"/>
        <w:spacing w:before="120" w:beforeLines="50"/>
      </w:pPr>
      <w:r>
        <w:t>由上表可知，本工程投运后，用天然气替代燃油和煤炭可减少SO</w:t>
      </w:r>
      <w:r>
        <w:rPr>
          <w:vertAlign w:val="subscript"/>
        </w:rPr>
        <w:t>2</w:t>
      </w:r>
      <w:r>
        <w:t>排放量</w:t>
      </w:r>
      <w:r>
        <w:rPr>
          <w:rFonts w:hint="eastAsia"/>
        </w:rPr>
        <w:t>3853.2</w:t>
      </w:r>
      <w:r>
        <w:t>t/a和</w:t>
      </w:r>
      <w:r>
        <w:rPr>
          <w:rFonts w:hint="eastAsia"/>
        </w:rPr>
        <w:t>15779.6</w:t>
      </w:r>
      <w:r>
        <w:t>t/a。可见，工程建成对于加速利用天然气资源，减少污染物排放，具有巨大的环境效益。</w:t>
      </w:r>
    </w:p>
    <w:p w14:paraId="704B1667">
      <w:pPr>
        <w:pStyle w:val="234"/>
      </w:pPr>
      <w:r>
        <w:t>（3）产生的环境效益</w:t>
      </w:r>
    </w:p>
    <w:p w14:paraId="100D9D88">
      <w:pPr>
        <w:pStyle w:val="234"/>
      </w:pPr>
      <w:r>
        <w:t>用天然气替代燃煤和燃油，可以减少SO</w:t>
      </w:r>
      <w:r>
        <w:rPr>
          <w:vertAlign w:val="subscript"/>
        </w:rPr>
        <w:t>2</w:t>
      </w:r>
      <w:r>
        <w:t>的排放量，带来以下环境效益：</w:t>
      </w:r>
    </w:p>
    <w:p w14:paraId="07580249">
      <w:pPr>
        <w:pStyle w:val="234"/>
      </w:pPr>
      <w:r>
        <w:fldChar w:fldCharType="begin"/>
      </w:r>
      <w:r>
        <w:instrText xml:space="preserve"> = 1 \* GB3 </w:instrText>
      </w:r>
      <w:r>
        <w:fldChar w:fldCharType="separate"/>
      </w:r>
      <w:r>
        <w:rPr>
          <w:rFonts w:hint="eastAsia" w:ascii="宋体" w:hAnsi="宋体" w:cs="宋体"/>
        </w:rPr>
        <w:t>①</w:t>
      </w:r>
      <w:r>
        <w:fldChar w:fldCharType="end"/>
      </w:r>
      <w:r>
        <w:t>节省SO</w:t>
      </w:r>
      <w:r>
        <w:rPr>
          <w:vertAlign w:val="subscript"/>
        </w:rPr>
        <w:t>2</w:t>
      </w:r>
      <w:r>
        <w:t>处理费用</w:t>
      </w:r>
    </w:p>
    <w:p w14:paraId="6B069EBC">
      <w:pPr>
        <w:pStyle w:val="234"/>
      </w:pPr>
      <w:r>
        <w:t>据全国统计数据结果，处理SO</w:t>
      </w:r>
      <w:r>
        <w:rPr>
          <w:vertAlign w:val="subscript"/>
        </w:rPr>
        <w:t>2</w:t>
      </w:r>
      <w:r>
        <w:t>所需费用为1.0元/kg，用天然气替代燃油或者燃煤，每年可节约资金分别为：</w:t>
      </w:r>
      <w:r>
        <w:rPr>
          <w:rFonts w:hint="eastAsia"/>
        </w:rPr>
        <w:t>385.3</w:t>
      </w:r>
      <w:r>
        <w:t>万元和</w:t>
      </w:r>
      <w:r>
        <w:rPr>
          <w:rFonts w:hint="eastAsia"/>
        </w:rPr>
        <w:t>1578.0</w:t>
      </w:r>
      <w:r>
        <w:t>万元。</w:t>
      </w:r>
    </w:p>
    <w:p w14:paraId="22289560">
      <w:pPr>
        <w:pStyle w:val="234"/>
      </w:pPr>
      <w:r>
        <w:rPr>
          <w:rFonts w:hint="eastAsia" w:ascii="宋体" w:hAnsi="宋体" w:cs="宋体"/>
        </w:rPr>
        <w:t>②</w:t>
      </w:r>
      <w:r>
        <w:t>降低由环境空气污染引起的疾病</w:t>
      </w:r>
    </w:p>
    <w:p w14:paraId="78448E2F">
      <w:pPr>
        <w:pStyle w:val="234"/>
      </w:pPr>
      <w:r>
        <w:t>根据国内外环境统计资料介绍，环境空气污染可导致的疾病主要有慢性气管炎、哮喘、肺癌等。污染区(按SO</w:t>
      </w:r>
      <w:r>
        <w:rPr>
          <w:vertAlign w:val="subscript"/>
        </w:rPr>
        <w:t>2</w:t>
      </w:r>
      <w:r>
        <w:t>超过国家二级标准考虑)比清洁区慢性气管炎发病率高9.4‰，比清洁区肺心病发病率高11‰。</w:t>
      </w:r>
    </w:p>
    <w:p w14:paraId="420A0654">
      <w:pPr>
        <w:pStyle w:val="234"/>
      </w:pPr>
      <w:r>
        <w:rPr>
          <w:rFonts w:hint="eastAsia" w:ascii="宋体" w:hAnsi="宋体" w:cs="宋体"/>
        </w:rPr>
        <w:t>③</w:t>
      </w:r>
      <w:r>
        <w:t>减少由于运输带来的环境污染</w:t>
      </w:r>
    </w:p>
    <w:p w14:paraId="0B99DD17">
      <w:pPr>
        <w:pStyle w:val="234"/>
      </w:pPr>
      <w:r>
        <w:t>管道运输是一种安全、稳定、高效的运送方式。由于天然气采用管道密闭输送，运输中不会对环境造成污染。而利用煤炭或石油，需要车船运输，运输中会产生一定量的大气污染物，如汽车尾气、二次扬尘。因此，利用天然气避免了运输对环境的污染问题，保护了生态环境，具有较好的环境效益。</w:t>
      </w:r>
    </w:p>
    <w:p w14:paraId="38B6C9D7">
      <w:pPr>
        <w:pStyle w:val="5"/>
        <w:rPr>
          <w:b/>
          <w:bCs/>
          <w:color w:val="auto"/>
        </w:rPr>
      </w:pPr>
      <w:bookmarkStart w:id="250" w:name="_bookmark204"/>
      <w:bookmarkEnd w:id="250"/>
      <w:r>
        <w:rPr>
          <w:color w:val="auto"/>
        </w:rPr>
        <w:t>环境负效益分析</w:t>
      </w:r>
    </w:p>
    <w:p w14:paraId="6CBF553E">
      <w:pPr>
        <w:pStyle w:val="234"/>
      </w:pPr>
      <w:r>
        <w:t>管道施工对陆域生态的影响包括：土地利用状况变化、农业生态一次性损失和恢复性损失、林业损失、种植业损失。临时占用土地资源施工结束后基本上可以恢复使用、生态影响周期短。本工程建设虽然对社会、生态等有一定影响，可以通过经济补偿方式来弥补。</w:t>
      </w:r>
    </w:p>
    <w:p w14:paraId="349397AB">
      <w:pPr>
        <w:pStyle w:val="234"/>
      </w:pPr>
      <w:r>
        <w:t>运营期管道采用密闭输送工艺，正常工况下不会对环境产生影响。根据《中华人民共和国石油天然气管道保护法》规定，管道两侧各5m内禁止种植深根性植物，管道保护带会造成</w:t>
      </w:r>
      <w:r>
        <w:rPr>
          <w:rFonts w:hint="eastAsia"/>
        </w:rPr>
        <w:t>林地</w:t>
      </w:r>
      <w:r>
        <w:t>的永久性损失，且限制了土地的种植结构。本工程在建设过程中，由于管道施工建设需要临时占用大面积土地，扰动土壤，破坏地表植被，并因此带来一定程度的环境损失。</w:t>
      </w:r>
    </w:p>
    <w:p w14:paraId="41BABA08">
      <w:pPr>
        <w:pStyle w:val="234"/>
      </w:pPr>
      <w:r>
        <w:t>本工程永久占地为面积</w:t>
      </w:r>
      <w:r>
        <w:rPr>
          <w:rFonts w:hint="eastAsia"/>
          <w:spacing w:val="-4"/>
        </w:rPr>
        <w:t>11294</w:t>
      </w:r>
      <w:r>
        <w:rPr>
          <w:spacing w:val="-5"/>
        </w:rPr>
        <w:t>m</w:t>
      </w:r>
      <w:r>
        <w:rPr>
          <w:spacing w:val="-4"/>
          <w:position w:val="8"/>
          <w:sz w:val="15"/>
          <w:szCs w:val="15"/>
        </w:rPr>
        <w:t>2</w:t>
      </w:r>
      <w:r>
        <w:rPr>
          <w:spacing w:val="-4"/>
        </w:rPr>
        <w:t>，占地类型为</w:t>
      </w:r>
      <w:r>
        <w:rPr>
          <w:rFonts w:hint="eastAsia"/>
          <w:spacing w:val="-4"/>
        </w:rPr>
        <w:t>林地和少量耕地</w:t>
      </w:r>
      <w:r>
        <w:rPr>
          <w:spacing w:val="-4"/>
        </w:rPr>
        <w:t>，</w:t>
      </w:r>
      <w:r>
        <w:rPr>
          <w:rFonts w:hint="eastAsia"/>
          <w:spacing w:val="-4"/>
        </w:rPr>
        <w:t>其中耒阳分输站和进站路</w:t>
      </w:r>
      <w:r>
        <w:rPr>
          <w:rFonts w:hint="eastAsia"/>
          <w:spacing w:val="-2"/>
        </w:rPr>
        <w:t>占地均为林地，共</w:t>
      </w:r>
      <w:r>
        <w:rPr>
          <w:rFonts w:hint="eastAsia"/>
          <w:spacing w:val="-4"/>
        </w:rPr>
        <w:t>11263</w:t>
      </w:r>
      <w:r>
        <w:rPr>
          <w:spacing w:val="-5"/>
        </w:rPr>
        <w:t>m</w:t>
      </w:r>
      <w:r>
        <w:rPr>
          <w:spacing w:val="-4"/>
          <w:position w:val="8"/>
          <w:sz w:val="15"/>
          <w:szCs w:val="15"/>
        </w:rPr>
        <w:t>2</w:t>
      </w:r>
      <w:r>
        <w:rPr>
          <w:rFonts w:hint="eastAsia"/>
          <w:spacing w:val="-2"/>
        </w:rPr>
        <w:t>，标志桩的少量永久占地包括林地和耕地，耕地为18</w:t>
      </w:r>
      <w:r>
        <w:rPr>
          <w:spacing w:val="-5"/>
        </w:rPr>
        <w:t>m</w:t>
      </w:r>
      <w:r>
        <w:rPr>
          <w:spacing w:val="-4"/>
          <w:position w:val="8"/>
          <w:sz w:val="15"/>
          <w:szCs w:val="15"/>
        </w:rPr>
        <w:t>2</w:t>
      </w:r>
      <w:r>
        <w:rPr>
          <w:rFonts w:hint="eastAsia"/>
          <w:spacing w:val="-2"/>
        </w:rPr>
        <w:t>、林地为13</w:t>
      </w:r>
      <w:r>
        <w:rPr>
          <w:spacing w:val="-5"/>
        </w:rPr>
        <w:t>m</w:t>
      </w:r>
      <w:r>
        <w:rPr>
          <w:spacing w:val="-4"/>
          <w:position w:val="8"/>
          <w:sz w:val="15"/>
          <w:szCs w:val="15"/>
        </w:rPr>
        <w:t>2</w:t>
      </w:r>
      <w:r>
        <w:rPr>
          <w:spacing w:val="-2"/>
        </w:rPr>
        <w:t>；临时占地面积为</w:t>
      </w:r>
      <w:r>
        <w:rPr>
          <w:rFonts w:hint="eastAsia"/>
          <w:spacing w:val="-1"/>
        </w:rPr>
        <w:t>9760</w:t>
      </w:r>
      <w:r>
        <w:rPr>
          <w:spacing w:val="-1"/>
        </w:rPr>
        <w:t>m</w:t>
      </w:r>
      <w:r>
        <w:rPr>
          <w:spacing w:val="-1"/>
          <w:position w:val="8"/>
          <w:sz w:val="15"/>
          <w:szCs w:val="15"/>
        </w:rPr>
        <w:t>2</w:t>
      </w:r>
      <w:r>
        <w:rPr>
          <w:spacing w:val="-1"/>
        </w:rPr>
        <w:t>，</w:t>
      </w:r>
      <w:r>
        <w:rPr>
          <w:rFonts w:hint="eastAsia"/>
          <w:spacing w:val="-1"/>
        </w:rPr>
        <w:t>其中</w:t>
      </w:r>
      <w:r>
        <w:rPr>
          <w:spacing w:val="-1"/>
        </w:rPr>
        <w:t>耕</w:t>
      </w:r>
      <w:r>
        <w:t>地</w:t>
      </w:r>
      <w:r>
        <w:rPr>
          <w:rFonts w:hint="eastAsia"/>
        </w:rPr>
        <w:t>7627</w:t>
      </w:r>
      <w:r>
        <w:rPr>
          <w:spacing w:val="-2"/>
        </w:rPr>
        <w:t>m</w:t>
      </w:r>
      <w:r>
        <w:rPr>
          <w:spacing w:val="-2"/>
          <w:position w:val="8"/>
          <w:sz w:val="15"/>
          <w:szCs w:val="15"/>
        </w:rPr>
        <w:t>2</w:t>
      </w:r>
      <w:r>
        <w:rPr>
          <w:spacing w:val="-2"/>
        </w:rPr>
        <w:t>、林</w:t>
      </w:r>
      <w:r>
        <w:t>地</w:t>
      </w:r>
      <w:r>
        <w:rPr>
          <w:rFonts w:hint="eastAsia"/>
        </w:rPr>
        <w:t>1001</w:t>
      </w:r>
      <w:r>
        <w:rPr>
          <w:spacing w:val="-1"/>
        </w:rPr>
        <w:t>m</w:t>
      </w:r>
      <w:r>
        <w:rPr>
          <w:spacing w:val="-1"/>
          <w:position w:val="8"/>
          <w:sz w:val="15"/>
          <w:szCs w:val="15"/>
        </w:rPr>
        <w:t>2</w:t>
      </w:r>
      <w:r>
        <w:rPr>
          <w:rFonts w:hint="eastAsia"/>
        </w:rPr>
        <w:t>。</w:t>
      </w:r>
      <w:r>
        <w:t>按农田恢复费用为5.5万元/hm</w:t>
      </w:r>
      <w:r>
        <w:rPr>
          <w:vertAlign w:val="superscript"/>
        </w:rPr>
        <w:t>2</w:t>
      </w:r>
      <w:r>
        <w:t>、林地恢复费8.0万元/hm</w:t>
      </w:r>
      <w:r>
        <w:rPr>
          <w:vertAlign w:val="superscript"/>
        </w:rPr>
        <w:t>2</w:t>
      </w:r>
      <w:r>
        <w:t>计算</w:t>
      </w:r>
      <w:r>
        <w:rPr>
          <w:rFonts w:hint="eastAsia"/>
        </w:rPr>
        <w:t>。按</w:t>
      </w:r>
      <w:r>
        <w:t>沿线生态损失计人民币约</w:t>
      </w:r>
      <w:r>
        <w:rPr>
          <w:rFonts w:hint="eastAsia"/>
        </w:rPr>
        <w:t>14.03</w:t>
      </w:r>
      <w:r>
        <w:t>万元。</w:t>
      </w:r>
      <w:r>
        <w:rPr>
          <w:rFonts w:hint="eastAsia"/>
        </w:rPr>
        <w:t>此外，工程建设将造成林地生物量损失116.8t。</w:t>
      </w:r>
    </w:p>
    <w:p w14:paraId="3377595D">
      <w:pPr>
        <w:pStyle w:val="4"/>
      </w:pPr>
      <w:bookmarkStart w:id="251" w:name="_Toc7275"/>
      <w:r>
        <w:t>经济损益分析小结</w:t>
      </w:r>
      <w:bookmarkEnd w:id="251"/>
    </w:p>
    <w:p w14:paraId="7FED75E1">
      <w:pPr>
        <w:pStyle w:val="234"/>
      </w:pPr>
      <w:r>
        <w:t>拟建项目实施后，可输送天然气</w:t>
      </w:r>
      <w:r>
        <w:rPr>
          <w:rFonts w:hint="eastAsia"/>
        </w:rPr>
        <w:t>4.2</w:t>
      </w:r>
      <w:r>
        <w:t>×10</w:t>
      </w:r>
      <w:r>
        <w:rPr>
          <w:vertAlign w:val="superscript"/>
        </w:rPr>
        <w:t>8</w:t>
      </w:r>
      <w:r>
        <w:t>Nm</w:t>
      </w:r>
      <w:r>
        <w:rPr>
          <w:vertAlign w:val="superscript"/>
        </w:rPr>
        <w:t>3</w:t>
      </w:r>
      <w:r>
        <w:t>/a，每年替代燃油</w:t>
      </w:r>
      <w:r>
        <w:rPr>
          <w:rFonts w:hint="eastAsia"/>
        </w:rPr>
        <w:t>38.7</w:t>
      </w:r>
      <w:r>
        <w:t>×10</w:t>
      </w:r>
      <w:r>
        <w:rPr>
          <w:vertAlign w:val="superscript"/>
        </w:rPr>
        <w:t>4</w:t>
      </w:r>
      <w:r>
        <w:t>t，燃煤</w:t>
      </w:r>
      <w:r>
        <w:rPr>
          <w:rFonts w:hint="eastAsia"/>
        </w:rPr>
        <w:t>78.2</w:t>
      </w:r>
      <w:r>
        <w:t>×10</w:t>
      </w:r>
      <w:r>
        <w:rPr>
          <w:vertAlign w:val="superscript"/>
        </w:rPr>
        <w:t>4</w:t>
      </w:r>
      <w:r>
        <w:t>t，因此用天然气替代燃油和煤炭可减少SO</w:t>
      </w:r>
      <w:r>
        <w:rPr>
          <w:vertAlign w:val="subscript"/>
        </w:rPr>
        <w:t>2</w:t>
      </w:r>
      <w:r>
        <w:t>排放量</w:t>
      </w:r>
      <w:r>
        <w:rPr>
          <w:rFonts w:hint="eastAsia"/>
        </w:rPr>
        <w:t>3853.2</w:t>
      </w:r>
      <w:r>
        <w:t>t/a和</w:t>
      </w:r>
      <w:r>
        <w:rPr>
          <w:rFonts w:hint="eastAsia"/>
        </w:rPr>
        <w:t>15779.6</w:t>
      </w:r>
      <w:r>
        <w:t>t/a。可极大地改善地区的环境空气质量。此外，用管道输送天然气还可减少运输带来的环境污染。</w:t>
      </w:r>
    </w:p>
    <w:p w14:paraId="47FE0250">
      <w:pPr>
        <w:pStyle w:val="234"/>
        <w:rPr>
          <w:spacing w:val="-1"/>
        </w:rPr>
        <w:sectPr>
          <w:pgSz w:w="11906" w:h="16838"/>
          <w:pgMar w:top="1440" w:right="1418" w:bottom="1440" w:left="1418" w:header="851" w:footer="992" w:gutter="0"/>
          <w:cols w:space="425" w:num="1"/>
          <w:docGrid w:linePitch="312" w:charSpace="0"/>
        </w:sectPr>
      </w:pPr>
      <w:r>
        <w:t>项目建成用天然气替代燃油或者燃煤，每年可节约资金分别为：</w:t>
      </w:r>
      <w:r>
        <w:rPr>
          <w:rFonts w:hint="eastAsia"/>
        </w:rPr>
        <w:t>385.3</w:t>
      </w:r>
      <w:r>
        <w:t>万元和</w:t>
      </w:r>
      <w:r>
        <w:rPr>
          <w:rFonts w:hint="eastAsia"/>
        </w:rPr>
        <w:t>1578.0</w:t>
      </w:r>
      <w:r>
        <w:t>万元，减少环境污染，从长远角度看，环境正效益带来的经济效益是巨大的。本工程建设对环境造成的负影响大部分是暂时可逆的，经济效益较好，社会效益显著，从经济损益角度分析项目可行。</w:t>
      </w:r>
    </w:p>
    <w:p w14:paraId="25C42692">
      <w:pPr>
        <w:pStyle w:val="3"/>
      </w:pPr>
      <w:bookmarkStart w:id="252" w:name="_Toc22596"/>
      <w:bookmarkStart w:id="253" w:name="_Toc72672378"/>
      <w:r>
        <w:t>环境管理与监测计划</w:t>
      </w:r>
      <w:bookmarkEnd w:id="252"/>
      <w:bookmarkEnd w:id="253"/>
    </w:p>
    <w:p w14:paraId="3A18F2DD">
      <w:pPr>
        <w:pStyle w:val="234"/>
      </w:pPr>
      <w:r>
        <w:t>环境管理是企业管理的一项重要内容，加强环境监督管理力度，尽可能的减少“三废”排放数量及提高资源的合理利用率，把对环境的不良影响减小到最低限度，是企业实现环境、生产、经济协调持续发展的重要措施。环境监测是环境管理的重要组成部分，是工业污染防治的依据和环境监督管理工作的哨兵，加强环境监测是了解和掌握项目排污特征，研究污染发展趋势及防治对策的重要依据与途径。</w:t>
      </w:r>
    </w:p>
    <w:p w14:paraId="6113B1E1">
      <w:pPr>
        <w:pStyle w:val="234"/>
      </w:pPr>
      <w:r>
        <w:t>本工程无论是施工期的各种作业活动还是运营期的生产活动，都将会给环境带来一定的影响。为最大限度地减轻施工作业对生态环境的影响，降低运营期污染物对周围环境影响，减少事故的发生，确保项目安全运行，本章针对本工程在施工期和运营期的环境污染特征，提出了施工期和运营期的环境管理、HSE（健康、安全与环境）管理和环境监测计划的内容。</w:t>
      </w:r>
    </w:p>
    <w:p w14:paraId="7A316DCF">
      <w:pPr>
        <w:pStyle w:val="4"/>
      </w:pPr>
      <w:bookmarkStart w:id="254" w:name="_Toc26252"/>
      <w:bookmarkStart w:id="255" w:name="_Toc72672379"/>
      <w:r>
        <w:t>环境管理</w:t>
      </w:r>
      <w:bookmarkEnd w:id="254"/>
      <w:bookmarkEnd w:id="255"/>
    </w:p>
    <w:p w14:paraId="5FFDF61E">
      <w:pPr>
        <w:pStyle w:val="5"/>
        <w:rPr>
          <w:color w:val="auto"/>
        </w:rPr>
      </w:pPr>
      <w:r>
        <w:rPr>
          <w:color w:val="auto"/>
        </w:rPr>
        <w:t>施工期环境管理</w:t>
      </w:r>
    </w:p>
    <w:p w14:paraId="788D70FC">
      <w:pPr>
        <w:pStyle w:val="7"/>
        <w:rPr>
          <w:kern w:val="0"/>
          <w:szCs w:val="24"/>
        </w:rPr>
      </w:pPr>
      <w:r>
        <w:t>施工期环境管理机构设置</w:t>
      </w:r>
    </w:p>
    <w:p w14:paraId="3BE4BBE4">
      <w:pPr>
        <w:pStyle w:val="234"/>
        <w:ind w:firstLine="484"/>
        <w:rPr>
          <w:spacing w:val="2"/>
        </w:rPr>
      </w:pPr>
      <w:r>
        <w:rPr>
          <w:spacing w:val="2"/>
        </w:rPr>
        <w:t>本工程管理依托</w:t>
      </w:r>
      <w:r>
        <w:rPr>
          <w:rFonts w:hint="eastAsia"/>
          <w:spacing w:val="2"/>
        </w:rPr>
        <w:t>国家管网集团新疆煤制天然气外输管道有限责任公司</w:t>
      </w:r>
      <w:r>
        <w:rPr>
          <w:spacing w:val="2"/>
        </w:rPr>
        <w:t>现有环境管理资源，不新增</w:t>
      </w:r>
      <w:r>
        <w:rPr>
          <w:rFonts w:eastAsia="Times New Roman"/>
          <w:spacing w:val="-1"/>
        </w:rPr>
        <w:t>HSE</w:t>
      </w:r>
      <w:r>
        <w:rPr>
          <w:spacing w:val="2"/>
        </w:rPr>
        <w:t>管理机构。</w:t>
      </w:r>
    </w:p>
    <w:p w14:paraId="4621D323">
      <w:pPr>
        <w:pStyle w:val="234"/>
        <w:ind w:firstLine="484"/>
      </w:pPr>
      <w:r>
        <w:rPr>
          <w:spacing w:val="2"/>
        </w:rPr>
        <w:t>但</w:t>
      </w:r>
      <w:r>
        <w:t>由于管道工程项目具有跨度大，参加现场施工工种多和人员多等</w:t>
      </w:r>
      <w:r>
        <w:rPr>
          <w:spacing w:val="2"/>
        </w:rPr>
        <w:t>特</w:t>
      </w:r>
      <w:r>
        <w:rPr>
          <w:spacing w:val="-3"/>
        </w:rPr>
        <w:t>点</w:t>
      </w:r>
      <w:r>
        <w:rPr>
          <w:spacing w:val="-41"/>
        </w:rPr>
        <w:t>，</w:t>
      </w:r>
      <w:r>
        <w:t>还需要设立二级</w:t>
      </w:r>
      <w:r>
        <w:rPr>
          <w:spacing w:val="-61"/>
        </w:rPr>
        <w:t xml:space="preserve"> </w:t>
      </w:r>
      <w:r>
        <w:rPr>
          <w:rFonts w:eastAsia="Times New Roman"/>
          <w:spacing w:val="-1"/>
        </w:rPr>
        <w:t>H</w:t>
      </w:r>
      <w:r>
        <w:rPr>
          <w:rFonts w:eastAsia="Times New Roman"/>
          <w:spacing w:val="1"/>
        </w:rPr>
        <w:t>S</w:t>
      </w:r>
      <w:r>
        <w:rPr>
          <w:rFonts w:eastAsia="Times New Roman"/>
        </w:rPr>
        <w:t>E</w:t>
      </w:r>
      <w:r>
        <w:rPr>
          <w:spacing w:val="1"/>
        </w:rPr>
        <w:t>管理网络，依托现有建设单位工程指挥部设</w:t>
      </w:r>
      <w:r>
        <w:rPr>
          <w:spacing w:val="-59"/>
        </w:rPr>
        <w:t xml:space="preserve"> </w:t>
      </w:r>
      <w:r>
        <w:rPr>
          <w:rFonts w:eastAsia="Times New Roman"/>
          <w:spacing w:val="-1"/>
        </w:rPr>
        <w:t>HSE</w:t>
      </w:r>
      <w:r>
        <w:rPr>
          <w:spacing w:val="1"/>
        </w:rPr>
        <w:t>部，分别配备环境、安全和健康工程师，按线路</w:t>
      </w:r>
      <w:r>
        <w:t>施工区段配备</w:t>
      </w:r>
      <w:r>
        <w:rPr>
          <w:spacing w:val="-61"/>
        </w:rPr>
        <w:t xml:space="preserve"> </w:t>
      </w:r>
      <w:r>
        <w:rPr>
          <w:rFonts w:eastAsia="Times New Roman"/>
          <w:spacing w:val="-1"/>
        </w:rPr>
        <w:t>HSE</w:t>
      </w:r>
      <w:r>
        <w:t>协调员，实行逐级负责制；日常管理工作由主管</w:t>
      </w:r>
      <w:r>
        <w:rPr>
          <w:spacing w:val="-61"/>
        </w:rPr>
        <w:t xml:space="preserve"> </w:t>
      </w:r>
      <w:r>
        <w:rPr>
          <w:rFonts w:eastAsia="Times New Roman"/>
          <w:spacing w:val="-1"/>
        </w:rPr>
        <w:t>HES</w:t>
      </w:r>
      <w:r>
        <w:t>副经理主持，工程指挥部负责具体工作实施，同时聘请</w:t>
      </w:r>
      <w:r>
        <w:rPr>
          <w:spacing w:val="-61"/>
        </w:rPr>
        <w:t xml:space="preserve"> </w:t>
      </w:r>
      <w:r>
        <w:rPr>
          <w:rFonts w:eastAsia="Times New Roman"/>
          <w:spacing w:val="-1"/>
        </w:rPr>
        <w:t>HSE</w:t>
      </w:r>
      <w:r>
        <w:t>监督人员。</w:t>
      </w:r>
    </w:p>
    <w:p w14:paraId="7FA03147">
      <w:pPr>
        <w:pStyle w:val="234"/>
        <w:ind w:firstLine="478"/>
      </w:pPr>
      <w:r>
        <w:rPr>
          <w:rFonts w:eastAsia="Times New Roman"/>
          <w:spacing w:val="-1"/>
        </w:rPr>
        <w:t>HSE</w:t>
      </w:r>
      <w:r>
        <w:t>机构在施工期环境管理上的主要职责：</w:t>
      </w:r>
    </w:p>
    <w:p w14:paraId="680D8805">
      <w:pPr>
        <w:pStyle w:val="234"/>
      </w:pPr>
      <w:r>
        <w:rPr>
          <w:rFonts w:hint="eastAsia"/>
        </w:rPr>
        <w:t>（1）</w:t>
      </w:r>
      <w:r>
        <w:t>贯彻执行国家环境保护的方针、政策和法律、法规；</w:t>
      </w:r>
    </w:p>
    <w:p w14:paraId="06B1F280">
      <w:pPr>
        <w:pStyle w:val="234"/>
      </w:pPr>
      <w:r>
        <w:rPr>
          <w:rFonts w:hint="eastAsia"/>
        </w:rPr>
        <w:t>（2）</w:t>
      </w:r>
      <w:r>
        <w:t>负责制定本工程施工作业的环境保护规定，根据施工中各工种的作业特点，分别制定各工种的环境保护方案，制定发生事故的应急计划；</w:t>
      </w:r>
    </w:p>
    <w:p w14:paraId="4EA144A3">
      <w:pPr>
        <w:pStyle w:val="234"/>
      </w:pPr>
      <w:r>
        <w:rPr>
          <w:rFonts w:hint="eastAsia"/>
        </w:rPr>
        <w:t>（3）</w:t>
      </w:r>
      <w:r>
        <w:t>负责组织施工期间的环境监理，审定、落实并督促实施生态恢复和污染治理方案监督生态恢复、污染治理资金和物资的使用；</w:t>
      </w:r>
    </w:p>
    <w:p w14:paraId="0CBD623D">
      <w:pPr>
        <w:pStyle w:val="234"/>
      </w:pPr>
      <w:r>
        <w:rPr>
          <w:rFonts w:hint="eastAsia"/>
        </w:rPr>
        <w:t>（4）</w:t>
      </w:r>
      <w:r>
        <w:t>监督检查保护生态环境和防止污染设施与项目主体工程同时设计、同时施工、同时投入使用的执行情况；</w:t>
      </w:r>
    </w:p>
    <w:p w14:paraId="618A27BD">
      <w:pPr>
        <w:pStyle w:val="234"/>
      </w:pPr>
      <w:r>
        <w:rPr>
          <w:rFonts w:hint="eastAsia"/>
        </w:rPr>
        <w:t>（5）</w:t>
      </w:r>
      <w:r>
        <w:t>监督施工期各项环保措施的落实及环保措施的落实情况；</w:t>
      </w:r>
    </w:p>
    <w:p w14:paraId="3315A7E5">
      <w:pPr>
        <w:pStyle w:val="234"/>
      </w:pPr>
      <w:r>
        <w:rPr>
          <w:rFonts w:hint="eastAsia"/>
        </w:rPr>
        <w:t>（6）</w:t>
      </w:r>
      <w:r>
        <w:t>负责协调与政府生态环境、水利、自然资源、国土等部门的关系；</w:t>
      </w:r>
    </w:p>
    <w:p w14:paraId="7E96E87C">
      <w:pPr>
        <w:pStyle w:val="234"/>
      </w:pPr>
      <w:r>
        <w:rPr>
          <w:rFonts w:hint="eastAsia"/>
        </w:rPr>
        <w:t>（7）</w:t>
      </w:r>
      <w:r>
        <w:t>负责调查处理工程建设中的环境破坏和污染事故；</w:t>
      </w:r>
    </w:p>
    <w:p w14:paraId="6D7BF54F">
      <w:pPr>
        <w:pStyle w:val="234"/>
        <w:rPr>
          <w:kern w:val="0"/>
        </w:rPr>
      </w:pPr>
      <w:r>
        <w:rPr>
          <w:rFonts w:hint="eastAsia"/>
        </w:rPr>
        <w:t>（8）</w:t>
      </w:r>
      <w:r>
        <w:t>组织开展工程施工期间的环境保护的宣传教育与培训工作。</w:t>
      </w:r>
    </w:p>
    <w:p w14:paraId="417D1A6D">
      <w:pPr>
        <w:pStyle w:val="7"/>
      </w:pPr>
      <w:bookmarkStart w:id="256" w:name="14.1.1.2施工期环境管理主要内容与要求"/>
      <w:bookmarkEnd w:id="256"/>
      <w:r>
        <w:t>施工期环境管理主要内容与要求</w:t>
      </w:r>
    </w:p>
    <w:p w14:paraId="1C515CB9">
      <w:pPr>
        <w:pStyle w:val="234"/>
      </w:pPr>
      <w:r>
        <w:rPr>
          <w:rFonts w:hint="eastAsia"/>
        </w:rPr>
        <w:t>（1）</w:t>
      </w:r>
      <w:r>
        <w:t>强化施工前的HSE培训</w:t>
      </w:r>
    </w:p>
    <w:p w14:paraId="726D8666">
      <w:pPr>
        <w:pStyle w:val="234"/>
      </w:pPr>
      <w:r>
        <w:t>在施工作业前必须对全体施工人员进行HSE培训，以提高施工人员的环保知识、环保意识和处理跟环境有关的突发事件的能力。培训内容包括：</w:t>
      </w:r>
    </w:p>
    <w:p w14:paraId="3C2B72DD">
      <w:pPr>
        <w:pStyle w:val="234"/>
      </w:pPr>
      <w:r>
        <w:rPr>
          <w:rFonts w:hint="eastAsia" w:ascii="宋体" w:hAnsi="宋体" w:cs="宋体"/>
        </w:rPr>
        <w:t>①</w:t>
      </w:r>
      <w:r>
        <w:t>国家和地方有关环境方面的法律、法规和标准；</w:t>
      </w:r>
    </w:p>
    <w:p w14:paraId="1A3E31A4">
      <w:pPr>
        <w:pStyle w:val="234"/>
      </w:pPr>
      <w:r>
        <w:rPr>
          <w:rFonts w:hint="eastAsia" w:ascii="宋体" w:hAnsi="宋体" w:cs="宋体"/>
        </w:rPr>
        <w:t>②</w:t>
      </w:r>
      <w:r>
        <w:t>施工段的主要环境保护目标和要求；</w:t>
      </w:r>
    </w:p>
    <w:p w14:paraId="0F2A9200">
      <w:pPr>
        <w:pStyle w:val="234"/>
      </w:pPr>
      <w:r>
        <w:rPr>
          <w:rFonts w:hint="eastAsia" w:ascii="宋体" w:hAnsi="宋体" w:cs="宋体"/>
        </w:rPr>
        <w:t>③</w:t>
      </w:r>
      <w:r>
        <w:t>认识遵守有关环境管理规定的重要性，以及违反规定带来的后果的严重性；</w:t>
      </w:r>
    </w:p>
    <w:p w14:paraId="7B60B6D6">
      <w:pPr>
        <w:pStyle w:val="234"/>
      </w:pPr>
      <w:r>
        <w:rPr>
          <w:rFonts w:hint="eastAsia" w:ascii="宋体" w:hAnsi="宋体" w:cs="宋体"/>
        </w:rPr>
        <w:t>④</w:t>
      </w:r>
      <w:r>
        <w:t>保护动植物、地下水及地表水水源的方法；</w:t>
      </w:r>
    </w:p>
    <w:p w14:paraId="62A155CB">
      <w:pPr>
        <w:pStyle w:val="234"/>
      </w:pPr>
      <w:r>
        <w:rPr>
          <w:rFonts w:hint="eastAsia" w:ascii="宋体" w:hAnsi="宋体" w:cs="宋体"/>
        </w:rPr>
        <w:t>⑤</w:t>
      </w:r>
      <w:r>
        <w:t>收集、处理固体废物的方法；</w:t>
      </w:r>
    </w:p>
    <w:p w14:paraId="35C51225">
      <w:pPr>
        <w:pStyle w:val="234"/>
      </w:pPr>
      <w:r>
        <w:rPr>
          <w:rFonts w:hint="eastAsia" w:ascii="宋体" w:hAnsi="宋体" w:cs="宋体"/>
        </w:rPr>
        <w:t>⑥</w:t>
      </w:r>
      <w:r>
        <w:t>管理、存放及处理危险物品的方法；</w:t>
      </w:r>
    </w:p>
    <w:p w14:paraId="3578D2C4">
      <w:pPr>
        <w:pStyle w:val="234"/>
      </w:pPr>
      <w:r>
        <w:rPr>
          <w:rFonts w:hint="eastAsia"/>
        </w:rPr>
        <w:t>（2）</w:t>
      </w:r>
      <w:r>
        <w:t>做好环境恢复的管理工作</w:t>
      </w:r>
    </w:p>
    <w:p w14:paraId="158A22CD">
      <w:pPr>
        <w:pStyle w:val="234"/>
      </w:pPr>
      <w:r>
        <w:t>工程建设不可避免地会对环境造成破坏，因此必须做好工程完成后的环境恢复工作。目前的生态恢复措施随机性很大，完全取决于参与者的专业技术水平和偏好，因此，除要求施工单位按规定实施生态恢复外，</w:t>
      </w:r>
      <w:r>
        <w:rPr>
          <w:rFonts w:hint="eastAsia"/>
        </w:rPr>
        <w:t>必要时可</w:t>
      </w:r>
      <w:r>
        <w:t>聘请专业的生态专家来指导生态恢复工作，或配置专门的技术监理人员监督检查生态恢复质量。</w:t>
      </w:r>
    </w:p>
    <w:p w14:paraId="72AE86D9">
      <w:pPr>
        <w:pStyle w:val="234"/>
      </w:pPr>
      <w:r>
        <w:rPr>
          <w:rFonts w:hint="eastAsia"/>
        </w:rPr>
        <w:t>（3）</w:t>
      </w:r>
      <w:r>
        <w:t>实施环境监理制度</w:t>
      </w:r>
    </w:p>
    <w:p w14:paraId="4ABB2BA7">
      <w:pPr>
        <w:pStyle w:val="234"/>
      </w:pPr>
      <w:r>
        <w:t>由于本工程沿线环境复杂</w:t>
      </w:r>
      <w:r>
        <w:rPr>
          <w:spacing w:val="-32"/>
        </w:rPr>
        <w:t>，</w:t>
      </w:r>
      <w:r>
        <w:t>为确保各项环保措施的落</w:t>
      </w:r>
      <w:r>
        <w:rPr>
          <w:spacing w:val="2"/>
        </w:rPr>
        <w:t>实</w:t>
      </w:r>
      <w:r>
        <w:rPr>
          <w:spacing w:val="-34"/>
        </w:rPr>
        <w:t>，</w:t>
      </w:r>
      <w:r>
        <w:t>最大限度地</w:t>
      </w:r>
      <w:r>
        <w:rPr>
          <w:spacing w:val="1"/>
        </w:rPr>
        <w:t>减轻施工作业对环境的影响，除公司自身实施</w:t>
      </w:r>
      <w:r>
        <w:rPr>
          <w:spacing w:val="-61"/>
        </w:rPr>
        <w:t xml:space="preserve"> </w:t>
      </w:r>
      <w:r>
        <w:rPr>
          <w:rFonts w:eastAsia="Times New Roman"/>
          <w:spacing w:val="-1"/>
        </w:rPr>
        <w:t>HSE</w:t>
      </w:r>
      <w:r>
        <w:rPr>
          <w:spacing w:val="1"/>
        </w:rPr>
        <w:t>管理外，还应实施环境监理制度。</w:t>
      </w:r>
      <w:r>
        <w:t>即聘请优秀的第三方环境监理单位对工程施工质量进行有理的监督。</w:t>
      </w:r>
    </w:p>
    <w:p w14:paraId="0531E677">
      <w:pPr>
        <w:pStyle w:val="5"/>
        <w:spacing w:before="29"/>
        <w:ind w:right="70"/>
        <w:rPr>
          <w:color w:val="auto"/>
          <w:sz w:val="24"/>
          <w:szCs w:val="24"/>
        </w:rPr>
      </w:pPr>
      <w:r>
        <w:rPr>
          <w:color w:val="auto"/>
        </w:rPr>
        <w:t>运营期环境管理</w:t>
      </w:r>
    </w:p>
    <w:p w14:paraId="32AA9EA7">
      <w:pPr>
        <w:pStyle w:val="7"/>
      </w:pPr>
      <w:bookmarkStart w:id="257" w:name="14.1.2.1环境管理机构设置"/>
      <w:bookmarkEnd w:id="257"/>
      <w:r>
        <w:t>环境管理机构设置</w:t>
      </w:r>
    </w:p>
    <w:p w14:paraId="04FF1712">
      <w:pPr>
        <w:pStyle w:val="234"/>
      </w:pPr>
      <w:r>
        <w:t>本工程投产后由</w:t>
      </w:r>
      <w:r>
        <w:rPr>
          <w:rFonts w:hint="eastAsia"/>
          <w:spacing w:val="2"/>
        </w:rPr>
        <w:t>国家管网集团新疆煤制天然气外输管道有限责任公司</w:t>
      </w:r>
      <w:r>
        <w:t>进行运营管理，为做好</w:t>
      </w:r>
      <w:r>
        <w:rPr>
          <w:rFonts w:hint="eastAsia"/>
        </w:rPr>
        <w:t>管道环境</w:t>
      </w:r>
      <w:r>
        <w:t>管理</w:t>
      </w:r>
      <w:r>
        <w:rPr>
          <w:rFonts w:hint="eastAsia"/>
        </w:rPr>
        <w:t>、生产</w:t>
      </w:r>
      <w:r>
        <w:t>运行、调度、维护、事故抢修等。</w:t>
      </w:r>
      <w:r>
        <w:rPr>
          <w:rFonts w:hint="eastAsia"/>
          <w:spacing w:val="2"/>
        </w:rPr>
        <w:t>湖广输气分公司应依</w:t>
      </w:r>
      <w:r>
        <w:t>托原HSE管理体系，负责监督和管理工程施工期与运行期的环境保护措施的制定、落实及环境工程的施工监督、检查与验收，负责运行期的环境监测、事故防范和环境保护管理。</w:t>
      </w:r>
    </w:p>
    <w:p w14:paraId="518F694A">
      <w:pPr>
        <w:pStyle w:val="234"/>
      </w:pPr>
      <w:r>
        <w:t>按照HSE管理体系的模式，运营单位设有安全环保部门，负责日常环保、安全管理工作，可由主管环保工作的副经理、安全环保处负责人和专职环保人员组成。</w:t>
      </w:r>
    </w:p>
    <w:p w14:paraId="203EFBF0">
      <w:pPr>
        <w:pStyle w:val="234"/>
      </w:pPr>
      <w:r>
        <w:t>运营期环境管理机构主要职责：</w:t>
      </w:r>
    </w:p>
    <w:p w14:paraId="4CDA0B09">
      <w:pPr>
        <w:pStyle w:val="234"/>
      </w:pPr>
      <w:r>
        <w:rPr>
          <w:rFonts w:hint="eastAsia"/>
        </w:rPr>
        <w:t>（1）</w:t>
      </w:r>
      <w:r>
        <w:t>贯彻执行国家和地方政府颁布的环保政策、法规及环境保护标准，协助有关环保部门进行环境保护设施的竣工验收工作；</w:t>
      </w:r>
    </w:p>
    <w:p w14:paraId="4E1061A3">
      <w:pPr>
        <w:pStyle w:val="234"/>
      </w:pPr>
      <w:r>
        <w:rPr>
          <w:rFonts w:hint="eastAsia"/>
        </w:rPr>
        <w:t>（2）</w:t>
      </w:r>
      <w:r>
        <w:t>定期进行环保安全检查和召开有关会议；</w:t>
      </w:r>
    </w:p>
    <w:p w14:paraId="435B6E93">
      <w:pPr>
        <w:pStyle w:val="234"/>
      </w:pPr>
      <w:r>
        <w:rPr>
          <w:rFonts w:hint="eastAsia"/>
        </w:rPr>
        <w:t>（3）</w:t>
      </w:r>
      <w:r>
        <w:t>对领导和职工特别是兼职环保人员进行环保安全方面的培训，尤其是处于生产一线人员(如管道巡线工等)进行环保安全方面的培训、宣传，加强全体员工的安全环保意识；</w:t>
      </w:r>
    </w:p>
    <w:p w14:paraId="520E652A">
      <w:pPr>
        <w:pStyle w:val="234"/>
      </w:pPr>
      <w:r>
        <w:rPr>
          <w:rFonts w:hint="eastAsia"/>
        </w:rPr>
        <w:t>（4）</w:t>
      </w:r>
      <w:r>
        <w:t>制定各种可能发生事故的应急计划，定期进行演练；配备各种必要的维护、抢修器材和设备，保证在发生事故时能及时到位；定期组织相关人员进行演练，配备各种必要的维护、抢修器材设备和环境监测仪器设备等(如泄漏检测仪等)。一旦发生事故，除保证能及时到位处理，保证及时联系、组织环境监测、事故原因调查分析和处理工作外，还应尽早实施恢复补偿措施，认真总结事故经验教训，并将有关结果及时上报；</w:t>
      </w:r>
    </w:p>
    <w:p w14:paraId="3C078FCD">
      <w:pPr>
        <w:pStyle w:val="234"/>
      </w:pPr>
      <w:r>
        <w:rPr>
          <w:rFonts w:hint="eastAsia"/>
        </w:rPr>
        <w:t>（5）</w:t>
      </w:r>
      <w:r>
        <w:t>主管环保人员应参加生产调度和管理工作会议，针对生产运营中存在的环境污染问题</w:t>
      </w:r>
      <w:r>
        <w:rPr>
          <w:spacing w:val="-32"/>
        </w:rPr>
        <w:t>，</w:t>
      </w:r>
      <w:r>
        <w:t>向公司领导和生产部门提出建议和技术处理措施</w:t>
      </w:r>
      <w:r>
        <w:rPr>
          <w:spacing w:val="-32"/>
        </w:rPr>
        <w:t>，</w:t>
      </w:r>
      <w:r>
        <w:t>向生产管理部门通</w:t>
      </w:r>
      <w:r>
        <w:rPr>
          <w:spacing w:val="2"/>
        </w:rPr>
        <w:t>报</w:t>
      </w:r>
      <w:r>
        <w:rPr>
          <w:spacing w:val="-34"/>
        </w:rPr>
        <w:t>，</w:t>
      </w:r>
      <w:r>
        <w:t>并提出建议及处理措施。</w:t>
      </w:r>
    </w:p>
    <w:p w14:paraId="6D56F848">
      <w:pPr>
        <w:pStyle w:val="7"/>
      </w:pPr>
      <w:bookmarkStart w:id="258" w:name="14.1.2.2运营期环境管理主要内容与要求"/>
      <w:bookmarkEnd w:id="258"/>
      <w:r>
        <w:t>检查和监督</w:t>
      </w:r>
    </w:p>
    <w:p w14:paraId="18277389">
      <w:pPr>
        <w:pStyle w:val="234"/>
      </w:pPr>
      <w:r>
        <w:t>检查和监督，是HSE体系的一个重要链接环。通过检查和监督可以达到三个主要目的：</w:t>
      </w:r>
    </w:p>
    <w:p w14:paraId="3EABBB0C">
      <w:pPr>
        <w:pStyle w:val="234"/>
      </w:pPr>
      <w:r>
        <w:t>（1）确定现行运行(或操作)潜在的危害和影响，以采取相应的预防措施。</w:t>
      </w:r>
    </w:p>
    <w:p w14:paraId="22ED7048">
      <w:pPr>
        <w:pStyle w:val="234"/>
      </w:pPr>
      <w:r>
        <w:t>（2）对HSE管理进行科学的评价，以便对现行的操作标准、规章制度进行改进，使之更加符合客观，更具可操作性。</w:t>
      </w:r>
    </w:p>
    <w:p w14:paraId="4216644B">
      <w:pPr>
        <w:pStyle w:val="234"/>
      </w:pPr>
      <w:r>
        <w:t>（3）发挥出检查监督的反馈作用，引导管理层作出正确的管理决策。</w:t>
      </w:r>
    </w:p>
    <w:p w14:paraId="03DE9FA2">
      <w:pPr>
        <w:pStyle w:val="7"/>
      </w:pPr>
      <w:r>
        <w:t>日常环境管理</w:t>
      </w:r>
    </w:p>
    <w:p w14:paraId="6B75655B">
      <w:pPr>
        <w:pStyle w:val="234"/>
      </w:pPr>
      <w:r>
        <w:t>（1）建立环保指标考核管理制度，并严格落实各项管理制度，定期对相关部门进行考核，以推动环保工作的开展；</w:t>
      </w:r>
    </w:p>
    <w:p w14:paraId="606DC4D2">
      <w:pPr>
        <w:pStyle w:val="234"/>
      </w:pPr>
      <w:r>
        <w:t>（2）定期进行环保工作检查，及时发现问题、处理问题，确保环保设施的正常运转，保证达标排放；</w:t>
      </w:r>
    </w:p>
    <w:p w14:paraId="29722D3A">
      <w:pPr>
        <w:pStyle w:val="234"/>
      </w:pPr>
      <w:r>
        <w:t>（3）对专、兼职环境管理人员进行环保业务知识的培训，并在全公司范围内进行环保知识的宣传和教育，树立全员的环保意识；</w:t>
      </w:r>
    </w:p>
    <w:p w14:paraId="5F66F8FE">
      <w:pPr>
        <w:pStyle w:val="234"/>
      </w:pPr>
      <w:r>
        <w:t>（4）定期组织召开环保工作例会，针对生产中存在的环环保问题进行讨论，制定处理措施和改进方案，并报上级主管部门；</w:t>
      </w:r>
    </w:p>
    <w:p w14:paraId="43D84469">
      <w:pPr>
        <w:pStyle w:val="234"/>
      </w:pPr>
      <w:r>
        <w:t>（5）制定日常环境监测计划、事故时环境监测计划，以及对重大环境因素的监测计划和方案，以便及时掌握环境状况的第一手资料，促进环境管理的深入和污染治理的落实，消除发生污染事故的隐患；</w:t>
      </w:r>
    </w:p>
    <w:p w14:paraId="1EE312ED">
      <w:pPr>
        <w:pStyle w:val="234"/>
      </w:pPr>
      <w:r>
        <w:t>（6）建立环境管理台账，制定重大环境因素的整改方案和计划检，并查其落实情况；建立环保设备台</w:t>
      </w:r>
      <w:r>
        <w:rPr>
          <w:rFonts w:hint="eastAsia"/>
        </w:rPr>
        <w:t>账</w:t>
      </w:r>
      <w:r>
        <w:t>，制定主要环保设备的操作规程及安排专门操作人员，建立重点处理设备的“环保运行记录”等；</w:t>
      </w:r>
    </w:p>
    <w:p w14:paraId="09441B4C">
      <w:pPr>
        <w:pStyle w:val="234"/>
      </w:pPr>
      <w:r>
        <w:t>（7）协助有关环保部门进行环境保护设施的竣工验收工作；</w:t>
      </w:r>
    </w:p>
    <w:p w14:paraId="2080DBB8">
      <w:pPr>
        <w:pStyle w:val="234"/>
      </w:pPr>
      <w:r>
        <w:t>（8）主管环保人员应参加生产调度和管理工作会议，针对生产运行中存在的环境污染问题，向公司领导和生产部门提出建议和技术处理措施；</w:t>
      </w:r>
    </w:p>
    <w:p w14:paraId="45515829">
      <w:pPr>
        <w:pStyle w:val="234"/>
      </w:pPr>
      <w:r>
        <w:t>（9）制定各种可能发生的环境事故的应急计划，定期进行演练。</w:t>
      </w:r>
    </w:p>
    <w:p w14:paraId="5EA4E9D5">
      <w:pPr>
        <w:pStyle w:val="7"/>
      </w:pPr>
      <w:r>
        <w:t>事故环境管理</w:t>
      </w:r>
    </w:p>
    <w:p w14:paraId="0A445270">
      <w:pPr>
        <w:pStyle w:val="234"/>
      </w:pPr>
      <w:r>
        <w:t>在管道运行期，环境管理除抓好日常站场各项环保设施的运行和维护等工作外，工作重点应针对管线破裂、站场着火等重大事故的预防和处理上。重大环境污染事故不同于一般的环境污染，它没有固定的排放方式和途径，具有发生突然、危害严重、污染影响长远且难于完全消除等特点。为此，必须制定相应的事故预防措施、应急措施以及恢复补偿措施等。</w:t>
      </w:r>
    </w:p>
    <w:p w14:paraId="7938046F">
      <w:pPr>
        <w:pStyle w:val="234"/>
      </w:pPr>
      <w:r>
        <w:t>（1）对事故隐患进行监护</w:t>
      </w:r>
    </w:p>
    <w:p w14:paraId="635C1D48">
      <w:pPr>
        <w:pStyle w:val="234"/>
      </w:pPr>
      <w:r>
        <w:t>对污染事故隐患进行监护，掌握事故隐患的发展状态，积极采取有效措施，防止事故发生。根据国内外管线事故统计与分析，管道运行风险主要来自第三方破坏、管道腐蚀、材料及施工缺陷。对以上已确认的重大事故隐患，应本着治理与监护运行的原则进行处理。在目前技术、财力等方面能够解决的，要通过技术改造或治理，尽快消除事故隐患，防止事故发生；对目前消除事故隐患有困难的，应从管理和技术两方面对其采取严格的现场监护措施，在管理上要加强制度的落实，严格执行操作规程，加强巡回检查和制定事故预案。</w:t>
      </w:r>
    </w:p>
    <w:p w14:paraId="16088065">
      <w:pPr>
        <w:pStyle w:val="234"/>
      </w:pPr>
      <w:r>
        <w:t>（2）强化专业人员培训和建立安全信息数据库有计划、分期分批对环保人员进行培训，聘请专家讲课，收看国内外事故录像和资料，吸收这些事件中预防措施和救援方案的制定经验，学习借鉴此类事故发生后的救助方案。平时要经常进行人员训练和实践演习，锻炼指挥队伍，以提高他们对事故的防范和处理能力。建立安全信息数据库或信息软件，使安全工程技术人员及时查询所需的安全信息数据，用于日常管理和事故处置工作。</w:t>
      </w:r>
    </w:p>
    <w:p w14:paraId="1AEB7755">
      <w:pPr>
        <w:pStyle w:val="234"/>
      </w:pPr>
      <w:r>
        <w:t>（3）事故应急管理</w:t>
      </w:r>
    </w:p>
    <w:p w14:paraId="4DD8B9D2">
      <w:pPr>
        <w:pStyle w:val="234"/>
      </w:pPr>
      <w:r>
        <w:t>①应急机构和职责</w:t>
      </w:r>
    </w:p>
    <w:p w14:paraId="694B81ED">
      <w:pPr>
        <w:pStyle w:val="234"/>
      </w:pPr>
      <w:r>
        <w:t>企业应建立以总经理或副总经理为总指挥的应急中心。应急中心主要职责：组织制定本企业预防灾害事故的管理制度的技术措施，制定灾害事故应急救援预案；组织本企业开展灾害事故预防和应急救援的培训和演练；组织本企业的灾害事故自救和协调社会救援工作。应急中心应设值班人员，负责联络通知应急指挥人员及应急反应人员。</w:t>
      </w:r>
    </w:p>
    <w:p w14:paraId="3045A5CB">
      <w:pPr>
        <w:pStyle w:val="234"/>
      </w:pPr>
      <w:r>
        <w:t>应急中心应下设若干应急反应专业部门，负责完成各自专业救援工作；安全管理部门负责组织制定预防灾害事故的管理制度和技术措施，编制应急救援计划方案，组织灾害事故预防和应急救援教育和演练，组织实施企业灾害事故的自救与社会应急救援，组织对灾害的现场监测和环境监测，测定事故的危害区域，预测事故危害程度，指导控制污染措施的实施事故现场善后污染清除等；工业卫生、医疗部门负责组织事故现场防毒和医疗救护，测定事故毒物对工作人员危害程度，指导现场人员救护和防护等；专业消防队负责组织控制危害源、营救受害人员和洗消工作等；信息部门负责组织应急通讯队伍，保证救援通讯的畅通等；物资部门负责保障供应救援设施、器具，物资运输，撤离和运送受伤人员等；保卫部门负责组织快速应急救援队伍，协助公安和消防部门营救受害人员和治安保卫及撤离任务；维修部门负责善后机电仪器设备及建筑物的抢修任务。</w:t>
      </w:r>
    </w:p>
    <w:p w14:paraId="0FE8D704">
      <w:pPr>
        <w:pStyle w:val="234"/>
      </w:pPr>
      <w:r>
        <w:rPr>
          <w:rFonts w:hint="eastAsia" w:ascii="宋体" w:hAnsi="宋体" w:cs="宋体"/>
        </w:rPr>
        <w:t>②</w:t>
      </w:r>
      <w:r>
        <w:t>应急计划的实施</w:t>
      </w:r>
    </w:p>
    <w:p w14:paraId="63C83BE3">
      <w:pPr>
        <w:pStyle w:val="234"/>
      </w:pPr>
      <w:r>
        <w:t>当发生火灾事故时，事故发生单位应迅速准确地向企业应急中心报警，同时组织专兼职人员开展自救，采取措施控制危害源，以确保初期灾害的扑救，不延误时间、不扩大事故、不失掉救援良机；企业应急中心接报后，迅速启动应急反应计划，通知联络有关应急反应人员，启动应急指挥系统，对事故进行分析、判断和决策，确定应急对策和事故预案，联络各应急反应专业部门和队伍赴现场各司其职，实施救援计划。如需实施社会救援，应及时向社会救援中心报告，由社会救援中心派专业队伍参战。</w:t>
      </w:r>
    </w:p>
    <w:p w14:paraId="3AC08B28">
      <w:pPr>
        <w:pStyle w:val="234"/>
      </w:pPr>
      <w:r>
        <w:rPr>
          <w:rFonts w:hint="eastAsia" w:ascii="宋体" w:hAnsi="宋体" w:cs="宋体"/>
        </w:rPr>
        <w:t>③</w:t>
      </w:r>
      <w:r>
        <w:t>应急状态的终止和善后处理</w:t>
      </w:r>
    </w:p>
    <w:p w14:paraId="72EDE185">
      <w:pPr>
        <w:pStyle w:val="234"/>
      </w:pPr>
      <w:r>
        <w:t>由应急中心根据现场指挥部和事故应急专家委员会意见决定，并发布应急状的终止。事故现场及受其影响区域应采取有效的善后措施，包括清理现场、清除污染、恢复生产等现场工作；对事故中受伤人员的医治；事故损失的计算，事故原因分析和防止事故再发生的防范措施等；总结经验。</w:t>
      </w:r>
    </w:p>
    <w:p w14:paraId="3400744C">
      <w:pPr>
        <w:pStyle w:val="4"/>
        <w:ind w:right="70"/>
        <w:rPr>
          <w:bCs w:val="0"/>
          <w:kern w:val="0"/>
          <w:sz w:val="28"/>
        </w:rPr>
      </w:pPr>
      <w:bookmarkStart w:id="259" w:name="_Toc31982"/>
      <w:r>
        <w:rPr>
          <w:spacing w:val="-1"/>
        </w:rPr>
        <w:t>环境监理</w:t>
      </w:r>
      <w:bookmarkEnd w:id="259"/>
    </w:p>
    <w:p w14:paraId="7AF8E14F">
      <w:pPr>
        <w:pStyle w:val="234"/>
      </w:pPr>
      <w:r>
        <w:t>工程建设不可避免地会对生态环境造成破坏，对生态环境影响较为突出，应将工程环境监理机制纳入整体工程监理当中。</w:t>
      </w:r>
    </w:p>
    <w:p w14:paraId="57448F02">
      <w:pPr>
        <w:pStyle w:val="234"/>
      </w:pPr>
      <w:r>
        <w:t>工程建设单位和当地环保部门负责不定期的对施工单位和施工场地、施工行为进行检查，考核监理计划的执行情况及环保措施、水保措施与各项环保要求的落实，并对施工期环境监理进行业务指导。环境监理人员应代表业主进行日常工程环境监理审核，编制各类监控报告，并将突发性环境问题及时报告业主的环保主管部门以及国家和地方环保主管部门。施工期环境监理主要内容见</w:t>
      </w:r>
      <w:r>
        <w:fldChar w:fldCharType="begin"/>
      </w:r>
      <w:r>
        <w:instrText xml:space="preserve"> REF _Ref77499572 \h  \* MERGEFORMAT </w:instrText>
      </w:r>
      <w:r>
        <w:fldChar w:fldCharType="separate"/>
      </w:r>
      <w:r>
        <w:t>表 10.2</w:t>
      </w:r>
      <w:r>
        <w:noBreakHyphen/>
      </w:r>
      <w:r>
        <w:t>1</w:t>
      </w:r>
      <w:r>
        <w:fldChar w:fldCharType="end"/>
      </w:r>
      <w:r>
        <w:t>。</w:t>
      </w:r>
    </w:p>
    <w:p w14:paraId="707D7523">
      <w:pPr>
        <w:pStyle w:val="904"/>
        <w:rPr>
          <w:rFonts w:eastAsiaTheme="minorEastAsia"/>
          <w:sz w:val="8"/>
          <w:szCs w:val="8"/>
        </w:rPr>
      </w:pPr>
      <w:bookmarkStart w:id="260" w:name="表14.2-1施工期环境监理主要内容"/>
      <w:bookmarkEnd w:id="260"/>
      <w:bookmarkStart w:id="261" w:name="_Ref77499572"/>
      <w:r>
        <w:t xml:space="preserve">表 </w:t>
      </w:r>
      <w:r>
        <w:fldChar w:fldCharType="begin"/>
      </w:r>
      <w:r>
        <w:instrText xml:space="preserve"> STYLEREF 2 \s </w:instrText>
      </w:r>
      <w:r>
        <w:fldChar w:fldCharType="separate"/>
      </w:r>
      <w:r>
        <w:t>10.2</w:t>
      </w:r>
      <w:r>
        <w:fldChar w:fldCharType="end"/>
      </w:r>
      <w:r>
        <w:noBreakHyphen/>
      </w:r>
      <w:r>
        <w:fldChar w:fldCharType="begin"/>
      </w:r>
      <w:r>
        <w:instrText xml:space="preserve"> SEQ 表 \* ARABIC \s 2 </w:instrText>
      </w:r>
      <w:r>
        <w:fldChar w:fldCharType="separate"/>
      </w:r>
      <w:r>
        <w:t>1</w:t>
      </w:r>
      <w:r>
        <w:fldChar w:fldCharType="end"/>
      </w:r>
      <w:bookmarkEnd w:id="261"/>
      <w:r>
        <w:t>施工期环境监理主要内容</w:t>
      </w:r>
    </w:p>
    <w:tbl>
      <w:tblPr>
        <w:tblStyle w:val="1396"/>
        <w:tblW w:w="93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8"/>
        <w:gridCol w:w="8243"/>
      </w:tblGrid>
      <w:tr w14:paraId="2AADD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1108" w:type="dxa"/>
            <w:vAlign w:val="center"/>
          </w:tcPr>
          <w:p w14:paraId="0CC41F7E">
            <w:pPr>
              <w:pStyle w:val="1343"/>
            </w:pPr>
            <w:r>
              <w:t>项目</w:t>
            </w:r>
          </w:p>
        </w:tc>
        <w:tc>
          <w:tcPr>
            <w:tcW w:w="8243" w:type="dxa"/>
            <w:vAlign w:val="center"/>
          </w:tcPr>
          <w:p w14:paraId="5467D057">
            <w:pPr>
              <w:pStyle w:val="1343"/>
            </w:pPr>
            <w:r>
              <w:t>要求</w:t>
            </w:r>
          </w:p>
        </w:tc>
      </w:tr>
      <w:tr w14:paraId="10911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exact"/>
        </w:trPr>
        <w:tc>
          <w:tcPr>
            <w:tcW w:w="1108" w:type="dxa"/>
            <w:vAlign w:val="center"/>
          </w:tcPr>
          <w:p w14:paraId="73E32220">
            <w:pPr>
              <w:pStyle w:val="1343"/>
            </w:pPr>
            <w:r>
              <w:t>线路走向</w:t>
            </w:r>
          </w:p>
        </w:tc>
        <w:tc>
          <w:tcPr>
            <w:tcW w:w="8243" w:type="dxa"/>
            <w:vAlign w:val="center"/>
          </w:tcPr>
          <w:p w14:paraId="7BC9B930">
            <w:pPr>
              <w:pStyle w:val="1343"/>
              <w:jc w:val="left"/>
            </w:pPr>
            <w:r>
              <w:t>核实线路走向是否发生调整，若出现调整，核实调整路线是否符合环保要求、是否涉及敏感目标等，是否属于重大变更。</w:t>
            </w:r>
          </w:p>
        </w:tc>
      </w:tr>
      <w:tr w14:paraId="16E9D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exact"/>
        </w:trPr>
        <w:tc>
          <w:tcPr>
            <w:tcW w:w="1108" w:type="dxa"/>
            <w:vAlign w:val="center"/>
          </w:tcPr>
          <w:p w14:paraId="3489ACB9">
            <w:pPr>
              <w:pStyle w:val="1343"/>
            </w:pPr>
            <w:r>
              <w:t>环保投资</w:t>
            </w:r>
          </w:p>
        </w:tc>
        <w:tc>
          <w:tcPr>
            <w:tcW w:w="8243" w:type="dxa"/>
            <w:vAlign w:val="center"/>
          </w:tcPr>
          <w:p w14:paraId="302C3989">
            <w:pPr>
              <w:pStyle w:val="1343"/>
              <w:jc w:val="left"/>
            </w:pPr>
            <w:r>
              <w:t>环境监理主要通过核查相关设备采购合同等确定其环保投资。核查实际建设过程中各项环保投资是否与环评要求一致。</w:t>
            </w:r>
          </w:p>
        </w:tc>
      </w:tr>
      <w:tr w14:paraId="034FC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7" w:hRule="atLeast"/>
        </w:trPr>
        <w:tc>
          <w:tcPr>
            <w:tcW w:w="1108" w:type="dxa"/>
            <w:vAlign w:val="center"/>
          </w:tcPr>
          <w:p w14:paraId="4A4D7962">
            <w:pPr>
              <w:pStyle w:val="1343"/>
            </w:pPr>
            <w:r>
              <w:t>工程内容</w:t>
            </w:r>
          </w:p>
        </w:tc>
        <w:tc>
          <w:tcPr>
            <w:tcW w:w="8243" w:type="dxa"/>
            <w:vAlign w:val="center"/>
          </w:tcPr>
          <w:p w14:paraId="23687B11">
            <w:pPr>
              <w:pStyle w:val="1343"/>
              <w:jc w:val="left"/>
            </w:pPr>
            <w:r>
              <w:t>设计阶段环境监理审核设计文件对环评所提出的建设内容和施工工艺的落实情况，需对设计文件及施工图进行仔细对照，重点审核设计规模和施工工艺是否与环评批复相符合，是否存在遗漏、增加、调整的工程内容。</w:t>
            </w:r>
          </w:p>
          <w:p w14:paraId="0DCB58CD">
            <w:pPr>
              <w:pStyle w:val="1343"/>
              <w:jc w:val="left"/>
            </w:pPr>
            <w:r>
              <w:t>施工期关注线路工程、穿越工程、站场工程、环保工程的内容建设情况，及时检查已施工完成的工程内容及安装的主要生产设备，核查工程建设规模、建设地点是否出现调整变更，关注施工生产生活区、施工临时道路场、表层土保存场等场所的选址是否符合要求。施工期重点关注环评提出的风险防范措施，包括防腐、焊接，截断阀、放空管、检测仪等设备的安装。</w:t>
            </w:r>
          </w:p>
        </w:tc>
      </w:tr>
      <w:tr w14:paraId="5A5CA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7" w:hRule="atLeast"/>
        </w:trPr>
        <w:tc>
          <w:tcPr>
            <w:tcW w:w="1108" w:type="dxa"/>
            <w:vAlign w:val="center"/>
          </w:tcPr>
          <w:p w14:paraId="2890DF04">
            <w:pPr>
              <w:pStyle w:val="1343"/>
            </w:pPr>
            <w:r>
              <w:t>污染防治措施</w:t>
            </w:r>
          </w:p>
        </w:tc>
        <w:tc>
          <w:tcPr>
            <w:tcW w:w="8243" w:type="dxa"/>
            <w:vAlign w:val="center"/>
          </w:tcPr>
          <w:p w14:paraId="45BE68EE">
            <w:pPr>
              <w:pStyle w:val="1343"/>
              <w:jc w:val="left"/>
            </w:pPr>
            <w:r>
              <w:t>施工阶段水、气、声、固废、生态等环保措施的施工建设情况，包括建设位置、数量、规模和进度等内容，同时也要监督建设单位落实“三同时”要求，保证环保措施与主体工程同时施工。</w:t>
            </w:r>
          </w:p>
        </w:tc>
      </w:tr>
      <w:tr w14:paraId="49264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exact"/>
        </w:trPr>
        <w:tc>
          <w:tcPr>
            <w:tcW w:w="1108" w:type="dxa"/>
            <w:vAlign w:val="center"/>
          </w:tcPr>
          <w:p w14:paraId="26CF9A8D">
            <w:pPr>
              <w:pStyle w:val="1343"/>
            </w:pPr>
            <w:r>
              <w:t>施工临时用地</w:t>
            </w:r>
          </w:p>
        </w:tc>
        <w:tc>
          <w:tcPr>
            <w:tcW w:w="8243" w:type="dxa"/>
            <w:vAlign w:val="center"/>
          </w:tcPr>
          <w:p w14:paraId="22D4A30F">
            <w:pPr>
              <w:pStyle w:val="1343"/>
              <w:jc w:val="left"/>
            </w:pPr>
            <w:r>
              <w:t>施工作业带、堆管场等临时用地的范围控制，洒水抑尘措施、噪声控制措施以及后期临时占地范围内是否及时清理和植被恢复等。</w:t>
            </w:r>
          </w:p>
        </w:tc>
      </w:tr>
    </w:tbl>
    <w:p w14:paraId="6497D3B9">
      <w:pPr>
        <w:pStyle w:val="4"/>
        <w:spacing w:before="120" w:beforeLines="50"/>
      </w:pPr>
      <w:bookmarkStart w:id="262" w:name="_bookmark84"/>
      <w:bookmarkEnd w:id="262"/>
      <w:bookmarkStart w:id="263" w:name="14.3_污染物排放管理要求"/>
      <w:bookmarkEnd w:id="263"/>
      <w:bookmarkStart w:id="264" w:name="_Toc8714"/>
      <w:r>
        <w:t>环境监测计划</w:t>
      </w:r>
      <w:bookmarkEnd w:id="264"/>
    </w:p>
    <w:p w14:paraId="4273E12F">
      <w:pPr>
        <w:pStyle w:val="5"/>
        <w:rPr>
          <w:color w:val="auto"/>
        </w:rPr>
      </w:pPr>
      <w:bookmarkStart w:id="265" w:name="14.4.1_施工期监测计划"/>
      <w:bookmarkEnd w:id="265"/>
      <w:r>
        <w:rPr>
          <w:color w:val="auto"/>
        </w:rPr>
        <w:t>施工期监测计划</w:t>
      </w:r>
    </w:p>
    <w:p w14:paraId="4F1C52A1">
      <w:pPr>
        <w:pStyle w:val="234"/>
      </w:pPr>
      <w:bookmarkStart w:id="266" w:name="表14.4-1施工期环境监测计划"/>
      <w:bookmarkEnd w:id="266"/>
      <w:r>
        <w:t>施工期的环境监测主要是对作业场所的控制监测，主要监测对象有土壤、植被、施工作业废气、废水和噪声等。对作业场所的控制监测可视当地具体情况、当地环保部门要求等情况而定，诸如：在人群密集区施工可进行适当噪声监测等；对事故监测可根据事故性质、事故影响的大小等，视具体情况监测大气环境、土壤环境、水环境等；生态环境监测主要监测内容为项目建设所涉及的生态环境要素、生态环境问题、生态环保措施的落实情况。</w:t>
      </w:r>
    </w:p>
    <w:p w14:paraId="0A067C5B">
      <w:pPr>
        <w:pStyle w:val="904"/>
      </w:pPr>
      <w:r>
        <w:t xml:space="preserve">表 </w:t>
      </w:r>
      <w:r>
        <w:fldChar w:fldCharType="begin"/>
      </w:r>
      <w:r>
        <w:instrText xml:space="preserve"> STYLEREF 2 \s </w:instrText>
      </w:r>
      <w:r>
        <w:fldChar w:fldCharType="separate"/>
      </w:r>
      <w:r>
        <w:t>10.3</w:t>
      </w:r>
      <w:r>
        <w:fldChar w:fldCharType="end"/>
      </w:r>
      <w:r>
        <w:noBreakHyphen/>
      </w:r>
      <w:r>
        <w:fldChar w:fldCharType="begin"/>
      </w:r>
      <w:r>
        <w:instrText xml:space="preserve"> SEQ 表 \* ARABIC \s 2 </w:instrText>
      </w:r>
      <w:r>
        <w:fldChar w:fldCharType="separate"/>
      </w:r>
      <w:r>
        <w:t>1</w:t>
      </w:r>
      <w:r>
        <w:fldChar w:fldCharType="end"/>
      </w:r>
      <w:r>
        <w:t>施工期环境监测计划</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4"/>
        <w:gridCol w:w="1922"/>
        <w:gridCol w:w="2119"/>
        <w:gridCol w:w="1348"/>
        <w:gridCol w:w="1321"/>
        <w:gridCol w:w="1662"/>
      </w:tblGrid>
      <w:tr w14:paraId="72F5C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24" w:type="pct"/>
            <w:vAlign w:val="center"/>
          </w:tcPr>
          <w:p w14:paraId="6DBF2465">
            <w:pPr>
              <w:pStyle w:val="1343"/>
            </w:pPr>
            <w:r>
              <w:t>监测项目</w:t>
            </w:r>
          </w:p>
        </w:tc>
        <w:tc>
          <w:tcPr>
            <w:tcW w:w="1004" w:type="pct"/>
            <w:vAlign w:val="center"/>
          </w:tcPr>
          <w:p w14:paraId="5A7246A2">
            <w:pPr>
              <w:pStyle w:val="1343"/>
            </w:pPr>
            <w:r>
              <w:t>监测指标</w:t>
            </w:r>
          </w:p>
        </w:tc>
        <w:tc>
          <w:tcPr>
            <w:tcW w:w="1107" w:type="pct"/>
            <w:vAlign w:val="center"/>
          </w:tcPr>
          <w:p w14:paraId="7C9EC952">
            <w:pPr>
              <w:pStyle w:val="1343"/>
            </w:pPr>
            <w:r>
              <w:t>监测位置</w:t>
            </w:r>
          </w:p>
        </w:tc>
        <w:tc>
          <w:tcPr>
            <w:tcW w:w="704" w:type="pct"/>
            <w:vAlign w:val="center"/>
          </w:tcPr>
          <w:p w14:paraId="60DD334E">
            <w:pPr>
              <w:pStyle w:val="1343"/>
            </w:pPr>
            <w:r>
              <w:t>工作方式</w:t>
            </w:r>
          </w:p>
        </w:tc>
        <w:tc>
          <w:tcPr>
            <w:tcW w:w="690" w:type="pct"/>
            <w:vAlign w:val="center"/>
          </w:tcPr>
          <w:p w14:paraId="0991DBCC">
            <w:pPr>
              <w:pStyle w:val="1343"/>
            </w:pPr>
            <w:r>
              <w:t>监测频率</w:t>
            </w:r>
          </w:p>
        </w:tc>
        <w:tc>
          <w:tcPr>
            <w:tcW w:w="868" w:type="pct"/>
            <w:vAlign w:val="center"/>
          </w:tcPr>
          <w:p w14:paraId="7A3E61BE">
            <w:pPr>
              <w:pStyle w:val="1343"/>
            </w:pPr>
            <w:r>
              <w:t>监测单位</w:t>
            </w:r>
          </w:p>
        </w:tc>
      </w:tr>
      <w:tr w14:paraId="6F7A2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3F67E416">
            <w:pPr>
              <w:pStyle w:val="1343"/>
              <w:rPr>
                <w:i/>
                <w:iCs/>
                <w:color w:val="auto"/>
                <w:u w:val="single"/>
              </w:rPr>
            </w:pPr>
            <w:r>
              <w:rPr>
                <w:i/>
                <w:iCs/>
                <w:color w:val="auto"/>
                <w:spacing w:val="-1"/>
                <w:u w:val="single"/>
              </w:rPr>
              <w:t>大气</w:t>
            </w:r>
          </w:p>
        </w:tc>
        <w:tc>
          <w:tcPr>
            <w:tcW w:w="1004" w:type="pct"/>
            <w:vAlign w:val="center"/>
          </w:tcPr>
          <w:p w14:paraId="7E5A2F01">
            <w:pPr>
              <w:pStyle w:val="1343"/>
              <w:rPr>
                <w:i/>
                <w:iCs/>
                <w:color w:val="auto"/>
                <w:u w:val="single"/>
              </w:rPr>
            </w:pPr>
            <w:r>
              <w:rPr>
                <w:i/>
                <w:iCs/>
                <w:color w:val="auto"/>
                <w:u w:val="single"/>
              </w:rPr>
              <w:t>施工扬尘</w:t>
            </w:r>
          </w:p>
        </w:tc>
        <w:tc>
          <w:tcPr>
            <w:tcW w:w="1107" w:type="pct"/>
            <w:vAlign w:val="center"/>
          </w:tcPr>
          <w:p w14:paraId="44A05498">
            <w:pPr>
              <w:pStyle w:val="1343"/>
              <w:rPr>
                <w:i/>
                <w:iCs/>
                <w:color w:val="auto"/>
                <w:u w:val="single"/>
              </w:rPr>
            </w:pPr>
            <w:r>
              <w:rPr>
                <w:i/>
                <w:iCs/>
                <w:color w:val="auto"/>
                <w:u w:val="single"/>
              </w:rPr>
              <w:t>管线沿线200m内村庄</w:t>
            </w:r>
            <w:r>
              <w:rPr>
                <w:rFonts w:hint="eastAsia"/>
                <w:i/>
                <w:iCs/>
                <w:color w:val="auto"/>
                <w:u w:val="single"/>
              </w:rPr>
              <w:t>、施工场地场界</w:t>
            </w:r>
          </w:p>
        </w:tc>
        <w:tc>
          <w:tcPr>
            <w:tcW w:w="704" w:type="pct"/>
            <w:vAlign w:val="center"/>
          </w:tcPr>
          <w:p w14:paraId="7FFB4872">
            <w:pPr>
              <w:pStyle w:val="1343"/>
              <w:rPr>
                <w:i/>
                <w:iCs/>
                <w:color w:val="auto"/>
                <w:u w:val="single"/>
              </w:rPr>
            </w:pPr>
            <w:r>
              <w:rPr>
                <w:i/>
                <w:iCs/>
                <w:color w:val="auto"/>
                <w:u w:val="single"/>
              </w:rPr>
              <w:t>现场监测</w:t>
            </w:r>
          </w:p>
        </w:tc>
        <w:tc>
          <w:tcPr>
            <w:tcW w:w="690" w:type="pct"/>
            <w:vAlign w:val="top"/>
          </w:tcPr>
          <w:p w14:paraId="646BEC05">
            <w:pPr>
              <w:pStyle w:val="1343"/>
              <w:rPr>
                <w:i/>
                <w:iCs/>
                <w:color w:val="auto"/>
                <w:u w:val="single"/>
              </w:rPr>
            </w:pPr>
            <w:r>
              <w:rPr>
                <w:i/>
                <w:iCs/>
                <w:color w:val="auto"/>
                <w:u w:val="single"/>
              </w:rPr>
              <w:t>施工期间监测</w:t>
            </w:r>
            <w:r>
              <w:rPr>
                <w:rFonts w:hint="eastAsia"/>
                <w:i/>
                <w:iCs/>
                <w:color w:val="auto"/>
                <w:u w:val="single"/>
                <w:lang w:val="en-US" w:eastAsia="zh-CN"/>
              </w:rPr>
              <w:t>1</w:t>
            </w:r>
            <w:r>
              <w:rPr>
                <w:i/>
                <w:iCs/>
                <w:color w:val="auto"/>
                <w:u w:val="single"/>
              </w:rPr>
              <w:t>次</w:t>
            </w:r>
          </w:p>
        </w:tc>
        <w:tc>
          <w:tcPr>
            <w:tcW w:w="868" w:type="pct"/>
            <w:vAlign w:val="top"/>
          </w:tcPr>
          <w:p w14:paraId="43F4E7C0">
            <w:pPr>
              <w:pStyle w:val="1343"/>
            </w:pPr>
            <w:r>
              <w:t>委托有资质单位监测</w:t>
            </w:r>
          </w:p>
        </w:tc>
      </w:tr>
      <w:tr w14:paraId="22FCC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7C2D971E">
            <w:pPr>
              <w:pStyle w:val="1343"/>
            </w:pPr>
            <w:r>
              <w:t>地表水</w:t>
            </w:r>
          </w:p>
        </w:tc>
        <w:tc>
          <w:tcPr>
            <w:tcW w:w="1004" w:type="pct"/>
            <w:vAlign w:val="center"/>
          </w:tcPr>
          <w:p w14:paraId="2780481E">
            <w:pPr>
              <w:pStyle w:val="1343"/>
            </w:pPr>
            <w:r>
              <w:t>石油类、SS、</w:t>
            </w:r>
          </w:p>
          <w:p w14:paraId="1C3A07F5">
            <w:pPr>
              <w:pStyle w:val="1343"/>
            </w:pPr>
            <w:r>
              <w:t>CODcr、氨氮</w:t>
            </w:r>
          </w:p>
        </w:tc>
        <w:tc>
          <w:tcPr>
            <w:tcW w:w="1107" w:type="pct"/>
            <w:vAlign w:val="center"/>
          </w:tcPr>
          <w:p w14:paraId="3B0CF37F">
            <w:pPr>
              <w:pStyle w:val="1343"/>
            </w:pPr>
            <w:r>
              <w:rPr>
                <w:rFonts w:hint="eastAsia"/>
              </w:rPr>
              <w:t>管线附近坑塘</w:t>
            </w:r>
          </w:p>
        </w:tc>
        <w:tc>
          <w:tcPr>
            <w:tcW w:w="704" w:type="pct"/>
            <w:vAlign w:val="center"/>
          </w:tcPr>
          <w:p w14:paraId="0A68E8B2">
            <w:pPr>
              <w:pStyle w:val="1343"/>
              <w:rPr>
                <w:lang w:eastAsia="en-US"/>
              </w:rPr>
            </w:pPr>
            <w:r>
              <w:t>现场监测</w:t>
            </w:r>
          </w:p>
        </w:tc>
        <w:tc>
          <w:tcPr>
            <w:tcW w:w="690" w:type="pct"/>
            <w:vAlign w:val="center"/>
          </w:tcPr>
          <w:p w14:paraId="66D5C2BA">
            <w:pPr>
              <w:pStyle w:val="1343"/>
            </w:pPr>
            <w:r>
              <w:t>施工期间进行</w:t>
            </w:r>
            <w:r>
              <w:rPr>
                <w:rFonts w:eastAsia="Times New Roman"/>
              </w:rPr>
              <w:t>1</w:t>
            </w:r>
            <w:r>
              <w:t>次</w:t>
            </w:r>
          </w:p>
        </w:tc>
        <w:tc>
          <w:tcPr>
            <w:tcW w:w="868" w:type="pct"/>
            <w:vAlign w:val="center"/>
          </w:tcPr>
          <w:p w14:paraId="5B6DFA20">
            <w:pPr>
              <w:pStyle w:val="1343"/>
            </w:pPr>
            <w:r>
              <w:t>委托有资质单位监测</w:t>
            </w:r>
          </w:p>
        </w:tc>
      </w:tr>
      <w:tr w14:paraId="4C8C2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14281B88">
            <w:pPr>
              <w:pStyle w:val="1343"/>
              <w:rPr>
                <w:i/>
                <w:iCs/>
                <w:color w:val="auto"/>
                <w:u w:val="single"/>
              </w:rPr>
            </w:pPr>
            <w:r>
              <w:rPr>
                <w:i/>
                <w:iCs/>
                <w:color w:val="auto"/>
                <w:u w:val="single"/>
              </w:rPr>
              <w:t>试压排水</w:t>
            </w:r>
          </w:p>
        </w:tc>
        <w:tc>
          <w:tcPr>
            <w:tcW w:w="1004" w:type="pct"/>
            <w:vAlign w:val="center"/>
          </w:tcPr>
          <w:p w14:paraId="095218A5">
            <w:pPr>
              <w:pStyle w:val="1343"/>
              <w:rPr>
                <w:i/>
                <w:iCs/>
                <w:color w:val="auto"/>
                <w:u w:val="single"/>
              </w:rPr>
            </w:pPr>
            <w:r>
              <w:rPr>
                <w:i/>
                <w:iCs/>
                <w:color w:val="auto"/>
                <w:u w:val="single"/>
              </w:rPr>
              <w:t>pH值、</w:t>
            </w:r>
            <w:r>
              <w:rPr>
                <w:rFonts w:eastAsia="Times New Roman"/>
                <w:i/>
                <w:iCs/>
                <w:color w:val="auto"/>
                <w:u w:val="single"/>
              </w:rPr>
              <w:t>SS</w:t>
            </w:r>
            <w:r>
              <w:rPr>
                <w:i/>
                <w:iCs/>
                <w:color w:val="auto"/>
                <w:u w:val="single"/>
              </w:rPr>
              <w:t>、石油类</w:t>
            </w:r>
          </w:p>
        </w:tc>
        <w:tc>
          <w:tcPr>
            <w:tcW w:w="1107" w:type="pct"/>
            <w:vAlign w:val="center"/>
          </w:tcPr>
          <w:p w14:paraId="60A8B6B1">
            <w:pPr>
              <w:pStyle w:val="1343"/>
              <w:rPr>
                <w:i/>
                <w:iCs/>
                <w:color w:val="auto"/>
                <w:u w:val="single"/>
              </w:rPr>
            </w:pPr>
            <w:r>
              <w:rPr>
                <w:i/>
                <w:iCs/>
                <w:color w:val="auto"/>
                <w:u w:val="single"/>
              </w:rPr>
              <w:t>试压排水处</w:t>
            </w:r>
          </w:p>
        </w:tc>
        <w:tc>
          <w:tcPr>
            <w:tcW w:w="704" w:type="pct"/>
            <w:vAlign w:val="center"/>
          </w:tcPr>
          <w:p w14:paraId="218E15E2">
            <w:pPr>
              <w:pStyle w:val="1343"/>
              <w:rPr>
                <w:i/>
                <w:iCs/>
                <w:color w:val="auto"/>
                <w:u w:val="single"/>
              </w:rPr>
            </w:pPr>
            <w:r>
              <w:rPr>
                <w:i/>
                <w:iCs/>
                <w:color w:val="auto"/>
                <w:u w:val="single"/>
              </w:rPr>
              <w:t>现场监测</w:t>
            </w:r>
          </w:p>
        </w:tc>
        <w:tc>
          <w:tcPr>
            <w:tcW w:w="690" w:type="pct"/>
            <w:vAlign w:val="center"/>
          </w:tcPr>
          <w:p w14:paraId="09B4634D">
            <w:pPr>
              <w:pStyle w:val="1343"/>
              <w:rPr>
                <w:i/>
                <w:iCs/>
                <w:color w:val="auto"/>
                <w:u w:val="single"/>
              </w:rPr>
            </w:pPr>
            <w:r>
              <w:rPr>
                <w:i/>
                <w:iCs/>
                <w:color w:val="auto"/>
                <w:u w:val="single"/>
              </w:rPr>
              <w:t>施工期间进行</w:t>
            </w:r>
            <w:r>
              <w:rPr>
                <w:rFonts w:eastAsia="Times New Roman"/>
                <w:i/>
                <w:iCs/>
                <w:color w:val="auto"/>
                <w:u w:val="single"/>
              </w:rPr>
              <w:t>1</w:t>
            </w:r>
            <w:r>
              <w:rPr>
                <w:i/>
                <w:iCs/>
                <w:color w:val="auto"/>
                <w:u w:val="single"/>
              </w:rPr>
              <w:t>次</w:t>
            </w:r>
          </w:p>
        </w:tc>
        <w:tc>
          <w:tcPr>
            <w:tcW w:w="868" w:type="pct"/>
            <w:vAlign w:val="center"/>
          </w:tcPr>
          <w:p w14:paraId="56B8E3D9">
            <w:pPr>
              <w:pStyle w:val="1343"/>
            </w:pPr>
            <w:r>
              <w:t>委托有资质单位监测</w:t>
            </w:r>
          </w:p>
        </w:tc>
      </w:tr>
      <w:tr w14:paraId="499EF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52DE4F63">
            <w:pPr>
              <w:pStyle w:val="1343"/>
              <w:rPr>
                <w:lang w:eastAsia="en-US"/>
              </w:rPr>
            </w:pPr>
            <w:r>
              <w:t>固体废物</w:t>
            </w:r>
          </w:p>
        </w:tc>
        <w:tc>
          <w:tcPr>
            <w:tcW w:w="1004" w:type="pct"/>
            <w:vAlign w:val="center"/>
          </w:tcPr>
          <w:p w14:paraId="7B3A8A83">
            <w:pPr>
              <w:pStyle w:val="1343"/>
            </w:pPr>
            <w:r>
              <w:t>生活</w:t>
            </w:r>
            <w:r>
              <w:rPr>
                <w:spacing w:val="-3"/>
              </w:rPr>
              <w:t>垃</w:t>
            </w:r>
            <w:r>
              <w:t>圾</w:t>
            </w:r>
            <w:r>
              <w:rPr>
                <w:spacing w:val="-44"/>
              </w:rPr>
              <w:t>、</w:t>
            </w:r>
            <w:r>
              <w:t>施工废料</w:t>
            </w:r>
            <w:r>
              <w:rPr>
                <w:rFonts w:hint="eastAsia"/>
                <w:spacing w:val="-7"/>
              </w:rPr>
              <w:t>等</w:t>
            </w:r>
          </w:p>
        </w:tc>
        <w:tc>
          <w:tcPr>
            <w:tcW w:w="1107" w:type="pct"/>
            <w:vAlign w:val="center"/>
          </w:tcPr>
          <w:p w14:paraId="49CEF85A">
            <w:pPr>
              <w:pStyle w:val="1343"/>
            </w:pPr>
            <w:r>
              <w:t>施工</w:t>
            </w:r>
            <w:r>
              <w:rPr>
                <w:spacing w:val="-3"/>
              </w:rPr>
              <w:t>作</w:t>
            </w:r>
            <w:r>
              <w:t>业</w:t>
            </w:r>
            <w:r>
              <w:rPr>
                <w:spacing w:val="-3"/>
              </w:rPr>
              <w:t>场地</w:t>
            </w:r>
          </w:p>
        </w:tc>
        <w:tc>
          <w:tcPr>
            <w:tcW w:w="704" w:type="pct"/>
            <w:vAlign w:val="center"/>
          </w:tcPr>
          <w:p w14:paraId="30A8E2D5">
            <w:pPr>
              <w:pStyle w:val="1343"/>
              <w:rPr>
                <w:lang w:eastAsia="en-US"/>
              </w:rPr>
            </w:pPr>
            <w:r>
              <w:t>随机检查</w:t>
            </w:r>
          </w:p>
        </w:tc>
        <w:tc>
          <w:tcPr>
            <w:tcW w:w="690" w:type="pct"/>
            <w:vAlign w:val="center"/>
          </w:tcPr>
          <w:p w14:paraId="5EFF8628">
            <w:pPr>
              <w:pStyle w:val="1343"/>
            </w:pPr>
            <w:r>
              <w:t>整个施工期</w:t>
            </w:r>
          </w:p>
        </w:tc>
        <w:tc>
          <w:tcPr>
            <w:tcW w:w="868" w:type="pct"/>
            <w:vAlign w:val="center"/>
          </w:tcPr>
          <w:p w14:paraId="6614470B">
            <w:pPr>
              <w:pStyle w:val="1343"/>
            </w:pPr>
            <w:r>
              <w:t>环境监理单位</w:t>
            </w:r>
          </w:p>
        </w:tc>
      </w:tr>
      <w:tr w14:paraId="75CB2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77CAEA04">
            <w:pPr>
              <w:pStyle w:val="1343"/>
              <w:rPr>
                <w:i/>
                <w:iCs/>
                <w:color w:val="auto"/>
                <w:u w:val="single"/>
              </w:rPr>
            </w:pPr>
            <w:r>
              <w:rPr>
                <w:i/>
                <w:iCs/>
                <w:color w:val="auto"/>
                <w:u w:val="single"/>
              </w:rPr>
              <w:t>施工噪声</w:t>
            </w:r>
          </w:p>
        </w:tc>
        <w:tc>
          <w:tcPr>
            <w:tcW w:w="1004" w:type="pct"/>
            <w:vAlign w:val="center"/>
          </w:tcPr>
          <w:p w14:paraId="1D9E4E44">
            <w:pPr>
              <w:pStyle w:val="1343"/>
              <w:rPr>
                <w:i/>
                <w:iCs/>
                <w:color w:val="auto"/>
                <w:u w:val="single"/>
              </w:rPr>
            </w:pPr>
            <w:r>
              <w:rPr>
                <w:i/>
                <w:iCs/>
                <w:color w:val="auto"/>
                <w:u w:val="single"/>
              </w:rPr>
              <w:t>昼、夜</w:t>
            </w:r>
            <w:r>
              <w:rPr>
                <w:i/>
                <w:iCs/>
                <w:color w:val="auto"/>
                <w:spacing w:val="-1"/>
                <w:u w:val="single"/>
              </w:rPr>
              <w:t>等效连续</w:t>
            </w:r>
            <w:r>
              <w:rPr>
                <w:rFonts w:eastAsia="Times New Roman"/>
                <w:i/>
                <w:iCs/>
                <w:color w:val="auto"/>
                <w:u w:val="single"/>
              </w:rPr>
              <w:t>A</w:t>
            </w:r>
            <w:r>
              <w:rPr>
                <w:i/>
                <w:iCs/>
                <w:color w:val="auto"/>
                <w:u w:val="single"/>
              </w:rPr>
              <w:t>声级</w:t>
            </w:r>
          </w:p>
        </w:tc>
        <w:tc>
          <w:tcPr>
            <w:tcW w:w="1107" w:type="pct"/>
            <w:vAlign w:val="center"/>
          </w:tcPr>
          <w:p w14:paraId="0958E40D">
            <w:pPr>
              <w:pStyle w:val="1343"/>
              <w:rPr>
                <w:i/>
                <w:iCs/>
                <w:color w:val="auto"/>
                <w:u w:val="single"/>
              </w:rPr>
            </w:pPr>
            <w:r>
              <w:rPr>
                <w:i/>
                <w:iCs/>
                <w:color w:val="auto"/>
                <w:u w:val="single"/>
              </w:rPr>
              <w:t>管线沿线200m内村庄</w:t>
            </w:r>
            <w:r>
              <w:rPr>
                <w:rFonts w:hint="eastAsia"/>
                <w:i/>
                <w:iCs/>
                <w:color w:val="auto"/>
                <w:u w:val="single"/>
              </w:rPr>
              <w:t>、施工场地场界</w:t>
            </w:r>
          </w:p>
        </w:tc>
        <w:tc>
          <w:tcPr>
            <w:tcW w:w="704" w:type="pct"/>
            <w:vAlign w:val="center"/>
          </w:tcPr>
          <w:p w14:paraId="356285A6">
            <w:pPr>
              <w:pStyle w:val="1343"/>
              <w:rPr>
                <w:i/>
                <w:iCs/>
                <w:color w:val="auto"/>
                <w:u w:val="single"/>
              </w:rPr>
            </w:pPr>
            <w:r>
              <w:rPr>
                <w:i/>
                <w:iCs/>
                <w:color w:val="auto"/>
                <w:spacing w:val="-3"/>
                <w:u w:val="single"/>
              </w:rPr>
              <w:t>现</w:t>
            </w:r>
            <w:r>
              <w:rPr>
                <w:i/>
                <w:iCs/>
                <w:color w:val="auto"/>
                <w:u w:val="single"/>
              </w:rPr>
              <w:t>场</w:t>
            </w:r>
            <w:r>
              <w:rPr>
                <w:i/>
                <w:iCs/>
                <w:color w:val="auto"/>
                <w:spacing w:val="-3"/>
                <w:u w:val="single"/>
              </w:rPr>
              <w:t>监</w:t>
            </w:r>
            <w:r>
              <w:rPr>
                <w:i/>
                <w:iCs/>
                <w:color w:val="auto"/>
                <w:u w:val="single"/>
              </w:rPr>
              <w:t>测</w:t>
            </w:r>
          </w:p>
        </w:tc>
        <w:tc>
          <w:tcPr>
            <w:tcW w:w="690" w:type="pct"/>
            <w:vAlign w:val="center"/>
          </w:tcPr>
          <w:p w14:paraId="1B9DB037">
            <w:pPr>
              <w:pStyle w:val="1343"/>
              <w:rPr>
                <w:i/>
                <w:iCs/>
                <w:color w:val="auto"/>
                <w:u w:val="single"/>
                <w:lang w:eastAsia="en-US"/>
              </w:rPr>
            </w:pPr>
            <w:r>
              <w:rPr>
                <w:i/>
                <w:iCs/>
                <w:color w:val="auto"/>
                <w:u w:val="single"/>
              </w:rPr>
              <w:t>施工期间进行</w:t>
            </w:r>
            <w:r>
              <w:rPr>
                <w:i/>
                <w:iCs/>
                <w:color w:val="auto"/>
                <w:spacing w:val="-53"/>
                <w:u w:val="single"/>
              </w:rPr>
              <w:t xml:space="preserve"> </w:t>
            </w:r>
            <w:r>
              <w:rPr>
                <w:rFonts w:eastAsia="Times New Roman"/>
                <w:i/>
                <w:iCs/>
                <w:color w:val="auto"/>
                <w:u w:val="single"/>
              </w:rPr>
              <w:t>2</w:t>
            </w:r>
            <w:r>
              <w:rPr>
                <w:i/>
                <w:iCs/>
                <w:color w:val="auto"/>
                <w:u w:val="single"/>
              </w:rPr>
              <w:t>次</w:t>
            </w:r>
          </w:p>
        </w:tc>
        <w:tc>
          <w:tcPr>
            <w:tcW w:w="868" w:type="pct"/>
            <w:vAlign w:val="center"/>
          </w:tcPr>
          <w:p w14:paraId="4C1F8A50">
            <w:pPr>
              <w:pStyle w:val="1343"/>
            </w:pPr>
            <w:r>
              <w:t>委托有资质单位监测</w:t>
            </w:r>
          </w:p>
        </w:tc>
      </w:tr>
      <w:tr w14:paraId="599A6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60A1DBEF">
            <w:pPr>
              <w:pStyle w:val="1343"/>
              <w:rPr>
                <w:lang w:eastAsia="en-US"/>
              </w:rPr>
            </w:pPr>
            <w:r>
              <w:t>占用的耕地</w:t>
            </w:r>
          </w:p>
        </w:tc>
        <w:tc>
          <w:tcPr>
            <w:tcW w:w="1004" w:type="pct"/>
            <w:vAlign w:val="center"/>
          </w:tcPr>
          <w:p w14:paraId="354645B4">
            <w:pPr>
              <w:pStyle w:val="1343"/>
            </w:pPr>
            <w:r>
              <w:t>熟土</w:t>
            </w:r>
            <w:r>
              <w:rPr>
                <w:spacing w:val="-3"/>
              </w:rPr>
              <w:t>层</w:t>
            </w:r>
            <w:r>
              <w:t>保</w:t>
            </w:r>
            <w:r>
              <w:rPr>
                <w:spacing w:val="-3"/>
              </w:rPr>
              <w:t>护</w:t>
            </w:r>
            <w:r>
              <w:rPr>
                <w:spacing w:val="-41"/>
              </w:rPr>
              <w:t>、</w:t>
            </w:r>
            <w:r>
              <w:t>施工结束后覆土还耕</w:t>
            </w:r>
          </w:p>
        </w:tc>
        <w:tc>
          <w:tcPr>
            <w:tcW w:w="1107" w:type="pct"/>
            <w:vAlign w:val="center"/>
          </w:tcPr>
          <w:p w14:paraId="6B53424B">
            <w:pPr>
              <w:pStyle w:val="1343"/>
              <w:rPr>
                <w:lang w:eastAsia="en-US"/>
              </w:rPr>
            </w:pPr>
            <w:r>
              <w:t>管道施工占用的耕地</w:t>
            </w:r>
          </w:p>
        </w:tc>
        <w:tc>
          <w:tcPr>
            <w:tcW w:w="704" w:type="pct"/>
            <w:vAlign w:val="center"/>
          </w:tcPr>
          <w:p w14:paraId="27856CFB">
            <w:pPr>
              <w:pStyle w:val="1343"/>
            </w:pPr>
            <w:r>
              <w:t>现场检查</w:t>
            </w:r>
          </w:p>
        </w:tc>
        <w:tc>
          <w:tcPr>
            <w:tcW w:w="690" w:type="pct"/>
            <w:vAlign w:val="center"/>
          </w:tcPr>
          <w:p w14:paraId="31F6F897">
            <w:pPr>
              <w:pStyle w:val="1343"/>
            </w:pPr>
            <w:r>
              <w:t>整个施工期</w:t>
            </w:r>
          </w:p>
        </w:tc>
        <w:tc>
          <w:tcPr>
            <w:tcW w:w="868" w:type="pct"/>
            <w:vAlign w:val="center"/>
          </w:tcPr>
          <w:p w14:paraId="6898ADEC">
            <w:pPr>
              <w:pStyle w:val="1343"/>
            </w:pPr>
            <w:r>
              <w:t>环境监理单位</w:t>
            </w:r>
          </w:p>
        </w:tc>
      </w:tr>
      <w:tr w14:paraId="06B63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2" w:hRule="atLeast"/>
        </w:trPr>
        <w:tc>
          <w:tcPr>
            <w:tcW w:w="624" w:type="pct"/>
            <w:vAlign w:val="center"/>
          </w:tcPr>
          <w:p w14:paraId="7156D4E6">
            <w:pPr>
              <w:pStyle w:val="1343"/>
              <w:rPr>
                <w:lang w:eastAsia="en-US"/>
              </w:rPr>
            </w:pPr>
            <w:r>
              <w:t>事故性监测</w:t>
            </w:r>
          </w:p>
        </w:tc>
        <w:tc>
          <w:tcPr>
            <w:tcW w:w="1004" w:type="pct"/>
            <w:vAlign w:val="center"/>
          </w:tcPr>
          <w:p w14:paraId="6F8C0855">
            <w:pPr>
              <w:pStyle w:val="1343"/>
            </w:pPr>
            <w:r>
              <w:t>根据事故性质事故影响的大小</w:t>
            </w:r>
            <w:r>
              <w:rPr>
                <w:spacing w:val="-41"/>
              </w:rPr>
              <w:t>，</w:t>
            </w:r>
            <w:r>
              <w:rPr>
                <w:spacing w:val="-3"/>
              </w:rPr>
              <w:t>视</w:t>
            </w:r>
            <w:r>
              <w:t>具</w:t>
            </w:r>
            <w:r>
              <w:rPr>
                <w:spacing w:val="-3"/>
              </w:rPr>
              <w:t>体</w:t>
            </w:r>
            <w:r>
              <w:t>情况监测气、水等</w:t>
            </w:r>
          </w:p>
        </w:tc>
        <w:tc>
          <w:tcPr>
            <w:tcW w:w="1107" w:type="pct"/>
            <w:vAlign w:val="center"/>
          </w:tcPr>
          <w:p w14:paraId="668C62F4">
            <w:pPr>
              <w:pStyle w:val="1343"/>
              <w:rPr>
                <w:lang w:eastAsia="en-US"/>
              </w:rPr>
            </w:pPr>
            <w:r>
              <w:t>事故发生地点</w:t>
            </w:r>
          </w:p>
        </w:tc>
        <w:tc>
          <w:tcPr>
            <w:tcW w:w="704" w:type="pct"/>
            <w:vAlign w:val="center"/>
          </w:tcPr>
          <w:p w14:paraId="6D329236">
            <w:pPr>
              <w:pStyle w:val="1343"/>
            </w:pPr>
            <w:r>
              <w:t>现场监测</w:t>
            </w:r>
          </w:p>
        </w:tc>
        <w:tc>
          <w:tcPr>
            <w:tcW w:w="690" w:type="pct"/>
            <w:vAlign w:val="center"/>
          </w:tcPr>
          <w:p w14:paraId="3BF35542">
            <w:pPr>
              <w:pStyle w:val="1343"/>
            </w:pPr>
            <w:r>
              <w:t>事故时</w:t>
            </w:r>
          </w:p>
        </w:tc>
        <w:tc>
          <w:tcPr>
            <w:tcW w:w="868" w:type="pct"/>
            <w:vAlign w:val="center"/>
          </w:tcPr>
          <w:p w14:paraId="0392F1A0">
            <w:pPr>
              <w:pStyle w:val="1343"/>
            </w:pPr>
            <w:r>
              <w:t>委托有资质单位监测</w:t>
            </w:r>
          </w:p>
        </w:tc>
      </w:tr>
      <w:tr w14:paraId="307E1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14:paraId="632FDC12">
            <w:pPr>
              <w:pStyle w:val="1343"/>
              <w:rPr>
                <w:lang w:eastAsia="en-US"/>
              </w:rPr>
            </w:pPr>
            <w:r>
              <w:t>施工现场清理</w:t>
            </w:r>
          </w:p>
        </w:tc>
        <w:tc>
          <w:tcPr>
            <w:tcW w:w="1004" w:type="pct"/>
            <w:vAlign w:val="center"/>
          </w:tcPr>
          <w:p w14:paraId="4BD79A3B">
            <w:pPr>
              <w:pStyle w:val="1343"/>
            </w:pPr>
            <w:r>
              <w:t>施工现场的弃土、石、渣等</w:t>
            </w:r>
          </w:p>
        </w:tc>
        <w:tc>
          <w:tcPr>
            <w:tcW w:w="1107" w:type="pct"/>
            <w:vAlign w:val="center"/>
          </w:tcPr>
          <w:p w14:paraId="5E63240E">
            <w:pPr>
              <w:pStyle w:val="1343"/>
              <w:rPr>
                <w:lang w:eastAsia="en-US"/>
              </w:rPr>
            </w:pPr>
            <w:r>
              <w:t>各施工区、段</w:t>
            </w:r>
          </w:p>
        </w:tc>
        <w:tc>
          <w:tcPr>
            <w:tcW w:w="704" w:type="pct"/>
            <w:vAlign w:val="center"/>
          </w:tcPr>
          <w:p w14:paraId="3B621B85">
            <w:pPr>
              <w:pStyle w:val="1343"/>
            </w:pPr>
            <w:r>
              <w:t>随机检查</w:t>
            </w:r>
          </w:p>
        </w:tc>
        <w:tc>
          <w:tcPr>
            <w:tcW w:w="690" w:type="pct"/>
            <w:vAlign w:val="center"/>
          </w:tcPr>
          <w:p w14:paraId="7492BEB8">
            <w:pPr>
              <w:pStyle w:val="1343"/>
            </w:pPr>
            <w:r>
              <w:t>施工结束后</w:t>
            </w:r>
            <w:r>
              <w:rPr>
                <w:rFonts w:eastAsia="Times New Roman"/>
              </w:rPr>
              <w:t>1</w:t>
            </w:r>
            <w:r>
              <w:t>次</w:t>
            </w:r>
          </w:p>
        </w:tc>
        <w:tc>
          <w:tcPr>
            <w:tcW w:w="868" w:type="pct"/>
            <w:vAlign w:val="center"/>
          </w:tcPr>
          <w:p w14:paraId="68F29E83">
            <w:pPr>
              <w:pStyle w:val="1343"/>
            </w:pPr>
            <w:r>
              <w:t>环境监理单位</w:t>
            </w:r>
          </w:p>
        </w:tc>
      </w:tr>
    </w:tbl>
    <w:p w14:paraId="5E324B0C">
      <w:pPr>
        <w:pStyle w:val="5"/>
        <w:spacing w:before="120" w:beforeLines="50"/>
        <w:rPr>
          <w:color w:val="auto"/>
        </w:rPr>
      </w:pPr>
      <w:r>
        <w:rPr>
          <w:color w:val="auto"/>
        </w:rPr>
        <w:t>运营期环境监测计划</w:t>
      </w:r>
    </w:p>
    <w:p w14:paraId="4B0AA67D">
      <w:pPr>
        <w:pStyle w:val="234"/>
      </w:pPr>
      <w:bookmarkStart w:id="267" w:name="14.4.3污染源监测"/>
      <w:bookmarkEnd w:id="267"/>
      <w:r>
        <w:t>针对拟建工程环境污染的特点，运行期可不必自设环境监测机构，需要进行的环境监测任务可委托当地环境监测</w:t>
      </w:r>
      <w:r>
        <w:rPr>
          <w:rFonts w:hint="eastAsia"/>
        </w:rPr>
        <w:t>单位</w:t>
      </w:r>
      <w:r>
        <w:t>进行。环境监测应按国家和地方的环保要求进行，采用国家规定的标准监测方法，并按照规定，定期向公司HSE部和有关环境保护主管部门上报监测结果，建议对运营期环境监测纳入相关项目统筹规划。</w:t>
      </w:r>
    </w:p>
    <w:p w14:paraId="76B0F754">
      <w:pPr>
        <w:pStyle w:val="234"/>
      </w:pPr>
      <w:r>
        <w:t>根据工程运行期的环境污染特点</w:t>
      </w:r>
      <w:r>
        <w:rPr>
          <w:spacing w:val="-29"/>
        </w:rPr>
        <w:t>，</w:t>
      </w:r>
      <w:r>
        <w:t>环境监测主要包括污染源监测和事故监测。</w:t>
      </w:r>
    </w:p>
    <w:p w14:paraId="3F608DC5">
      <w:pPr>
        <w:pStyle w:val="7"/>
      </w:pPr>
      <w:r>
        <w:rPr>
          <w:rFonts w:hint="eastAsia"/>
        </w:rPr>
        <w:t xml:space="preserve"> </w:t>
      </w:r>
      <w:r>
        <w:t>污染源监测计划</w:t>
      </w:r>
    </w:p>
    <w:p w14:paraId="17287BAA">
      <w:pPr>
        <w:pStyle w:val="234"/>
      </w:pPr>
      <w:r>
        <w:t>运营期具体监测内容见</w:t>
      </w:r>
      <w:r>
        <w:rPr>
          <w:rFonts w:hint="eastAsia"/>
        </w:rPr>
        <w:t>表1</w:t>
      </w:r>
      <w:r>
        <w:t>0.3</w:t>
      </w:r>
      <w:r>
        <w:rPr>
          <w:rFonts w:hint="eastAsia"/>
        </w:rPr>
        <w:t>-</w:t>
      </w:r>
      <w:r>
        <w:t>2</w:t>
      </w:r>
      <w:r>
        <w:rPr>
          <w:rFonts w:hint="eastAsia"/>
        </w:rPr>
        <w:t>。</w:t>
      </w:r>
    </w:p>
    <w:p w14:paraId="6943F41D">
      <w:pPr>
        <w:pStyle w:val="904"/>
        <w:rPr>
          <w:rFonts w:eastAsiaTheme="minorEastAsia"/>
          <w:sz w:val="6"/>
          <w:szCs w:val="6"/>
        </w:rPr>
      </w:pPr>
      <w:bookmarkStart w:id="268" w:name="_Ref77518660"/>
      <w:r>
        <w:t xml:space="preserve">表 </w:t>
      </w:r>
      <w:r>
        <w:fldChar w:fldCharType="begin"/>
      </w:r>
      <w:r>
        <w:instrText xml:space="preserve"> STYLEREF 2 \s </w:instrText>
      </w:r>
      <w:r>
        <w:fldChar w:fldCharType="separate"/>
      </w:r>
      <w:r>
        <w:t>10.3</w:t>
      </w:r>
      <w:r>
        <w:fldChar w:fldCharType="end"/>
      </w:r>
      <w:r>
        <w:noBreakHyphen/>
      </w:r>
      <w:r>
        <w:fldChar w:fldCharType="begin"/>
      </w:r>
      <w:r>
        <w:instrText xml:space="preserve"> SEQ 表 \* ARABIC \s 2 </w:instrText>
      </w:r>
      <w:r>
        <w:fldChar w:fldCharType="separate"/>
      </w:r>
      <w:r>
        <w:t>2</w:t>
      </w:r>
      <w:r>
        <w:fldChar w:fldCharType="end"/>
      </w:r>
      <w:bookmarkEnd w:id="268"/>
      <w:r>
        <w:t>运营期环境监测计划一览表</w:t>
      </w:r>
    </w:p>
    <w:tbl>
      <w:tblPr>
        <w:tblStyle w:val="139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2"/>
        <w:gridCol w:w="691"/>
        <w:gridCol w:w="1843"/>
        <w:gridCol w:w="1559"/>
        <w:gridCol w:w="1701"/>
        <w:gridCol w:w="2584"/>
      </w:tblGrid>
      <w:tr w14:paraId="1BBB3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722" w:type="dxa"/>
            <w:vAlign w:val="center"/>
          </w:tcPr>
          <w:p w14:paraId="225757B5">
            <w:pPr>
              <w:pStyle w:val="1343"/>
              <w:rPr>
                <w:lang w:eastAsia="en-US"/>
              </w:rPr>
            </w:pPr>
            <w:r>
              <w:t>序号</w:t>
            </w:r>
          </w:p>
        </w:tc>
        <w:tc>
          <w:tcPr>
            <w:tcW w:w="691" w:type="dxa"/>
            <w:vAlign w:val="center"/>
          </w:tcPr>
          <w:p w14:paraId="057D9678">
            <w:pPr>
              <w:pStyle w:val="1343"/>
            </w:pPr>
            <w:r>
              <w:t>因子</w:t>
            </w:r>
          </w:p>
        </w:tc>
        <w:tc>
          <w:tcPr>
            <w:tcW w:w="1843" w:type="dxa"/>
            <w:vAlign w:val="center"/>
          </w:tcPr>
          <w:p w14:paraId="1BA772ED">
            <w:pPr>
              <w:pStyle w:val="1343"/>
            </w:pPr>
            <w:r>
              <w:rPr>
                <w:spacing w:val="-1"/>
              </w:rPr>
              <w:t>监测点位</w:t>
            </w:r>
          </w:p>
        </w:tc>
        <w:tc>
          <w:tcPr>
            <w:tcW w:w="1559" w:type="dxa"/>
            <w:vAlign w:val="center"/>
          </w:tcPr>
          <w:p w14:paraId="4BD867F7">
            <w:pPr>
              <w:pStyle w:val="1343"/>
            </w:pPr>
            <w:r>
              <w:rPr>
                <w:spacing w:val="-1"/>
              </w:rPr>
              <w:t>监测因子</w:t>
            </w:r>
          </w:p>
        </w:tc>
        <w:tc>
          <w:tcPr>
            <w:tcW w:w="1701" w:type="dxa"/>
            <w:vAlign w:val="center"/>
          </w:tcPr>
          <w:p w14:paraId="61F1A12D">
            <w:pPr>
              <w:pStyle w:val="1343"/>
            </w:pPr>
            <w:r>
              <w:rPr>
                <w:spacing w:val="-1"/>
              </w:rPr>
              <w:t>监测频率</w:t>
            </w:r>
          </w:p>
        </w:tc>
        <w:tc>
          <w:tcPr>
            <w:tcW w:w="2584" w:type="dxa"/>
            <w:vAlign w:val="center"/>
          </w:tcPr>
          <w:p w14:paraId="2E391BEB">
            <w:pPr>
              <w:pStyle w:val="1343"/>
            </w:pPr>
            <w:r>
              <w:rPr>
                <w:spacing w:val="-1"/>
              </w:rPr>
              <w:t>控制标准</w:t>
            </w:r>
          </w:p>
        </w:tc>
      </w:tr>
      <w:tr w14:paraId="05CB0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2" w:type="dxa"/>
            <w:vAlign w:val="center"/>
          </w:tcPr>
          <w:p w14:paraId="6264DF8F">
            <w:pPr>
              <w:pStyle w:val="1343"/>
              <w:rPr>
                <w:rFonts w:eastAsia="Times New Roman"/>
              </w:rPr>
            </w:pPr>
            <w:r>
              <w:t>1</w:t>
            </w:r>
          </w:p>
        </w:tc>
        <w:tc>
          <w:tcPr>
            <w:tcW w:w="691" w:type="dxa"/>
            <w:vAlign w:val="center"/>
          </w:tcPr>
          <w:p w14:paraId="63DA33ED">
            <w:pPr>
              <w:pStyle w:val="1343"/>
            </w:pPr>
            <w:r>
              <w:t>废气</w:t>
            </w:r>
          </w:p>
        </w:tc>
        <w:tc>
          <w:tcPr>
            <w:tcW w:w="1843" w:type="dxa"/>
            <w:vAlign w:val="center"/>
          </w:tcPr>
          <w:p w14:paraId="4D82C945">
            <w:pPr>
              <w:pStyle w:val="1343"/>
            </w:pPr>
            <w:r>
              <w:rPr>
                <w:rFonts w:hint="eastAsia"/>
              </w:rPr>
              <w:t>耒阳</w:t>
            </w:r>
            <w:r>
              <w:t>分输站</w:t>
            </w:r>
          </w:p>
          <w:p w14:paraId="7C512DA1">
            <w:pPr>
              <w:pStyle w:val="1343"/>
            </w:pPr>
            <w:r>
              <w:t>厂界上下风向</w:t>
            </w:r>
          </w:p>
        </w:tc>
        <w:tc>
          <w:tcPr>
            <w:tcW w:w="1559" w:type="dxa"/>
            <w:vAlign w:val="center"/>
          </w:tcPr>
          <w:p w14:paraId="119284E7">
            <w:pPr>
              <w:pStyle w:val="1343"/>
            </w:pPr>
            <w:r>
              <w:rPr>
                <w:spacing w:val="-1"/>
              </w:rPr>
              <w:t>非甲烷总烃</w:t>
            </w:r>
            <w:r>
              <w:rPr>
                <w:rFonts w:hint="eastAsia"/>
                <w:spacing w:val="-1"/>
              </w:rPr>
              <w:t>、甲烷</w:t>
            </w:r>
          </w:p>
        </w:tc>
        <w:tc>
          <w:tcPr>
            <w:tcW w:w="1701" w:type="dxa"/>
            <w:vAlign w:val="center"/>
          </w:tcPr>
          <w:p w14:paraId="480C46BE">
            <w:pPr>
              <w:pStyle w:val="1343"/>
            </w:pPr>
            <w:r>
              <w:t>1次/年</w:t>
            </w:r>
          </w:p>
        </w:tc>
        <w:tc>
          <w:tcPr>
            <w:tcW w:w="2584" w:type="dxa"/>
            <w:vAlign w:val="center"/>
          </w:tcPr>
          <w:p w14:paraId="15F0F185">
            <w:pPr>
              <w:pStyle w:val="1343"/>
            </w:pPr>
            <w:r>
              <w:t>《</w:t>
            </w:r>
            <w:r>
              <w:rPr>
                <w:rFonts w:hint="eastAsia"/>
              </w:rPr>
              <w:t>大气污染物综合排放标准</w:t>
            </w:r>
            <w:r>
              <w:t>》(</w:t>
            </w:r>
            <w:r>
              <w:rPr>
                <w:rFonts w:hint="eastAsia"/>
              </w:rPr>
              <w:t>GB16297-1996</w:t>
            </w:r>
            <w:r>
              <w:t>)表2厂界监控点浓度限值</w:t>
            </w:r>
          </w:p>
        </w:tc>
      </w:tr>
      <w:tr w14:paraId="48D9D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2" w:type="dxa"/>
            <w:vAlign w:val="center"/>
          </w:tcPr>
          <w:p w14:paraId="3C392E5F">
            <w:pPr>
              <w:pStyle w:val="1343"/>
            </w:pPr>
            <w:r>
              <w:t>2</w:t>
            </w:r>
          </w:p>
        </w:tc>
        <w:tc>
          <w:tcPr>
            <w:tcW w:w="691" w:type="dxa"/>
            <w:vAlign w:val="center"/>
          </w:tcPr>
          <w:p w14:paraId="0F44B023">
            <w:pPr>
              <w:pStyle w:val="1343"/>
            </w:pPr>
            <w:r>
              <w:t>噪声</w:t>
            </w:r>
          </w:p>
        </w:tc>
        <w:tc>
          <w:tcPr>
            <w:tcW w:w="1843" w:type="dxa"/>
            <w:vAlign w:val="center"/>
          </w:tcPr>
          <w:p w14:paraId="15F13429">
            <w:pPr>
              <w:pStyle w:val="1343"/>
            </w:pPr>
            <w:r>
              <w:rPr>
                <w:rFonts w:hint="eastAsia"/>
              </w:rPr>
              <w:t>耒阳</w:t>
            </w:r>
            <w:r>
              <w:t>分输站</w:t>
            </w:r>
            <w:r>
              <w:rPr>
                <w:rFonts w:hint="eastAsia"/>
              </w:rPr>
              <w:t>、28#阀室厂</w:t>
            </w:r>
            <w:r>
              <w:rPr>
                <w:spacing w:val="-1"/>
              </w:rPr>
              <w:t>界</w:t>
            </w:r>
          </w:p>
        </w:tc>
        <w:tc>
          <w:tcPr>
            <w:tcW w:w="1559" w:type="dxa"/>
            <w:vAlign w:val="center"/>
          </w:tcPr>
          <w:p w14:paraId="2BE85771">
            <w:pPr>
              <w:pStyle w:val="1343"/>
              <w:rPr>
                <w:spacing w:val="-55"/>
              </w:rPr>
            </w:pPr>
            <w:r>
              <w:rPr>
                <w:spacing w:val="-1"/>
              </w:rPr>
              <w:t>等效连续</w:t>
            </w:r>
            <w:r>
              <w:rPr>
                <w:spacing w:val="-55"/>
              </w:rPr>
              <w:t xml:space="preserve"> </w:t>
            </w:r>
          </w:p>
          <w:p w14:paraId="27078B81">
            <w:pPr>
              <w:pStyle w:val="1343"/>
            </w:pPr>
            <w:r>
              <w:rPr>
                <w:rFonts w:eastAsia="Times New Roman"/>
              </w:rPr>
              <w:t>A</w:t>
            </w:r>
            <w:r>
              <w:t>声级</w:t>
            </w:r>
          </w:p>
        </w:tc>
        <w:tc>
          <w:tcPr>
            <w:tcW w:w="1701" w:type="dxa"/>
            <w:vAlign w:val="center"/>
          </w:tcPr>
          <w:p w14:paraId="0770377D">
            <w:pPr>
              <w:pStyle w:val="1343"/>
            </w:pPr>
            <w:r>
              <w:t>1次/季度，同时监测昼间噪声和夜间噪声</w:t>
            </w:r>
          </w:p>
        </w:tc>
        <w:tc>
          <w:tcPr>
            <w:tcW w:w="2584" w:type="dxa"/>
            <w:vAlign w:val="center"/>
          </w:tcPr>
          <w:p w14:paraId="19FE4663">
            <w:pPr>
              <w:pStyle w:val="1343"/>
            </w:pPr>
            <w:r>
              <w:rPr>
                <w:spacing w:val="-2"/>
              </w:rPr>
              <w:t>《工业企业厂界环境噪</w:t>
            </w:r>
            <w:r>
              <w:rPr>
                <w:spacing w:val="23"/>
              </w:rPr>
              <w:t xml:space="preserve"> </w:t>
            </w:r>
            <w:r>
              <w:rPr>
                <w:spacing w:val="-1"/>
              </w:rPr>
              <w:t>声排放标准》(</w:t>
            </w:r>
            <w:r>
              <w:rPr>
                <w:rFonts w:eastAsia="Times New Roman"/>
                <w:spacing w:val="-1"/>
              </w:rPr>
              <w:t>GB12348-2008</w:t>
            </w:r>
            <w:r>
              <w:rPr>
                <w:spacing w:val="-1"/>
              </w:rPr>
              <w:t>)2类</w:t>
            </w:r>
          </w:p>
        </w:tc>
      </w:tr>
    </w:tbl>
    <w:p w14:paraId="074061B9">
      <w:pPr>
        <w:spacing w:before="17" w:line="60" w:lineRule="exact"/>
        <w:rPr>
          <w:rFonts w:eastAsiaTheme="minorEastAsia"/>
          <w:sz w:val="6"/>
          <w:szCs w:val="6"/>
        </w:rPr>
      </w:pPr>
    </w:p>
    <w:p w14:paraId="177825CC">
      <w:pPr>
        <w:pStyle w:val="7"/>
      </w:pPr>
      <w:r>
        <w:rPr>
          <w:rFonts w:hint="eastAsia"/>
        </w:rPr>
        <w:t xml:space="preserve"> </w:t>
      </w:r>
      <w:r>
        <w:t>事故监测</w:t>
      </w:r>
    </w:p>
    <w:p w14:paraId="23CCEFA6">
      <w:pPr>
        <w:pStyle w:val="234"/>
      </w:pPr>
      <w:r>
        <w:t>事故监测要根据发生事故的类型、事故的影响大小及周围的环境等具体情况进行大气监测，同时对事故发生的原因、天然气泄漏量、污染的程度以及采取的处理措施、处理效果等进行统计、建档，并及时上报有关环保主管部门。</w:t>
      </w:r>
    </w:p>
    <w:p w14:paraId="743A735A">
      <w:pPr>
        <w:pStyle w:val="234"/>
      </w:pPr>
      <w:r>
        <w:t>运行期事故监测计划内容见</w:t>
      </w:r>
      <w:r>
        <w:rPr>
          <w:rFonts w:hint="eastAsia"/>
        </w:rPr>
        <w:t>表1</w:t>
      </w:r>
      <w:r>
        <w:t>0.3</w:t>
      </w:r>
      <w:r>
        <w:rPr>
          <w:rFonts w:hint="eastAsia"/>
        </w:rPr>
        <w:t>-3。</w:t>
      </w:r>
    </w:p>
    <w:p w14:paraId="148B1B06">
      <w:pPr>
        <w:pStyle w:val="904"/>
      </w:pPr>
      <w:bookmarkStart w:id="269" w:name="_Ref77517541"/>
      <w:r>
        <w:t xml:space="preserve">表 </w:t>
      </w:r>
      <w:r>
        <w:fldChar w:fldCharType="begin"/>
      </w:r>
      <w:r>
        <w:instrText xml:space="preserve"> STYLEREF 2 \s </w:instrText>
      </w:r>
      <w:r>
        <w:fldChar w:fldCharType="separate"/>
      </w:r>
      <w:r>
        <w:t>10.3</w:t>
      </w:r>
      <w:r>
        <w:fldChar w:fldCharType="end"/>
      </w:r>
      <w:r>
        <w:noBreakHyphen/>
      </w:r>
      <w:r>
        <w:rPr>
          <w:rFonts w:hint="eastAsia"/>
        </w:rPr>
        <w:t>3</w:t>
      </w:r>
      <w:bookmarkEnd w:id="269"/>
      <w:r>
        <w:t>运行期事故监测计划</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1"/>
        <w:gridCol w:w="1307"/>
        <w:gridCol w:w="2032"/>
        <w:gridCol w:w="2034"/>
        <w:gridCol w:w="2892"/>
      </w:tblGrid>
      <w:tr w14:paraId="12B30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Align w:val="center"/>
          </w:tcPr>
          <w:p w14:paraId="2A8A2BDB">
            <w:pPr>
              <w:pStyle w:val="1343"/>
            </w:pPr>
            <w:r>
              <w:t>监测对象</w:t>
            </w:r>
          </w:p>
        </w:tc>
        <w:tc>
          <w:tcPr>
            <w:tcW w:w="683" w:type="pct"/>
            <w:vAlign w:val="center"/>
          </w:tcPr>
          <w:p w14:paraId="5D7B19DC">
            <w:pPr>
              <w:pStyle w:val="1343"/>
            </w:pPr>
            <w:r>
              <w:t>监测点位</w:t>
            </w:r>
          </w:p>
        </w:tc>
        <w:tc>
          <w:tcPr>
            <w:tcW w:w="1062" w:type="pct"/>
            <w:vAlign w:val="center"/>
          </w:tcPr>
          <w:p w14:paraId="5118DF61">
            <w:pPr>
              <w:pStyle w:val="1343"/>
            </w:pPr>
            <w:r>
              <w:t>监测因子</w:t>
            </w:r>
          </w:p>
        </w:tc>
        <w:tc>
          <w:tcPr>
            <w:tcW w:w="1063" w:type="pct"/>
            <w:vAlign w:val="center"/>
          </w:tcPr>
          <w:p w14:paraId="062FA0EA">
            <w:pPr>
              <w:pStyle w:val="1343"/>
            </w:pPr>
            <w:r>
              <w:t>监测频率</w:t>
            </w:r>
          </w:p>
        </w:tc>
        <w:tc>
          <w:tcPr>
            <w:tcW w:w="1511" w:type="pct"/>
            <w:vAlign w:val="center"/>
          </w:tcPr>
          <w:p w14:paraId="2EFAD1D9">
            <w:pPr>
              <w:pStyle w:val="1343"/>
            </w:pPr>
            <w:r>
              <w:t>控制目标</w:t>
            </w:r>
          </w:p>
        </w:tc>
      </w:tr>
      <w:tr w14:paraId="1CB19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restart"/>
            <w:vAlign w:val="center"/>
          </w:tcPr>
          <w:p w14:paraId="49B9B973">
            <w:pPr>
              <w:pStyle w:val="1343"/>
            </w:pPr>
            <w:r>
              <w:t>事故监测</w:t>
            </w:r>
          </w:p>
        </w:tc>
        <w:tc>
          <w:tcPr>
            <w:tcW w:w="683" w:type="pct"/>
            <w:vMerge w:val="restart"/>
            <w:vAlign w:val="center"/>
          </w:tcPr>
          <w:p w14:paraId="4E8F375E">
            <w:pPr>
              <w:pStyle w:val="1343"/>
            </w:pPr>
            <w:r>
              <w:t>事故地段</w:t>
            </w:r>
          </w:p>
        </w:tc>
        <w:tc>
          <w:tcPr>
            <w:tcW w:w="1062" w:type="pct"/>
            <w:vAlign w:val="center"/>
          </w:tcPr>
          <w:p w14:paraId="642773A5">
            <w:pPr>
              <w:pStyle w:val="1343"/>
            </w:pPr>
            <w:r>
              <w:t>甲烷、一氧化碳等</w:t>
            </w:r>
          </w:p>
        </w:tc>
        <w:tc>
          <w:tcPr>
            <w:tcW w:w="1063" w:type="pct"/>
            <w:vMerge w:val="restart"/>
            <w:vAlign w:val="center"/>
          </w:tcPr>
          <w:p w14:paraId="28EB1D8A">
            <w:pPr>
              <w:pStyle w:val="1343"/>
            </w:pPr>
            <w:r>
              <w:t>事故状态立即进行</w:t>
            </w:r>
          </w:p>
        </w:tc>
        <w:tc>
          <w:tcPr>
            <w:tcW w:w="1511" w:type="pct"/>
            <w:vAlign w:val="center"/>
          </w:tcPr>
          <w:p w14:paraId="2C01F184">
            <w:pPr>
              <w:pStyle w:val="1343"/>
            </w:pPr>
            <w:r>
              <w:t>及时提供数据</w:t>
            </w:r>
          </w:p>
        </w:tc>
      </w:tr>
      <w:tr w14:paraId="30F64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0" w:type="pct"/>
            <w:vMerge w:val="continue"/>
            <w:vAlign w:val="center"/>
          </w:tcPr>
          <w:p w14:paraId="3D2C74BC">
            <w:pPr>
              <w:pStyle w:val="1343"/>
            </w:pPr>
          </w:p>
        </w:tc>
        <w:tc>
          <w:tcPr>
            <w:tcW w:w="683" w:type="pct"/>
            <w:vMerge w:val="continue"/>
            <w:vAlign w:val="center"/>
          </w:tcPr>
          <w:p w14:paraId="58DC9072">
            <w:pPr>
              <w:pStyle w:val="1343"/>
            </w:pPr>
          </w:p>
        </w:tc>
        <w:tc>
          <w:tcPr>
            <w:tcW w:w="1062" w:type="pct"/>
            <w:vAlign w:val="center"/>
          </w:tcPr>
          <w:p w14:paraId="355E9F54">
            <w:pPr>
              <w:pStyle w:val="1343"/>
            </w:pPr>
            <w:r>
              <w:t>植被损失情况</w:t>
            </w:r>
          </w:p>
        </w:tc>
        <w:tc>
          <w:tcPr>
            <w:tcW w:w="1063" w:type="pct"/>
            <w:vMerge w:val="continue"/>
            <w:vAlign w:val="center"/>
          </w:tcPr>
          <w:p w14:paraId="3C79C55F">
            <w:pPr>
              <w:pStyle w:val="1343"/>
            </w:pPr>
          </w:p>
        </w:tc>
        <w:tc>
          <w:tcPr>
            <w:tcW w:w="1511" w:type="pct"/>
            <w:vAlign w:val="center"/>
          </w:tcPr>
          <w:p w14:paraId="3EB4271E">
            <w:pPr>
              <w:pStyle w:val="1343"/>
            </w:pPr>
            <w:r>
              <w:t>及时提供数据，监测植被破坏及生态环境损失</w:t>
            </w:r>
          </w:p>
        </w:tc>
      </w:tr>
    </w:tbl>
    <w:p w14:paraId="6FC0A7E4">
      <w:pPr>
        <w:pStyle w:val="4"/>
        <w:spacing w:before="120" w:beforeLines="50"/>
      </w:pPr>
      <w:bookmarkStart w:id="270" w:name="_Toc13857"/>
      <w:r>
        <w:t>污染物排放管理要求</w:t>
      </w:r>
      <w:bookmarkEnd w:id="270"/>
    </w:p>
    <w:p w14:paraId="432470EE">
      <w:pPr>
        <w:pStyle w:val="5"/>
        <w:rPr>
          <w:color w:val="auto"/>
        </w:rPr>
      </w:pPr>
      <w:bookmarkStart w:id="271" w:name="14.3.2_污染物防治措施"/>
      <w:bookmarkEnd w:id="271"/>
      <w:bookmarkStart w:id="272" w:name="14.3.1_工程组成"/>
      <w:bookmarkEnd w:id="272"/>
      <w:bookmarkStart w:id="273" w:name="14.3.4_环境管理台账"/>
      <w:bookmarkEnd w:id="273"/>
      <w:bookmarkStart w:id="274" w:name="14.3.3_污染源排放清单"/>
      <w:bookmarkEnd w:id="274"/>
      <w:r>
        <w:rPr>
          <w:color w:val="auto"/>
        </w:rPr>
        <w:t>环境管理台账</w:t>
      </w:r>
    </w:p>
    <w:p w14:paraId="64A589E1">
      <w:pPr>
        <w:pStyle w:val="234"/>
      </w:pPr>
      <w:r>
        <w:t>项目建成后，运营单位应建立相应的环境管理台账，按时、准确、完整填写，环境管理台账主要包括《污染设施运行台账》《废气污染源台账》《固体污染源台账》。</w:t>
      </w:r>
    </w:p>
    <w:p w14:paraId="6BEF0FBB">
      <w:pPr>
        <w:pStyle w:val="904"/>
        <w:spacing w:before="120" w:beforeLines="50"/>
        <w:rPr>
          <w:lang w:eastAsia="en-US"/>
        </w:rPr>
      </w:pPr>
      <w:bookmarkStart w:id="275" w:name="表14.3-3__环境管理台账"/>
      <w:bookmarkEnd w:id="275"/>
      <w:r>
        <w:t xml:space="preserve">表 </w:t>
      </w:r>
      <w:r>
        <w:fldChar w:fldCharType="begin"/>
      </w:r>
      <w:r>
        <w:instrText xml:space="preserve"> STYLEREF 2 \s </w:instrText>
      </w:r>
      <w:r>
        <w:fldChar w:fldCharType="separate"/>
      </w:r>
      <w:r>
        <w:t>10.4</w:t>
      </w:r>
      <w:r>
        <w:fldChar w:fldCharType="end"/>
      </w:r>
      <w:r>
        <w:noBreakHyphen/>
      </w:r>
      <w:r>
        <w:fldChar w:fldCharType="begin"/>
      </w:r>
      <w:r>
        <w:instrText xml:space="preserve"> SEQ 表 \* ARABIC \s 2 </w:instrText>
      </w:r>
      <w:r>
        <w:fldChar w:fldCharType="separate"/>
      </w:r>
      <w:r>
        <w:t>1</w:t>
      </w:r>
      <w:r>
        <w:fldChar w:fldCharType="end"/>
      </w:r>
      <w:r>
        <w:t>环境管理台账</w:t>
      </w:r>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471"/>
        <w:gridCol w:w="7249"/>
      </w:tblGrid>
      <w:tr w14:paraId="252CB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442" w:type="pct"/>
            <w:vAlign w:val="center"/>
          </w:tcPr>
          <w:p w14:paraId="29BD9569">
            <w:pPr>
              <w:pStyle w:val="1343"/>
            </w:pPr>
            <w:r>
              <w:t>序号</w:t>
            </w:r>
          </w:p>
        </w:tc>
        <w:tc>
          <w:tcPr>
            <w:tcW w:w="769" w:type="pct"/>
            <w:vAlign w:val="center"/>
          </w:tcPr>
          <w:p w14:paraId="1FFEE11F">
            <w:pPr>
              <w:pStyle w:val="1343"/>
            </w:pPr>
            <w:r>
              <w:t>台账</w:t>
            </w:r>
          </w:p>
        </w:tc>
        <w:tc>
          <w:tcPr>
            <w:tcW w:w="3789" w:type="pct"/>
            <w:vAlign w:val="center"/>
          </w:tcPr>
          <w:p w14:paraId="25B693D6">
            <w:pPr>
              <w:pStyle w:val="1343"/>
            </w:pPr>
            <w:r>
              <w:t>内容要求</w:t>
            </w:r>
          </w:p>
        </w:tc>
      </w:tr>
      <w:tr w14:paraId="44A43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exact"/>
        </w:trPr>
        <w:tc>
          <w:tcPr>
            <w:tcW w:w="442" w:type="pct"/>
            <w:vAlign w:val="center"/>
          </w:tcPr>
          <w:p w14:paraId="5B85A452">
            <w:pPr>
              <w:pStyle w:val="1343"/>
            </w:pPr>
            <w:r>
              <w:t>1</w:t>
            </w:r>
          </w:p>
        </w:tc>
        <w:tc>
          <w:tcPr>
            <w:tcW w:w="769" w:type="pct"/>
            <w:vAlign w:val="center"/>
          </w:tcPr>
          <w:p w14:paraId="5FE22D72">
            <w:pPr>
              <w:pStyle w:val="1343"/>
            </w:pPr>
            <w:r>
              <w:t>污染治理设施运行台账</w:t>
            </w:r>
          </w:p>
        </w:tc>
        <w:tc>
          <w:tcPr>
            <w:tcW w:w="3789" w:type="pct"/>
            <w:vAlign w:val="center"/>
          </w:tcPr>
          <w:p w14:paraId="2BC9D8A6">
            <w:pPr>
              <w:pStyle w:val="1343"/>
              <w:jc w:val="left"/>
            </w:pPr>
            <w:r>
              <w:t>装置(设施)名称、单位、投运日期、投资、用途、治理技术、设计处理能力、实际处理量、运行费用(年)、设施运行情况</w:t>
            </w:r>
          </w:p>
        </w:tc>
      </w:tr>
      <w:tr w14:paraId="05012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exact"/>
        </w:trPr>
        <w:tc>
          <w:tcPr>
            <w:tcW w:w="442" w:type="pct"/>
            <w:vAlign w:val="center"/>
          </w:tcPr>
          <w:p w14:paraId="29BC10A5">
            <w:pPr>
              <w:pStyle w:val="1343"/>
            </w:pPr>
            <w:r>
              <w:t>2</w:t>
            </w:r>
          </w:p>
        </w:tc>
        <w:tc>
          <w:tcPr>
            <w:tcW w:w="769" w:type="pct"/>
            <w:vAlign w:val="center"/>
          </w:tcPr>
          <w:p w14:paraId="14FBE1F9">
            <w:pPr>
              <w:pStyle w:val="1343"/>
            </w:pPr>
            <w:r>
              <w:t>废气污染源台账</w:t>
            </w:r>
          </w:p>
        </w:tc>
        <w:tc>
          <w:tcPr>
            <w:tcW w:w="3789" w:type="pct"/>
            <w:vAlign w:val="center"/>
          </w:tcPr>
          <w:p w14:paraId="1F15B201">
            <w:pPr>
              <w:pStyle w:val="1343"/>
              <w:jc w:val="left"/>
            </w:pPr>
            <w:r>
              <w:t>单位及装置名称、废气污染源名称、排放规律、主要组成及污染物、排放去向等</w:t>
            </w:r>
          </w:p>
        </w:tc>
      </w:tr>
      <w:tr w14:paraId="27F0C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9" w:hRule="exact"/>
        </w:trPr>
        <w:tc>
          <w:tcPr>
            <w:tcW w:w="442" w:type="pct"/>
            <w:vAlign w:val="center"/>
          </w:tcPr>
          <w:p w14:paraId="7FD2C7EE">
            <w:pPr>
              <w:pStyle w:val="1343"/>
            </w:pPr>
            <w:r>
              <w:t>3</w:t>
            </w:r>
          </w:p>
        </w:tc>
        <w:tc>
          <w:tcPr>
            <w:tcW w:w="769" w:type="pct"/>
            <w:vAlign w:val="center"/>
          </w:tcPr>
          <w:p w14:paraId="255E4212">
            <w:pPr>
              <w:pStyle w:val="1343"/>
            </w:pPr>
            <w:r>
              <w:t>固体污染源台账</w:t>
            </w:r>
          </w:p>
        </w:tc>
        <w:tc>
          <w:tcPr>
            <w:tcW w:w="3789" w:type="pct"/>
            <w:vAlign w:val="center"/>
          </w:tcPr>
          <w:p w14:paraId="475F057F">
            <w:pPr>
              <w:pStyle w:val="1343"/>
              <w:jc w:val="left"/>
            </w:pPr>
            <w:r>
              <w:t>生产单位及装置名称、固废名称、实际产生量、有害成分、综合利用量、综合利用方式、安全处置量、安全处置方式、安全储存量、安全储存方式、转移单及编号</w:t>
            </w:r>
          </w:p>
        </w:tc>
      </w:tr>
    </w:tbl>
    <w:p w14:paraId="14D7EDE1">
      <w:pPr>
        <w:pStyle w:val="5"/>
        <w:rPr>
          <w:color w:val="auto"/>
          <w:sz w:val="24"/>
          <w:szCs w:val="24"/>
        </w:rPr>
      </w:pPr>
      <w:r>
        <w:rPr>
          <w:color w:val="auto"/>
        </w:rPr>
        <w:t>信息公开</w:t>
      </w:r>
    </w:p>
    <w:p w14:paraId="60EF9174">
      <w:pPr>
        <w:pStyle w:val="234"/>
      </w:pPr>
      <w:r>
        <w:t>地方环境保护主管部门排污单位自行监测信息公开内容及方式按照</w:t>
      </w:r>
      <w:r>
        <w:rPr>
          <w:rFonts w:hint="eastAsia"/>
        </w:rPr>
        <w:t>《企业环境信息依法披露管理办法》</w:t>
      </w:r>
      <w:r>
        <w:t>(</w:t>
      </w:r>
      <w:r>
        <w:rPr>
          <w:rFonts w:hint="eastAsia"/>
        </w:rPr>
        <w:t>2022年2月8日起施行</w:t>
      </w:r>
      <w:r>
        <w:t>)及《国家重点监控企业自行监测及信息公开办法(试行)》(环发〔2013〕81号)执行。</w:t>
      </w:r>
    </w:p>
    <w:p w14:paraId="7CE0BFE2">
      <w:pPr>
        <w:pStyle w:val="5"/>
        <w:rPr>
          <w:color w:val="auto"/>
        </w:rPr>
      </w:pPr>
      <w:r>
        <w:rPr>
          <w:color w:val="auto"/>
        </w:rPr>
        <w:t>信息记录和报告</w:t>
      </w:r>
    </w:p>
    <w:p w14:paraId="369DE266">
      <w:pPr>
        <w:pStyle w:val="234"/>
      </w:pPr>
      <w:r>
        <w:t>排污单位对其自行监测结果及信息公开内容的真实性、准确性、完整性负责。排污单位应积极配合并接受环境保护行政主管部门的日常监督管理。</w:t>
      </w:r>
    </w:p>
    <w:p w14:paraId="1A10CA45">
      <w:pPr>
        <w:pStyle w:val="5"/>
        <w:rPr>
          <w:color w:val="auto"/>
        </w:rPr>
      </w:pPr>
      <w:r>
        <w:rPr>
          <w:color w:val="auto"/>
        </w:rPr>
        <w:t>排污许可管理</w:t>
      </w:r>
    </w:p>
    <w:p w14:paraId="3696ADDD">
      <w:pPr>
        <w:pStyle w:val="234"/>
      </w:pPr>
      <w:r>
        <w:rPr>
          <w:rFonts w:hint="eastAsia"/>
        </w:rPr>
        <w:t>根据《排污许可管理条例》（2021年3月1日起施行），排污单位</w:t>
      </w:r>
      <w:r>
        <w:t>应当在项目投入生产或使用并产生实际排污行为之前申请领取排污许可证。依法按照排污许可证申请与核发技术规范提交排污许可申请，申报排放污染物种类、排放浓度等，测算并申报污染物排放量。</w:t>
      </w:r>
      <w:r>
        <w:rPr>
          <w:rFonts w:hint="eastAsia"/>
        </w:rPr>
        <w:t>排污</w:t>
      </w:r>
      <w:r>
        <w:t>单位应当严格执行排污许可证的规定，禁止无证排污或不按证排污。</w:t>
      </w:r>
    </w:p>
    <w:p w14:paraId="6AE1CD2E">
      <w:pPr>
        <w:pStyle w:val="234"/>
      </w:pPr>
      <w:r>
        <w:t>本工程为天然气输送管道工程，尚未纳入《固定污染源排污许可分类管理名录(2019年版)》，</w:t>
      </w:r>
      <w:r>
        <w:rPr>
          <w:rFonts w:hint="eastAsia"/>
        </w:rPr>
        <w:t>且本工程站场不涉及锅炉、工业炉窑、表面处理及水处理等通用工序，</w:t>
      </w:r>
      <w:r>
        <w:t>结合《排污许可管理条例》</w:t>
      </w:r>
      <w:r>
        <w:rPr>
          <w:rFonts w:hint="eastAsia"/>
        </w:rPr>
        <w:t>，</w:t>
      </w:r>
      <w:r>
        <w:t>本工程</w:t>
      </w:r>
      <w:r>
        <w:rPr>
          <w:rFonts w:hint="eastAsia"/>
        </w:rPr>
        <w:t>无需申请排污许可</w:t>
      </w:r>
      <w:r>
        <w:t>。</w:t>
      </w:r>
      <w:r>
        <w:rPr>
          <w:rFonts w:hint="eastAsia"/>
        </w:rPr>
        <w:t>若后期排污许可管理名录发生变化，本工程应根据最新名录进行排污许可申领。</w:t>
      </w:r>
    </w:p>
    <w:p w14:paraId="36100EE7">
      <w:pPr>
        <w:pStyle w:val="5"/>
        <w:rPr>
          <w:color w:val="auto"/>
        </w:rPr>
      </w:pPr>
      <w:r>
        <w:rPr>
          <w:color w:val="auto"/>
        </w:rPr>
        <w:t>污染源排放清单</w:t>
      </w:r>
    </w:p>
    <w:p w14:paraId="4C0B0B68">
      <w:pPr>
        <w:pStyle w:val="234"/>
      </w:pPr>
      <w:r>
        <w:t>本工程污染物排放清单与管理要求见下表。</w:t>
      </w:r>
    </w:p>
    <w:p w14:paraId="4C20C3AF">
      <w:pPr>
        <w:pStyle w:val="904"/>
      </w:pPr>
      <w:bookmarkStart w:id="276" w:name="表14.3-2__拟建项目污染物排放清单及管理要求"/>
      <w:bookmarkEnd w:id="276"/>
      <w:r>
        <w:t xml:space="preserve">表 </w:t>
      </w:r>
      <w:r>
        <w:fldChar w:fldCharType="begin"/>
      </w:r>
      <w:r>
        <w:instrText xml:space="preserve"> STYLEREF 2 \s </w:instrText>
      </w:r>
      <w:r>
        <w:fldChar w:fldCharType="separate"/>
      </w:r>
      <w:r>
        <w:t>10.4</w:t>
      </w:r>
      <w:r>
        <w:fldChar w:fldCharType="end"/>
      </w:r>
      <w:r>
        <w:noBreakHyphen/>
      </w:r>
      <w:r>
        <w:fldChar w:fldCharType="begin"/>
      </w:r>
      <w:r>
        <w:instrText xml:space="preserve"> SEQ 表 \* ARABIC \s 2 </w:instrText>
      </w:r>
      <w:r>
        <w:fldChar w:fldCharType="separate"/>
      </w:r>
      <w:r>
        <w:t>2</w:t>
      </w:r>
      <w:r>
        <w:fldChar w:fldCharType="end"/>
      </w:r>
      <w:r>
        <w:t>拟建项目污染物排放清单及管理要求</w:t>
      </w:r>
    </w:p>
    <w:tbl>
      <w:tblPr>
        <w:tblStyle w:val="1396"/>
        <w:tblpPr w:leftFromText="180" w:rightFromText="180" w:vertAnchor="text" w:tblpXSpec="center" w:tblpY="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6"/>
        <w:gridCol w:w="623"/>
        <w:gridCol w:w="1364"/>
        <w:gridCol w:w="1607"/>
        <w:gridCol w:w="1723"/>
        <w:gridCol w:w="3504"/>
      </w:tblGrid>
      <w:tr w14:paraId="08D4B483">
        <w:tblPrEx>
          <w:tblCellMar>
            <w:top w:w="0" w:type="dxa"/>
            <w:left w:w="108" w:type="dxa"/>
            <w:bottom w:w="0" w:type="dxa"/>
            <w:right w:w="108" w:type="dxa"/>
          </w:tblCellMar>
        </w:tblPrEx>
        <w:trPr>
          <w:jc w:val="center"/>
        </w:trPr>
        <w:tc>
          <w:tcPr>
            <w:tcW w:w="746" w:type="dxa"/>
            <w:vAlign w:val="center"/>
          </w:tcPr>
          <w:p w14:paraId="70A01D1E">
            <w:pPr>
              <w:pStyle w:val="1343"/>
            </w:pPr>
            <w:r>
              <w:t>项目</w:t>
            </w:r>
          </w:p>
        </w:tc>
        <w:tc>
          <w:tcPr>
            <w:tcW w:w="8821" w:type="dxa"/>
            <w:gridSpan w:val="5"/>
            <w:vAlign w:val="center"/>
          </w:tcPr>
          <w:p w14:paraId="527F9692">
            <w:pPr>
              <w:pStyle w:val="1343"/>
            </w:pPr>
            <w:r>
              <w:t>具体内容</w:t>
            </w:r>
          </w:p>
        </w:tc>
      </w:tr>
      <w:tr w14:paraId="4D9C8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14:paraId="0B394289">
            <w:pPr>
              <w:pStyle w:val="1343"/>
            </w:pPr>
            <w:r>
              <w:t>项目组成</w:t>
            </w:r>
          </w:p>
        </w:tc>
        <w:tc>
          <w:tcPr>
            <w:tcW w:w="8821" w:type="dxa"/>
            <w:gridSpan w:val="5"/>
            <w:vAlign w:val="center"/>
          </w:tcPr>
          <w:p w14:paraId="200C536A">
            <w:pPr>
              <w:pStyle w:val="1343"/>
              <w:jc w:val="left"/>
            </w:pPr>
            <w:r>
              <w:rPr>
                <w:rFonts w:hint="eastAsia"/>
              </w:rPr>
              <w:t>潜江—韶关输气管道28号阀室新增下载点改扩建项目</w:t>
            </w:r>
            <w:r>
              <w:t>位于</w:t>
            </w:r>
            <w:r>
              <w:rPr>
                <w:rFonts w:hint="eastAsia"/>
              </w:rPr>
              <w:t>湖南</w:t>
            </w:r>
            <w:r>
              <w:t>省</w:t>
            </w:r>
            <w:r>
              <w:rPr>
                <w:rFonts w:hint="eastAsia"/>
              </w:rPr>
              <w:t>衡阳</w:t>
            </w:r>
            <w:r>
              <w:t>市</w:t>
            </w:r>
            <w:r>
              <w:rPr>
                <w:rFonts w:hint="eastAsia"/>
              </w:rPr>
              <w:t>耒阳市境内</w:t>
            </w:r>
            <w:r>
              <w:t>，</w:t>
            </w:r>
            <w:r>
              <w:rPr>
                <w:rFonts w:hint="eastAsia"/>
              </w:rPr>
              <w:t>新建天然气输气管道0.</w:t>
            </w:r>
            <w:r>
              <w:rPr>
                <w:rFonts w:hint="eastAsia"/>
                <w:lang w:eastAsia="zh-CN"/>
              </w:rPr>
              <w:t>760</w:t>
            </w:r>
            <w:r>
              <w:rPr>
                <w:rFonts w:hint="eastAsia"/>
              </w:rPr>
              <w:t>km，管径DN300，设计压力10MPa，起点为潜江－韶关输气管道28号阀室，末点为新建耒阳分输站，设计输气规模为4.2×10</w:t>
            </w:r>
            <w:r>
              <w:rPr>
                <w:rFonts w:hint="eastAsia"/>
                <w:vertAlign w:val="superscript"/>
              </w:rPr>
              <w:t>8</w:t>
            </w:r>
            <w:r>
              <w:rPr>
                <w:rFonts w:hint="eastAsia"/>
              </w:rPr>
              <w:t>Nm</w:t>
            </w:r>
            <w:r>
              <w:rPr>
                <w:rFonts w:hint="eastAsia"/>
                <w:vertAlign w:val="superscript"/>
              </w:rPr>
              <w:t>3</w:t>
            </w:r>
            <w:r>
              <w:rPr>
                <w:rFonts w:hint="eastAsia"/>
              </w:rPr>
              <w:t>/a。</w:t>
            </w:r>
          </w:p>
        </w:tc>
      </w:tr>
      <w:tr w14:paraId="2915E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14:paraId="4F1E25BA">
            <w:pPr>
              <w:pStyle w:val="1343"/>
            </w:pPr>
            <w:r>
              <w:t>原辅材料组分要求</w:t>
            </w:r>
          </w:p>
        </w:tc>
        <w:tc>
          <w:tcPr>
            <w:tcW w:w="8821" w:type="dxa"/>
            <w:gridSpan w:val="5"/>
            <w:vAlign w:val="center"/>
          </w:tcPr>
          <w:p w14:paraId="200BDCC0">
            <w:pPr>
              <w:pStyle w:val="1343"/>
            </w:pPr>
            <w:r>
              <w:t>天然气</w:t>
            </w:r>
          </w:p>
        </w:tc>
      </w:tr>
      <w:tr w14:paraId="7A543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14:paraId="1E27D739">
            <w:pPr>
              <w:pStyle w:val="1343"/>
            </w:pPr>
            <w:r>
              <w:t>时段</w:t>
            </w:r>
          </w:p>
        </w:tc>
        <w:tc>
          <w:tcPr>
            <w:tcW w:w="1987" w:type="dxa"/>
            <w:gridSpan w:val="2"/>
            <w:vAlign w:val="center"/>
          </w:tcPr>
          <w:p w14:paraId="373BC5C0">
            <w:pPr>
              <w:pStyle w:val="1343"/>
            </w:pPr>
            <w:r>
              <w:t>污染源</w:t>
            </w:r>
          </w:p>
        </w:tc>
        <w:tc>
          <w:tcPr>
            <w:tcW w:w="1607" w:type="dxa"/>
            <w:vAlign w:val="center"/>
          </w:tcPr>
          <w:p w14:paraId="251C276D">
            <w:pPr>
              <w:pStyle w:val="1343"/>
            </w:pPr>
            <w:r>
              <w:t>污染物</w:t>
            </w:r>
          </w:p>
        </w:tc>
        <w:tc>
          <w:tcPr>
            <w:tcW w:w="1723" w:type="dxa"/>
            <w:vAlign w:val="center"/>
          </w:tcPr>
          <w:p w14:paraId="182E1B61">
            <w:pPr>
              <w:pStyle w:val="1343"/>
            </w:pPr>
            <w:r>
              <w:t>排放量</w:t>
            </w:r>
          </w:p>
        </w:tc>
        <w:tc>
          <w:tcPr>
            <w:tcW w:w="3504" w:type="dxa"/>
            <w:vAlign w:val="center"/>
          </w:tcPr>
          <w:p w14:paraId="6156DA33">
            <w:pPr>
              <w:pStyle w:val="1343"/>
            </w:pPr>
            <w:r>
              <w:t>环境保护措施或设施</w:t>
            </w:r>
          </w:p>
        </w:tc>
      </w:tr>
      <w:tr w14:paraId="5DEB1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restart"/>
            <w:vAlign w:val="center"/>
          </w:tcPr>
          <w:p w14:paraId="03E2370E">
            <w:pPr>
              <w:pStyle w:val="1343"/>
              <w:rPr>
                <w:lang w:eastAsia="en-US"/>
              </w:rPr>
            </w:pPr>
            <w:r>
              <w:t>施工期</w:t>
            </w:r>
          </w:p>
        </w:tc>
        <w:tc>
          <w:tcPr>
            <w:tcW w:w="623" w:type="dxa"/>
            <w:vMerge w:val="restart"/>
            <w:vAlign w:val="center"/>
          </w:tcPr>
          <w:p w14:paraId="2D16E788">
            <w:pPr>
              <w:pStyle w:val="1343"/>
            </w:pPr>
            <w:r>
              <w:t>废气</w:t>
            </w:r>
          </w:p>
        </w:tc>
        <w:tc>
          <w:tcPr>
            <w:tcW w:w="1364" w:type="dxa"/>
            <w:vAlign w:val="center"/>
          </w:tcPr>
          <w:p w14:paraId="227F33C8">
            <w:pPr>
              <w:pStyle w:val="1343"/>
            </w:pPr>
            <w:r>
              <w:t>施工扬尘</w:t>
            </w:r>
          </w:p>
        </w:tc>
        <w:tc>
          <w:tcPr>
            <w:tcW w:w="1607" w:type="dxa"/>
            <w:vAlign w:val="center"/>
          </w:tcPr>
          <w:p w14:paraId="695D9AFC">
            <w:pPr>
              <w:pStyle w:val="1343"/>
              <w:rPr>
                <w:rFonts w:eastAsia="Times New Roman"/>
              </w:rPr>
            </w:pPr>
            <w:r>
              <w:t>TSP</w:t>
            </w:r>
          </w:p>
        </w:tc>
        <w:tc>
          <w:tcPr>
            <w:tcW w:w="1723" w:type="dxa"/>
            <w:vAlign w:val="center"/>
          </w:tcPr>
          <w:p w14:paraId="5972162B">
            <w:pPr>
              <w:pStyle w:val="1343"/>
            </w:pPr>
            <w:r>
              <w:t>—</w:t>
            </w:r>
          </w:p>
        </w:tc>
        <w:tc>
          <w:tcPr>
            <w:tcW w:w="3504" w:type="dxa"/>
            <w:vAlign w:val="center"/>
          </w:tcPr>
          <w:p w14:paraId="30101AB6">
            <w:pPr>
              <w:pStyle w:val="1343"/>
            </w:pPr>
            <w:r>
              <w:t>设置围挡、洒水清扫、遮盖</w:t>
            </w:r>
            <w:r>
              <w:rPr>
                <w:rFonts w:hint="eastAsia"/>
              </w:rPr>
              <w:t>等</w:t>
            </w:r>
          </w:p>
        </w:tc>
      </w:tr>
      <w:tr w14:paraId="17363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09201BCF">
            <w:pPr>
              <w:pStyle w:val="1343"/>
            </w:pPr>
          </w:p>
        </w:tc>
        <w:tc>
          <w:tcPr>
            <w:tcW w:w="623" w:type="dxa"/>
            <w:vMerge w:val="continue"/>
            <w:vAlign w:val="center"/>
          </w:tcPr>
          <w:p w14:paraId="1444FCD8">
            <w:pPr>
              <w:pStyle w:val="1343"/>
            </w:pPr>
          </w:p>
        </w:tc>
        <w:tc>
          <w:tcPr>
            <w:tcW w:w="1364" w:type="dxa"/>
            <w:vMerge w:val="restart"/>
            <w:vAlign w:val="center"/>
          </w:tcPr>
          <w:p w14:paraId="256DA749">
            <w:pPr>
              <w:pStyle w:val="1343"/>
            </w:pPr>
            <w:r>
              <w:t>施工机械、运输车辆尾气</w:t>
            </w:r>
          </w:p>
        </w:tc>
        <w:tc>
          <w:tcPr>
            <w:tcW w:w="1607" w:type="dxa"/>
            <w:vAlign w:val="center"/>
          </w:tcPr>
          <w:p w14:paraId="1FEF9683">
            <w:pPr>
              <w:pStyle w:val="1343"/>
              <w:rPr>
                <w:rFonts w:eastAsia="Times New Roman"/>
              </w:rPr>
            </w:pPr>
            <w:r>
              <w:t>PM</w:t>
            </w:r>
            <w:r>
              <w:rPr>
                <w:vertAlign w:val="subscript"/>
              </w:rPr>
              <w:t>10</w:t>
            </w:r>
          </w:p>
        </w:tc>
        <w:tc>
          <w:tcPr>
            <w:tcW w:w="1723" w:type="dxa"/>
            <w:vAlign w:val="center"/>
          </w:tcPr>
          <w:p w14:paraId="4A9E2A37">
            <w:pPr>
              <w:pStyle w:val="1343"/>
            </w:pPr>
            <w:r>
              <w:rPr>
                <w:rFonts w:hint="eastAsia"/>
              </w:rPr>
              <w:t>0.190t</w:t>
            </w:r>
          </w:p>
        </w:tc>
        <w:tc>
          <w:tcPr>
            <w:tcW w:w="3504" w:type="dxa"/>
            <w:vMerge w:val="restart"/>
            <w:vAlign w:val="center"/>
          </w:tcPr>
          <w:p w14:paraId="10B7D830">
            <w:pPr>
              <w:pStyle w:val="1343"/>
            </w:pPr>
            <w:r>
              <w:t>选择良好的施工机械并加强养护</w:t>
            </w:r>
          </w:p>
        </w:tc>
      </w:tr>
      <w:tr w14:paraId="5E35C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6ACBD566">
            <w:pPr>
              <w:pStyle w:val="1343"/>
            </w:pPr>
          </w:p>
        </w:tc>
        <w:tc>
          <w:tcPr>
            <w:tcW w:w="623" w:type="dxa"/>
            <w:vMerge w:val="continue"/>
            <w:vAlign w:val="center"/>
          </w:tcPr>
          <w:p w14:paraId="3CDD4FED">
            <w:pPr>
              <w:pStyle w:val="1343"/>
            </w:pPr>
          </w:p>
        </w:tc>
        <w:tc>
          <w:tcPr>
            <w:tcW w:w="1364" w:type="dxa"/>
            <w:vMerge w:val="continue"/>
            <w:vAlign w:val="center"/>
          </w:tcPr>
          <w:p w14:paraId="66A30309">
            <w:pPr>
              <w:pStyle w:val="1343"/>
            </w:pPr>
          </w:p>
        </w:tc>
        <w:tc>
          <w:tcPr>
            <w:tcW w:w="1607" w:type="dxa"/>
            <w:vAlign w:val="center"/>
          </w:tcPr>
          <w:p w14:paraId="0AFD6751">
            <w:pPr>
              <w:pStyle w:val="1343"/>
            </w:pPr>
            <w:r>
              <w:t>PM</w:t>
            </w:r>
            <w:r>
              <w:rPr>
                <w:vertAlign w:val="subscript"/>
              </w:rPr>
              <w:t>2.5</w:t>
            </w:r>
          </w:p>
        </w:tc>
        <w:tc>
          <w:tcPr>
            <w:tcW w:w="1723" w:type="dxa"/>
            <w:vAlign w:val="center"/>
          </w:tcPr>
          <w:p w14:paraId="75BCFB43">
            <w:pPr>
              <w:pStyle w:val="1343"/>
            </w:pPr>
            <w:r>
              <w:rPr>
                <w:rFonts w:hint="eastAsia"/>
              </w:rPr>
              <w:t>0.171t</w:t>
            </w:r>
          </w:p>
        </w:tc>
        <w:tc>
          <w:tcPr>
            <w:tcW w:w="3504" w:type="dxa"/>
            <w:vMerge w:val="continue"/>
            <w:vAlign w:val="center"/>
          </w:tcPr>
          <w:p w14:paraId="61FFE0EB">
            <w:pPr>
              <w:pStyle w:val="1343"/>
            </w:pPr>
          </w:p>
        </w:tc>
      </w:tr>
      <w:tr w14:paraId="2F7CE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00774DAA">
            <w:pPr>
              <w:pStyle w:val="1343"/>
            </w:pPr>
          </w:p>
        </w:tc>
        <w:tc>
          <w:tcPr>
            <w:tcW w:w="623" w:type="dxa"/>
            <w:vMerge w:val="continue"/>
            <w:vAlign w:val="center"/>
          </w:tcPr>
          <w:p w14:paraId="7F9D9616">
            <w:pPr>
              <w:pStyle w:val="1343"/>
            </w:pPr>
          </w:p>
        </w:tc>
        <w:tc>
          <w:tcPr>
            <w:tcW w:w="1364" w:type="dxa"/>
            <w:vMerge w:val="continue"/>
            <w:vAlign w:val="center"/>
          </w:tcPr>
          <w:p w14:paraId="33102C61">
            <w:pPr>
              <w:pStyle w:val="1343"/>
            </w:pPr>
          </w:p>
        </w:tc>
        <w:tc>
          <w:tcPr>
            <w:tcW w:w="1607" w:type="dxa"/>
            <w:vAlign w:val="center"/>
          </w:tcPr>
          <w:p w14:paraId="1D41DA9A">
            <w:pPr>
              <w:pStyle w:val="1343"/>
            </w:pPr>
            <w:r>
              <w:rPr>
                <w:rFonts w:hint="eastAsia"/>
              </w:rPr>
              <w:t>T</w:t>
            </w:r>
            <w:r>
              <w:t>HC</w:t>
            </w:r>
          </w:p>
        </w:tc>
        <w:tc>
          <w:tcPr>
            <w:tcW w:w="1723" w:type="dxa"/>
            <w:vAlign w:val="center"/>
          </w:tcPr>
          <w:p w14:paraId="7C11BCB7">
            <w:pPr>
              <w:pStyle w:val="1343"/>
            </w:pPr>
            <w:r>
              <w:rPr>
                <w:rFonts w:hint="eastAsia"/>
              </w:rPr>
              <w:t>0.337t</w:t>
            </w:r>
          </w:p>
        </w:tc>
        <w:tc>
          <w:tcPr>
            <w:tcW w:w="3504" w:type="dxa"/>
            <w:vMerge w:val="continue"/>
            <w:vAlign w:val="center"/>
          </w:tcPr>
          <w:p w14:paraId="325BE82F">
            <w:pPr>
              <w:pStyle w:val="1343"/>
            </w:pPr>
          </w:p>
        </w:tc>
      </w:tr>
      <w:tr w14:paraId="68B77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0CCEA690">
            <w:pPr>
              <w:pStyle w:val="1343"/>
            </w:pPr>
          </w:p>
        </w:tc>
        <w:tc>
          <w:tcPr>
            <w:tcW w:w="623" w:type="dxa"/>
            <w:vMerge w:val="continue"/>
            <w:vAlign w:val="center"/>
          </w:tcPr>
          <w:p w14:paraId="27E981BC">
            <w:pPr>
              <w:pStyle w:val="1343"/>
            </w:pPr>
          </w:p>
        </w:tc>
        <w:tc>
          <w:tcPr>
            <w:tcW w:w="1364" w:type="dxa"/>
            <w:vMerge w:val="continue"/>
            <w:vAlign w:val="center"/>
          </w:tcPr>
          <w:p w14:paraId="49B6F009">
            <w:pPr>
              <w:pStyle w:val="1343"/>
            </w:pPr>
          </w:p>
        </w:tc>
        <w:tc>
          <w:tcPr>
            <w:tcW w:w="1607" w:type="dxa"/>
            <w:vAlign w:val="center"/>
          </w:tcPr>
          <w:p w14:paraId="09D291E7">
            <w:pPr>
              <w:pStyle w:val="1343"/>
            </w:pPr>
            <w:r>
              <w:t>NOx</w:t>
            </w:r>
          </w:p>
        </w:tc>
        <w:tc>
          <w:tcPr>
            <w:tcW w:w="1723" w:type="dxa"/>
            <w:vAlign w:val="center"/>
          </w:tcPr>
          <w:p w14:paraId="606F556D">
            <w:pPr>
              <w:pStyle w:val="1343"/>
            </w:pPr>
            <w:r>
              <w:rPr>
                <w:rFonts w:hint="eastAsia"/>
              </w:rPr>
              <w:t>2.560t</w:t>
            </w:r>
          </w:p>
        </w:tc>
        <w:tc>
          <w:tcPr>
            <w:tcW w:w="3504" w:type="dxa"/>
            <w:vMerge w:val="continue"/>
            <w:vAlign w:val="center"/>
          </w:tcPr>
          <w:p w14:paraId="78B6834B">
            <w:pPr>
              <w:pStyle w:val="1343"/>
            </w:pPr>
          </w:p>
        </w:tc>
      </w:tr>
      <w:tr w14:paraId="18BBD60A">
        <w:tblPrEx>
          <w:tblCellMar>
            <w:top w:w="0" w:type="dxa"/>
            <w:left w:w="108" w:type="dxa"/>
            <w:bottom w:w="0" w:type="dxa"/>
            <w:right w:w="108" w:type="dxa"/>
          </w:tblCellMar>
        </w:tblPrEx>
        <w:trPr>
          <w:jc w:val="center"/>
        </w:trPr>
        <w:tc>
          <w:tcPr>
            <w:tcW w:w="746" w:type="dxa"/>
            <w:vMerge w:val="continue"/>
            <w:vAlign w:val="center"/>
          </w:tcPr>
          <w:p w14:paraId="683FE0AE">
            <w:pPr>
              <w:pStyle w:val="1343"/>
            </w:pPr>
          </w:p>
        </w:tc>
        <w:tc>
          <w:tcPr>
            <w:tcW w:w="623" w:type="dxa"/>
            <w:vMerge w:val="continue"/>
            <w:vAlign w:val="center"/>
          </w:tcPr>
          <w:p w14:paraId="35AEC87F">
            <w:pPr>
              <w:pStyle w:val="1343"/>
            </w:pPr>
          </w:p>
        </w:tc>
        <w:tc>
          <w:tcPr>
            <w:tcW w:w="1364" w:type="dxa"/>
            <w:vMerge w:val="continue"/>
            <w:vAlign w:val="center"/>
          </w:tcPr>
          <w:p w14:paraId="68A7825B">
            <w:pPr>
              <w:pStyle w:val="1343"/>
            </w:pPr>
          </w:p>
        </w:tc>
        <w:tc>
          <w:tcPr>
            <w:tcW w:w="1607" w:type="dxa"/>
            <w:vAlign w:val="center"/>
          </w:tcPr>
          <w:p w14:paraId="7A4AE849">
            <w:pPr>
              <w:pStyle w:val="1343"/>
            </w:pPr>
            <w:r>
              <w:rPr>
                <w:rFonts w:hint="eastAsia"/>
              </w:rPr>
              <w:t>C</w:t>
            </w:r>
            <w:r>
              <w:t>O</w:t>
            </w:r>
          </w:p>
        </w:tc>
        <w:tc>
          <w:tcPr>
            <w:tcW w:w="1723" w:type="dxa"/>
            <w:vAlign w:val="center"/>
          </w:tcPr>
          <w:p w14:paraId="164CBE88">
            <w:pPr>
              <w:pStyle w:val="1343"/>
            </w:pPr>
            <w:r>
              <w:rPr>
                <w:rFonts w:hint="eastAsia"/>
              </w:rPr>
              <w:t>2.896t</w:t>
            </w:r>
          </w:p>
        </w:tc>
        <w:tc>
          <w:tcPr>
            <w:tcW w:w="3504" w:type="dxa"/>
            <w:vMerge w:val="continue"/>
            <w:vAlign w:val="center"/>
          </w:tcPr>
          <w:p w14:paraId="41865609">
            <w:pPr>
              <w:pStyle w:val="1343"/>
            </w:pPr>
          </w:p>
        </w:tc>
      </w:tr>
      <w:tr w14:paraId="4815FFB6">
        <w:tblPrEx>
          <w:tblCellMar>
            <w:top w:w="0" w:type="dxa"/>
            <w:left w:w="108" w:type="dxa"/>
            <w:bottom w:w="0" w:type="dxa"/>
            <w:right w:w="108" w:type="dxa"/>
          </w:tblCellMar>
        </w:tblPrEx>
        <w:trPr>
          <w:jc w:val="center"/>
        </w:trPr>
        <w:tc>
          <w:tcPr>
            <w:tcW w:w="746" w:type="dxa"/>
            <w:vMerge w:val="continue"/>
            <w:vAlign w:val="center"/>
          </w:tcPr>
          <w:p w14:paraId="08D2BB40">
            <w:pPr>
              <w:pStyle w:val="1343"/>
            </w:pPr>
          </w:p>
        </w:tc>
        <w:tc>
          <w:tcPr>
            <w:tcW w:w="623" w:type="dxa"/>
            <w:vMerge w:val="continue"/>
            <w:vAlign w:val="center"/>
          </w:tcPr>
          <w:p w14:paraId="38A02762">
            <w:pPr>
              <w:pStyle w:val="1343"/>
            </w:pPr>
          </w:p>
        </w:tc>
        <w:tc>
          <w:tcPr>
            <w:tcW w:w="1364" w:type="dxa"/>
            <w:vAlign w:val="center"/>
          </w:tcPr>
          <w:p w14:paraId="407FACD0">
            <w:pPr>
              <w:pStyle w:val="1343"/>
            </w:pPr>
            <w:r>
              <w:t>焊接烟尘</w:t>
            </w:r>
          </w:p>
        </w:tc>
        <w:tc>
          <w:tcPr>
            <w:tcW w:w="1607" w:type="dxa"/>
            <w:vAlign w:val="center"/>
          </w:tcPr>
          <w:p w14:paraId="32568DB4">
            <w:pPr>
              <w:pStyle w:val="1343"/>
            </w:pPr>
            <w:r>
              <w:t>颗粒物</w:t>
            </w:r>
          </w:p>
        </w:tc>
        <w:tc>
          <w:tcPr>
            <w:tcW w:w="1723" w:type="dxa"/>
            <w:vAlign w:val="center"/>
          </w:tcPr>
          <w:p w14:paraId="147B0811">
            <w:pPr>
              <w:pStyle w:val="1343"/>
            </w:pPr>
            <w:r>
              <w:rPr>
                <w:rFonts w:hint="eastAsia"/>
              </w:rPr>
              <w:t>0.002t</w:t>
            </w:r>
          </w:p>
        </w:tc>
        <w:tc>
          <w:tcPr>
            <w:tcW w:w="3504" w:type="dxa"/>
            <w:vAlign w:val="center"/>
          </w:tcPr>
          <w:p w14:paraId="4A6EF9D5">
            <w:pPr>
              <w:pStyle w:val="1343"/>
            </w:pPr>
            <w:r>
              <w:rPr>
                <w:rFonts w:hint="eastAsia"/>
              </w:rPr>
              <w:t>/</w:t>
            </w:r>
          </w:p>
        </w:tc>
      </w:tr>
      <w:tr w14:paraId="1EA9E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55851318">
            <w:pPr>
              <w:pStyle w:val="1343"/>
            </w:pPr>
          </w:p>
        </w:tc>
        <w:tc>
          <w:tcPr>
            <w:tcW w:w="623" w:type="dxa"/>
            <w:vMerge w:val="continue"/>
            <w:vAlign w:val="center"/>
          </w:tcPr>
          <w:p w14:paraId="15FF84E5">
            <w:pPr>
              <w:pStyle w:val="1343"/>
            </w:pPr>
          </w:p>
        </w:tc>
        <w:tc>
          <w:tcPr>
            <w:tcW w:w="1364" w:type="dxa"/>
            <w:vAlign w:val="center"/>
          </w:tcPr>
          <w:p w14:paraId="091273A3">
            <w:pPr>
              <w:pStyle w:val="1343"/>
            </w:pPr>
            <w:r>
              <w:t>防腐废气</w:t>
            </w:r>
          </w:p>
        </w:tc>
        <w:tc>
          <w:tcPr>
            <w:tcW w:w="1607" w:type="dxa"/>
            <w:vAlign w:val="center"/>
          </w:tcPr>
          <w:p w14:paraId="34FBCC3A">
            <w:pPr>
              <w:pStyle w:val="1343"/>
            </w:pPr>
            <w:r>
              <w:t>非甲烷总烃</w:t>
            </w:r>
          </w:p>
        </w:tc>
        <w:tc>
          <w:tcPr>
            <w:tcW w:w="1723" w:type="dxa"/>
            <w:vAlign w:val="center"/>
          </w:tcPr>
          <w:p w14:paraId="5428A16F">
            <w:pPr>
              <w:pStyle w:val="1343"/>
            </w:pPr>
            <w:r>
              <w:rPr>
                <w:rFonts w:hint="eastAsia"/>
              </w:rPr>
              <w:t>0.005t</w:t>
            </w:r>
          </w:p>
        </w:tc>
        <w:tc>
          <w:tcPr>
            <w:tcW w:w="3504" w:type="dxa"/>
            <w:vAlign w:val="center"/>
          </w:tcPr>
          <w:p w14:paraId="6EFD53B8">
            <w:pPr>
              <w:pStyle w:val="1343"/>
            </w:pPr>
            <w:r>
              <w:rPr>
                <w:rFonts w:hint="eastAsia"/>
              </w:rPr>
              <w:t>/</w:t>
            </w:r>
          </w:p>
        </w:tc>
      </w:tr>
      <w:tr w14:paraId="2E4D6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4C7AD1E5">
            <w:pPr>
              <w:pStyle w:val="1343"/>
            </w:pPr>
          </w:p>
        </w:tc>
        <w:tc>
          <w:tcPr>
            <w:tcW w:w="623" w:type="dxa"/>
            <w:vMerge w:val="continue"/>
            <w:vAlign w:val="center"/>
          </w:tcPr>
          <w:p w14:paraId="601448EF">
            <w:pPr>
              <w:pStyle w:val="1343"/>
            </w:pPr>
          </w:p>
        </w:tc>
        <w:tc>
          <w:tcPr>
            <w:tcW w:w="1364" w:type="dxa"/>
            <w:vAlign w:val="center"/>
          </w:tcPr>
          <w:p w14:paraId="0F30FA03">
            <w:pPr>
              <w:pStyle w:val="1343"/>
            </w:pPr>
            <w:r>
              <w:rPr>
                <w:rFonts w:hint="eastAsia"/>
              </w:rPr>
              <w:t>涂装废气</w:t>
            </w:r>
          </w:p>
        </w:tc>
        <w:tc>
          <w:tcPr>
            <w:tcW w:w="1607" w:type="dxa"/>
            <w:vAlign w:val="center"/>
          </w:tcPr>
          <w:p w14:paraId="232D0811">
            <w:pPr>
              <w:pStyle w:val="1343"/>
            </w:pPr>
            <w:r>
              <w:rPr>
                <w:rFonts w:hint="eastAsia"/>
              </w:rPr>
              <w:t>VOCs</w:t>
            </w:r>
          </w:p>
        </w:tc>
        <w:tc>
          <w:tcPr>
            <w:tcW w:w="1723" w:type="dxa"/>
            <w:vAlign w:val="center"/>
          </w:tcPr>
          <w:p w14:paraId="2DE6FCA6">
            <w:pPr>
              <w:pStyle w:val="1343"/>
            </w:pPr>
            <w:r>
              <w:rPr>
                <w:rFonts w:hint="eastAsia"/>
              </w:rPr>
              <w:t>—</w:t>
            </w:r>
          </w:p>
        </w:tc>
        <w:tc>
          <w:tcPr>
            <w:tcW w:w="3504" w:type="dxa"/>
            <w:vAlign w:val="center"/>
          </w:tcPr>
          <w:p w14:paraId="770BA927">
            <w:pPr>
              <w:pStyle w:val="1343"/>
            </w:pPr>
            <w:r>
              <w:rPr>
                <w:rFonts w:hint="eastAsia"/>
              </w:rPr>
              <w:t>/</w:t>
            </w:r>
          </w:p>
        </w:tc>
      </w:tr>
      <w:tr w14:paraId="6ECF2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7AF64B38">
            <w:pPr>
              <w:pStyle w:val="1343"/>
            </w:pPr>
          </w:p>
        </w:tc>
        <w:tc>
          <w:tcPr>
            <w:tcW w:w="623" w:type="dxa"/>
            <w:vMerge w:val="continue"/>
            <w:vAlign w:val="center"/>
          </w:tcPr>
          <w:p w14:paraId="6B966DAE">
            <w:pPr>
              <w:pStyle w:val="1343"/>
            </w:pPr>
          </w:p>
        </w:tc>
        <w:tc>
          <w:tcPr>
            <w:tcW w:w="1364" w:type="dxa"/>
            <w:vAlign w:val="center"/>
          </w:tcPr>
          <w:p w14:paraId="63B4AE1A">
            <w:pPr>
              <w:pStyle w:val="1343"/>
            </w:pPr>
            <w:r>
              <w:t>放空天然气</w:t>
            </w:r>
          </w:p>
        </w:tc>
        <w:tc>
          <w:tcPr>
            <w:tcW w:w="1607" w:type="dxa"/>
            <w:vAlign w:val="center"/>
          </w:tcPr>
          <w:p w14:paraId="47ACE386">
            <w:pPr>
              <w:pStyle w:val="1343"/>
            </w:pPr>
            <w:r>
              <w:t>甲烷、烃类</w:t>
            </w:r>
          </w:p>
        </w:tc>
        <w:tc>
          <w:tcPr>
            <w:tcW w:w="1723" w:type="dxa"/>
            <w:vAlign w:val="center"/>
          </w:tcPr>
          <w:p w14:paraId="2677EE05">
            <w:pPr>
              <w:pStyle w:val="1343"/>
            </w:pPr>
            <w:r>
              <w:rPr>
                <w:rFonts w:hint="eastAsia"/>
              </w:rPr>
              <w:t>1.6t</w:t>
            </w:r>
          </w:p>
        </w:tc>
        <w:tc>
          <w:tcPr>
            <w:tcW w:w="3504" w:type="dxa"/>
            <w:vAlign w:val="center"/>
          </w:tcPr>
          <w:p w14:paraId="6F865CE2">
            <w:pPr>
              <w:pStyle w:val="1343"/>
            </w:pPr>
            <w:r>
              <w:t>以放空口为中心设立半径为300m的隔离区。放空隔离区内需疏散人员，设置临时警示带，不允许有烟火和静电火花产生。</w:t>
            </w:r>
          </w:p>
        </w:tc>
      </w:tr>
      <w:tr w14:paraId="0FFB247D">
        <w:tblPrEx>
          <w:tblCellMar>
            <w:top w:w="0" w:type="dxa"/>
            <w:left w:w="108" w:type="dxa"/>
            <w:bottom w:w="0" w:type="dxa"/>
            <w:right w:w="108" w:type="dxa"/>
          </w:tblCellMar>
        </w:tblPrEx>
        <w:trPr>
          <w:jc w:val="center"/>
        </w:trPr>
        <w:tc>
          <w:tcPr>
            <w:tcW w:w="746" w:type="dxa"/>
            <w:vMerge w:val="continue"/>
            <w:vAlign w:val="center"/>
          </w:tcPr>
          <w:p w14:paraId="5B7FE137">
            <w:pPr>
              <w:pStyle w:val="1343"/>
            </w:pPr>
          </w:p>
        </w:tc>
        <w:tc>
          <w:tcPr>
            <w:tcW w:w="623" w:type="dxa"/>
            <w:vMerge w:val="restart"/>
            <w:vAlign w:val="center"/>
          </w:tcPr>
          <w:p w14:paraId="7676E50A">
            <w:pPr>
              <w:pStyle w:val="1343"/>
              <w:rPr>
                <w:lang w:eastAsia="en-US"/>
              </w:rPr>
            </w:pPr>
            <w:r>
              <w:t>废 水</w:t>
            </w:r>
          </w:p>
        </w:tc>
        <w:tc>
          <w:tcPr>
            <w:tcW w:w="1364" w:type="dxa"/>
            <w:vAlign w:val="center"/>
          </w:tcPr>
          <w:p w14:paraId="37D310B6">
            <w:pPr>
              <w:pStyle w:val="1343"/>
            </w:pPr>
            <w:r>
              <w:t>生活污水</w:t>
            </w:r>
          </w:p>
        </w:tc>
        <w:tc>
          <w:tcPr>
            <w:tcW w:w="1607" w:type="dxa"/>
            <w:vAlign w:val="center"/>
          </w:tcPr>
          <w:p w14:paraId="3988D18C">
            <w:pPr>
              <w:pStyle w:val="1343"/>
              <w:rPr>
                <w:rFonts w:eastAsia="Times New Roman"/>
              </w:rPr>
            </w:pPr>
            <w:r>
              <w:t>COD、氨氮、SS</w:t>
            </w:r>
          </w:p>
        </w:tc>
        <w:tc>
          <w:tcPr>
            <w:tcW w:w="1723" w:type="dxa"/>
            <w:vAlign w:val="center"/>
          </w:tcPr>
          <w:p w14:paraId="2CC7AD55">
            <w:pPr>
              <w:pStyle w:val="1343"/>
            </w:pPr>
            <w:r>
              <w:rPr>
                <w:rFonts w:hint="eastAsia"/>
              </w:rPr>
              <w:t>405</w:t>
            </w:r>
            <w:r>
              <w:t>m</w:t>
            </w:r>
            <w:r>
              <w:rPr>
                <w:vertAlign w:val="superscript"/>
              </w:rPr>
              <w:t>3</w:t>
            </w:r>
          </w:p>
        </w:tc>
        <w:tc>
          <w:tcPr>
            <w:tcW w:w="3504" w:type="dxa"/>
            <w:vAlign w:val="center"/>
          </w:tcPr>
          <w:p w14:paraId="6B5FE0F6">
            <w:pPr>
              <w:pStyle w:val="1343"/>
            </w:pPr>
            <w:r>
              <w:rPr>
                <w:rFonts w:hint="eastAsia"/>
              </w:rPr>
              <w:t>不设施工营地，依托沿线民房，</w:t>
            </w:r>
            <w:r>
              <w:t>施工生活污水</w:t>
            </w:r>
            <w:r>
              <w:rPr>
                <w:rFonts w:hint="eastAsia"/>
              </w:rPr>
              <w:t>排入当地农村现有设施处理。</w:t>
            </w:r>
          </w:p>
        </w:tc>
      </w:tr>
      <w:tr w14:paraId="40EFB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26763476">
            <w:pPr>
              <w:pStyle w:val="1343"/>
            </w:pPr>
          </w:p>
        </w:tc>
        <w:tc>
          <w:tcPr>
            <w:tcW w:w="623" w:type="dxa"/>
            <w:vMerge w:val="continue"/>
            <w:vAlign w:val="center"/>
          </w:tcPr>
          <w:p w14:paraId="6EABBC4B">
            <w:pPr>
              <w:pStyle w:val="1343"/>
            </w:pPr>
          </w:p>
        </w:tc>
        <w:tc>
          <w:tcPr>
            <w:tcW w:w="1364" w:type="dxa"/>
            <w:vAlign w:val="center"/>
          </w:tcPr>
          <w:p w14:paraId="796B67F7">
            <w:pPr>
              <w:pStyle w:val="1343"/>
              <w:rPr>
                <w:lang w:eastAsia="en-US"/>
              </w:rPr>
            </w:pPr>
            <w:r>
              <w:t>试压排水</w:t>
            </w:r>
          </w:p>
        </w:tc>
        <w:tc>
          <w:tcPr>
            <w:tcW w:w="1607" w:type="dxa"/>
            <w:vAlign w:val="center"/>
          </w:tcPr>
          <w:p w14:paraId="3F830A8D">
            <w:pPr>
              <w:pStyle w:val="1343"/>
              <w:rPr>
                <w:rFonts w:eastAsia="Times New Roman"/>
              </w:rPr>
            </w:pPr>
            <w:r>
              <w:t>SS</w:t>
            </w:r>
          </w:p>
        </w:tc>
        <w:tc>
          <w:tcPr>
            <w:tcW w:w="1723" w:type="dxa"/>
            <w:vAlign w:val="center"/>
          </w:tcPr>
          <w:p w14:paraId="2B05EAC7">
            <w:pPr>
              <w:pStyle w:val="1343"/>
            </w:pPr>
            <w:r>
              <w:rPr>
                <w:rFonts w:hint="eastAsia"/>
              </w:rPr>
              <w:t>60.9</w:t>
            </w:r>
            <w:r>
              <w:t>m</w:t>
            </w:r>
            <w:r>
              <w:rPr>
                <w:vertAlign w:val="superscript"/>
              </w:rPr>
              <w:t>3</w:t>
            </w:r>
          </w:p>
        </w:tc>
        <w:tc>
          <w:tcPr>
            <w:tcW w:w="3504" w:type="dxa"/>
            <w:vAlign w:val="center"/>
          </w:tcPr>
          <w:p w14:paraId="0AC4D043">
            <w:pPr>
              <w:pStyle w:val="1343"/>
              <w:jc w:val="both"/>
            </w:pPr>
            <w:r>
              <w:rPr>
                <w:rFonts w:hint="eastAsia"/>
              </w:rPr>
              <w:t>过滤处理后回用于农田灌溉、道路洒水等</w:t>
            </w:r>
          </w:p>
        </w:tc>
      </w:tr>
      <w:tr w14:paraId="03ED9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20093350">
            <w:pPr>
              <w:pStyle w:val="1343"/>
            </w:pPr>
          </w:p>
        </w:tc>
        <w:tc>
          <w:tcPr>
            <w:tcW w:w="623" w:type="dxa"/>
            <w:vMerge w:val="restart"/>
            <w:vAlign w:val="center"/>
          </w:tcPr>
          <w:p w14:paraId="07F13463">
            <w:pPr>
              <w:pStyle w:val="1343"/>
              <w:rPr>
                <w:lang w:eastAsia="en-US"/>
              </w:rPr>
            </w:pPr>
            <w:r>
              <w:t>固 废</w:t>
            </w:r>
          </w:p>
        </w:tc>
        <w:tc>
          <w:tcPr>
            <w:tcW w:w="1364" w:type="dxa"/>
            <w:vAlign w:val="center"/>
          </w:tcPr>
          <w:p w14:paraId="1A114684">
            <w:pPr>
              <w:pStyle w:val="1343"/>
            </w:pPr>
            <w:r>
              <w:t>施工废料</w:t>
            </w:r>
          </w:p>
        </w:tc>
        <w:tc>
          <w:tcPr>
            <w:tcW w:w="1607" w:type="dxa"/>
            <w:vAlign w:val="center"/>
          </w:tcPr>
          <w:p w14:paraId="2D117B3B">
            <w:pPr>
              <w:pStyle w:val="1343"/>
            </w:pPr>
            <w:r>
              <w:rPr>
                <w:rFonts w:hint="eastAsia"/>
              </w:rPr>
              <w:t>废焊条焊渣、废防腐材料</w:t>
            </w:r>
          </w:p>
        </w:tc>
        <w:tc>
          <w:tcPr>
            <w:tcW w:w="1723" w:type="dxa"/>
            <w:vAlign w:val="center"/>
          </w:tcPr>
          <w:p w14:paraId="1972B393">
            <w:pPr>
              <w:pStyle w:val="1343"/>
            </w:pPr>
            <w:r>
              <w:rPr>
                <w:rFonts w:hint="eastAsia"/>
              </w:rPr>
              <w:t>0.15</w:t>
            </w:r>
            <w:r>
              <w:t>t</w:t>
            </w:r>
          </w:p>
        </w:tc>
        <w:tc>
          <w:tcPr>
            <w:tcW w:w="3504" w:type="dxa"/>
            <w:vAlign w:val="center"/>
          </w:tcPr>
          <w:p w14:paraId="4EA925CA">
            <w:pPr>
              <w:pStyle w:val="1343"/>
            </w:pPr>
            <w:r>
              <w:t>部分回收利用，剩余废料委托工业废物回收单位处置</w:t>
            </w:r>
          </w:p>
        </w:tc>
      </w:tr>
      <w:tr w14:paraId="46E72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00B3ED5A">
            <w:pPr>
              <w:pStyle w:val="1343"/>
            </w:pPr>
          </w:p>
        </w:tc>
        <w:tc>
          <w:tcPr>
            <w:tcW w:w="623" w:type="dxa"/>
            <w:vMerge w:val="continue"/>
            <w:vAlign w:val="center"/>
          </w:tcPr>
          <w:p w14:paraId="00176BA4">
            <w:pPr>
              <w:pStyle w:val="1343"/>
            </w:pPr>
          </w:p>
        </w:tc>
        <w:tc>
          <w:tcPr>
            <w:tcW w:w="1364" w:type="dxa"/>
            <w:vAlign w:val="center"/>
          </w:tcPr>
          <w:p w14:paraId="6ECDB831">
            <w:pPr>
              <w:pStyle w:val="1343"/>
            </w:pPr>
            <w:r>
              <w:rPr>
                <w:rFonts w:hint="eastAsia"/>
              </w:rPr>
              <w:t>清管废渣</w:t>
            </w:r>
          </w:p>
        </w:tc>
        <w:tc>
          <w:tcPr>
            <w:tcW w:w="1607" w:type="dxa"/>
            <w:vAlign w:val="center"/>
          </w:tcPr>
          <w:p w14:paraId="2CCF2D40">
            <w:pPr>
              <w:pStyle w:val="1343"/>
            </w:pPr>
            <w:r>
              <w:rPr>
                <w:rFonts w:hint="eastAsia"/>
              </w:rPr>
              <w:t>焊渣、氧化铁等</w:t>
            </w:r>
          </w:p>
        </w:tc>
        <w:tc>
          <w:tcPr>
            <w:tcW w:w="1723" w:type="dxa"/>
            <w:vAlign w:val="center"/>
          </w:tcPr>
          <w:p w14:paraId="1F697EB7">
            <w:pPr>
              <w:pStyle w:val="1343"/>
            </w:pPr>
            <w:r>
              <w:rPr>
                <w:rFonts w:hint="eastAsia"/>
              </w:rPr>
              <w:t>0.02kg</w:t>
            </w:r>
          </w:p>
        </w:tc>
        <w:tc>
          <w:tcPr>
            <w:tcW w:w="3504" w:type="dxa"/>
            <w:vAlign w:val="center"/>
          </w:tcPr>
          <w:p w14:paraId="687CA996">
            <w:pPr>
              <w:pStyle w:val="1343"/>
            </w:pPr>
            <w:r>
              <w:rPr>
                <w:rFonts w:hint="eastAsia"/>
              </w:rPr>
              <w:t>及时清运至环卫部门指定地点集中处置</w:t>
            </w:r>
          </w:p>
        </w:tc>
      </w:tr>
      <w:tr w14:paraId="1B68B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1EB87E91">
            <w:pPr>
              <w:pStyle w:val="1343"/>
            </w:pPr>
          </w:p>
        </w:tc>
        <w:tc>
          <w:tcPr>
            <w:tcW w:w="623" w:type="dxa"/>
            <w:vMerge w:val="continue"/>
            <w:vAlign w:val="center"/>
          </w:tcPr>
          <w:p w14:paraId="42AF6F3F">
            <w:pPr>
              <w:pStyle w:val="1343"/>
            </w:pPr>
          </w:p>
        </w:tc>
        <w:tc>
          <w:tcPr>
            <w:tcW w:w="1364" w:type="dxa"/>
            <w:vAlign w:val="center"/>
          </w:tcPr>
          <w:p w14:paraId="1EB9B785">
            <w:pPr>
              <w:pStyle w:val="1343"/>
            </w:pPr>
            <w:r>
              <w:rPr>
                <w:rFonts w:hint="eastAsia"/>
              </w:rPr>
              <w:t>建筑垃圾</w:t>
            </w:r>
          </w:p>
        </w:tc>
        <w:tc>
          <w:tcPr>
            <w:tcW w:w="1607" w:type="dxa"/>
            <w:vAlign w:val="center"/>
          </w:tcPr>
          <w:p w14:paraId="1A7667F9">
            <w:pPr>
              <w:pStyle w:val="1343"/>
            </w:pPr>
            <w:r>
              <w:rPr>
                <w:rFonts w:hint="eastAsia"/>
              </w:rPr>
              <w:t>建筑垃圾</w:t>
            </w:r>
          </w:p>
        </w:tc>
        <w:tc>
          <w:tcPr>
            <w:tcW w:w="1723" w:type="dxa"/>
            <w:vAlign w:val="center"/>
          </w:tcPr>
          <w:p w14:paraId="3A1F1EFD">
            <w:pPr>
              <w:pStyle w:val="1343"/>
            </w:pPr>
            <w:r>
              <w:rPr>
                <w:rFonts w:hint="eastAsia"/>
              </w:rPr>
              <w:t>2</w:t>
            </w:r>
            <w:r>
              <w:t>5</w:t>
            </w:r>
            <w:r>
              <w:rPr>
                <w:rFonts w:hint="eastAsia"/>
              </w:rPr>
              <w:t>t</w:t>
            </w:r>
          </w:p>
        </w:tc>
        <w:tc>
          <w:tcPr>
            <w:tcW w:w="3504" w:type="dxa"/>
            <w:vAlign w:val="center"/>
          </w:tcPr>
          <w:p w14:paraId="4F2DF9CC">
            <w:pPr>
              <w:pStyle w:val="1343"/>
            </w:pPr>
            <w:r>
              <w:rPr>
                <w:rFonts w:hint="eastAsia"/>
              </w:rPr>
              <w:t>建筑垃圾清运至当地政府指定建筑垃圾消纳场进行处理</w:t>
            </w:r>
          </w:p>
        </w:tc>
      </w:tr>
      <w:tr w14:paraId="0ADF0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71DA6380">
            <w:pPr>
              <w:pStyle w:val="1343"/>
            </w:pPr>
          </w:p>
        </w:tc>
        <w:tc>
          <w:tcPr>
            <w:tcW w:w="623" w:type="dxa"/>
            <w:vMerge w:val="continue"/>
            <w:vAlign w:val="center"/>
          </w:tcPr>
          <w:p w14:paraId="70BD18C9">
            <w:pPr>
              <w:pStyle w:val="1343"/>
            </w:pPr>
          </w:p>
        </w:tc>
        <w:tc>
          <w:tcPr>
            <w:tcW w:w="1364" w:type="dxa"/>
            <w:vAlign w:val="center"/>
          </w:tcPr>
          <w:p w14:paraId="12DBD72C">
            <w:pPr>
              <w:pStyle w:val="1343"/>
            </w:pPr>
            <w:r>
              <w:rPr>
                <w:rFonts w:hint="eastAsia"/>
              </w:rPr>
              <w:t>废油漆桶</w:t>
            </w:r>
          </w:p>
        </w:tc>
        <w:tc>
          <w:tcPr>
            <w:tcW w:w="1607" w:type="dxa"/>
            <w:vAlign w:val="center"/>
          </w:tcPr>
          <w:p w14:paraId="49661B93">
            <w:pPr>
              <w:pStyle w:val="1343"/>
            </w:pPr>
            <w:r>
              <w:rPr>
                <w:rFonts w:hint="eastAsia"/>
              </w:rPr>
              <w:t>铁桶、油漆(含有机溶剂)</w:t>
            </w:r>
          </w:p>
        </w:tc>
        <w:tc>
          <w:tcPr>
            <w:tcW w:w="1723" w:type="dxa"/>
            <w:vAlign w:val="center"/>
          </w:tcPr>
          <w:p w14:paraId="5C8865E6">
            <w:pPr>
              <w:pStyle w:val="1343"/>
            </w:pPr>
            <w:r>
              <w:rPr>
                <w:rFonts w:hint="eastAsia"/>
              </w:rPr>
              <w:t>—</w:t>
            </w:r>
          </w:p>
        </w:tc>
        <w:tc>
          <w:tcPr>
            <w:tcW w:w="3504" w:type="dxa"/>
            <w:vAlign w:val="center"/>
          </w:tcPr>
          <w:p w14:paraId="42D94B17">
            <w:pPr>
              <w:pStyle w:val="1343"/>
            </w:pPr>
            <w:r>
              <w:rPr>
                <w:rFonts w:hint="eastAsia"/>
              </w:rPr>
              <w:t>及时委托有资质单位拉运处理</w:t>
            </w:r>
          </w:p>
        </w:tc>
      </w:tr>
      <w:tr w14:paraId="02DF9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7589BF6F">
            <w:pPr>
              <w:pStyle w:val="1343"/>
            </w:pPr>
          </w:p>
        </w:tc>
        <w:tc>
          <w:tcPr>
            <w:tcW w:w="623" w:type="dxa"/>
            <w:vMerge w:val="continue"/>
            <w:vAlign w:val="center"/>
          </w:tcPr>
          <w:p w14:paraId="7518B243">
            <w:pPr>
              <w:pStyle w:val="1343"/>
            </w:pPr>
          </w:p>
        </w:tc>
        <w:tc>
          <w:tcPr>
            <w:tcW w:w="1364" w:type="dxa"/>
            <w:vAlign w:val="center"/>
          </w:tcPr>
          <w:p w14:paraId="0B248644">
            <w:pPr>
              <w:pStyle w:val="1343"/>
              <w:rPr>
                <w:sz w:val="22"/>
                <w:szCs w:val="22"/>
                <w:lang w:eastAsia="en-US"/>
              </w:rPr>
            </w:pPr>
            <w:r>
              <w:t>生活垃圾</w:t>
            </w:r>
          </w:p>
        </w:tc>
        <w:tc>
          <w:tcPr>
            <w:tcW w:w="1607" w:type="dxa"/>
            <w:vAlign w:val="center"/>
          </w:tcPr>
          <w:p w14:paraId="15E8F669">
            <w:pPr>
              <w:pStyle w:val="1343"/>
            </w:pPr>
            <w:r>
              <w:t>生活垃圾</w:t>
            </w:r>
          </w:p>
        </w:tc>
        <w:tc>
          <w:tcPr>
            <w:tcW w:w="1723" w:type="dxa"/>
            <w:vAlign w:val="center"/>
          </w:tcPr>
          <w:p w14:paraId="04F492B7">
            <w:pPr>
              <w:pStyle w:val="1343"/>
            </w:pPr>
            <w:r>
              <w:rPr>
                <w:rFonts w:hint="eastAsia"/>
              </w:rPr>
              <w:t>3.24</w:t>
            </w:r>
            <w:r>
              <w:t>t</w:t>
            </w:r>
          </w:p>
        </w:tc>
        <w:tc>
          <w:tcPr>
            <w:tcW w:w="3504" w:type="dxa"/>
            <w:vAlign w:val="center"/>
          </w:tcPr>
          <w:p w14:paraId="56E3F06A">
            <w:pPr>
              <w:pStyle w:val="1343"/>
            </w:pPr>
            <w:r>
              <w:t>经分类收集后，交当地环卫部门处置</w:t>
            </w:r>
          </w:p>
        </w:tc>
      </w:tr>
      <w:tr w14:paraId="673A8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00BFEAC2">
            <w:pPr>
              <w:pStyle w:val="1343"/>
            </w:pPr>
          </w:p>
        </w:tc>
        <w:tc>
          <w:tcPr>
            <w:tcW w:w="623" w:type="dxa"/>
            <w:vMerge w:val="restart"/>
            <w:vAlign w:val="center"/>
          </w:tcPr>
          <w:p w14:paraId="13BCDFE6">
            <w:pPr>
              <w:pStyle w:val="1343"/>
            </w:pPr>
            <w:r>
              <w:t>噪 声</w:t>
            </w:r>
          </w:p>
        </w:tc>
        <w:tc>
          <w:tcPr>
            <w:tcW w:w="1364" w:type="dxa"/>
            <w:vAlign w:val="center"/>
          </w:tcPr>
          <w:p w14:paraId="0E1B6AC2">
            <w:pPr>
              <w:pStyle w:val="1343"/>
            </w:pPr>
            <w:r>
              <w:rPr>
                <w:rFonts w:hint="eastAsia"/>
              </w:rPr>
              <w:t>放空噪声</w:t>
            </w:r>
          </w:p>
        </w:tc>
        <w:tc>
          <w:tcPr>
            <w:tcW w:w="1607" w:type="dxa"/>
            <w:vAlign w:val="center"/>
          </w:tcPr>
          <w:p w14:paraId="1A6D21B6">
            <w:pPr>
              <w:pStyle w:val="1343"/>
            </w:pPr>
            <w:r>
              <w:rPr>
                <w:rFonts w:hint="eastAsia"/>
              </w:rPr>
              <w:t>噪声</w:t>
            </w:r>
          </w:p>
        </w:tc>
        <w:tc>
          <w:tcPr>
            <w:tcW w:w="1723" w:type="dxa"/>
            <w:vAlign w:val="center"/>
          </w:tcPr>
          <w:p w14:paraId="7EFD4D26">
            <w:pPr>
              <w:pStyle w:val="1343"/>
            </w:pPr>
            <w:r>
              <w:t>源强</w:t>
            </w:r>
            <w:r>
              <w:rPr>
                <w:rFonts w:hint="eastAsia"/>
              </w:rPr>
              <w:t>95</w:t>
            </w:r>
            <w:r>
              <w:t>～</w:t>
            </w:r>
            <w:r>
              <w:rPr>
                <w:rFonts w:eastAsia="Times New Roman"/>
              </w:rPr>
              <w:t>10</w:t>
            </w:r>
            <w:r>
              <w:rPr>
                <w:rFonts w:hint="eastAsia"/>
              </w:rPr>
              <w:t>5</w:t>
            </w:r>
            <w:r>
              <w:rPr>
                <w:rFonts w:eastAsia="Times New Roman"/>
              </w:rPr>
              <w:t>dB(A)</w:t>
            </w:r>
          </w:p>
        </w:tc>
        <w:tc>
          <w:tcPr>
            <w:tcW w:w="3504" w:type="dxa"/>
            <w:vAlign w:val="center"/>
          </w:tcPr>
          <w:p w14:paraId="35430BA5">
            <w:pPr>
              <w:pStyle w:val="1343"/>
              <w:jc w:val="left"/>
            </w:pPr>
            <w:r>
              <w:rPr>
                <w:rFonts w:hint="eastAsia"/>
              </w:rPr>
              <w:t>合理安排放空时间，及时告知周围居民</w:t>
            </w:r>
          </w:p>
        </w:tc>
      </w:tr>
      <w:tr w14:paraId="0B2C6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12AD0C3F">
            <w:pPr>
              <w:pStyle w:val="1343"/>
            </w:pPr>
          </w:p>
        </w:tc>
        <w:tc>
          <w:tcPr>
            <w:tcW w:w="623" w:type="dxa"/>
            <w:vMerge w:val="continue"/>
            <w:vAlign w:val="center"/>
          </w:tcPr>
          <w:p w14:paraId="05E5BFD2">
            <w:pPr>
              <w:pStyle w:val="1343"/>
            </w:pPr>
          </w:p>
        </w:tc>
        <w:tc>
          <w:tcPr>
            <w:tcW w:w="1364" w:type="dxa"/>
            <w:vAlign w:val="center"/>
          </w:tcPr>
          <w:p w14:paraId="0BBF7497">
            <w:pPr>
              <w:pStyle w:val="1343"/>
            </w:pPr>
            <w:r>
              <w:t>施工机械、运输车辆噪声</w:t>
            </w:r>
          </w:p>
        </w:tc>
        <w:tc>
          <w:tcPr>
            <w:tcW w:w="1607" w:type="dxa"/>
            <w:vAlign w:val="center"/>
          </w:tcPr>
          <w:p w14:paraId="24BF263A">
            <w:pPr>
              <w:pStyle w:val="1343"/>
              <w:rPr>
                <w:lang w:eastAsia="en-US"/>
              </w:rPr>
            </w:pPr>
            <w:r>
              <w:t>噪声</w:t>
            </w:r>
          </w:p>
        </w:tc>
        <w:tc>
          <w:tcPr>
            <w:tcW w:w="1723" w:type="dxa"/>
            <w:vAlign w:val="center"/>
          </w:tcPr>
          <w:p w14:paraId="0E8CE56F">
            <w:pPr>
              <w:pStyle w:val="1343"/>
            </w:pPr>
            <w:r>
              <w:t>源强</w:t>
            </w:r>
            <w:r>
              <w:rPr>
                <w:rFonts w:eastAsia="Times New Roman"/>
              </w:rPr>
              <w:t>81</w:t>
            </w:r>
            <w:r>
              <w:t>～</w:t>
            </w:r>
            <w:r>
              <w:rPr>
                <w:rFonts w:eastAsia="Times New Roman"/>
              </w:rPr>
              <w:t>100dB(A)</w:t>
            </w:r>
          </w:p>
        </w:tc>
        <w:tc>
          <w:tcPr>
            <w:tcW w:w="3504" w:type="dxa"/>
            <w:vAlign w:val="center"/>
          </w:tcPr>
          <w:p w14:paraId="77D16E4F">
            <w:pPr>
              <w:pStyle w:val="1343"/>
              <w:jc w:val="left"/>
            </w:pPr>
            <w:r>
              <w:t>合理安排施工时间、禁止夜间施工等高噪声作业、修建围挡及临时降噪声屏障等</w:t>
            </w:r>
          </w:p>
        </w:tc>
      </w:tr>
      <w:tr w14:paraId="0A9BE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restart"/>
            <w:vAlign w:val="center"/>
          </w:tcPr>
          <w:p w14:paraId="49731294">
            <w:pPr>
              <w:pStyle w:val="1343"/>
              <w:rPr>
                <w:lang w:eastAsia="en-US"/>
              </w:rPr>
            </w:pPr>
            <w:r>
              <w:t>运营期</w:t>
            </w:r>
          </w:p>
        </w:tc>
        <w:tc>
          <w:tcPr>
            <w:tcW w:w="623" w:type="dxa"/>
            <w:vMerge w:val="restart"/>
            <w:vAlign w:val="center"/>
          </w:tcPr>
          <w:p w14:paraId="5493FDCE">
            <w:pPr>
              <w:pStyle w:val="1343"/>
              <w:rPr>
                <w:lang w:eastAsia="en-US"/>
              </w:rPr>
            </w:pPr>
            <w:r>
              <w:t>废气</w:t>
            </w:r>
          </w:p>
        </w:tc>
        <w:tc>
          <w:tcPr>
            <w:tcW w:w="1364" w:type="dxa"/>
            <w:vAlign w:val="center"/>
          </w:tcPr>
          <w:p w14:paraId="1A9D49E4">
            <w:pPr>
              <w:pStyle w:val="1343"/>
            </w:pPr>
            <w:r>
              <w:t>无组织挥发废气</w:t>
            </w:r>
          </w:p>
        </w:tc>
        <w:tc>
          <w:tcPr>
            <w:tcW w:w="1607" w:type="dxa"/>
            <w:vAlign w:val="center"/>
          </w:tcPr>
          <w:p w14:paraId="5B7E676E">
            <w:pPr>
              <w:pStyle w:val="1343"/>
              <w:rPr>
                <w:sz w:val="22"/>
                <w:szCs w:val="22"/>
              </w:rPr>
            </w:pPr>
            <w:r>
              <w:t>非甲烷总烃</w:t>
            </w:r>
          </w:p>
        </w:tc>
        <w:tc>
          <w:tcPr>
            <w:tcW w:w="1723" w:type="dxa"/>
            <w:vAlign w:val="center"/>
          </w:tcPr>
          <w:p w14:paraId="50D9416F">
            <w:pPr>
              <w:pStyle w:val="1343"/>
            </w:pPr>
            <w:r>
              <w:rPr>
                <w:rFonts w:hint="eastAsia"/>
                <w:color w:val="auto"/>
                <w:highlight w:val="none"/>
                <w:lang w:val="en-US" w:eastAsia="zh-CN"/>
              </w:rPr>
              <w:t>0.025</w:t>
            </w:r>
            <w:r>
              <w:rPr>
                <w:color w:val="auto"/>
                <w:highlight w:val="none"/>
              </w:rPr>
              <w:t>t/a</w:t>
            </w:r>
          </w:p>
        </w:tc>
        <w:tc>
          <w:tcPr>
            <w:tcW w:w="3504" w:type="dxa"/>
            <w:vMerge w:val="restart"/>
            <w:vAlign w:val="center"/>
          </w:tcPr>
          <w:p w14:paraId="2CDFF722">
            <w:pPr>
              <w:pStyle w:val="1343"/>
              <w:rPr>
                <w:rFonts w:eastAsiaTheme="minorEastAsia"/>
              </w:rPr>
            </w:pPr>
            <w:r>
              <w:t>加强管理，减少</w:t>
            </w:r>
            <w:r>
              <w:rPr>
                <w:rFonts w:hint="eastAsia"/>
              </w:rPr>
              <w:t>废气</w:t>
            </w:r>
            <w:r>
              <w:t>排放</w:t>
            </w:r>
          </w:p>
        </w:tc>
      </w:tr>
      <w:tr w14:paraId="25DB1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2683D2BA">
            <w:pPr>
              <w:pStyle w:val="1343"/>
            </w:pPr>
          </w:p>
        </w:tc>
        <w:tc>
          <w:tcPr>
            <w:tcW w:w="623" w:type="dxa"/>
            <w:vMerge w:val="continue"/>
            <w:vAlign w:val="center"/>
          </w:tcPr>
          <w:p w14:paraId="38877501">
            <w:pPr>
              <w:pStyle w:val="1343"/>
            </w:pPr>
          </w:p>
        </w:tc>
        <w:tc>
          <w:tcPr>
            <w:tcW w:w="1364" w:type="dxa"/>
            <w:vAlign w:val="center"/>
          </w:tcPr>
          <w:p w14:paraId="058063A5">
            <w:pPr>
              <w:pStyle w:val="1343"/>
            </w:pPr>
            <w:r>
              <w:t>系统超压排气</w:t>
            </w:r>
          </w:p>
        </w:tc>
        <w:tc>
          <w:tcPr>
            <w:tcW w:w="1607" w:type="dxa"/>
            <w:vAlign w:val="center"/>
          </w:tcPr>
          <w:p w14:paraId="769457B0">
            <w:pPr>
              <w:pStyle w:val="1343"/>
            </w:pPr>
            <w:r>
              <w:t>非甲烷总烃</w:t>
            </w:r>
          </w:p>
        </w:tc>
        <w:tc>
          <w:tcPr>
            <w:tcW w:w="1723" w:type="dxa"/>
            <w:vAlign w:val="center"/>
          </w:tcPr>
          <w:p w14:paraId="4E30983B">
            <w:pPr>
              <w:pStyle w:val="1343"/>
            </w:pPr>
            <w:r>
              <w:rPr>
                <w:rFonts w:hint="eastAsia"/>
              </w:rPr>
              <w:t>0.002t/a</w:t>
            </w:r>
          </w:p>
        </w:tc>
        <w:tc>
          <w:tcPr>
            <w:tcW w:w="3504" w:type="dxa"/>
            <w:vMerge w:val="continue"/>
            <w:vAlign w:val="center"/>
          </w:tcPr>
          <w:p w14:paraId="75CB8B14">
            <w:pPr>
              <w:pStyle w:val="1343"/>
              <w:rPr>
                <w:rFonts w:eastAsiaTheme="minorEastAsia"/>
              </w:rPr>
            </w:pPr>
          </w:p>
        </w:tc>
      </w:tr>
      <w:tr w14:paraId="3EBF7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29E8D8D1">
            <w:pPr>
              <w:pStyle w:val="1343"/>
              <w:rPr>
                <w:lang w:eastAsia="en-US"/>
              </w:rPr>
            </w:pPr>
          </w:p>
        </w:tc>
        <w:tc>
          <w:tcPr>
            <w:tcW w:w="623" w:type="dxa"/>
            <w:vMerge w:val="continue"/>
            <w:vAlign w:val="center"/>
          </w:tcPr>
          <w:p w14:paraId="43E8D297">
            <w:pPr>
              <w:pStyle w:val="1343"/>
            </w:pPr>
          </w:p>
        </w:tc>
        <w:tc>
          <w:tcPr>
            <w:tcW w:w="1364" w:type="dxa"/>
            <w:vAlign w:val="center"/>
          </w:tcPr>
          <w:p w14:paraId="20377A2D">
            <w:pPr>
              <w:pStyle w:val="1343"/>
            </w:pPr>
            <w:r>
              <w:t>过滤器检修排气</w:t>
            </w:r>
          </w:p>
        </w:tc>
        <w:tc>
          <w:tcPr>
            <w:tcW w:w="1607" w:type="dxa"/>
            <w:vAlign w:val="center"/>
          </w:tcPr>
          <w:p w14:paraId="22794D2B">
            <w:pPr>
              <w:pStyle w:val="1343"/>
            </w:pPr>
            <w:r>
              <w:t>非甲烷总烃</w:t>
            </w:r>
          </w:p>
        </w:tc>
        <w:tc>
          <w:tcPr>
            <w:tcW w:w="1723" w:type="dxa"/>
            <w:vAlign w:val="center"/>
          </w:tcPr>
          <w:p w14:paraId="1AC5BEDE">
            <w:pPr>
              <w:pStyle w:val="1343"/>
            </w:pPr>
            <w:r>
              <w:rPr>
                <w:rFonts w:hint="eastAsia"/>
              </w:rPr>
              <w:t>0.242t/a</w:t>
            </w:r>
          </w:p>
        </w:tc>
        <w:tc>
          <w:tcPr>
            <w:tcW w:w="3504" w:type="dxa"/>
            <w:vMerge w:val="continue"/>
            <w:vAlign w:val="center"/>
          </w:tcPr>
          <w:p w14:paraId="146363FA">
            <w:pPr>
              <w:pStyle w:val="1343"/>
              <w:rPr>
                <w:rFonts w:eastAsiaTheme="minorEastAsia"/>
              </w:rPr>
            </w:pPr>
          </w:p>
        </w:tc>
      </w:tr>
      <w:tr w14:paraId="50782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444E8099">
            <w:pPr>
              <w:pStyle w:val="1343"/>
              <w:rPr>
                <w:lang w:eastAsia="en-US"/>
              </w:rPr>
            </w:pPr>
          </w:p>
        </w:tc>
        <w:tc>
          <w:tcPr>
            <w:tcW w:w="623" w:type="dxa"/>
            <w:vMerge w:val="continue"/>
            <w:vAlign w:val="center"/>
          </w:tcPr>
          <w:p w14:paraId="2A83746F">
            <w:pPr>
              <w:pStyle w:val="1343"/>
            </w:pPr>
          </w:p>
        </w:tc>
        <w:tc>
          <w:tcPr>
            <w:tcW w:w="1364" w:type="dxa"/>
            <w:vAlign w:val="center"/>
          </w:tcPr>
          <w:p w14:paraId="0D5253EF">
            <w:pPr>
              <w:pStyle w:val="1343"/>
            </w:pPr>
            <w:r>
              <w:rPr>
                <w:rFonts w:hint="eastAsia"/>
              </w:rPr>
              <w:t>柴油发电机燃烧烟气</w:t>
            </w:r>
          </w:p>
        </w:tc>
        <w:tc>
          <w:tcPr>
            <w:tcW w:w="1607" w:type="dxa"/>
            <w:vAlign w:val="center"/>
          </w:tcPr>
          <w:p w14:paraId="5558902F">
            <w:pPr>
              <w:pStyle w:val="1343"/>
            </w:pPr>
            <w:r>
              <w:rPr>
                <w:rFonts w:hint="eastAsia"/>
              </w:rPr>
              <w:t>SO</w:t>
            </w:r>
            <w:r>
              <w:rPr>
                <w:rFonts w:hint="eastAsia"/>
                <w:vertAlign w:val="subscript"/>
              </w:rPr>
              <w:t>2</w:t>
            </w:r>
            <w:r>
              <w:rPr>
                <w:rFonts w:hint="eastAsia"/>
              </w:rPr>
              <w:t>、NO</w:t>
            </w:r>
            <w:r>
              <w:rPr>
                <w:rFonts w:hint="eastAsia"/>
                <w:vertAlign w:val="subscript"/>
              </w:rPr>
              <w:t>X</w:t>
            </w:r>
            <w:r>
              <w:rPr>
                <w:rFonts w:hint="eastAsia"/>
              </w:rPr>
              <w:t>、颗粒物</w:t>
            </w:r>
          </w:p>
        </w:tc>
        <w:tc>
          <w:tcPr>
            <w:tcW w:w="1723" w:type="dxa"/>
            <w:vAlign w:val="center"/>
          </w:tcPr>
          <w:p w14:paraId="4BDBBFD0">
            <w:pPr>
              <w:pStyle w:val="1343"/>
            </w:pPr>
            <w:r>
              <w:rPr>
                <w:rFonts w:hint="eastAsia"/>
              </w:rPr>
              <w:t>少量</w:t>
            </w:r>
          </w:p>
        </w:tc>
        <w:tc>
          <w:tcPr>
            <w:tcW w:w="3504" w:type="dxa"/>
            <w:vMerge w:val="continue"/>
            <w:vAlign w:val="center"/>
          </w:tcPr>
          <w:p w14:paraId="5C3B8B58">
            <w:pPr>
              <w:pStyle w:val="1343"/>
              <w:rPr>
                <w:rFonts w:eastAsiaTheme="minorEastAsia"/>
              </w:rPr>
            </w:pPr>
          </w:p>
        </w:tc>
      </w:tr>
      <w:tr w14:paraId="03D61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20691FFD">
            <w:pPr>
              <w:pStyle w:val="1343"/>
              <w:rPr>
                <w:lang w:eastAsia="en-US"/>
              </w:rPr>
            </w:pPr>
          </w:p>
        </w:tc>
        <w:tc>
          <w:tcPr>
            <w:tcW w:w="623" w:type="dxa"/>
            <w:vAlign w:val="center"/>
          </w:tcPr>
          <w:p w14:paraId="73AAB1E4">
            <w:pPr>
              <w:pStyle w:val="1343"/>
            </w:pPr>
            <w:r>
              <w:rPr>
                <w:rFonts w:hint="eastAsia"/>
              </w:rPr>
              <w:t>废水</w:t>
            </w:r>
          </w:p>
        </w:tc>
        <w:tc>
          <w:tcPr>
            <w:tcW w:w="1364" w:type="dxa"/>
            <w:vAlign w:val="center"/>
          </w:tcPr>
          <w:p w14:paraId="2F331254">
            <w:pPr>
              <w:pStyle w:val="1343"/>
            </w:pPr>
            <w:r>
              <w:rPr>
                <w:rFonts w:hint="eastAsia"/>
              </w:rPr>
              <w:t>巡检人员生活污水</w:t>
            </w:r>
          </w:p>
        </w:tc>
        <w:tc>
          <w:tcPr>
            <w:tcW w:w="1607" w:type="dxa"/>
            <w:vAlign w:val="center"/>
          </w:tcPr>
          <w:p w14:paraId="45CD4927">
            <w:pPr>
              <w:pStyle w:val="1343"/>
            </w:pPr>
            <w:r>
              <w:t>COD、</w:t>
            </w:r>
            <w:r>
              <w:rPr>
                <w:rFonts w:hint="eastAsia"/>
              </w:rPr>
              <w:t>BOD</w:t>
            </w:r>
            <w:r>
              <w:rPr>
                <w:rFonts w:hint="eastAsia"/>
                <w:vertAlign w:val="subscript"/>
              </w:rPr>
              <w:t>5</w:t>
            </w:r>
            <w:r>
              <w:rPr>
                <w:rFonts w:hint="eastAsia"/>
              </w:rPr>
              <w:t>、</w:t>
            </w:r>
            <w:r>
              <w:t>氨氮、SS</w:t>
            </w:r>
          </w:p>
        </w:tc>
        <w:tc>
          <w:tcPr>
            <w:tcW w:w="1723" w:type="dxa"/>
            <w:vAlign w:val="center"/>
          </w:tcPr>
          <w:p w14:paraId="37D3998D">
            <w:pPr>
              <w:pStyle w:val="1343"/>
            </w:pPr>
            <w:r>
              <w:rPr>
                <w:rFonts w:hint="eastAsia"/>
              </w:rPr>
              <w:t>少量</w:t>
            </w:r>
          </w:p>
        </w:tc>
        <w:tc>
          <w:tcPr>
            <w:tcW w:w="3504" w:type="dxa"/>
            <w:vAlign w:val="center"/>
          </w:tcPr>
          <w:p w14:paraId="2C25DBAE">
            <w:pPr>
              <w:pStyle w:val="1343"/>
              <w:rPr>
                <w:rFonts w:eastAsiaTheme="minorEastAsia"/>
              </w:rPr>
            </w:pPr>
            <w:r>
              <w:rPr>
                <w:rFonts w:hint="eastAsia"/>
              </w:rPr>
              <w:t>排入耒阳分输站内撬装卫生间，定期委托拉运处理</w:t>
            </w:r>
          </w:p>
        </w:tc>
      </w:tr>
      <w:tr w14:paraId="15EB7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6C686D2D">
            <w:pPr>
              <w:pStyle w:val="1343"/>
            </w:pPr>
          </w:p>
        </w:tc>
        <w:tc>
          <w:tcPr>
            <w:tcW w:w="623" w:type="dxa"/>
            <w:vMerge w:val="restart"/>
            <w:vAlign w:val="center"/>
          </w:tcPr>
          <w:p w14:paraId="506AF1E2">
            <w:pPr>
              <w:pStyle w:val="1343"/>
            </w:pPr>
            <w:r>
              <w:t>固 废</w:t>
            </w:r>
          </w:p>
        </w:tc>
        <w:tc>
          <w:tcPr>
            <w:tcW w:w="1364" w:type="dxa"/>
            <w:vAlign w:val="center"/>
          </w:tcPr>
          <w:p w14:paraId="67C5B559">
            <w:pPr>
              <w:pStyle w:val="1343"/>
            </w:pPr>
            <w:r>
              <w:rPr>
                <w:rFonts w:hint="eastAsia"/>
              </w:rPr>
              <w:t>分离器检修废渣</w:t>
            </w:r>
          </w:p>
        </w:tc>
        <w:tc>
          <w:tcPr>
            <w:tcW w:w="1607" w:type="dxa"/>
            <w:vAlign w:val="center"/>
          </w:tcPr>
          <w:p w14:paraId="6115A33A">
            <w:pPr>
              <w:pStyle w:val="1343"/>
            </w:pPr>
            <w:r>
              <w:rPr>
                <w:rFonts w:hint="eastAsia"/>
              </w:rPr>
              <w:t>氧化铁粉末、粉尘、含油液滴、烃类等</w:t>
            </w:r>
          </w:p>
        </w:tc>
        <w:tc>
          <w:tcPr>
            <w:tcW w:w="1723" w:type="dxa"/>
            <w:vAlign w:val="center"/>
          </w:tcPr>
          <w:p w14:paraId="097DDB37">
            <w:pPr>
              <w:pStyle w:val="1343"/>
            </w:pPr>
            <w:r>
              <w:t>0.005t/a</w:t>
            </w:r>
          </w:p>
        </w:tc>
        <w:tc>
          <w:tcPr>
            <w:tcW w:w="3504" w:type="dxa"/>
            <w:vAlign w:val="center"/>
          </w:tcPr>
          <w:p w14:paraId="5480272A">
            <w:pPr>
              <w:pStyle w:val="1343"/>
            </w:pPr>
            <w:r>
              <w:rPr>
                <w:rFonts w:hint="eastAsia"/>
              </w:rPr>
              <w:t>导入排污池中，定期委托有资质单位处置</w:t>
            </w:r>
          </w:p>
        </w:tc>
      </w:tr>
      <w:tr w14:paraId="74024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52D20308">
            <w:pPr>
              <w:pStyle w:val="1343"/>
            </w:pPr>
          </w:p>
        </w:tc>
        <w:tc>
          <w:tcPr>
            <w:tcW w:w="623" w:type="dxa"/>
            <w:vMerge w:val="continue"/>
            <w:vAlign w:val="center"/>
          </w:tcPr>
          <w:p w14:paraId="2CDA3E75">
            <w:pPr>
              <w:pStyle w:val="1343"/>
            </w:pPr>
          </w:p>
        </w:tc>
        <w:tc>
          <w:tcPr>
            <w:tcW w:w="1364" w:type="dxa"/>
            <w:vAlign w:val="center"/>
          </w:tcPr>
          <w:p w14:paraId="68219F08">
            <w:pPr>
              <w:pStyle w:val="1343"/>
            </w:pPr>
            <w:r>
              <w:t>废滤芯</w:t>
            </w:r>
          </w:p>
        </w:tc>
        <w:tc>
          <w:tcPr>
            <w:tcW w:w="1607" w:type="dxa"/>
            <w:vAlign w:val="center"/>
          </w:tcPr>
          <w:p w14:paraId="5AB6DF8D">
            <w:pPr>
              <w:pStyle w:val="1343"/>
            </w:pPr>
            <w:r>
              <w:rPr>
                <w:rFonts w:hint="eastAsia"/>
              </w:rPr>
              <w:t>S</w:t>
            </w:r>
            <w:r>
              <w:t>iO</w:t>
            </w:r>
            <w:r>
              <w:rPr>
                <w:vertAlign w:val="subscript"/>
              </w:rPr>
              <w:t>2</w:t>
            </w:r>
            <w:r>
              <w:rPr>
                <w:rFonts w:hint="eastAsia"/>
              </w:rPr>
              <w:t>，粉尘、氧化铁粉末物质、含油液滴、烃类等</w:t>
            </w:r>
          </w:p>
        </w:tc>
        <w:tc>
          <w:tcPr>
            <w:tcW w:w="1723" w:type="dxa"/>
            <w:vAlign w:val="center"/>
          </w:tcPr>
          <w:p w14:paraId="60B5C5B0">
            <w:pPr>
              <w:pStyle w:val="1343"/>
            </w:pPr>
            <w:r>
              <w:t>0.</w:t>
            </w:r>
            <w:r>
              <w:rPr>
                <w:rFonts w:hint="eastAsia"/>
              </w:rPr>
              <w:t>4</w:t>
            </w:r>
            <w:r>
              <w:t>t/</w:t>
            </w:r>
            <w:r>
              <w:rPr>
                <w:rFonts w:hint="eastAsia"/>
              </w:rPr>
              <w:t>2</w:t>
            </w:r>
            <w:r>
              <w:t>a</w:t>
            </w:r>
          </w:p>
        </w:tc>
        <w:tc>
          <w:tcPr>
            <w:tcW w:w="3504" w:type="dxa"/>
            <w:vAlign w:val="center"/>
          </w:tcPr>
          <w:p w14:paraId="5D499EBA">
            <w:pPr>
              <w:pStyle w:val="1343"/>
            </w:pPr>
            <w:r>
              <w:rPr>
                <w:rFonts w:hint="eastAsia"/>
              </w:rPr>
              <w:t>暂存于危废暂存间，委托有资质单位处置</w:t>
            </w:r>
          </w:p>
        </w:tc>
      </w:tr>
      <w:tr w14:paraId="70B60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4A5E3294">
            <w:pPr>
              <w:pStyle w:val="1343"/>
            </w:pPr>
          </w:p>
        </w:tc>
        <w:tc>
          <w:tcPr>
            <w:tcW w:w="623" w:type="dxa"/>
            <w:vMerge w:val="continue"/>
            <w:vAlign w:val="center"/>
          </w:tcPr>
          <w:p w14:paraId="7FBE367A">
            <w:pPr>
              <w:pStyle w:val="1343"/>
            </w:pPr>
          </w:p>
        </w:tc>
        <w:tc>
          <w:tcPr>
            <w:tcW w:w="1364" w:type="dxa"/>
            <w:vAlign w:val="center"/>
          </w:tcPr>
          <w:p w14:paraId="4330A277">
            <w:pPr>
              <w:pStyle w:val="1343"/>
            </w:pPr>
            <w:r>
              <w:rPr>
                <w:rFonts w:hint="eastAsia"/>
              </w:rPr>
              <w:t>废铅酸蓄电池</w:t>
            </w:r>
          </w:p>
        </w:tc>
        <w:tc>
          <w:tcPr>
            <w:tcW w:w="1607" w:type="dxa"/>
            <w:vAlign w:val="center"/>
          </w:tcPr>
          <w:p w14:paraId="32484B67">
            <w:pPr>
              <w:pStyle w:val="1343"/>
            </w:pPr>
            <w:r>
              <w:rPr>
                <w:rFonts w:hint="eastAsia"/>
              </w:rPr>
              <w:t>铅、硫酸等</w:t>
            </w:r>
          </w:p>
        </w:tc>
        <w:tc>
          <w:tcPr>
            <w:tcW w:w="1723" w:type="dxa"/>
            <w:vAlign w:val="center"/>
          </w:tcPr>
          <w:p w14:paraId="1CB39D3D">
            <w:pPr>
              <w:pStyle w:val="1343"/>
            </w:pPr>
            <w:r>
              <w:rPr>
                <w:rFonts w:hint="eastAsia"/>
              </w:rPr>
              <w:t>0.8t/8年</w:t>
            </w:r>
          </w:p>
        </w:tc>
        <w:tc>
          <w:tcPr>
            <w:tcW w:w="3504" w:type="dxa"/>
            <w:vAlign w:val="center"/>
          </w:tcPr>
          <w:p w14:paraId="18B22FF8">
            <w:pPr>
              <w:pStyle w:val="1343"/>
            </w:pPr>
            <w:r>
              <w:rPr>
                <w:rFonts w:hint="eastAsia"/>
              </w:rPr>
              <w:t>暂存于危废暂存间，委托有资质单位处置</w:t>
            </w:r>
          </w:p>
        </w:tc>
      </w:tr>
      <w:tr w14:paraId="1EF33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66AC8116">
            <w:pPr>
              <w:pStyle w:val="1343"/>
            </w:pPr>
          </w:p>
        </w:tc>
        <w:tc>
          <w:tcPr>
            <w:tcW w:w="623" w:type="dxa"/>
            <w:vMerge w:val="restart"/>
            <w:vAlign w:val="center"/>
          </w:tcPr>
          <w:p w14:paraId="230F811D">
            <w:pPr>
              <w:pStyle w:val="1343"/>
            </w:pPr>
            <w:r>
              <w:t>噪声</w:t>
            </w:r>
          </w:p>
        </w:tc>
        <w:tc>
          <w:tcPr>
            <w:tcW w:w="1364" w:type="dxa"/>
            <w:vAlign w:val="center"/>
          </w:tcPr>
          <w:p w14:paraId="492713AE">
            <w:pPr>
              <w:pStyle w:val="1343"/>
            </w:pPr>
            <w:r>
              <w:t>设备噪声</w:t>
            </w:r>
          </w:p>
        </w:tc>
        <w:tc>
          <w:tcPr>
            <w:tcW w:w="1607" w:type="dxa"/>
            <w:vAlign w:val="center"/>
          </w:tcPr>
          <w:p w14:paraId="02D28AE3">
            <w:pPr>
              <w:pStyle w:val="1343"/>
            </w:pPr>
            <w:r>
              <w:t>设备噪声</w:t>
            </w:r>
          </w:p>
        </w:tc>
        <w:tc>
          <w:tcPr>
            <w:tcW w:w="1723" w:type="dxa"/>
            <w:vAlign w:val="center"/>
          </w:tcPr>
          <w:p w14:paraId="65869022">
            <w:pPr>
              <w:pStyle w:val="1343"/>
            </w:pPr>
            <w:r>
              <w:t>噪声值55~75dB(A)</w:t>
            </w:r>
          </w:p>
        </w:tc>
        <w:tc>
          <w:tcPr>
            <w:tcW w:w="3504" w:type="dxa"/>
            <w:vAlign w:val="center"/>
          </w:tcPr>
          <w:p w14:paraId="55D979F1">
            <w:pPr>
              <w:pStyle w:val="1343"/>
            </w:pPr>
            <w:r>
              <w:t>基础</w:t>
            </w:r>
            <w:r>
              <w:rPr>
                <w:rFonts w:hint="eastAsia"/>
              </w:rPr>
              <w:t>减振</w:t>
            </w:r>
            <w:r>
              <w:t>、加强设备管理</w:t>
            </w:r>
          </w:p>
        </w:tc>
      </w:tr>
      <w:tr w14:paraId="14394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4793BE19">
            <w:pPr>
              <w:pStyle w:val="1343"/>
            </w:pPr>
          </w:p>
        </w:tc>
        <w:tc>
          <w:tcPr>
            <w:tcW w:w="623" w:type="dxa"/>
            <w:vMerge w:val="continue"/>
            <w:vAlign w:val="center"/>
          </w:tcPr>
          <w:p w14:paraId="29D6E16E">
            <w:pPr>
              <w:pStyle w:val="1343"/>
            </w:pPr>
          </w:p>
        </w:tc>
        <w:tc>
          <w:tcPr>
            <w:tcW w:w="1364" w:type="dxa"/>
            <w:vAlign w:val="center"/>
          </w:tcPr>
          <w:p w14:paraId="7BAC780A">
            <w:pPr>
              <w:pStyle w:val="1343"/>
            </w:pPr>
            <w:r>
              <w:rPr>
                <w:rFonts w:hint="eastAsia"/>
              </w:rPr>
              <w:t>放空噪声</w:t>
            </w:r>
          </w:p>
        </w:tc>
        <w:tc>
          <w:tcPr>
            <w:tcW w:w="1607" w:type="dxa"/>
            <w:vAlign w:val="center"/>
          </w:tcPr>
          <w:p w14:paraId="12A84247">
            <w:pPr>
              <w:pStyle w:val="1343"/>
            </w:pPr>
            <w:r>
              <w:rPr>
                <w:rFonts w:hint="eastAsia"/>
              </w:rPr>
              <w:t>放空噪声</w:t>
            </w:r>
          </w:p>
        </w:tc>
        <w:tc>
          <w:tcPr>
            <w:tcW w:w="1723" w:type="dxa"/>
            <w:vAlign w:val="center"/>
          </w:tcPr>
          <w:p w14:paraId="56F65B29">
            <w:pPr>
              <w:pStyle w:val="1343"/>
            </w:pPr>
            <w:r>
              <w:t>噪声值</w:t>
            </w:r>
          </w:p>
          <w:p w14:paraId="1F3C8DA8">
            <w:pPr>
              <w:pStyle w:val="1343"/>
            </w:pPr>
            <w:r>
              <w:rPr>
                <w:rFonts w:hint="eastAsia"/>
              </w:rPr>
              <w:t>9</w:t>
            </w:r>
            <w:r>
              <w:t>5-</w:t>
            </w:r>
            <w:r>
              <w:rPr>
                <w:rFonts w:hint="eastAsia"/>
              </w:rPr>
              <w:t>105</w:t>
            </w:r>
            <w:r>
              <w:t>dB(A)</w:t>
            </w:r>
          </w:p>
        </w:tc>
        <w:tc>
          <w:tcPr>
            <w:tcW w:w="3504" w:type="dxa"/>
            <w:vAlign w:val="center"/>
          </w:tcPr>
          <w:p w14:paraId="14BAEA42">
            <w:pPr>
              <w:pStyle w:val="1343"/>
            </w:pPr>
            <w:r>
              <w:rPr>
                <w:rFonts w:hint="eastAsia"/>
              </w:rPr>
              <w:t>合理安排放空时间，控制气流速度</w:t>
            </w:r>
          </w:p>
        </w:tc>
      </w:tr>
      <w:tr w14:paraId="39035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14:paraId="460D5151">
            <w:pPr>
              <w:pStyle w:val="1343"/>
            </w:pPr>
            <w:r>
              <w:t>分时段要求</w:t>
            </w:r>
          </w:p>
        </w:tc>
        <w:tc>
          <w:tcPr>
            <w:tcW w:w="8821" w:type="dxa"/>
            <w:gridSpan w:val="5"/>
            <w:vAlign w:val="center"/>
          </w:tcPr>
          <w:p w14:paraId="7179E025">
            <w:pPr>
              <w:pStyle w:val="1343"/>
            </w:pPr>
            <w:r>
              <w:t>本工程建成投产以后，不存在污染物排放的分时段要求。</w:t>
            </w:r>
          </w:p>
        </w:tc>
      </w:tr>
      <w:tr w14:paraId="703D62AF">
        <w:tblPrEx>
          <w:tblCellMar>
            <w:top w:w="0" w:type="dxa"/>
            <w:left w:w="108" w:type="dxa"/>
            <w:bottom w:w="0" w:type="dxa"/>
            <w:right w:w="108" w:type="dxa"/>
          </w:tblCellMar>
        </w:tblPrEx>
        <w:trPr>
          <w:jc w:val="center"/>
        </w:trPr>
        <w:tc>
          <w:tcPr>
            <w:tcW w:w="746" w:type="dxa"/>
            <w:vMerge w:val="restart"/>
            <w:vAlign w:val="center"/>
          </w:tcPr>
          <w:p w14:paraId="6878CFDB">
            <w:pPr>
              <w:pStyle w:val="1343"/>
            </w:pPr>
            <w:r>
              <w:t>排放 标准</w:t>
            </w:r>
          </w:p>
        </w:tc>
        <w:tc>
          <w:tcPr>
            <w:tcW w:w="623" w:type="dxa"/>
            <w:vAlign w:val="center"/>
          </w:tcPr>
          <w:p w14:paraId="62D2B69D">
            <w:pPr>
              <w:pStyle w:val="1343"/>
            </w:pPr>
            <w:r>
              <w:t>大气</w:t>
            </w:r>
          </w:p>
        </w:tc>
        <w:tc>
          <w:tcPr>
            <w:tcW w:w="8198" w:type="dxa"/>
            <w:gridSpan w:val="4"/>
            <w:vAlign w:val="center"/>
          </w:tcPr>
          <w:p w14:paraId="5736FBA8">
            <w:pPr>
              <w:pStyle w:val="1343"/>
              <w:jc w:val="left"/>
            </w:pPr>
            <w:r>
              <w:t>施工期施工扬尘排放执行《大气污染物综合排放标准》(GB16297-1996)表2中无组织排放监控浓度限值。运营期无组织排放非甲烷总烃执行《</w:t>
            </w:r>
            <w:r>
              <w:rPr>
                <w:rFonts w:hint="eastAsia"/>
              </w:rPr>
              <w:t>大气污染物综合排放标准</w:t>
            </w:r>
            <w:r>
              <w:t>》(</w:t>
            </w:r>
            <w:r>
              <w:rPr>
                <w:rFonts w:hint="eastAsia"/>
              </w:rPr>
              <w:t>GB16297-1996</w:t>
            </w:r>
            <w:r>
              <w:t>)表2厂界监控点浓度限值。</w:t>
            </w:r>
          </w:p>
        </w:tc>
      </w:tr>
      <w:tr w14:paraId="08523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0998AFEE">
            <w:pPr>
              <w:pStyle w:val="1343"/>
            </w:pPr>
          </w:p>
        </w:tc>
        <w:tc>
          <w:tcPr>
            <w:tcW w:w="623" w:type="dxa"/>
            <w:vAlign w:val="center"/>
          </w:tcPr>
          <w:p w14:paraId="3B9FB8BF">
            <w:pPr>
              <w:pStyle w:val="1343"/>
            </w:pPr>
            <w:r>
              <w:t>噪声</w:t>
            </w:r>
          </w:p>
        </w:tc>
        <w:tc>
          <w:tcPr>
            <w:tcW w:w="8198" w:type="dxa"/>
            <w:gridSpan w:val="4"/>
            <w:vAlign w:val="center"/>
          </w:tcPr>
          <w:p w14:paraId="291EDF2E">
            <w:pPr>
              <w:pStyle w:val="1343"/>
            </w:pPr>
            <w:r>
              <w:t>施工期噪声执行《建筑施工场界环境噪声排放标准》(GB 12523-2011)；运行期站场噪声执行《工业企业厂界环境噪声排放标准》(GB 12348-2008)中的2类标准</w:t>
            </w:r>
          </w:p>
        </w:tc>
      </w:tr>
      <w:tr w14:paraId="39E7E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Merge w:val="continue"/>
            <w:vAlign w:val="center"/>
          </w:tcPr>
          <w:p w14:paraId="4D6E0851">
            <w:pPr>
              <w:pStyle w:val="1343"/>
            </w:pPr>
          </w:p>
        </w:tc>
        <w:tc>
          <w:tcPr>
            <w:tcW w:w="623" w:type="dxa"/>
            <w:vAlign w:val="center"/>
          </w:tcPr>
          <w:p w14:paraId="73535CEF">
            <w:pPr>
              <w:pStyle w:val="1343"/>
            </w:pPr>
            <w:r>
              <w:t>固 体 废 物</w:t>
            </w:r>
          </w:p>
        </w:tc>
        <w:tc>
          <w:tcPr>
            <w:tcW w:w="8198" w:type="dxa"/>
            <w:gridSpan w:val="4"/>
            <w:vAlign w:val="center"/>
          </w:tcPr>
          <w:p w14:paraId="0EF8EDC0">
            <w:pPr>
              <w:pStyle w:val="1343"/>
              <w:jc w:val="left"/>
            </w:pPr>
            <w:r>
              <w:t>施工期施工废料的处理、处置执行《一般工业固体废物贮存和填埋污染控制标准》(GB 18599-2020)标准要求，</w:t>
            </w:r>
            <w:r>
              <w:rPr>
                <w:rFonts w:hint="eastAsia"/>
              </w:rPr>
              <w:t>施工期废油漆桶和</w:t>
            </w:r>
            <w:r>
              <w:t>运行期</w:t>
            </w:r>
            <w:r>
              <w:rPr>
                <w:rFonts w:hint="eastAsia"/>
              </w:rPr>
              <w:t>过滤</w:t>
            </w:r>
            <w:r>
              <w:t>分离器废渣</w:t>
            </w:r>
            <w:r>
              <w:rPr>
                <w:rFonts w:hint="eastAsia"/>
              </w:rPr>
              <w:t>、</w:t>
            </w:r>
            <w:r>
              <w:t>废滤芯</w:t>
            </w:r>
            <w:r>
              <w:rPr>
                <w:rFonts w:hint="eastAsia"/>
              </w:rPr>
              <w:t>、废铅酸蓄电池</w:t>
            </w:r>
            <w:r>
              <w:t>等固体废物的</w:t>
            </w:r>
            <w:r>
              <w:rPr>
                <w:rFonts w:hint="eastAsia"/>
              </w:rPr>
              <w:t>贮存</w:t>
            </w:r>
            <w:r>
              <w:t>执行《</w:t>
            </w:r>
            <w:r>
              <w:rPr>
                <w:rFonts w:hint="eastAsia"/>
              </w:rPr>
              <w:t>危险废物贮存污染控制标准</w:t>
            </w:r>
            <w:r>
              <w:t>》(GB1859</w:t>
            </w:r>
            <w:r>
              <w:rPr>
                <w:rFonts w:hint="eastAsia"/>
              </w:rPr>
              <w:t>7</w:t>
            </w:r>
            <w:r>
              <w:t>-202</w:t>
            </w:r>
            <w:r>
              <w:rPr>
                <w:rFonts w:hint="eastAsia"/>
              </w:rPr>
              <w:t>3</w:t>
            </w:r>
            <w:r>
              <w:t>)标准要求。</w:t>
            </w:r>
          </w:p>
        </w:tc>
      </w:tr>
      <w:tr w14:paraId="537BC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gridSpan w:val="2"/>
            <w:vAlign w:val="center"/>
          </w:tcPr>
          <w:p w14:paraId="3BC07213">
            <w:pPr>
              <w:pStyle w:val="1343"/>
            </w:pPr>
            <w:r>
              <w:t>环境风险防范措施</w:t>
            </w:r>
          </w:p>
        </w:tc>
        <w:tc>
          <w:tcPr>
            <w:tcW w:w="8198" w:type="dxa"/>
            <w:gridSpan w:val="4"/>
            <w:vAlign w:val="center"/>
          </w:tcPr>
          <w:p w14:paraId="37EA7FE5">
            <w:pPr>
              <w:pStyle w:val="1343"/>
              <w:jc w:val="both"/>
            </w:pPr>
            <w:r>
              <w:t>在所有风险敏感目标的区段，都应按照《输气管道工程设计规范》（GB 50251-2015）的规定，根据穿越段的地区等级做出相应的管道设计，根据周围人员密集敏感情况选取设计系数提高设计等级，增加管壁厚度；以增强管道抵抗外部可能造成破坏的能力。加强对穿越</w:t>
            </w:r>
            <w:r>
              <w:rPr>
                <w:rFonts w:hint="eastAsia"/>
              </w:rPr>
              <w:t>坑塘</w:t>
            </w:r>
            <w:r>
              <w:t>、</w:t>
            </w:r>
            <w:r>
              <w:rPr>
                <w:rFonts w:hint="eastAsia"/>
              </w:rPr>
              <w:t>公路</w:t>
            </w:r>
            <w:r>
              <w:t>段和人员密集段管道的巡检力度，防止人员蓄意破坏，及时调整阴极保护电压、电流参数，使管道处于良好的保护状态。穿越林地等地段时应主动接受主管部门的检查，严格按相关要求执行，降低环境风险。</w:t>
            </w:r>
          </w:p>
        </w:tc>
      </w:tr>
      <w:tr w14:paraId="5F7B0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gridSpan w:val="2"/>
            <w:vAlign w:val="center"/>
          </w:tcPr>
          <w:p w14:paraId="0FE9218C">
            <w:pPr>
              <w:pStyle w:val="1343"/>
            </w:pPr>
            <w:r>
              <w:t>环境监测</w:t>
            </w:r>
          </w:p>
        </w:tc>
        <w:tc>
          <w:tcPr>
            <w:tcW w:w="8198" w:type="dxa"/>
            <w:gridSpan w:val="4"/>
            <w:vAlign w:val="center"/>
          </w:tcPr>
          <w:p w14:paraId="6CB4D81F">
            <w:pPr>
              <w:pStyle w:val="1343"/>
              <w:jc w:val="left"/>
            </w:pPr>
            <w:r>
              <w:t>本工程制定具体的监测计划，环境监测工作定期委托当地环境保护监测部门等有资质的单位进行，必要时可随时委托。</w:t>
            </w:r>
          </w:p>
        </w:tc>
      </w:tr>
    </w:tbl>
    <w:p w14:paraId="2ADDB90B">
      <w:pPr>
        <w:pStyle w:val="4"/>
        <w:spacing w:before="120" w:beforeLines="50"/>
      </w:pPr>
      <w:bookmarkStart w:id="277" w:name="_Toc31495"/>
      <w:r>
        <w:rPr>
          <w:rFonts w:hint="eastAsia"/>
        </w:rPr>
        <w:t>竣工环境保护验收</w:t>
      </w:r>
      <w:bookmarkEnd w:id="277"/>
    </w:p>
    <w:p w14:paraId="09FCFA96">
      <w:pPr>
        <w:pStyle w:val="234"/>
        <w:rPr>
          <w:szCs w:val="21"/>
        </w:rPr>
      </w:pPr>
      <w:r>
        <w:rPr>
          <w:i/>
          <w:iCs/>
          <w:color w:val="auto"/>
          <w:u w:val="single"/>
        </w:rPr>
        <w:t>本工程</w:t>
      </w:r>
      <w:r>
        <w:rPr>
          <w:rFonts w:hint="eastAsia"/>
          <w:i/>
          <w:iCs/>
          <w:color w:val="auto"/>
          <w:u w:val="single"/>
        </w:rPr>
        <w:t>竣工后，应按照《建设项目竣工环境保护验收暂行办法》（国环规环评〔2017〕4</w:t>
      </w:r>
      <w:r>
        <w:rPr>
          <w:rFonts w:hint="eastAsia" w:ascii="宋体" w:hAnsi="宋体"/>
          <w:i/>
          <w:iCs/>
          <w:color w:val="auto"/>
          <w:u w:val="single"/>
        </w:rPr>
        <w:t>号</w:t>
      </w:r>
      <w:r>
        <w:rPr>
          <w:rFonts w:hint="eastAsia"/>
          <w:i/>
          <w:iCs/>
          <w:color w:val="auto"/>
          <w:u w:val="single"/>
        </w:rPr>
        <w:t>）的有关规定进行</w:t>
      </w:r>
      <w:r>
        <w:rPr>
          <w:i/>
          <w:iCs/>
          <w:color w:val="auto"/>
          <w:u w:val="single"/>
        </w:rPr>
        <w:t>竣工环境保护验收</w:t>
      </w:r>
      <w:r>
        <w:rPr>
          <w:rFonts w:hint="eastAsia"/>
          <w:i/>
          <w:iCs/>
          <w:color w:val="auto"/>
          <w:u w:val="single"/>
        </w:rPr>
        <w:t>并进行信息公开，</w:t>
      </w:r>
      <w:r>
        <w:t>竣工环境保护验收要求及内容见</w:t>
      </w:r>
      <w:r>
        <w:fldChar w:fldCharType="begin"/>
      </w:r>
      <w:r>
        <w:instrText xml:space="preserve"> REF _Ref90661303 \h  \* MERGEFORMAT </w:instrText>
      </w:r>
      <w:r>
        <w:fldChar w:fldCharType="separate"/>
      </w:r>
      <w:r>
        <w:t>表</w:t>
      </w:r>
      <w:r>
        <w:rPr>
          <w:rFonts w:hint="eastAsia"/>
        </w:rPr>
        <w:t>10.5-</w:t>
      </w:r>
      <w:r>
        <w:t>1</w:t>
      </w:r>
      <w:r>
        <w:fldChar w:fldCharType="end"/>
      </w:r>
      <w:r>
        <w:t>。</w:t>
      </w:r>
    </w:p>
    <w:p w14:paraId="53082659">
      <w:pPr>
        <w:pStyle w:val="904"/>
      </w:pPr>
      <w:bookmarkStart w:id="278" w:name="_Ref90661303"/>
      <w:r>
        <w:t>表</w:t>
      </w:r>
      <w:r>
        <w:rPr>
          <w:rFonts w:hint="eastAsia"/>
        </w:rPr>
        <w:t>10.5-</w:t>
      </w:r>
      <w:r>
        <w:fldChar w:fldCharType="begin"/>
      </w:r>
      <w:r>
        <w:instrText xml:space="preserve"> SEQ 表 \* ARABIC \s 2 </w:instrText>
      </w:r>
      <w:r>
        <w:fldChar w:fldCharType="separate"/>
      </w:r>
      <w:r>
        <w:t>1</w:t>
      </w:r>
      <w:r>
        <w:fldChar w:fldCharType="end"/>
      </w:r>
      <w:bookmarkEnd w:id="278"/>
      <w:r>
        <w:rPr>
          <w:rFonts w:hint="eastAsia"/>
        </w:rPr>
        <w:t>竣工</w:t>
      </w:r>
      <w:r>
        <w:t>环境保护验收一览表</w:t>
      </w:r>
    </w:p>
    <w:tbl>
      <w:tblPr>
        <w:tblStyle w:val="139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654"/>
        <w:gridCol w:w="828"/>
        <w:gridCol w:w="3915"/>
        <w:gridCol w:w="3743"/>
      </w:tblGrid>
      <w:tr w14:paraId="544A4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Align w:val="center"/>
          </w:tcPr>
          <w:p w14:paraId="1232FCA7">
            <w:pPr>
              <w:pStyle w:val="1343"/>
            </w:pPr>
            <w:r>
              <w:t>阶段</w:t>
            </w:r>
          </w:p>
        </w:tc>
        <w:tc>
          <w:tcPr>
            <w:tcW w:w="342" w:type="pct"/>
            <w:vAlign w:val="center"/>
          </w:tcPr>
          <w:p w14:paraId="2B3734F2">
            <w:pPr>
              <w:pStyle w:val="1343"/>
            </w:pPr>
            <w:r>
              <w:t>类别</w:t>
            </w:r>
          </w:p>
        </w:tc>
        <w:tc>
          <w:tcPr>
            <w:tcW w:w="433" w:type="pct"/>
            <w:vAlign w:val="center"/>
          </w:tcPr>
          <w:p w14:paraId="7664DD49">
            <w:pPr>
              <w:pStyle w:val="1343"/>
            </w:pPr>
            <w:r>
              <w:t>污染源</w:t>
            </w:r>
          </w:p>
        </w:tc>
        <w:tc>
          <w:tcPr>
            <w:tcW w:w="2045" w:type="pct"/>
            <w:vAlign w:val="center"/>
          </w:tcPr>
          <w:p w14:paraId="3C2EB17F">
            <w:pPr>
              <w:pStyle w:val="1343"/>
            </w:pPr>
            <w:r>
              <w:t>环保措施及设施</w:t>
            </w:r>
          </w:p>
        </w:tc>
        <w:tc>
          <w:tcPr>
            <w:tcW w:w="1955" w:type="pct"/>
            <w:vAlign w:val="center"/>
          </w:tcPr>
          <w:p w14:paraId="0DF1E6BC">
            <w:pPr>
              <w:pStyle w:val="1343"/>
            </w:pPr>
            <w:r>
              <w:t>预期效果及验收标准</w:t>
            </w:r>
          </w:p>
        </w:tc>
      </w:tr>
      <w:tr w14:paraId="4972F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restart"/>
            <w:vAlign w:val="center"/>
          </w:tcPr>
          <w:p w14:paraId="5FF31F90">
            <w:pPr>
              <w:pStyle w:val="1343"/>
            </w:pPr>
            <w:r>
              <w:t>施工期</w:t>
            </w:r>
          </w:p>
        </w:tc>
        <w:tc>
          <w:tcPr>
            <w:tcW w:w="342" w:type="pct"/>
            <w:vMerge w:val="restart"/>
            <w:vAlign w:val="center"/>
          </w:tcPr>
          <w:p w14:paraId="7281BFA5">
            <w:pPr>
              <w:pStyle w:val="1343"/>
            </w:pPr>
            <w:r>
              <w:t>废气</w:t>
            </w:r>
          </w:p>
        </w:tc>
        <w:tc>
          <w:tcPr>
            <w:tcW w:w="433" w:type="pct"/>
            <w:vAlign w:val="center"/>
          </w:tcPr>
          <w:p w14:paraId="4263F2FA">
            <w:pPr>
              <w:pStyle w:val="1343"/>
            </w:pPr>
            <w:r>
              <w:t>施工扬尘</w:t>
            </w:r>
          </w:p>
        </w:tc>
        <w:tc>
          <w:tcPr>
            <w:tcW w:w="2045" w:type="pct"/>
            <w:vAlign w:val="center"/>
          </w:tcPr>
          <w:p w14:paraId="11864B5B">
            <w:pPr>
              <w:pStyle w:val="1343"/>
              <w:jc w:val="left"/>
            </w:pPr>
            <w:r>
              <w:t>施工场界设置屏障和</w:t>
            </w:r>
            <w:r>
              <w:rPr>
                <w:rFonts w:hint="eastAsia"/>
              </w:rPr>
              <w:t>围挡</w:t>
            </w:r>
            <w:r>
              <w:t>，材料运输及堆放时遮盖，施工现场道路硬化，施工场地保洁</w:t>
            </w:r>
            <w:r>
              <w:rPr>
                <w:rFonts w:hint="eastAsia"/>
              </w:rPr>
              <w:t>；配备移动式洒水降尘设备，</w:t>
            </w:r>
            <w:r>
              <w:t>施工场地洒水抑尘</w:t>
            </w:r>
            <w:r>
              <w:rPr>
                <w:rFonts w:hint="eastAsia"/>
              </w:rPr>
              <w:t>；</w:t>
            </w:r>
            <w:r>
              <w:t>施工现场张贴扬尘防治宣传标语和宣传版画</w:t>
            </w:r>
            <w:r>
              <w:rPr>
                <w:rFonts w:hint="eastAsia"/>
              </w:rPr>
              <w:t>；</w:t>
            </w:r>
            <w:r>
              <w:t>编制重污染天气扬尘污染防治应急响应实施方案</w:t>
            </w:r>
          </w:p>
        </w:tc>
        <w:tc>
          <w:tcPr>
            <w:tcW w:w="1955" w:type="pct"/>
            <w:vAlign w:val="center"/>
          </w:tcPr>
          <w:p w14:paraId="23724B13">
            <w:pPr>
              <w:pStyle w:val="1343"/>
            </w:pPr>
            <w:r>
              <w:t>《大气污染物综合排放标准》</w:t>
            </w:r>
          </w:p>
          <w:p w14:paraId="6437E38E">
            <w:pPr>
              <w:pStyle w:val="1343"/>
            </w:pPr>
            <w:r>
              <w:t>（GB 16297-1996）二级标准</w:t>
            </w:r>
          </w:p>
        </w:tc>
      </w:tr>
      <w:tr w14:paraId="22283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585375FF">
            <w:pPr>
              <w:pStyle w:val="1343"/>
            </w:pPr>
          </w:p>
        </w:tc>
        <w:tc>
          <w:tcPr>
            <w:tcW w:w="342" w:type="pct"/>
            <w:vMerge w:val="continue"/>
            <w:vAlign w:val="center"/>
          </w:tcPr>
          <w:p w14:paraId="652E515B">
            <w:pPr>
              <w:pStyle w:val="1343"/>
            </w:pPr>
          </w:p>
        </w:tc>
        <w:tc>
          <w:tcPr>
            <w:tcW w:w="433" w:type="pct"/>
            <w:vAlign w:val="center"/>
          </w:tcPr>
          <w:p w14:paraId="5FF5417D">
            <w:pPr>
              <w:pStyle w:val="1343"/>
            </w:pPr>
            <w:r>
              <w:rPr>
                <w:rFonts w:hint="eastAsia"/>
              </w:rPr>
              <w:t>施工机械废气</w:t>
            </w:r>
          </w:p>
        </w:tc>
        <w:tc>
          <w:tcPr>
            <w:tcW w:w="2045" w:type="pct"/>
            <w:vAlign w:val="center"/>
          </w:tcPr>
          <w:p w14:paraId="379F1147">
            <w:pPr>
              <w:pStyle w:val="1343"/>
              <w:jc w:val="left"/>
            </w:pPr>
            <w:r>
              <w:t>选择环保合格的机械设备</w:t>
            </w:r>
            <w:r>
              <w:rPr>
                <w:rFonts w:hint="eastAsia"/>
              </w:rPr>
              <w:t>，</w:t>
            </w:r>
            <w:r>
              <w:t>施工车辆及非道路移动机械应使用符合标准的汽柴油</w:t>
            </w:r>
            <w:r>
              <w:rPr>
                <w:rFonts w:hint="eastAsia"/>
              </w:rPr>
              <w:t>等</w:t>
            </w:r>
            <w:r>
              <w:t>，同时加强施工机械的维修、保养，使其保持良好的运行状态</w:t>
            </w:r>
          </w:p>
        </w:tc>
        <w:tc>
          <w:tcPr>
            <w:tcW w:w="1955" w:type="pct"/>
            <w:vAlign w:val="center"/>
          </w:tcPr>
          <w:p w14:paraId="1A6CD400">
            <w:pPr>
              <w:pStyle w:val="1343"/>
            </w:pPr>
            <w:r>
              <w:t>《非道路柴油移动机械污染物排放控制技术要求》《非道路移动机械污染防治技术政策》</w:t>
            </w:r>
          </w:p>
        </w:tc>
      </w:tr>
      <w:tr w14:paraId="2B3A7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403C55BE">
            <w:pPr>
              <w:pStyle w:val="1343"/>
            </w:pPr>
          </w:p>
        </w:tc>
        <w:tc>
          <w:tcPr>
            <w:tcW w:w="342" w:type="pct"/>
            <w:vMerge w:val="continue"/>
            <w:vAlign w:val="center"/>
          </w:tcPr>
          <w:p w14:paraId="235AA6DC">
            <w:pPr>
              <w:pStyle w:val="1343"/>
            </w:pPr>
          </w:p>
        </w:tc>
        <w:tc>
          <w:tcPr>
            <w:tcW w:w="433" w:type="pct"/>
            <w:vAlign w:val="center"/>
          </w:tcPr>
          <w:p w14:paraId="2D37F274">
            <w:pPr>
              <w:pStyle w:val="1343"/>
            </w:pPr>
            <w:r>
              <w:rPr>
                <w:rFonts w:hint="eastAsia"/>
              </w:rPr>
              <w:t>放空天然气</w:t>
            </w:r>
          </w:p>
        </w:tc>
        <w:tc>
          <w:tcPr>
            <w:tcW w:w="2045" w:type="pct"/>
            <w:vAlign w:val="center"/>
          </w:tcPr>
          <w:p w14:paraId="2114C16A">
            <w:pPr>
              <w:pStyle w:val="1343"/>
            </w:pPr>
            <w:r>
              <w:t>以放空口为中心设立半径为300m的隔离区。放空隔离区内需疏散人员，设置临时警示带，不允许有烟火和静电火花产生</w:t>
            </w:r>
          </w:p>
        </w:tc>
        <w:tc>
          <w:tcPr>
            <w:tcW w:w="1955" w:type="pct"/>
            <w:vAlign w:val="center"/>
          </w:tcPr>
          <w:p w14:paraId="501AB08A">
            <w:pPr>
              <w:pStyle w:val="1343"/>
            </w:pPr>
            <w:r>
              <w:rPr>
                <w:rFonts w:hint="eastAsia"/>
              </w:rPr>
              <w:t>/</w:t>
            </w:r>
          </w:p>
        </w:tc>
      </w:tr>
      <w:tr w14:paraId="6A2DC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5C280EB7">
            <w:pPr>
              <w:pStyle w:val="1343"/>
            </w:pPr>
          </w:p>
        </w:tc>
        <w:tc>
          <w:tcPr>
            <w:tcW w:w="342" w:type="pct"/>
            <w:vMerge w:val="restart"/>
            <w:vAlign w:val="center"/>
          </w:tcPr>
          <w:p w14:paraId="44A35A98">
            <w:pPr>
              <w:pStyle w:val="1343"/>
            </w:pPr>
            <w:r>
              <w:t>废水</w:t>
            </w:r>
          </w:p>
        </w:tc>
        <w:tc>
          <w:tcPr>
            <w:tcW w:w="433" w:type="pct"/>
            <w:vAlign w:val="center"/>
          </w:tcPr>
          <w:p w14:paraId="781ADE7A">
            <w:pPr>
              <w:pStyle w:val="1343"/>
            </w:pPr>
            <w:r>
              <w:t>试压</w:t>
            </w:r>
          </w:p>
          <w:p w14:paraId="039920D1">
            <w:pPr>
              <w:pStyle w:val="1343"/>
            </w:pPr>
            <w:r>
              <w:t>排水</w:t>
            </w:r>
          </w:p>
        </w:tc>
        <w:tc>
          <w:tcPr>
            <w:tcW w:w="2045" w:type="pct"/>
            <w:vAlign w:val="center"/>
          </w:tcPr>
          <w:p w14:paraId="472FF68D">
            <w:pPr>
              <w:pStyle w:val="1343"/>
            </w:pPr>
            <w:r>
              <w:rPr>
                <w:rFonts w:hint="eastAsia"/>
              </w:rPr>
              <w:t>采用过滤处理后回用于农田灌溉、道路洒水等用水。</w:t>
            </w:r>
          </w:p>
        </w:tc>
        <w:tc>
          <w:tcPr>
            <w:tcW w:w="1955" w:type="pct"/>
            <w:vAlign w:val="center"/>
          </w:tcPr>
          <w:p w14:paraId="669F46D2">
            <w:pPr>
              <w:pStyle w:val="1343"/>
            </w:pPr>
            <w:r>
              <w:rPr>
                <w:rFonts w:hint="eastAsia"/>
              </w:rPr>
              <w:t>不外排</w:t>
            </w:r>
          </w:p>
        </w:tc>
      </w:tr>
      <w:tr w14:paraId="137F2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26BED200">
            <w:pPr>
              <w:pStyle w:val="1343"/>
            </w:pPr>
          </w:p>
        </w:tc>
        <w:tc>
          <w:tcPr>
            <w:tcW w:w="342" w:type="pct"/>
            <w:vMerge w:val="continue"/>
            <w:vAlign w:val="center"/>
          </w:tcPr>
          <w:p w14:paraId="67D9AE12">
            <w:pPr>
              <w:pStyle w:val="1343"/>
            </w:pPr>
          </w:p>
        </w:tc>
        <w:tc>
          <w:tcPr>
            <w:tcW w:w="433" w:type="pct"/>
            <w:vAlign w:val="center"/>
          </w:tcPr>
          <w:p w14:paraId="2DBACE95">
            <w:pPr>
              <w:pStyle w:val="1343"/>
            </w:pPr>
            <w:r>
              <w:t>施工</w:t>
            </w:r>
          </w:p>
          <w:p w14:paraId="6E15EA16">
            <w:pPr>
              <w:pStyle w:val="1343"/>
            </w:pPr>
            <w:r>
              <w:t>废水</w:t>
            </w:r>
          </w:p>
        </w:tc>
        <w:tc>
          <w:tcPr>
            <w:tcW w:w="2045" w:type="pct"/>
            <w:vAlign w:val="center"/>
          </w:tcPr>
          <w:p w14:paraId="26DAB0FB">
            <w:pPr>
              <w:pStyle w:val="1343"/>
            </w:pPr>
            <w:r>
              <w:t>经沉淀后回用于洒水降尘</w:t>
            </w:r>
          </w:p>
        </w:tc>
        <w:tc>
          <w:tcPr>
            <w:tcW w:w="1955" w:type="pct"/>
            <w:vAlign w:val="center"/>
          </w:tcPr>
          <w:p w14:paraId="7C07754C">
            <w:pPr>
              <w:pStyle w:val="1343"/>
            </w:pPr>
            <w:r>
              <w:rPr>
                <w:rFonts w:hint="eastAsia"/>
              </w:rPr>
              <w:t>不外排</w:t>
            </w:r>
          </w:p>
        </w:tc>
      </w:tr>
      <w:tr w14:paraId="7E2BE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7559572D">
            <w:pPr>
              <w:pStyle w:val="1343"/>
            </w:pPr>
          </w:p>
        </w:tc>
        <w:tc>
          <w:tcPr>
            <w:tcW w:w="342" w:type="pct"/>
            <w:vMerge w:val="continue"/>
            <w:vAlign w:val="center"/>
          </w:tcPr>
          <w:p w14:paraId="5589808D">
            <w:pPr>
              <w:pStyle w:val="1343"/>
            </w:pPr>
          </w:p>
        </w:tc>
        <w:tc>
          <w:tcPr>
            <w:tcW w:w="433" w:type="pct"/>
            <w:vAlign w:val="center"/>
          </w:tcPr>
          <w:p w14:paraId="12543C08">
            <w:pPr>
              <w:pStyle w:val="1343"/>
            </w:pPr>
            <w:r>
              <w:t>生活</w:t>
            </w:r>
          </w:p>
          <w:p w14:paraId="7B777E1A">
            <w:pPr>
              <w:pStyle w:val="1343"/>
            </w:pPr>
            <w:r>
              <w:t>污水</w:t>
            </w:r>
          </w:p>
        </w:tc>
        <w:tc>
          <w:tcPr>
            <w:tcW w:w="2045" w:type="pct"/>
            <w:vAlign w:val="center"/>
          </w:tcPr>
          <w:p w14:paraId="702C275F">
            <w:pPr>
              <w:pStyle w:val="1343"/>
            </w:pPr>
            <w:r>
              <w:rPr>
                <w:rFonts w:hint="eastAsia"/>
              </w:rPr>
              <w:t>不设施工营地，依托沿线民房，</w:t>
            </w:r>
            <w:r>
              <w:t>施工生活污水</w:t>
            </w:r>
            <w:r>
              <w:rPr>
                <w:rFonts w:hint="eastAsia"/>
              </w:rPr>
              <w:t>排入当地农村现有设施处理</w:t>
            </w:r>
          </w:p>
        </w:tc>
        <w:tc>
          <w:tcPr>
            <w:tcW w:w="1955" w:type="pct"/>
            <w:vAlign w:val="center"/>
          </w:tcPr>
          <w:p w14:paraId="1184F8F8">
            <w:pPr>
              <w:pStyle w:val="1343"/>
            </w:pPr>
            <w:r>
              <w:rPr>
                <w:rFonts w:hint="eastAsia"/>
              </w:rPr>
              <w:t>不外排</w:t>
            </w:r>
          </w:p>
        </w:tc>
      </w:tr>
      <w:tr w14:paraId="4BAE8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0FA570E5">
            <w:pPr>
              <w:pStyle w:val="1343"/>
            </w:pPr>
          </w:p>
        </w:tc>
        <w:tc>
          <w:tcPr>
            <w:tcW w:w="342" w:type="pct"/>
            <w:vAlign w:val="center"/>
          </w:tcPr>
          <w:p w14:paraId="17353D89">
            <w:pPr>
              <w:pStyle w:val="1343"/>
            </w:pPr>
            <w:r>
              <w:t>噪声</w:t>
            </w:r>
          </w:p>
        </w:tc>
        <w:tc>
          <w:tcPr>
            <w:tcW w:w="433" w:type="pct"/>
            <w:vAlign w:val="center"/>
          </w:tcPr>
          <w:p w14:paraId="34687E7C">
            <w:pPr>
              <w:pStyle w:val="1343"/>
            </w:pPr>
            <w:r>
              <w:t>施工机械噪声</w:t>
            </w:r>
          </w:p>
        </w:tc>
        <w:tc>
          <w:tcPr>
            <w:tcW w:w="2045" w:type="pct"/>
            <w:vAlign w:val="center"/>
          </w:tcPr>
          <w:p w14:paraId="0E8019AC">
            <w:pPr>
              <w:pStyle w:val="1343"/>
            </w:pPr>
            <w:r>
              <w:t>合理安排施工时间；选用低噪声设备</w:t>
            </w:r>
            <w:r>
              <w:rPr>
                <w:rFonts w:hint="eastAsia"/>
              </w:rPr>
              <w:t>；</w:t>
            </w:r>
            <w:r>
              <w:t>在居民区附近施工时</w:t>
            </w:r>
            <w:r>
              <w:rPr>
                <w:rFonts w:hint="eastAsia"/>
              </w:rPr>
              <w:t>设置隔声屏障</w:t>
            </w:r>
          </w:p>
        </w:tc>
        <w:tc>
          <w:tcPr>
            <w:tcW w:w="1955" w:type="pct"/>
            <w:vAlign w:val="center"/>
          </w:tcPr>
          <w:p w14:paraId="44F9639E">
            <w:pPr>
              <w:jc w:val="center"/>
              <w:rPr>
                <w:snapToGrid w:val="0"/>
                <w:szCs w:val="21"/>
              </w:rPr>
            </w:pPr>
            <w:r>
              <w:rPr>
                <w:snapToGrid w:val="0"/>
                <w:szCs w:val="21"/>
              </w:rPr>
              <w:t>施工场界环境噪声达到《建筑施工场界环境噪声排放标准》（GB12523-2011）</w:t>
            </w:r>
          </w:p>
        </w:tc>
      </w:tr>
      <w:tr w14:paraId="1B20F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222" w:type="pct"/>
            <w:vMerge w:val="continue"/>
            <w:vAlign w:val="center"/>
          </w:tcPr>
          <w:p w14:paraId="4D77718B">
            <w:pPr>
              <w:pStyle w:val="1343"/>
            </w:pPr>
          </w:p>
        </w:tc>
        <w:tc>
          <w:tcPr>
            <w:tcW w:w="342" w:type="pct"/>
            <w:vMerge w:val="restart"/>
            <w:vAlign w:val="center"/>
          </w:tcPr>
          <w:p w14:paraId="0F80E1F1">
            <w:pPr>
              <w:pStyle w:val="1343"/>
            </w:pPr>
            <w:r>
              <w:rPr>
                <w:rFonts w:hint="eastAsia"/>
              </w:rPr>
              <w:t>固体废物</w:t>
            </w:r>
          </w:p>
        </w:tc>
        <w:tc>
          <w:tcPr>
            <w:tcW w:w="433" w:type="pct"/>
            <w:vAlign w:val="center"/>
          </w:tcPr>
          <w:p w14:paraId="5D545FF2">
            <w:pPr>
              <w:pStyle w:val="1343"/>
            </w:pPr>
            <w:r>
              <w:t>施工</w:t>
            </w:r>
          </w:p>
          <w:p w14:paraId="459143CB">
            <w:pPr>
              <w:pStyle w:val="1343"/>
            </w:pPr>
            <w:r>
              <w:t>废料</w:t>
            </w:r>
          </w:p>
        </w:tc>
        <w:tc>
          <w:tcPr>
            <w:tcW w:w="2045" w:type="pct"/>
            <w:vAlign w:val="center"/>
          </w:tcPr>
          <w:p w14:paraId="6E821905">
            <w:pPr>
              <w:pStyle w:val="1343"/>
            </w:pPr>
            <w:r>
              <w:t>部分回收利用，不能利用部分由建设单位集中收集处理</w:t>
            </w:r>
          </w:p>
        </w:tc>
        <w:tc>
          <w:tcPr>
            <w:tcW w:w="1955" w:type="pct"/>
            <w:vAlign w:val="center"/>
          </w:tcPr>
          <w:p w14:paraId="7E3DC68D">
            <w:pPr>
              <w:jc w:val="center"/>
              <w:rPr>
                <w:szCs w:val="21"/>
              </w:rPr>
            </w:pPr>
            <w:r>
              <w:rPr>
                <w:rFonts w:hint="eastAsia"/>
                <w:snapToGrid w:val="0"/>
                <w:szCs w:val="21"/>
              </w:rPr>
              <w:t>《一般工业固体废物贮存和填埋污染控制标准》(GB18599-2020)要求</w:t>
            </w:r>
          </w:p>
        </w:tc>
      </w:tr>
      <w:tr w14:paraId="704EE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0045BFC3">
            <w:pPr>
              <w:pStyle w:val="1343"/>
            </w:pPr>
          </w:p>
        </w:tc>
        <w:tc>
          <w:tcPr>
            <w:tcW w:w="342" w:type="pct"/>
            <w:vMerge w:val="continue"/>
            <w:vAlign w:val="center"/>
          </w:tcPr>
          <w:p w14:paraId="37CA5139">
            <w:pPr>
              <w:pStyle w:val="1343"/>
            </w:pPr>
          </w:p>
        </w:tc>
        <w:tc>
          <w:tcPr>
            <w:tcW w:w="433" w:type="pct"/>
            <w:vAlign w:val="center"/>
          </w:tcPr>
          <w:p w14:paraId="37F16F09">
            <w:pPr>
              <w:pStyle w:val="1343"/>
            </w:pPr>
            <w:r>
              <w:rPr>
                <w:rFonts w:hint="eastAsia"/>
              </w:rPr>
              <w:t>清管废渣</w:t>
            </w:r>
          </w:p>
        </w:tc>
        <w:tc>
          <w:tcPr>
            <w:tcW w:w="2045" w:type="pct"/>
            <w:vAlign w:val="center"/>
          </w:tcPr>
          <w:p w14:paraId="248B8786">
            <w:pPr>
              <w:pStyle w:val="1343"/>
            </w:pPr>
            <w:r>
              <w:rPr>
                <w:rFonts w:hint="eastAsia"/>
              </w:rPr>
              <w:t>及时清运至环卫部门指定地点集中处置</w:t>
            </w:r>
          </w:p>
        </w:tc>
        <w:tc>
          <w:tcPr>
            <w:tcW w:w="1955" w:type="pct"/>
            <w:vAlign w:val="center"/>
          </w:tcPr>
          <w:p w14:paraId="20D840D7">
            <w:pPr>
              <w:jc w:val="center"/>
              <w:rPr>
                <w:snapToGrid w:val="0"/>
                <w:szCs w:val="21"/>
              </w:rPr>
            </w:pPr>
            <w:r>
              <w:rPr>
                <w:rFonts w:hint="eastAsia"/>
                <w:snapToGrid w:val="0"/>
                <w:szCs w:val="21"/>
              </w:rPr>
              <w:t>《一般工业固体废物贮存和填埋污染控制标准》(GB18599-2020)要求</w:t>
            </w:r>
          </w:p>
        </w:tc>
      </w:tr>
      <w:tr w14:paraId="301F9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4CD9F0BD">
            <w:pPr>
              <w:pStyle w:val="1343"/>
            </w:pPr>
          </w:p>
        </w:tc>
        <w:tc>
          <w:tcPr>
            <w:tcW w:w="342" w:type="pct"/>
            <w:vMerge w:val="continue"/>
            <w:vAlign w:val="center"/>
          </w:tcPr>
          <w:p w14:paraId="4F257843">
            <w:pPr>
              <w:pStyle w:val="1343"/>
            </w:pPr>
          </w:p>
        </w:tc>
        <w:tc>
          <w:tcPr>
            <w:tcW w:w="433" w:type="pct"/>
            <w:vAlign w:val="center"/>
          </w:tcPr>
          <w:p w14:paraId="1D128307">
            <w:pPr>
              <w:pStyle w:val="1343"/>
            </w:pPr>
            <w:r>
              <w:rPr>
                <w:rFonts w:hint="eastAsia"/>
              </w:rPr>
              <w:t>建筑</w:t>
            </w:r>
          </w:p>
          <w:p w14:paraId="257E8274">
            <w:pPr>
              <w:pStyle w:val="1343"/>
            </w:pPr>
            <w:r>
              <w:rPr>
                <w:rFonts w:hint="eastAsia"/>
              </w:rPr>
              <w:t>垃圾</w:t>
            </w:r>
          </w:p>
        </w:tc>
        <w:tc>
          <w:tcPr>
            <w:tcW w:w="2045" w:type="pct"/>
            <w:vAlign w:val="center"/>
          </w:tcPr>
          <w:p w14:paraId="4D235C10">
            <w:pPr>
              <w:pStyle w:val="1343"/>
            </w:pPr>
            <w:r>
              <w:rPr>
                <w:rFonts w:hint="eastAsia"/>
              </w:rPr>
              <w:t>建筑垃圾清运至当地政府指定建筑垃圾消纳场进行处理</w:t>
            </w:r>
          </w:p>
        </w:tc>
        <w:tc>
          <w:tcPr>
            <w:tcW w:w="1955" w:type="pct"/>
            <w:vAlign w:val="center"/>
          </w:tcPr>
          <w:p w14:paraId="1677CD95">
            <w:pPr>
              <w:jc w:val="center"/>
              <w:rPr>
                <w:snapToGrid w:val="0"/>
                <w:szCs w:val="21"/>
              </w:rPr>
            </w:pPr>
            <w:r>
              <w:rPr>
                <w:rFonts w:hint="eastAsia"/>
                <w:snapToGrid w:val="0"/>
                <w:szCs w:val="21"/>
              </w:rPr>
              <w:t>《一般工业固体废物贮存和填埋污染控制标准》(GB18599-2020)要求</w:t>
            </w:r>
          </w:p>
        </w:tc>
      </w:tr>
      <w:tr w14:paraId="1D1BF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70EEFFCF">
            <w:pPr>
              <w:pStyle w:val="1343"/>
            </w:pPr>
          </w:p>
        </w:tc>
        <w:tc>
          <w:tcPr>
            <w:tcW w:w="342" w:type="pct"/>
            <w:vMerge w:val="continue"/>
            <w:vAlign w:val="center"/>
          </w:tcPr>
          <w:p w14:paraId="69A3988E">
            <w:pPr>
              <w:pStyle w:val="1343"/>
            </w:pPr>
          </w:p>
        </w:tc>
        <w:tc>
          <w:tcPr>
            <w:tcW w:w="433" w:type="pct"/>
            <w:vAlign w:val="center"/>
          </w:tcPr>
          <w:p w14:paraId="0C3A3900">
            <w:pPr>
              <w:pStyle w:val="1343"/>
            </w:pPr>
            <w:r>
              <w:rPr>
                <w:rFonts w:hint="eastAsia"/>
              </w:rPr>
              <w:t>废油漆桶</w:t>
            </w:r>
          </w:p>
        </w:tc>
        <w:tc>
          <w:tcPr>
            <w:tcW w:w="2045" w:type="pct"/>
            <w:vAlign w:val="center"/>
          </w:tcPr>
          <w:p w14:paraId="0A374BDD">
            <w:pPr>
              <w:pStyle w:val="1343"/>
            </w:pPr>
            <w:r>
              <w:rPr>
                <w:rFonts w:hint="eastAsia"/>
              </w:rPr>
              <w:t>及时委托有资质单位拉运处理</w:t>
            </w:r>
          </w:p>
        </w:tc>
        <w:tc>
          <w:tcPr>
            <w:tcW w:w="1955" w:type="pct"/>
            <w:vAlign w:val="center"/>
          </w:tcPr>
          <w:p w14:paraId="167EE0A3">
            <w:pPr>
              <w:jc w:val="center"/>
              <w:rPr>
                <w:snapToGrid w:val="0"/>
                <w:szCs w:val="21"/>
              </w:rPr>
            </w:pPr>
            <w:r>
              <w:rPr>
                <w:rFonts w:hint="eastAsia"/>
                <w:snapToGrid w:val="0"/>
                <w:szCs w:val="21"/>
              </w:rPr>
              <w:t>《危险废物贮存污染控制标准》(GB18597-2023)要求</w:t>
            </w:r>
          </w:p>
        </w:tc>
      </w:tr>
      <w:tr w14:paraId="663AF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3FC3C823">
            <w:pPr>
              <w:pStyle w:val="1343"/>
            </w:pPr>
          </w:p>
        </w:tc>
        <w:tc>
          <w:tcPr>
            <w:tcW w:w="342" w:type="pct"/>
            <w:vMerge w:val="continue"/>
            <w:vAlign w:val="center"/>
          </w:tcPr>
          <w:p w14:paraId="72393380">
            <w:pPr>
              <w:pStyle w:val="1343"/>
            </w:pPr>
          </w:p>
        </w:tc>
        <w:tc>
          <w:tcPr>
            <w:tcW w:w="433" w:type="pct"/>
            <w:vAlign w:val="center"/>
          </w:tcPr>
          <w:p w14:paraId="3764AA87">
            <w:pPr>
              <w:pStyle w:val="1343"/>
            </w:pPr>
            <w:r>
              <w:t>生活</w:t>
            </w:r>
          </w:p>
          <w:p w14:paraId="18A8215E">
            <w:pPr>
              <w:pStyle w:val="1343"/>
            </w:pPr>
            <w:r>
              <w:t>垃圾</w:t>
            </w:r>
          </w:p>
        </w:tc>
        <w:tc>
          <w:tcPr>
            <w:tcW w:w="2045" w:type="pct"/>
            <w:vAlign w:val="center"/>
          </w:tcPr>
          <w:p w14:paraId="318E564F">
            <w:pPr>
              <w:pStyle w:val="1343"/>
            </w:pPr>
            <w:r>
              <w:t>统一收集，交由当地环卫部门处置</w:t>
            </w:r>
          </w:p>
        </w:tc>
        <w:tc>
          <w:tcPr>
            <w:tcW w:w="1955" w:type="pct"/>
            <w:vAlign w:val="center"/>
          </w:tcPr>
          <w:p w14:paraId="5B4B8FCD">
            <w:pPr>
              <w:jc w:val="center"/>
              <w:rPr>
                <w:snapToGrid w:val="0"/>
                <w:szCs w:val="21"/>
              </w:rPr>
            </w:pPr>
            <w:r>
              <w:rPr>
                <w:snapToGrid w:val="0"/>
                <w:szCs w:val="21"/>
              </w:rPr>
              <w:t>对周围环境影响较小</w:t>
            </w:r>
          </w:p>
        </w:tc>
      </w:tr>
      <w:tr w14:paraId="345D6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222" w:type="pct"/>
            <w:vMerge w:val="continue"/>
            <w:vAlign w:val="center"/>
          </w:tcPr>
          <w:p w14:paraId="040EBD5B">
            <w:pPr>
              <w:pStyle w:val="1343"/>
            </w:pPr>
          </w:p>
        </w:tc>
        <w:tc>
          <w:tcPr>
            <w:tcW w:w="342" w:type="pct"/>
            <w:vAlign w:val="center"/>
          </w:tcPr>
          <w:p w14:paraId="37C7883F">
            <w:pPr>
              <w:pStyle w:val="1343"/>
            </w:pPr>
            <w:r>
              <w:t>生态环境</w:t>
            </w:r>
          </w:p>
        </w:tc>
        <w:tc>
          <w:tcPr>
            <w:tcW w:w="433" w:type="pct"/>
            <w:vAlign w:val="center"/>
          </w:tcPr>
          <w:p w14:paraId="31C50CDE">
            <w:pPr>
              <w:pStyle w:val="1343"/>
            </w:pPr>
            <w:r>
              <w:t>临时</w:t>
            </w:r>
          </w:p>
          <w:p w14:paraId="6F5F3806">
            <w:pPr>
              <w:pStyle w:val="1343"/>
            </w:pPr>
            <w:r>
              <w:t>占地</w:t>
            </w:r>
          </w:p>
        </w:tc>
        <w:tc>
          <w:tcPr>
            <w:tcW w:w="2045" w:type="pct"/>
            <w:vAlign w:val="center"/>
          </w:tcPr>
          <w:p w14:paraId="06A56EA6">
            <w:pPr>
              <w:pStyle w:val="1343"/>
            </w:pPr>
            <w:r>
              <w:rPr>
                <w:rFonts w:hint="eastAsia"/>
              </w:rPr>
              <w:t>严格控制临时占地，采取分层开挖分层堆放分层回填制度，</w:t>
            </w:r>
            <w:r>
              <w:t>平整恢复植被、种草植树或还田、临时占地补偿、</w:t>
            </w:r>
            <w:r>
              <w:rPr>
                <w:rFonts w:hint="eastAsia"/>
              </w:rPr>
              <w:t>水工保护措施、</w:t>
            </w:r>
            <w:r>
              <w:t>水土保持措施等</w:t>
            </w:r>
          </w:p>
        </w:tc>
        <w:tc>
          <w:tcPr>
            <w:tcW w:w="1955" w:type="pct"/>
            <w:vAlign w:val="center"/>
          </w:tcPr>
          <w:p w14:paraId="218A3F15">
            <w:pPr>
              <w:jc w:val="center"/>
              <w:rPr>
                <w:snapToGrid w:val="0"/>
                <w:szCs w:val="21"/>
              </w:rPr>
            </w:pPr>
            <w:r>
              <w:rPr>
                <w:snapToGrid w:val="0"/>
                <w:szCs w:val="21"/>
              </w:rPr>
              <w:t>土地恢复平整，施工期土壤保护措施、生态保护要求按本次环评及设计落实，植被恢复完成，成活率良好，农田完成复垦；</w:t>
            </w:r>
          </w:p>
        </w:tc>
      </w:tr>
      <w:tr w14:paraId="02E04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44C7B7FE">
            <w:pPr>
              <w:pStyle w:val="1343"/>
            </w:pPr>
          </w:p>
        </w:tc>
        <w:tc>
          <w:tcPr>
            <w:tcW w:w="342" w:type="pct"/>
            <w:vAlign w:val="center"/>
          </w:tcPr>
          <w:p w14:paraId="0B97388D">
            <w:pPr>
              <w:pStyle w:val="1343"/>
            </w:pPr>
            <w:r>
              <w:t>环境管理</w:t>
            </w:r>
          </w:p>
        </w:tc>
        <w:tc>
          <w:tcPr>
            <w:tcW w:w="433" w:type="pct"/>
            <w:vAlign w:val="center"/>
          </w:tcPr>
          <w:p w14:paraId="4DC962A8">
            <w:pPr>
              <w:pStyle w:val="1343"/>
            </w:pPr>
            <w:r>
              <w:t>/</w:t>
            </w:r>
          </w:p>
        </w:tc>
        <w:tc>
          <w:tcPr>
            <w:tcW w:w="2045" w:type="pct"/>
            <w:vAlign w:val="center"/>
          </w:tcPr>
          <w:p w14:paraId="32B6D987">
            <w:pPr>
              <w:pStyle w:val="1343"/>
            </w:pPr>
            <w:r>
              <w:t>建立环境管理机构，实施环境监测计划，环境监理，监理单位按照实际情况，编制施工环境监理报告</w:t>
            </w:r>
          </w:p>
        </w:tc>
        <w:tc>
          <w:tcPr>
            <w:tcW w:w="1955" w:type="pct"/>
            <w:vAlign w:val="center"/>
          </w:tcPr>
          <w:p w14:paraId="04B762E3">
            <w:pPr>
              <w:jc w:val="center"/>
              <w:rPr>
                <w:snapToGrid w:val="0"/>
                <w:szCs w:val="21"/>
              </w:rPr>
            </w:pPr>
            <w:r>
              <w:rPr>
                <w:snapToGrid w:val="0"/>
                <w:szCs w:val="21"/>
              </w:rPr>
              <w:t>确保各项环保措施得到落实，环保设施正常运行，实现工程全过程的环境管理。</w:t>
            </w:r>
          </w:p>
        </w:tc>
      </w:tr>
      <w:tr w14:paraId="50D86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restart"/>
            <w:vAlign w:val="center"/>
          </w:tcPr>
          <w:p w14:paraId="237A1655">
            <w:pPr>
              <w:pStyle w:val="1343"/>
            </w:pPr>
            <w:r>
              <w:t>运营期</w:t>
            </w:r>
          </w:p>
        </w:tc>
        <w:tc>
          <w:tcPr>
            <w:tcW w:w="342" w:type="pct"/>
            <w:vMerge w:val="restart"/>
            <w:vAlign w:val="center"/>
          </w:tcPr>
          <w:p w14:paraId="54D4EA0F">
            <w:pPr>
              <w:pStyle w:val="1343"/>
            </w:pPr>
            <w:r>
              <w:t>废气</w:t>
            </w:r>
          </w:p>
        </w:tc>
        <w:tc>
          <w:tcPr>
            <w:tcW w:w="433" w:type="pct"/>
            <w:vAlign w:val="center"/>
          </w:tcPr>
          <w:p w14:paraId="73ADE879">
            <w:pPr>
              <w:pStyle w:val="1343"/>
            </w:pPr>
            <w:r>
              <w:t>无组织挥发废气</w:t>
            </w:r>
          </w:p>
        </w:tc>
        <w:tc>
          <w:tcPr>
            <w:tcW w:w="2045" w:type="pct"/>
            <w:vAlign w:val="center"/>
          </w:tcPr>
          <w:p w14:paraId="7B8B0CDA">
            <w:pPr>
              <w:pStyle w:val="1343"/>
            </w:pPr>
            <w:r>
              <w:rPr>
                <w:rFonts w:hint="eastAsia"/>
              </w:rPr>
              <w:t>加强场站设备运行维护，减少无组织废气的排放</w:t>
            </w:r>
          </w:p>
        </w:tc>
        <w:tc>
          <w:tcPr>
            <w:tcW w:w="1955" w:type="pct"/>
            <w:vMerge w:val="restart"/>
            <w:vAlign w:val="center"/>
          </w:tcPr>
          <w:p w14:paraId="56434261">
            <w:pPr>
              <w:pStyle w:val="1343"/>
            </w:pPr>
            <w:r>
              <w:rPr>
                <w:rFonts w:hint="eastAsia"/>
              </w:rPr>
              <w:t>《大气污染物综合排放标准》(GB16297-1996)表2厂界监控点浓度限值</w:t>
            </w:r>
          </w:p>
        </w:tc>
      </w:tr>
      <w:tr w14:paraId="7F09B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4B539D4B">
            <w:pPr>
              <w:pStyle w:val="1343"/>
            </w:pPr>
          </w:p>
        </w:tc>
        <w:tc>
          <w:tcPr>
            <w:tcW w:w="342" w:type="pct"/>
            <w:vMerge w:val="continue"/>
            <w:vAlign w:val="center"/>
          </w:tcPr>
          <w:p w14:paraId="63F18B56">
            <w:pPr>
              <w:pStyle w:val="1343"/>
            </w:pPr>
          </w:p>
        </w:tc>
        <w:tc>
          <w:tcPr>
            <w:tcW w:w="433" w:type="pct"/>
            <w:vAlign w:val="center"/>
          </w:tcPr>
          <w:p w14:paraId="5AD394C2">
            <w:pPr>
              <w:pStyle w:val="1343"/>
            </w:pPr>
            <w:r>
              <w:rPr>
                <w:rFonts w:hint="eastAsia"/>
              </w:rPr>
              <w:t>放空废气</w:t>
            </w:r>
          </w:p>
        </w:tc>
        <w:tc>
          <w:tcPr>
            <w:tcW w:w="2045" w:type="pct"/>
            <w:vAlign w:val="center"/>
          </w:tcPr>
          <w:p w14:paraId="0CB08D1F">
            <w:pPr>
              <w:pStyle w:val="1343"/>
            </w:pPr>
            <w:r>
              <w:rPr>
                <w:rFonts w:hint="eastAsia"/>
              </w:rPr>
              <w:t>加强放空管理，放空废气通过放空立管排放</w:t>
            </w:r>
          </w:p>
        </w:tc>
        <w:tc>
          <w:tcPr>
            <w:tcW w:w="1955" w:type="pct"/>
            <w:vMerge w:val="continue"/>
            <w:vAlign w:val="center"/>
          </w:tcPr>
          <w:p w14:paraId="6D085D64">
            <w:pPr>
              <w:pStyle w:val="1343"/>
            </w:pPr>
          </w:p>
        </w:tc>
      </w:tr>
      <w:tr w14:paraId="3477E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669DF9F1">
            <w:pPr>
              <w:pStyle w:val="1343"/>
            </w:pPr>
          </w:p>
        </w:tc>
        <w:tc>
          <w:tcPr>
            <w:tcW w:w="342" w:type="pct"/>
            <w:vAlign w:val="center"/>
          </w:tcPr>
          <w:p w14:paraId="79EA6092">
            <w:pPr>
              <w:pStyle w:val="1343"/>
            </w:pPr>
            <w:r>
              <w:rPr>
                <w:rFonts w:hint="eastAsia"/>
              </w:rPr>
              <w:t>废水</w:t>
            </w:r>
          </w:p>
        </w:tc>
        <w:tc>
          <w:tcPr>
            <w:tcW w:w="433" w:type="pct"/>
            <w:vAlign w:val="center"/>
          </w:tcPr>
          <w:p w14:paraId="5299DC02">
            <w:pPr>
              <w:pStyle w:val="1343"/>
            </w:pPr>
            <w:r>
              <w:rPr>
                <w:rFonts w:hint="eastAsia"/>
              </w:rPr>
              <w:t>生活污水</w:t>
            </w:r>
          </w:p>
        </w:tc>
        <w:tc>
          <w:tcPr>
            <w:tcW w:w="2045" w:type="pct"/>
            <w:vAlign w:val="center"/>
          </w:tcPr>
          <w:p w14:paraId="4AC4519C">
            <w:pPr>
              <w:pStyle w:val="1343"/>
            </w:pPr>
            <w:r>
              <w:rPr>
                <w:rFonts w:hint="eastAsia"/>
              </w:rPr>
              <w:t>巡检人员生活污水排入撬装卫生间，定期委托拉运处理</w:t>
            </w:r>
          </w:p>
        </w:tc>
        <w:tc>
          <w:tcPr>
            <w:tcW w:w="1955" w:type="pct"/>
            <w:vAlign w:val="center"/>
          </w:tcPr>
          <w:p w14:paraId="6664DBA3">
            <w:pPr>
              <w:pStyle w:val="1343"/>
            </w:pPr>
            <w:r>
              <w:rPr>
                <w:rFonts w:hint="eastAsia"/>
              </w:rPr>
              <w:t>不外排</w:t>
            </w:r>
          </w:p>
        </w:tc>
      </w:tr>
      <w:tr w14:paraId="5D8DC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09271565">
            <w:pPr>
              <w:pStyle w:val="1343"/>
            </w:pPr>
          </w:p>
        </w:tc>
        <w:tc>
          <w:tcPr>
            <w:tcW w:w="342" w:type="pct"/>
            <w:vAlign w:val="center"/>
          </w:tcPr>
          <w:p w14:paraId="6DB9FC5E">
            <w:pPr>
              <w:pStyle w:val="1343"/>
            </w:pPr>
            <w:r>
              <w:rPr>
                <w:rFonts w:hint="eastAsia"/>
              </w:rPr>
              <w:t>噪声</w:t>
            </w:r>
          </w:p>
        </w:tc>
        <w:tc>
          <w:tcPr>
            <w:tcW w:w="433" w:type="pct"/>
            <w:vAlign w:val="center"/>
          </w:tcPr>
          <w:p w14:paraId="76271F31">
            <w:pPr>
              <w:pStyle w:val="1343"/>
            </w:pPr>
            <w:r>
              <w:rPr>
                <w:rFonts w:hint="eastAsia"/>
              </w:rPr>
              <w:t>设备噪声</w:t>
            </w:r>
          </w:p>
        </w:tc>
        <w:tc>
          <w:tcPr>
            <w:tcW w:w="2045" w:type="pct"/>
            <w:vAlign w:val="center"/>
          </w:tcPr>
          <w:p w14:paraId="474BB86A">
            <w:pPr>
              <w:pStyle w:val="1343"/>
            </w:pPr>
            <w:r>
              <w:t>选用低噪声设备</w:t>
            </w:r>
            <w:r>
              <w:rPr>
                <w:rFonts w:hint="eastAsia"/>
              </w:rPr>
              <w:t>、基础减振、加强设备管理等</w:t>
            </w:r>
          </w:p>
        </w:tc>
        <w:tc>
          <w:tcPr>
            <w:tcW w:w="1955" w:type="pct"/>
            <w:vAlign w:val="center"/>
          </w:tcPr>
          <w:p w14:paraId="64D12AA9">
            <w:pPr>
              <w:rPr>
                <w:snapToGrid w:val="0"/>
                <w:szCs w:val="21"/>
              </w:rPr>
            </w:pPr>
            <w:r>
              <w:rPr>
                <w:rFonts w:hint="eastAsia"/>
                <w:snapToGrid w:val="0"/>
                <w:szCs w:val="21"/>
              </w:rPr>
              <w:t>《工业企业厂界环境噪声排放标准》（GB12348-2008）2类标准要求</w:t>
            </w:r>
          </w:p>
        </w:tc>
      </w:tr>
      <w:tr w14:paraId="63250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5A32267F">
            <w:pPr>
              <w:pStyle w:val="1343"/>
            </w:pPr>
          </w:p>
        </w:tc>
        <w:tc>
          <w:tcPr>
            <w:tcW w:w="342" w:type="pct"/>
            <w:vMerge w:val="restart"/>
            <w:vAlign w:val="center"/>
          </w:tcPr>
          <w:p w14:paraId="02909C74">
            <w:pPr>
              <w:pStyle w:val="1343"/>
            </w:pPr>
            <w:r>
              <w:rPr>
                <w:rFonts w:hint="eastAsia"/>
              </w:rPr>
              <w:t>固体废物</w:t>
            </w:r>
          </w:p>
        </w:tc>
        <w:tc>
          <w:tcPr>
            <w:tcW w:w="433" w:type="pct"/>
            <w:vAlign w:val="center"/>
          </w:tcPr>
          <w:p w14:paraId="73F33B41">
            <w:pPr>
              <w:pStyle w:val="1343"/>
            </w:pPr>
            <w:r>
              <w:rPr>
                <w:rFonts w:hint="eastAsia"/>
              </w:rPr>
              <w:t>排污池</w:t>
            </w:r>
          </w:p>
        </w:tc>
        <w:tc>
          <w:tcPr>
            <w:tcW w:w="2045" w:type="pct"/>
            <w:vAlign w:val="center"/>
          </w:tcPr>
          <w:p w14:paraId="03C33220">
            <w:pPr>
              <w:pStyle w:val="1343"/>
            </w:pPr>
            <w:r>
              <w:rPr>
                <w:rFonts w:hint="eastAsia"/>
              </w:rPr>
              <w:t>分离器检修废渣导入排污池中（容积15m</w:t>
            </w:r>
            <w:r>
              <w:rPr>
                <w:rFonts w:hint="eastAsia"/>
                <w:vertAlign w:val="superscript"/>
              </w:rPr>
              <w:t>3</w:t>
            </w:r>
            <w:r>
              <w:rPr>
                <w:rFonts w:hint="eastAsia"/>
              </w:rPr>
              <w:t>），定期委托有资质单位处置</w:t>
            </w:r>
          </w:p>
        </w:tc>
        <w:tc>
          <w:tcPr>
            <w:tcW w:w="1955" w:type="pct"/>
            <w:vAlign w:val="center"/>
          </w:tcPr>
          <w:p w14:paraId="74736795">
            <w:pPr>
              <w:jc w:val="center"/>
              <w:rPr>
                <w:snapToGrid w:val="0"/>
                <w:szCs w:val="21"/>
              </w:rPr>
            </w:pPr>
            <w:r>
              <w:rPr>
                <w:rFonts w:hint="eastAsia"/>
                <w:snapToGrid w:val="0"/>
                <w:szCs w:val="21"/>
              </w:rPr>
              <w:t>《危险废物贮存污染控制标准》(GB18597-2023)要求</w:t>
            </w:r>
          </w:p>
        </w:tc>
      </w:tr>
      <w:tr w14:paraId="5F68C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315F3A09">
            <w:pPr>
              <w:pStyle w:val="1343"/>
            </w:pPr>
          </w:p>
        </w:tc>
        <w:tc>
          <w:tcPr>
            <w:tcW w:w="342" w:type="pct"/>
            <w:vMerge w:val="continue"/>
            <w:vAlign w:val="center"/>
          </w:tcPr>
          <w:p w14:paraId="6BCF97B0">
            <w:pPr>
              <w:pStyle w:val="1343"/>
            </w:pPr>
          </w:p>
        </w:tc>
        <w:tc>
          <w:tcPr>
            <w:tcW w:w="433" w:type="pct"/>
            <w:vAlign w:val="center"/>
          </w:tcPr>
          <w:p w14:paraId="3CC2A496">
            <w:pPr>
              <w:pStyle w:val="1343"/>
            </w:pPr>
            <w:r>
              <w:rPr>
                <w:rFonts w:hint="eastAsia"/>
              </w:rPr>
              <w:t>危废暂存间</w:t>
            </w:r>
          </w:p>
        </w:tc>
        <w:tc>
          <w:tcPr>
            <w:tcW w:w="2045" w:type="pct"/>
            <w:vAlign w:val="center"/>
          </w:tcPr>
          <w:p w14:paraId="3C6AC8A9">
            <w:pPr>
              <w:pStyle w:val="1343"/>
            </w:pPr>
            <w:r>
              <w:t>废滤芯</w:t>
            </w:r>
            <w:r>
              <w:rPr>
                <w:rFonts w:hint="eastAsia"/>
              </w:rPr>
              <w:t>和废铅酸蓄电池暂存于危废暂存间（面积8.36m</w:t>
            </w:r>
            <w:r>
              <w:rPr>
                <w:rFonts w:hint="eastAsia"/>
                <w:vertAlign w:val="superscript"/>
              </w:rPr>
              <w:t>2</w:t>
            </w:r>
            <w:r>
              <w:rPr>
                <w:rFonts w:hint="eastAsia"/>
              </w:rPr>
              <w:t>），委托有资质单位处置</w:t>
            </w:r>
          </w:p>
        </w:tc>
        <w:tc>
          <w:tcPr>
            <w:tcW w:w="1955" w:type="pct"/>
            <w:vAlign w:val="center"/>
          </w:tcPr>
          <w:p w14:paraId="6001680E">
            <w:pPr>
              <w:jc w:val="center"/>
              <w:rPr>
                <w:snapToGrid w:val="0"/>
                <w:szCs w:val="21"/>
              </w:rPr>
            </w:pPr>
            <w:r>
              <w:rPr>
                <w:rFonts w:hint="eastAsia"/>
                <w:snapToGrid w:val="0"/>
                <w:szCs w:val="21"/>
              </w:rPr>
              <w:t>《危险废物贮存污染控制标准》(GB18597-2023)要求</w:t>
            </w:r>
          </w:p>
        </w:tc>
      </w:tr>
      <w:tr w14:paraId="279F2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7AFBE87F">
            <w:pPr>
              <w:pStyle w:val="1343"/>
            </w:pPr>
          </w:p>
        </w:tc>
        <w:tc>
          <w:tcPr>
            <w:tcW w:w="342" w:type="pct"/>
            <w:vMerge w:val="restart"/>
            <w:vAlign w:val="center"/>
          </w:tcPr>
          <w:p w14:paraId="5ACEE996">
            <w:pPr>
              <w:autoSpaceDE w:val="0"/>
              <w:autoSpaceDN w:val="0"/>
              <w:adjustRightInd w:val="0"/>
              <w:jc w:val="center"/>
              <w:rPr>
                <w:szCs w:val="21"/>
              </w:rPr>
            </w:pPr>
            <w:r>
              <w:rPr>
                <w:szCs w:val="21"/>
              </w:rPr>
              <w:t>风险防范</w:t>
            </w:r>
          </w:p>
        </w:tc>
        <w:tc>
          <w:tcPr>
            <w:tcW w:w="433" w:type="pct"/>
            <w:vAlign w:val="center"/>
          </w:tcPr>
          <w:p w14:paraId="21F541CF">
            <w:pPr>
              <w:pStyle w:val="1343"/>
            </w:pPr>
            <w:r>
              <w:t>管道防腐</w:t>
            </w:r>
          </w:p>
        </w:tc>
        <w:tc>
          <w:tcPr>
            <w:tcW w:w="2045" w:type="pct"/>
            <w:vAlign w:val="center"/>
          </w:tcPr>
          <w:p w14:paraId="21B752C8">
            <w:pPr>
              <w:pStyle w:val="1343"/>
            </w:pPr>
            <w:r>
              <w:t>按照设计对管道进行防腐处理</w:t>
            </w:r>
          </w:p>
        </w:tc>
        <w:tc>
          <w:tcPr>
            <w:tcW w:w="1955" w:type="pct"/>
            <w:vMerge w:val="restart"/>
            <w:vAlign w:val="center"/>
          </w:tcPr>
          <w:p w14:paraId="032B63C8">
            <w:pPr>
              <w:pStyle w:val="1343"/>
            </w:pPr>
            <w:r>
              <w:t>保护管道运行系统安全，防止</w:t>
            </w:r>
            <w:r>
              <w:rPr>
                <w:rFonts w:hint="eastAsia"/>
              </w:rPr>
              <w:t>泄漏</w:t>
            </w:r>
            <w:r>
              <w:t>事故，预防和控制环境风险影响</w:t>
            </w:r>
          </w:p>
        </w:tc>
      </w:tr>
      <w:tr w14:paraId="2BE02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62E8C9A0">
            <w:pPr>
              <w:pStyle w:val="1343"/>
            </w:pPr>
          </w:p>
        </w:tc>
        <w:tc>
          <w:tcPr>
            <w:tcW w:w="342" w:type="pct"/>
            <w:vMerge w:val="continue"/>
            <w:vAlign w:val="center"/>
          </w:tcPr>
          <w:p w14:paraId="2DA178C5">
            <w:pPr>
              <w:autoSpaceDE w:val="0"/>
              <w:autoSpaceDN w:val="0"/>
              <w:adjustRightInd w:val="0"/>
              <w:jc w:val="center"/>
              <w:rPr>
                <w:szCs w:val="21"/>
              </w:rPr>
            </w:pPr>
          </w:p>
        </w:tc>
        <w:tc>
          <w:tcPr>
            <w:tcW w:w="433" w:type="pct"/>
            <w:vAlign w:val="center"/>
          </w:tcPr>
          <w:p w14:paraId="25F56313">
            <w:pPr>
              <w:pStyle w:val="1343"/>
            </w:pPr>
            <w:r>
              <w:t>阴极保护</w:t>
            </w:r>
          </w:p>
        </w:tc>
        <w:tc>
          <w:tcPr>
            <w:tcW w:w="2045" w:type="pct"/>
            <w:vAlign w:val="center"/>
          </w:tcPr>
          <w:p w14:paraId="07007248">
            <w:pPr>
              <w:pStyle w:val="1343"/>
            </w:pPr>
            <w:r>
              <w:t>管道采用牺牲阳极法</w:t>
            </w:r>
          </w:p>
        </w:tc>
        <w:tc>
          <w:tcPr>
            <w:tcW w:w="1955" w:type="pct"/>
            <w:vMerge w:val="continue"/>
            <w:vAlign w:val="center"/>
          </w:tcPr>
          <w:p w14:paraId="49ACCF81">
            <w:pPr>
              <w:pStyle w:val="1343"/>
            </w:pPr>
          </w:p>
        </w:tc>
      </w:tr>
      <w:tr w14:paraId="004AA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78F40C43">
            <w:pPr>
              <w:pStyle w:val="1343"/>
            </w:pPr>
          </w:p>
        </w:tc>
        <w:tc>
          <w:tcPr>
            <w:tcW w:w="342" w:type="pct"/>
            <w:vMerge w:val="continue"/>
            <w:vAlign w:val="center"/>
          </w:tcPr>
          <w:p w14:paraId="5D231E2C">
            <w:pPr>
              <w:autoSpaceDE w:val="0"/>
              <w:autoSpaceDN w:val="0"/>
              <w:adjustRightInd w:val="0"/>
              <w:jc w:val="center"/>
              <w:rPr>
                <w:szCs w:val="21"/>
              </w:rPr>
            </w:pPr>
          </w:p>
        </w:tc>
        <w:tc>
          <w:tcPr>
            <w:tcW w:w="433" w:type="pct"/>
            <w:vAlign w:val="center"/>
          </w:tcPr>
          <w:p w14:paraId="30DA1FE9">
            <w:pPr>
              <w:pStyle w:val="1343"/>
            </w:pPr>
            <w:r>
              <w:t>自动控制</w:t>
            </w:r>
          </w:p>
        </w:tc>
        <w:tc>
          <w:tcPr>
            <w:tcW w:w="2045" w:type="pct"/>
            <w:vAlign w:val="center"/>
          </w:tcPr>
          <w:p w14:paraId="29FF666D">
            <w:pPr>
              <w:pStyle w:val="1343"/>
            </w:pPr>
            <w:r>
              <w:t>管道运行采用SCADA系统，管道泄漏监测系统、高后果区视频监控系统及地表变形采空区监测系统、火灾及可燃气体报警系统</w:t>
            </w:r>
          </w:p>
        </w:tc>
        <w:tc>
          <w:tcPr>
            <w:tcW w:w="1955" w:type="pct"/>
            <w:vMerge w:val="continue"/>
            <w:vAlign w:val="center"/>
          </w:tcPr>
          <w:p w14:paraId="5FEAECB4">
            <w:pPr>
              <w:pStyle w:val="1343"/>
            </w:pPr>
          </w:p>
        </w:tc>
      </w:tr>
      <w:tr w14:paraId="0E075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3B4A3D3F">
            <w:pPr>
              <w:pStyle w:val="1343"/>
            </w:pPr>
          </w:p>
        </w:tc>
        <w:tc>
          <w:tcPr>
            <w:tcW w:w="342" w:type="pct"/>
            <w:vMerge w:val="continue"/>
            <w:vAlign w:val="center"/>
          </w:tcPr>
          <w:p w14:paraId="03F78D4C">
            <w:pPr>
              <w:autoSpaceDE w:val="0"/>
              <w:autoSpaceDN w:val="0"/>
              <w:adjustRightInd w:val="0"/>
              <w:jc w:val="center"/>
              <w:rPr>
                <w:szCs w:val="21"/>
              </w:rPr>
            </w:pPr>
          </w:p>
        </w:tc>
        <w:tc>
          <w:tcPr>
            <w:tcW w:w="433" w:type="pct"/>
            <w:vAlign w:val="center"/>
          </w:tcPr>
          <w:p w14:paraId="4BDC398A">
            <w:pPr>
              <w:pStyle w:val="1343"/>
            </w:pPr>
            <w:r>
              <w:t>管道材质</w:t>
            </w:r>
          </w:p>
        </w:tc>
        <w:tc>
          <w:tcPr>
            <w:tcW w:w="2045" w:type="pct"/>
            <w:vAlign w:val="center"/>
          </w:tcPr>
          <w:p w14:paraId="0631E204">
            <w:pPr>
              <w:pStyle w:val="1343"/>
            </w:pPr>
            <w:r>
              <w:t>按照设计对管道材质及壁厚进行施工，敏感区加大管道壁厚</w:t>
            </w:r>
          </w:p>
        </w:tc>
        <w:tc>
          <w:tcPr>
            <w:tcW w:w="1955" w:type="pct"/>
            <w:vMerge w:val="continue"/>
            <w:vAlign w:val="center"/>
          </w:tcPr>
          <w:p w14:paraId="010BB946">
            <w:pPr>
              <w:pStyle w:val="1343"/>
            </w:pPr>
          </w:p>
        </w:tc>
      </w:tr>
      <w:tr w14:paraId="7FF0D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43063EF3">
            <w:pPr>
              <w:pStyle w:val="1343"/>
            </w:pPr>
          </w:p>
        </w:tc>
        <w:tc>
          <w:tcPr>
            <w:tcW w:w="342" w:type="pct"/>
            <w:vMerge w:val="continue"/>
            <w:vAlign w:val="center"/>
          </w:tcPr>
          <w:p w14:paraId="5C2BB8ED">
            <w:pPr>
              <w:autoSpaceDE w:val="0"/>
              <w:autoSpaceDN w:val="0"/>
              <w:adjustRightInd w:val="0"/>
              <w:jc w:val="center"/>
              <w:rPr>
                <w:szCs w:val="21"/>
              </w:rPr>
            </w:pPr>
          </w:p>
        </w:tc>
        <w:tc>
          <w:tcPr>
            <w:tcW w:w="433" w:type="pct"/>
            <w:vAlign w:val="center"/>
          </w:tcPr>
          <w:p w14:paraId="0C1FE750">
            <w:pPr>
              <w:pStyle w:val="1343"/>
            </w:pPr>
            <w:r>
              <w:t>风险管理</w:t>
            </w:r>
          </w:p>
        </w:tc>
        <w:tc>
          <w:tcPr>
            <w:tcW w:w="2045" w:type="pct"/>
            <w:vAlign w:val="center"/>
          </w:tcPr>
          <w:p w14:paraId="3C84BA4E">
            <w:pPr>
              <w:pStyle w:val="1343"/>
            </w:pPr>
            <w:r>
              <w:rPr>
                <w:rFonts w:hint="eastAsia"/>
              </w:rPr>
              <w:t>管道沿线设置标志桩、加密桩、警示牌等，</w:t>
            </w:r>
            <w:r>
              <w:t>定期管道监测、清管制度；每日巡线制度；风险隐患排查制度</w:t>
            </w:r>
            <w:r>
              <w:rPr>
                <w:rFonts w:hint="eastAsia"/>
              </w:rPr>
              <w:t>；突发环境事件应急预案及备案</w:t>
            </w:r>
          </w:p>
        </w:tc>
        <w:tc>
          <w:tcPr>
            <w:tcW w:w="1955" w:type="pct"/>
            <w:vMerge w:val="continue"/>
            <w:vAlign w:val="center"/>
          </w:tcPr>
          <w:p w14:paraId="05EA5769">
            <w:pPr>
              <w:pStyle w:val="1343"/>
            </w:pPr>
          </w:p>
        </w:tc>
      </w:tr>
      <w:tr w14:paraId="78B41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595BDE2F">
            <w:pPr>
              <w:pStyle w:val="1343"/>
            </w:pPr>
          </w:p>
        </w:tc>
        <w:tc>
          <w:tcPr>
            <w:tcW w:w="342" w:type="pct"/>
            <w:vMerge w:val="continue"/>
            <w:vAlign w:val="center"/>
          </w:tcPr>
          <w:p w14:paraId="7DA494F1">
            <w:pPr>
              <w:autoSpaceDE w:val="0"/>
              <w:autoSpaceDN w:val="0"/>
              <w:adjustRightInd w:val="0"/>
              <w:jc w:val="center"/>
              <w:rPr>
                <w:szCs w:val="21"/>
              </w:rPr>
            </w:pPr>
          </w:p>
        </w:tc>
        <w:tc>
          <w:tcPr>
            <w:tcW w:w="433" w:type="pct"/>
            <w:vAlign w:val="center"/>
          </w:tcPr>
          <w:p w14:paraId="366C06F3">
            <w:pPr>
              <w:pStyle w:val="1343"/>
            </w:pPr>
            <w:r>
              <w:t>应急管理</w:t>
            </w:r>
          </w:p>
        </w:tc>
        <w:tc>
          <w:tcPr>
            <w:tcW w:w="2045" w:type="pct"/>
            <w:vAlign w:val="center"/>
          </w:tcPr>
          <w:p w14:paraId="13948F9B">
            <w:pPr>
              <w:pStyle w:val="1343"/>
            </w:pPr>
            <w:r>
              <w:t>应急物资（设备）配备，配备通信及抢维修设备、依托可靠的抢维修机构，</w:t>
            </w:r>
            <w:r>
              <w:rPr>
                <w:rFonts w:hint="eastAsia"/>
              </w:rPr>
              <w:t>突发环境事件应急预案</w:t>
            </w:r>
            <w:r>
              <w:t>编制、备案、培训、演练、地方联动等</w:t>
            </w:r>
          </w:p>
        </w:tc>
        <w:tc>
          <w:tcPr>
            <w:tcW w:w="1955" w:type="pct"/>
            <w:vMerge w:val="continue"/>
            <w:vAlign w:val="center"/>
          </w:tcPr>
          <w:p w14:paraId="5BCF6B30">
            <w:pPr>
              <w:pStyle w:val="1343"/>
            </w:pPr>
          </w:p>
        </w:tc>
      </w:tr>
      <w:tr w14:paraId="56454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07E39A1F">
            <w:pPr>
              <w:pStyle w:val="1343"/>
            </w:pPr>
          </w:p>
        </w:tc>
        <w:tc>
          <w:tcPr>
            <w:tcW w:w="342" w:type="pct"/>
            <w:vMerge w:val="continue"/>
            <w:vAlign w:val="center"/>
          </w:tcPr>
          <w:p w14:paraId="04AE71D5">
            <w:pPr>
              <w:autoSpaceDE w:val="0"/>
              <w:autoSpaceDN w:val="0"/>
              <w:adjustRightInd w:val="0"/>
              <w:jc w:val="center"/>
              <w:rPr>
                <w:szCs w:val="21"/>
              </w:rPr>
            </w:pPr>
          </w:p>
        </w:tc>
        <w:tc>
          <w:tcPr>
            <w:tcW w:w="433" w:type="pct"/>
            <w:vAlign w:val="center"/>
          </w:tcPr>
          <w:p w14:paraId="55908C1A">
            <w:pPr>
              <w:pStyle w:val="1343"/>
            </w:pPr>
            <w:r>
              <w:t>事故情况</w:t>
            </w:r>
          </w:p>
        </w:tc>
        <w:tc>
          <w:tcPr>
            <w:tcW w:w="2045" w:type="pct"/>
            <w:vAlign w:val="center"/>
          </w:tcPr>
          <w:p w14:paraId="4D662B03">
            <w:pPr>
              <w:pStyle w:val="1343"/>
            </w:pPr>
            <w:r>
              <w:t>施工及运行期是否曾发生环境风险事故，核查事故类型、事故影响范围、影响程度，应急措施及效果等</w:t>
            </w:r>
          </w:p>
        </w:tc>
        <w:tc>
          <w:tcPr>
            <w:tcW w:w="1955" w:type="pct"/>
            <w:vMerge w:val="continue"/>
            <w:vAlign w:val="center"/>
          </w:tcPr>
          <w:p w14:paraId="4E80A601">
            <w:pPr>
              <w:pStyle w:val="1343"/>
            </w:pPr>
          </w:p>
        </w:tc>
      </w:tr>
      <w:tr w14:paraId="26AFE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2" w:type="pct"/>
            <w:vMerge w:val="continue"/>
            <w:vAlign w:val="center"/>
          </w:tcPr>
          <w:p w14:paraId="32372C1B">
            <w:pPr>
              <w:pStyle w:val="1343"/>
            </w:pPr>
          </w:p>
        </w:tc>
        <w:tc>
          <w:tcPr>
            <w:tcW w:w="342" w:type="pct"/>
            <w:vAlign w:val="center"/>
          </w:tcPr>
          <w:p w14:paraId="7F0AACE5">
            <w:pPr>
              <w:autoSpaceDE w:val="0"/>
              <w:autoSpaceDN w:val="0"/>
              <w:adjustRightInd w:val="0"/>
              <w:jc w:val="center"/>
              <w:rPr>
                <w:szCs w:val="21"/>
              </w:rPr>
            </w:pPr>
            <w:r>
              <w:rPr>
                <w:szCs w:val="21"/>
              </w:rPr>
              <w:t>环境管理</w:t>
            </w:r>
          </w:p>
        </w:tc>
        <w:tc>
          <w:tcPr>
            <w:tcW w:w="433" w:type="pct"/>
            <w:vAlign w:val="center"/>
          </w:tcPr>
          <w:p w14:paraId="02C81D89">
            <w:pPr>
              <w:pStyle w:val="1343"/>
            </w:pPr>
            <w:r>
              <w:t>/</w:t>
            </w:r>
          </w:p>
        </w:tc>
        <w:tc>
          <w:tcPr>
            <w:tcW w:w="2045" w:type="pct"/>
            <w:vAlign w:val="center"/>
          </w:tcPr>
          <w:p w14:paraId="2457222C">
            <w:pPr>
              <w:pStyle w:val="1343"/>
            </w:pPr>
            <w:r>
              <w:t>建立本工程HSE管理体系，人员及管理规整制度等</w:t>
            </w:r>
          </w:p>
        </w:tc>
        <w:tc>
          <w:tcPr>
            <w:tcW w:w="1955" w:type="pct"/>
            <w:vAlign w:val="center"/>
          </w:tcPr>
          <w:p w14:paraId="0769F126">
            <w:pPr>
              <w:pStyle w:val="1343"/>
            </w:pPr>
            <w:r>
              <w:t>机构完善、职责明确、管理程序及文件完备</w:t>
            </w:r>
          </w:p>
        </w:tc>
      </w:tr>
    </w:tbl>
    <w:p w14:paraId="4C8D82D2">
      <w:pPr>
        <w:pStyle w:val="3"/>
        <w:rPr>
          <w:szCs w:val="21"/>
        </w:rPr>
        <w:sectPr>
          <w:pgSz w:w="11910" w:h="16840"/>
          <w:pgMar w:top="1100" w:right="1240" w:bottom="1200" w:left="1320" w:header="567" w:footer="1010" w:gutter="0"/>
          <w:cols w:space="720" w:num="1"/>
        </w:sectPr>
      </w:pPr>
    </w:p>
    <w:p w14:paraId="77D1D009">
      <w:pPr>
        <w:pStyle w:val="3"/>
      </w:pPr>
      <w:bookmarkStart w:id="279" w:name="_bookmark85"/>
      <w:bookmarkEnd w:id="279"/>
      <w:bookmarkStart w:id="280" w:name="14.4监测计划"/>
      <w:bookmarkEnd w:id="280"/>
      <w:bookmarkStart w:id="281" w:name="_Toc31868"/>
      <w:bookmarkStart w:id="282" w:name="_Toc72672382"/>
      <w:bookmarkStart w:id="283" w:name="_Hlk78397568"/>
      <w:r>
        <w:t>评价结论</w:t>
      </w:r>
      <w:bookmarkEnd w:id="281"/>
      <w:bookmarkEnd w:id="282"/>
    </w:p>
    <w:p w14:paraId="0967C52C">
      <w:pPr>
        <w:pStyle w:val="4"/>
        <w:rPr>
          <w:b/>
        </w:rPr>
      </w:pPr>
      <w:r>
        <w:t xml:space="preserve"> </w:t>
      </w:r>
      <w:bookmarkStart w:id="284" w:name="_Toc7297"/>
      <w:bookmarkStart w:id="285" w:name="_Toc72672383"/>
      <w:r>
        <w:t>项目概况</w:t>
      </w:r>
      <w:bookmarkEnd w:id="284"/>
      <w:bookmarkEnd w:id="285"/>
    </w:p>
    <w:p w14:paraId="55252C03">
      <w:pPr>
        <w:pStyle w:val="234"/>
        <w:ind w:firstLine="478"/>
        <w:rPr>
          <w:spacing w:val="-1"/>
        </w:rPr>
      </w:pPr>
      <w:r>
        <w:rPr>
          <w:rFonts w:hint="eastAsia"/>
          <w:spacing w:val="-1"/>
        </w:rPr>
        <w:t>潜江—韶关输气管道28号阀室新增下载点改扩建项目</w:t>
      </w:r>
      <w:r>
        <w:rPr>
          <w:spacing w:val="-1"/>
        </w:rPr>
        <w:t>位于</w:t>
      </w:r>
      <w:r>
        <w:rPr>
          <w:rFonts w:hint="eastAsia"/>
          <w:spacing w:val="-1"/>
        </w:rPr>
        <w:t>湖南省衡阳市耒阳市</w:t>
      </w:r>
      <w:r>
        <w:rPr>
          <w:spacing w:val="-1"/>
        </w:rPr>
        <w:t>境内，</w:t>
      </w:r>
      <w:r>
        <w:t>起点为</w:t>
      </w:r>
      <w:r>
        <w:rPr>
          <w:rFonts w:hint="eastAsia"/>
          <w:spacing w:val="-1"/>
        </w:rPr>
        <w:t>潜江－韶关输气管道28号阀室</w:t>
      </w:r>
      <w:r>
        <w:t>，末点为</w:t>
      </w:r>
      <w:r>
        <w:rPr>
          <w:rFonts w:hint="eastAsia"/>
        </w:rPr>
        <w:t>新建耒阳</w:t>
      </w:r>
      <w:r>
        <w:t>分输站，线路全长</w:t>
      </w:r>
      <w:r>
        <w:rPr>
          <w:rFonts w:hint="eastAsia"/>
        </w:rPr>
        <w:t>0.</w:t>
      </w:r>
      <w:r>
        <w:rPr>
          <w:rFonts w:hint="eastAsia"/>
          <w:lang w:eastAsia="zh-CN"/>
        </w:rPr>
        <w:t>760</w:t>
      </w:r>
      <w:r>
        <w:t>km</w:t>
      </w:r>
      <w:r>
        <w:rPr>
          <w:spacing w:val="-1"/>
        </w:rPr>
        <w:t>，</w:t>
      </w:r>
      <w:r>
        <w:t>管径</w:t>
      </w:r>
      <w:r>
        <w:rPr>
          <w:rFonts w:hint="eastAsia"/>
        </w:rPr>
        <w:t>DN300</w:t>
      </w:r>
      <w:r>
        <w:t>mm，设计压力10MPa，设计规模为</w:t>
      </w:r>
      <w:r>
        <w:rPr>
          <w:rFonts w:hint="eastAsia"/>
        </w:rPr>
        <w:t>4.2</w:t>
      </w:r>
      <w:r>
        <w:t>×10</w:t>
      </w:r>
      <w:r>
        <w:rPr>
          <w:vertAlign w:val="superscript"/>
        </w:rPr>
        <w:t>8</w:t>
      </w:r>
      <w:r>
        <w:t>Nm</w:t>
      </w:r>
      <w:r>
        <w:rPr>
          <w:vertAlign w:val="superscript"/>
        </w:rPr>
        <w:t>3</w:t>
      </w:r>
      <w:r>
        <w:t>/a。</w:t>
      </w:r>
      <w:r>
        <w:rPr>
          <w:rFonts w:hint="eastAsia"/>
        </w:rPr>
        <w:t>本工程</w:t>
      </w:r>
      <w:r>
        <w:rPr>
          <w:spacing w:val="-1"/>
        </w:rPr>
        <w:t>新建</w:t>
      </w:r>
      <w:r>
        <w:rPr>
          <w:rFonts w:hint="eastAsia"/>
          <w:spacing w:val="-1"/>
        </w:rPr>
        <w:t>耒阳分输站</w:t>
      </w:r>
      <w:r>
        <w:rPr>
          <w:spacing w:val="-1"/>
        </w:rPr>
        <w:t>1座</w:t>
      </w:r>
      <w:r>
        <w:rPr>
          <w:rFonts w:hint="eastAsia"/>
          <w:spacing w:val="-1"/>
        </w:rPr>
        <w:t>，</w:t>
      </w:r>
      <w:r>
        <w:rPr>
          <w:spacing w:val="-1"/>
        </w:rPr>
        <w:t>依托已建</w:t>
      </w:r>
      <w:r>
        <w:rPr>
          <w:rFonts w:hint="eastAsia"/>
          <w:spacing w:val="-1"/>
        </w:rPr>
        <w:t>28号阀室进行改造，</w:t>
      </w:r>
      <w:r>
        <w:t>在</w:t>
      </w:r>
      <w:r>
        <w:rPr>
          <w:rFonts w:hint="eastAsia"/>
        </w:rPr>
        <w:t>28号阀室内新增分输阀组一套。</w:t>
      </w:r>
    </w:p>
    <w:p w14:paraId="0D2D90EE">
      <w:pPr>
        <w:pStyle w:val="234"/>
        <w:ind w:firstLine="478"/>
      </w:pPr>
      <w:r>
        <w:rPr>
          <w:spacing w:val="-1"/>
        </w:rPr>
        <w:t>本工程无劳动定员，工程</w:t>
      </w:r>
      <w:r>
        <w:t>总投资为</w:t>
      </w:r>
      <w:r>
        <w:rPr>
          <w:rFonts w:hint="eastAsia"/>
        </w:rPr>
        <w:t>4327.91</w:t>
      </w:r>
      <w:r>
        <w:t>万元，其中环保投资</w:t>
      </w:r>
      <w:r>
        <w:rPr>
          <w:rFonts w:hint="eastAsia"/>
        </w:rPr>
        <w:t>150.03万</w:t>
      </w:r>
      <w:r>
        <w:t>元。</w:t>
      </w:r>
    </w:p>
    <w:p w14:paraId="4B11478C">
      <w:pPr>
        <w:pStyle w:val="4"/>
      </w:pPr>
      <w:bookmarkStart w:id="286" w:name="_Toc5381"/>
      <w:r>
        <w:t>项目选址与产业政策符合性</w:t>
      </w:r>
      <w:bookmarkEnd w:id="286"/>
    </w:p>
    <w:p w14:paraId="62E3AC0A">
      <w:pPr>
        <w:pStyle w:val="234"/>
      </w:pPr>
      <w:r>
        <w:t>本工程属于《产业结构调整指导目录（20</w:t>
      </w:r>
      <w:r>
        <w:rPr>
          <w:rFonts w:hint="eastAsia"/>
        </w:rPr>
        <w:t>24</w:t>
      </w:r>
      <w:r>
        <w:t>年本）》中“七、石油天然气</w:t>
      </w:r>
      <w:r>
        <w:rPr>
          <w:rFonts w:hint="eastAsia"/>
        </w:rPr>
        <w:t>—2</w:t>
      </w:r>
      <w:r>
        <w:t>、</w:t>
      </w:r>
      <w:r>
        <w:rPr>
          <w:rFonts w:hint="eastAsia"/>
        </w:rPr>
        <w:t>油气管网</w:t>
      </w:r>
      <w:r>
        <w:t>建设”，属于国家“鼓励类”项目，本工程符合国家产业政策。</w:t>
      </w:r>
    </w:p>
    <w:p w14:paraId="7FD022F6">
      <w:pPr>
        <w:pStyle w:val="4"/>
        <w:rPr>
          <w:b/>
        </w:rPr>
      </w:pPr>
      <w:bookmarkStart w:id="287" w:name="_Toc72672384"/>
      <w:bookmarkStart w:id="288" w:name="_Toc1651"/>
      <w:r>
        <w:t>环境质量现状</w:t>
      </w:r>
      <w:bookmarkEnd w:id="287"/>
      <w:bookmarkEnd w:id="288"/>
    </w:p>
    <w:p w14:paraId="2F7F5300">
      <w:pPr>
        <w:pStyle w:val="5"/>
        <w:rPr>
          <w:b/>
          <w:bCs/>
          <w:color w:val="auto"/>
        </w:rPr>
      </w:pPr>
      <w:r>
        <w:rPr>
          <w:color w:val="auto"/>
        </w:rPr>
        <w:t xml:space="preserve"> 大气环境现状</w:t>
      </w:r>
    </w:p>
    <w:p w14:paraId="49FDD8DB">
      <w:pPr>
        <w:pStyle w:val="234"/>
      </w:pPr>
      <w:r>
        <w:t>根据</w:t>
      </w:r>
      <w:r>
        <w:rPr>
          <w:rFonts w:hint="eastAsia"/>
        </w:rPr>
        <w:t>衡阳市生态环境局发布的</w:t>
      </w:r>
      <w:r>
        <w:t>《</w:t>
      </w:r>
      <w:r>
        <w:rPr>
          <w:rFonts w:hint="eastAsia"/>
        </w:rPr>
        <w:t>关于2023年12月及1-12月全市环境质量的通报</w:t>
      </w:r>
      <w:r>
        <w:t>》</w:t>
      </w:r>
      <w:r>
        <w:rPr>
          <w:rFonts w:hint="eastAsia"/>
        </w:rPr>
        <w:t>（</w:t>
      </w:r>
      <w:r>
        <w:t>202</w:t>
      </w:r>
      <w:r>
        <w:rPr>
          <w:rFonts w:hint="eastAsia"/>
        </w:rPr>
        <w:t>4</w:t>
      </w:r>
      <w:r>
        <w:t>年</w:t>
      </w:r>
      <w:r>
        <w:rPr>
          <w:rFonts w:hint="eastAsia"/>
        </w:rPr>
        <w:t>2</w:t>
      </w:r>
      <w:r>
        <w:t>月</w:t>
      </w:r>
      <w:r>
        <w:rPr>
          <w:rFonts w:hint="eastAsia"/>
        </w:rPr>
        <w:t>2</w:t>
      </w:r>
      <w:r>
        <w:t>日</w:t>
      </w:r>
      <w:r>
        <w:rPr>
          <w:rFonts w:hint="eastAsia"/>
        </w:rPr>
        <w:t>）</w:t>
      </w:r>
      <w:r>
        <w:t>中</w:t>
      </w:r>
      <w:r>
        <w:rPr>
          <w:rFonts w:hint="eastAsia"/>
        </w:rPr>
        <w:t>耒阳市</w:t>
      </w:r>
      <w:r>
        <w:t>的监测结果和结论，202</w:t>
      </w:r>
      <w:r>
        <w:rPr>
          <w:rFonts w:hint="eastAsia"/>
        </w:rPr>
        <w:t>3</w:t>
      </w:r>
      <w:r>
        <w:t>年</w:t>
      </w:r>
      <w:r>
        <w:rPr>
          <w:rFonts w:hint="eastAsia"/>
        </w:rPr>
        <w:t>耒阳</w:t>
      </w:r>
      <w:r>
        <w:t>市环境空气中PM</w:t>
      </w:r>
      <w:r>
        <w:rPr>
          <w:vertAlign w:val="subscript"/>
        </w:rPr>
        <w:t>2.5</w:t>
      </w:r>
      <w:r>
        <w:t>、PM</w:t>
      </w:r>
      <w:r>
        <w:rPr>
          <w:vertAlign w:val="subscript"/>
        </w:rPr>
        <w:t>10</w:t>
      </w:r>
      <w:r>
        <w:t>、SO</w:t>
      </w:r>
      <w:r>
        <w:rPr>
          <w:vertAlign w:val="subscript"/>
        </w:rPr>
        <w:t>2</w:t>
      </w:r>
      <w:r>
        <w:t>、NO</w:t>
      </w:r>
      <w:r>
        <w:rPr>
          <w:vertAlign w:val="subscript"/>
        </w:rPr>
        <w:t>2</w:t>
      </w:r>
      <w:r>
        <w:t>、O</w:t>
      </w:r>
      <w:r>
        <w:rPr>
          <w:vertAlign w:val="subscript"/>
        </w:rPr>
        <w:t>3</w:t>
      </w:r>
      <w:r>
        <w:t>浓度分别为</w:t>
      </w:r>
      <w:r>
        <w:rPr>
          <w:rFonts w:hint="eastAsia"/>
        </w:rPr>
        <w:t>32</w:t>
      </w:r>
      <w:r>
        <w:t>、</w:t>
      </w:r>
      <w:r>
        <w:rPr>
          <w:rFonts w:hint="eastAsia"/>
        </w:rPr>
        <w:t>51</w:t>
      </w:r>
      <w:r>
        <w:t>、</w:t>
      </w:r>
      <w:r>
        <w:rPr>
          <w:rFonts w:hint="eastAsia"/>
        </w:rPr>
        <w:t>9</w:t>
      </w:r>
      <w:r>
        <w:t>、</w:t>
      </w:r>
      <w:r>
        <w:rPr>
          <w:rFonts w:hint="eastAsia"/>
        </w:rPr>
        <w:t>16</w:t>
      </w:r>
      <w:r>
        <w:t>、1</w:t>
      </w:r>
      <w:r>
        <w:rPr>
          <w:rFonts w:hint="eastAsia"/>
        </w:rPr>
        <w:t>22</w:t>
      </w:r>
      <w:r>
        <w:rPr>
          <w:spacing w:val="-1"/>
        </w:rPr>
        <w:t>μg</w:t>
      </w:r>
      <w:r>
        <w:rPr>
          <w:rFonts w:eastAsia="Times New Roman"/>
          <w:spacing w:val="-1"/>
        </w:rPr>
        <w:t>/m</w:t>
      </w:r>
      <w:r>
        <w:rPr>
          <w:rFonts w:eastAsia="Times New Roman"/>
          <w:vertAlign w:val="superscript"/>
        </w:rPr>
        <w:t>3</w:t>
      </w:r>
      <w:r>
        <w:t>，CO浓度为1.</w:t>
      </w:r>
      <w:r>
        <w:rPr>
          <w:rFonts w:hint="eastAsia"/>
        </w:rPr>
        <w:t>0</w:t>
      </w:r>
      <w:r>
        <w:rPr>
          <w:spacing w:val="-1"/>
        </w:rPr>
        <w:t>mg</w:t>
      </w:r>
      <w:r>
        <w:rPr>
          <w:rFonts w:eastAsia="Times New Roman"/>
          <w:spacing w:val="-1"/>
        </w:rPr>
        <w:t>/m</w:t>
      </w:r>
      <w:r>
        <w:rPr>
          <w:rFonts w:eastAsia="Times New Roman"/>
          <w:vertAlign w:val="superscript"/>
        </w:rPr>
        <w:t>3</w:t>
      </w:r>
      <w:r>
        <w:t>。六项污染物浓度均符合《环境空气质量标准》（GB3095-2012）</w:t>
      </w:r>
      <w:r>
        <w:rPr>
          <w:rFonts w:hint="eastAsia"/>
        </w:rPr>
        <w:t>及2018年修改单</w:t>
      </w:r>
      <w:r>
        <w:t>中二级标准。</w:t>
      </w:r>
    </w:p>
    <w:p w14:paraId="4485201A">
      <w:pPr>
        <w:pStyle w:val="234"/>
      </w:pPr>
      <w:r>
        <w:rPr>
          <w:rFonts w:hint="eastAsia"/>
          <w:i/>
          <w:iCs/>
          <w:color w:val="auto"/>
          <w:u w:val="single"/>
        </w:rPr>
        <w:t>根据引用的监测点位监测数据，</w:t>
      </w:r>
      <w:r>
        <w:rPr>
          <w:rFonts w:hint="eastAsia"/>
          <w:i/>
          <w:iCs/>
          <w:color w:val="auto"/>
          <w:kern w:val="0"/>
          <w:szCs w:val="21"/>
          <w:u w:val="single"/>
        </w:rPr>
        <w:t xml:space="preserve"> TSP因子能达到《环境空气质量标准》（GB3095-2012）二级标准；</w:t>
      </w:r>
      <w:r>
        <w:t>根据补充监测结果表明，工程所在区域及周边环境敏感点非甲烷总烃满足大气污染物综合排放标准详解》中标准要求。</w:t>
      </w:r>
    </w:p>
    <w:p w14:paraId="133ED3C4">
      <w:pPr>
        <w:pStyle w:val="5"/>
        <w:rPr>
          <w:b/>
          <w:bCs/>
          <w:color w:val="auto"/>
        </w:rPr>
      </w:pPr>
      <w:r>
        <w:rPr>
          <w:color w:val="auto"/>
        </w:rPr>
        <w:t xml:space="preserve"> 地表水环境现状</w:t>
      </w:r>
    </w:p>
    <w:p w14:paraId="0F9A59F1">
      <w:pPr>
        <w:pStyle w:val="234"/>
      </w:pPr>
      <w:r>
        <w:t>根据本次环评对</w:t>
      </w:r>
      <w:r>
        <w:rPr>
          <w:rFonts w:hint="eastAsia"/>
        </w:rPr>
        <w:t>项目区域</w:t>
      </w:r>
      <w:r>
        <w:rPr>
          <w:spacing w:val="-12"/>
        </w:rPr>
        <w:t>地表水环境质量监测结果可知，</w:t>
      </w:r>
      <w:r>
        <w:rPr>
          <w:rFonts w:hint="eastAsia"/>
          <w:spacing w:val="-12"/>
        </w:rPr>
        <w:t>项目附近坑塘</w:t>
      </w:r>
      <w:r>
        <w:t>处各污染物均</w:t>
      </w:r>
      <w:r>
        <w:rPr>
          <w:i/>
          <w:iCs/>
          <w:color w:val="auto"/>
          <w:u w:val="single"/>
        </w:rPr>
        <w:t>能够满足《</w:t>
      </w:r>
      <w:r>
        <w:rPr>
          <w:rFonts w:hint="eastAsia"/>
          <w:i/>
          <w:iCs/>
          <w:color w:val="auto"/>
          <w:u w:val="single"/>
        </w:rPr>
        <w:t>地表水环境质量标</w:t>
      </w:r>
      <w:r>
        <w:rPr>
          <w:i/>
          <w:iCs/>
          <w:color w:val="auto"/>
          <w:u w:val="single"/>
        </w:rPr>
        <w:t>准》</w:t>
      </w:r>
      <w:r>
        <w:rPr>
          <w:rFonts w:hint="eastAsia"/>
          <w:i/>
          <w:iCs/>
          <w:color w:val="auto"/>
          <w:u w:val="single"/>
        </w:rPr>
        <w:t>（</w:t>
      </w:r>
      <w:r>
        <w:rPr>
          <w:i/>
          <w:iCs/>
          <w:color w:val="auto"/>
          <w:u w:val="single"/>
        </w:rPr>
        <w:t>GB</w:t>
      </w:r>
      <w:r>
        <w:rPr>
          <w:rFonts w:hint="eastAsia"/>
          <w:i/>
          <w:iCs/>
          <w:color w:val="auto"/>
          <w:u w:val="single"/>
        </w:rPr>
        <w:t>3838-2002）</w:t>
      </w:r>
      <w:r>
        <w:rPr>
          <w:i/>
          <w:iCs/>
          <w:color w:val="auto"/>
          <w:u w:val="single"/>
        </w:rPr>
        <w:t>中</w:t>
      </w:r>
      <w:r>
        <w:rPr>
          <w:rFonts w:hint="eastAsia"/>
          <w:i/>
          <w:iCs/>
          <w:color w:val="auto"/>
          <w:u w:val="single"/>
          <w:lang w:val="en-US" w:eastAsia="zh-CN"/>
        </w:rPr>
        <w:t>Ⅲ</w:t>
      </w:r>
      <w:r>
        <w:rPr>
          <w:rFonts w:hint="eastAsia"/>
          <w:i/>
          <w:iCs/>
          <w:color w:val="auto"/>
          <w:u w:val="single"/>
        </w:rPr>
        <w:t>类标准</w:t>
      </w:r>
      <w:r>
        <w:rPr>
          <w:i/>
          <w:iCs/>
          <w:color w:val="auto"/>
          <w:u w:val="single"/>
        </w:rPr>
        <w:t>限值</w:t>
      </w:r>
      <w:r>
        <w:rPr>
          <w:rFonts w:hint="eastAsia"/>
          <w:i/>
          <w:iCs/>
          <w:color w:val="auto"/>
          <w:u w:val="single"/>
        </w:rPr>
        <w:t>，</w:t>
      </w:r>
      <w:r>
        <w:rPr>
          <w:rFonts w:hint="eastAsia"/>
        </w:rPr>
        <w:t>悬浮物满足</w:t>
      </w:r>
      <w:r>
        <w:t>《农田灌溉水质标准》(GB 5084-2021)中</w:t>
      </w:r>
      <w:r>
        <w:rPr>
          <w:rFonts w:hint="eastAsia"/>
        </w:rPr>
        <w:t>水田</w:t>
      </w:r>
      <w:r>
        <w:t>作物种类要求限值。</w:t>
      </w:r>
    </w:p>
    <w:p w14:paraId="52DC944E">
      <w:pPr>
        <w:pStyle w:val="5"/>
        <w:rPr>
          <w:color w:val="auto"/>
        </w:rPr>
      </w:pPr>
      <w:r>
        <w:rPr>
          <w:rFonts w:hint="eastAsia"/>
          <w:color w:val="auto"/>
        </w:rPr>
        <w:t xml:space="preserve"> </w:t>
      </w:r>
      <w:r>
        <w:rPr>
          <w:color w:val="auto"/>
        </w:rPr>
        <w:t>地下水环境现状</w:t>
      </w:r>
    </w:p>
    <w:p w14:paraId="6B750E50">
      <w:pPr>
        <w:pStyle w:val="234"/>
      </w:pPr>
      <w:r>
        <w:t>根据监测结果显示，本次</w:t>
      </w:r>
      <w:r>
        <w:rPr>
          <w:rFonts w:hint="eastAsia"/>
        </w:rPr>
        <w:t>5</w:t>
      </w:r>
      <w:r>
        <w:t>个监测点位</w:t>
      </w:r>
      <w:r>
        <w:rPr>
          <w:rFonts w:hint="eastAsia"/>
        </w:rPr>
        <w:t>监测</w:t>
      </w:r>
      <w:r>
        <w:t>因子均能满足《地下水质量标准》(GB/T14848-2017)III类标准要求</w:t>
      </w:r>
      <w:r>
        <w:rPr>
          <w:rFonts w:hint="eastAsia"/>
        </w:rPr>
        <w:t>，</w:t>
      </w:r>
      <w:r>
        <w:t>石油类</w:t>
      </w:r>
      <w:r>
        <w:rPr>
          <w:rFonts w:hint="eastAsia"/>
        </w:rPr>
        <w:t>满足</w:t>
      </w:r>
      <w:r>
        <w:t>《地表水环境质量标准》(GB3838-2002)Ⅲ类标准要求。</w:t>
      </w:r>
    </w:p>
    <w:p w14:paraId="18F1D2FD">
      <w:pPr>
        <w:pStyle w:val="5"/>
        <w:rPr>
          <w:b/>
          <w:bCs/>
          <w:color w:val="auto"/>
        </w:rPr>
      </w:pPr>
      <w:r>
        <w:rPr>
          <w:color w:val="auto"/>
        </w:rPr>
        <w:t xml:space="preserve"> 声环境现状</w:t>
      </w:r>
    </w:p>
    <w:p w14:paraId="0833F399">
      <w:pPr>
        <w:pStyle w:val="234"/>
      </w:pPr>
      <w:r>
        <w:t>根据监测结果可知，本工程沿线</w:t>
      </w:r>
      <w:r>
        <w:rPr>
          <w:rFonts w:hint="eastAsia"/>
        </w:rPr>
        <w:t>铜角湾、蒋家冲</w:t>
      </w:r>
      <w:r>
        <w:t>等环境敏感点声环境质量较好，昼间、夜间噪声均满足《声环境质量标准》(GB3096-2008)中的</w:t>
      </w:r>
      <w:r>
        <w:rPr>
          <w:rFonts w:hint="eastAsia"/>
        </w:rPr>
        <w:t>2</w:t>
      </w:r>
      <w:r>
        <w:t>类标准要求。</w:t>
      </w:r>
    </w:p>
    <w:p w14:paraId="04B34CA3">
      <w:pPr>
        <w:pStyle w:val="5"/>
        <w:rPr>
          <w:color w:val="auto"/>
        </w:rPr>
      </w:pPr>
      <w:r>
        <w:rPr>
          <w:rFonts w:hint="eastAsia"/>
          <w:color w:val="auto"/>
        </w:rPr>
        <w:t xml:space="preserve"> </w:t>
      </w:r>
      <w:r>
        <w:rPr>
          <w:color w:val="auto"/>
        </w:rPr>
        <w:t>生态环境现状</w:t>
      </w:r>
    </w:p>
    <w:p w14:paraId="34D3591E">
      <w:pPr>
        <w:pStyle w:val="234"/>
        <w:rPr>
          <w:color w:val="0000FF"/>
        </w:rPr>
      </w:pPr>
      <w:bookmarkStart w:id="289" w:name="_Toc72672385"/>
      <w:r>
        <w:t>本工程</w:t>
      </w:r>
      <w:r>
        <w:rPr>
          <w:rFonts w:hint="eastAsia"/>
        </w:rPr>
        <w:t>位于耒阳市境内</w:t>
      </w:r>
      <w:r>
        <w:t>，沿线总体处于亚热带季风湿润气候区</w:t>
      </w:r>
      <w:r>
        <w:rPr>
          <w:rFonts w:hint="eastAsia"/>
        </w:rPr>
        <w:t>，</w:t>
      </w:r>
      <w:r>
        <w:t>属于</w:t>
      </w:r>
      <w:r>
        <w:rPr>
          <w:rFonts w:hint="eastAsia"/>
        </w:rPr>
        <w:t>南岭山地常绿阔叶林</w:t>
      </w:r>
      <w:r>
        <w:t>带，整个区域生态系统以</w:t>
      </w:r>
      <w:r>
        <w:rPr>
          <w:rFonts w:hint="eastAsia"/>
        </w:rPr>
        <w:t>森林</w:t>
      </w:r>
      <w:r>
        <w:t>生态系统为主，其次为</w:t>
      </w:r>
      <w:r>
        <w:rPr>
          <w:rFonts w:hint="eastAsia"/>
        </w:rPr>
        <w:t>农田</w:t>
      </w:r>
      <w:r>
        <w:t>生态系统、</w:t>
      </w:r>
      <w:r>
        <w:rPr>
          <w:rFonts w:hint="eastAsia"/>
        </w:rPr>
        <w:t>城镇</w:t>
      </w:r>
      <w:r>
        <w:t>生态系统</w:t>
      </w:r>
      <w:r>
        <w:rPr>
          <w:i/>
          <w:iCs/>
          <w:color w:val="auto"/>
          <w:u w:val="single"/>
        </w:rPr>
        <w:t>、</w:t>
      </w:r>
      <w:r>
        <w:rPr>
          <w:rFonts w:hint="eastAsia"/>
          <w:i/>
          <w:iCs/>
          <w:color w:val="auto"/>
          <w:u w:val="single"/>
        </w:rPr>
        <w:t>湿地生态系统</w:t>
      </w:r>
      <w:r>
        <w:rPr>
          <w:rFonts w:hint="eastAsia"/>
        </w:rPr>
        <w:t>等</w:t>
      </w:r>
      <w:r>
        <w:t>。</w:t>
      </w:r>
    </w:p>
    <w:p w14:paraId="24589303">
      <w:pPr>
        <w:pStyle w:val="234"/>
      </w:pPr>
      <w:r>
        <w:t>从管道沿线整体区域看，土地利用类型以</w:t>
      </w:r>
      <w:r>
        <w:rPr>
          <w:rFonts w:hint="eastAsia"/>
        </w:rPr>
        <w:t>林地</w:t>
      </w:r>
      <w:r>
        <w:t>为主。</w:t>
      </w:r>
      <w:r>
        <w:rPr>
          <w:rFonts w:hint="eastAsia"/>
        </w:rPr>
        <w:t>林地中植被种类主要为盐麸木、油茶、野桐和乌桕等</w:t>
      </w:r>
      <w:r>
        <w:t>。从总体上来看，沿线区域受人为干扰较强，农田生态系统中种植有</w:t>
      </w:r>
      <w:r>
        <w:rPr>
          <w:rFonts w:hint="eastAsia"/>
        </w:rPr>
        <w:t>水稻</w:t>
      </w:r>
      <w:r>
        <w:t>、玉米、</w:t>
      </w:r>
      <w:r>
        <w:rPr>
          <w:rFonts w:hint="eastAsia"/>
        </w:rPr>
        <w:t>甘薯</w:t>
      </w:r>
      <w:r>
        <w:t>等农作物，植被种类较丰富，生产力较高，故农田生态系统的恢复稳定性和阻抗稳定性都较强。在</w:t>
      </w:r>
      <w:r>
        <w:rPr>
          <w:rFonts w:hint="eastAsia"/>
        </w:rPr>
        <w:t>森林</w:t>
      </w:r>
      <w:r>
        <w:t>生态系统中还镶嵌着城镇生态系统及其他类型的生态系统，使整个评价区生态系统的结构和功能呈现出一定的多样性，并保持着动态稳定性。</w:t>
      </w:r>
    </w:p>
    <w:p w14:paraId="5BAAB83F">
      <w:pPr>
        <w:pStyle w:val="234"/>
      </w:pPr>
      <w:r>
        <w:t>从沿线区域整体生态现状和生态功能来看，管道评价区内生态系统保持着一定的稳定性与完整性</w:t>
      </w:r>
      <w:r>
        <w:rPr>
          <w:color w:val="1D41D5"/>
        </w:rPr>
        <w:t>。</w:t>
      </w:r>
    </w:p>
    <w:p w14:paraId="5E573D98">
      <w:pPr>
        <w:pStyle w:val="4"/>
        <w:rPr>
          <w:b/>
        </w:rPr>
      </w:pPr>
      <w:bookmarkStart w:id="290" w:name="_Toc13095"/>
      <w:r>
        <w:t>环境影响评价</w:t>
      </w:r>
      <w:bookmarkEnd w:id="289"/>
      <w:bookmarkEnd w:id="290"/>
    </w:p>
    <w:p w14:paraId="03DF88AC">
      <w:pPr>
        <w:pStyle w:val="5"/>
        <w:rPr>
          <w:b/>
          <w:bCs/>
          <w:color w:val="auto"/>
        </w:rPr>
      </w:pPr>
      <w:r>
        <w:rPr>
          <w:color w:val="auto"/>
        </w:rPr>
        <w:t xml:space="preserve"> 环境空气影响评价</w:t>
      </w:r>
    </w:p>
    <w:p w14:paraId="7E3DD41C">
      <w:pPr>
        <w:pStyle w:val="7"/>
      </w:pPr>
      <w:r>
        <w:t>施工期</w:t>
      </w:r>
    </w:p>
    <w:p w14:paraId="3B51FE34">
      <w:pPr>
        <w:pStyle w:val="234"/>
      </w:pPr>
      <w:r>
        <w:t>施工废气主要来自地面开挖和运输车辆行驶产生的</w:t>
      </w:r>
      <w:r>
        <w:rPr>
          <w:rFonts w:hint="eastAsia"/>
        </w:rPr>
        <w:t>施工</w:t>
      </w:r>
      <w:r>
        <w:t>扬尘、施工机械</w:t>
      </w:r>
      <w:r>
        <w:rPr>
          <w:rFonts w:hint="eastAsia"/>
        </w:rPr>
        <w:t>及施工车辆尾气、防腐废气、</w:t>
      </w:r>
      <w:r>
        <w:t>焊接烟尘</w:t>
      </w:r>
      <w:r>
        <w:rPr>
          <w:rFonts w:hint="eastAsia"/>
        </w:rPr>
        <w:t>、涂装废气和放空天然气</w:t>
      </w:r>
      <w:r>
        <w:t>。</w:t>
      </w:r>
    </w:p>
    <w:p w14:paraId="6C9A32DE">
      <w:pPr>
        <w:pStyle w:val="234"/>
      </w:pPr>
      <w:r>
        <w:t>本工程施工现场进行合理化管理，设置防尘屏障，统一堆放材料，大风天停止作业。开挖施工过程中产生的扬尘，采用洒水车定期对作业和土堆洒水等措施控制施工扬尘</w:t>
      </w:r>
      <w:r>
        <w:rPr>
          <w:rFonts w:hint="eastAsia"/>
        </w:rPr>
        <w:t>。</w:t>
      </w:r>
    </w:p>
    <w:p w14:paraId="352E7B96">
      <w:pPr>
        <w:pStyle w:val="234"/>
      </w:pPr>
      <w:r>
        <w:t>加强对施工机械、车辆维修保养，禁止以柴油为燃料的施工机械超负荷工作；施工非道路移动机械使用100%达标油；管道焊接组装采用分段焊接、分段组装的方式</w:t>
      </w:r>
      <w:r>
        <w:rPr>
          <w:rFonts w:hint="eastAsia"/>
        </w:rPr>
        <w:t>。</w:t>
      </w:r>
    </w:p>
    <w:p w14:paraId="58EFC193">
      <w:pPr>
        <w:pStyle w:val="234"/>
      </w:pPr>
      <w:r>
        <w:rPr>
          <w:rFonts w:hint="eastAsia"/>
        </w:rPr>
        <w:t>本工程施工期</w:t>
      </w:r>
      <w:r>
        <w:t>放空天然气量较少，放空隔离区内疏散人员，设置临时警示带，不允许有烟火和静电火花产生。</w:t>
      </w:r>
      <w:r>
        <w:rPr>
          <w:kern w:val="0"/>
        </w:rPr>
        <w:t>且</w:t>
      </w:r>
      <w:r>
        <w:rPr>
          <w:rFonts w:hint="eastAsia"/>
          <w:kern w:val="0"/>
        </w:rPr>
        <w:t>耒阳</w:t>
      </w:r>
      <w:r>
        <w:rPr>
          <w:kern w:val="0"/>
        </w:rPr>
        <w:t>分输站放空区周围较空旷，有利于空气的扩散。</w:t>
      </w:r>
      <w:r>
        <w:t>施工过程严格大气污染防治措施，且施工地点主要位于野外，地形开阔，废气污染物扩散后对环境空气影响较小。</w:t>
      </w:r>
    </w:p>
    <w:p w14:paraId="22F7DBE4">
      <w:pPr>
        <w:pStyle w:val="7"/>
      </w:pPr>
      <w:r>
        <w:t>运营期</w:t>
      </w:r>
    </w:p>
    <w:p w14:paraId="63471666">
      <w:pPr>
        <w:pStyle w:val="234"/>
      </w:pPr>
      <w:r>
        <w:t>运营期，环境空气污染源主要来自站场阀门等动静密封点产生的非甲烷总烃，以及非正常工况下分离器检修及系统超压排放的天然气。在采用合理的输气工艺，选用优质</w:t>
      </w:r>
      <w:r>
        <w:rPr>
          <w:rFonts w:hint="eastAsia"/>
        </w:rPr>
        <w:t>设备和</w:t>
      </w:r>
      <w:r>
        <w:t>材料，同时加强管理，</w:t>
      </w:r>
      <w:r>
        <w:rPr>
          <w:rFonts w:hint="eastAsia"/>
        </w:rPr>
        <w:t>定期进行检测，</w:t>
      </w:r>
      <w:r>
        <w:t>减少放空和跑冒滴漏，站场设置放空系统，</w:t>
      </w:r>
      <w:r>
        <w:rPr>
          <w:rFonts w:hint="eastAsia"/>
        </w:rPr>
        <w:t>事故状态下</w:t>
      </w:r>
      <w:r>
        <w:t>天然气通过放空</w:t>
      </w:r>
      <w:r>
        <w:rPr>
          <w:rFonts w:hint="eastAsia"/>
        </w:rPr>
        <w:t>立管</w:t>
      </w:r>
      <w:r>
        <w:t>排放，利用高空疏散，减少天然气排放的安全危害和环境污染。</w:t>
      </w:r>
    </w:p>
    <w:p w14:paraId="5F4E4FAB">
      <w:pPr>
        <w:pStyle w:val="234"/>
      </w:pPr>
      <w:r>
        <w:t>经预测，</w:t>
      </w:r>
      <w:r>
        <w:rPr>
          <w:rFonts w:hint="eastAsia"/>
        </w:rPr>
        <w:t>耒阳</w:t>
      </w:r>
      <w:r>
        <w:t>分输站</w:t>
      </w:r>
      <w:r>
        <w:rPr>
          <w:rFonts w:hint="eastAsia"/>
        </w:rPr>
        <w:t>和28号阀室</w:t>
      </w:r>
      <w:r>
        <w:t>无组织非甲烷总烃最大落地浓度均满足《</w:t>
      </w:r>
      <w:r>
        <w:rPr>
          <w:rFonts w:hint="eastAsia"/>
        </w:rPr>
        <w:t>大气污染物综合排放标准</w:t>
      </w:r>
      <w:r>
        <w:t>》</w:t>
      </w:r>
      <w:r>
        <w:rPr>
          <w:rFonts w:hint="eastAsia"/>
        </w:rPr>
        <w:t>（GB16297-1996）中厂界外最高浓度标准限值</w:t>
      </w:r>
      <w:r>
        <w:t>，对周围环境影响</w:t>
      </w:r>
      <w:r>
        <w:rPr>
          <w:rFonts w:hint="eastAsia"/>
        </w:rPr>
        <w:t>较小</w:t>
      </w:r>
      <w:r>
        <w:t>。</w:t>
      </w:r>
    </w:p>
    <w:p w14:paraId="60205FED">
      <w:pPr>
        <w:pStyle w:val="5"/>
        <w:rPr>
          <w:b/>
          <w:bCs/>
          <w:color w:val="auto"/>
        </w:rPr>
      </w:pPr>
      <w:r>
        <w:rPr>
          <w:color w:val="auto"/>
        </w:rPr>
        <w:t xml:space="preserve"> 地表水环境影响评价</w:t>
      </w:r>
    </w:p>
    <w:p w14:paraId="4D4A1DAF">
      <w:pPr>
        <w:pStyle w:val="7"/>
      </w:pPr>
      <w:r>
        <w:t>施工期</w:t>
      </w:r>
    </w:p>
    <w:p w14:paraId="1C53A43E">
      <w:pPr>
        <w:pStyle w:val="234"/>
      </w:pPr>
      <w:r>
        <w:t>施工期</w:t>
      </w:r>
      <w:r>
        <w:rPr>
          <w:rFonts w:hint="eastAsia"/>
        </w:rPr>
        <w:t>无地表水穿跨越</w:t>
      </w:r>
      <w:r>
        <w:t>，不会对水体功能和水质产生明显影响。</w:t>
      </w:r>
    </w:p>
    <w:p w14:paraId="388C0146">
      <w:pPr>
        <w:pStyle w:val="234"/>
      </w:pPr>
      <w:r>
        <w:t>项目施工生活污水</w:t>
      </w:r>
      <w:r>
        <w:rPr>
          <w:rFonts w:hint="eastAsia"/>
        </w:rPr>
        <w:t>排入当地农村现有设施处理，</w:t>
      </w:r>
      <w:r>
        <w:t>对沿线水环境无影响。</w:t>
      </w:r>
    </w:p>
    <w:p w14:paraId="419D4A42">
      <w:pPr>
        <w:pStyle w:val="234"/>
      </w:pPr>
      <w:r>
        <w:t>管道试压排水中</w:t>
      </w:r>
      <w:r>
        <w:rPr>
          <w:rFonts w:hint="eastAsia"/>
        </w:rPr>
        <w:t>主要污染物为</w:t>
      </w:r>
      <w:r>
        <w:t>悬浮物，</w:t>
      </w:r>
      <w:r>
        <w:rPr>
          <w:rFonts w:hint="eastAsia"/>
        </w:rPr>
        <w:t>采用过滤处理后回用于农田灌溉、道路洒水等。采取以上措施后</w:t>
      </w:r>
      <w:r>
        <w:t>对地表水环境影响不大。</w:t>
      </w:r>
    </w:p>
    <w:p w14:paraId="1F213EC9">
      <w:pPr>
        <w:pStyle w:val="7"/>
      </w:pPr>
      <w:r>
        <w:rPr>
          <w:rFonts w:hint="eastAsia"/>
        </w:rPr>
        <w:t xml:space="preserve"> </w:t>
      </w:r>
      <w:r>
        <w:t>运营期</w:t>
      </w:r>
    </w:p>
    <w:p w14:paraId="01400C88">
      <w:pPr>
        <w:pStyle w:val="234"/>
      </w:pPr>
      <w:r>
        <w:t>运营期</w:t>
      </w:r>
      <w:r>
        <w:rPr>
          <w:rFonts w:hint="eastAsia"/>
        </w:rPr>
        <w:t>仅耒阳分输站巡检人员产生少量生活污水，排入站内撬装卫生间中，定期委托拉运处理，不会对周围地表水环境造成影响</w:t>
      </w:r>
      <w:r>
        <w:t>。</w:t>
      </w:r>
    </w:p>
    <w:p w14:paraId="56E13338">
      <w:pPr>
        <w:pStyle w:val="234"/>
      </w:pPr>
      <w:r>
        <w:t>运营期正常工况下，由于管线是全封闭系统，输运的天然气不会与管线</w:t>
      </w:r>
      <w:r>
        <w:rPr>
          <w:rFonts w:hint="eastAsia"/>
        </w:rPr>
        <w:t>附近</w:t>
      </w:r>
      <w:r>
        <w:t>的水体之间发生联系</w:t>
      </w:r>
      <w:r>
        <w:rPr>
          <w:spacing w:val="-32"/>
        </w:rPr>
        <w:t>，</w:t>
      </w:r>
      <w:r>
        <w:t>采用防腐层和阴极保护联合方式</w:t>
      </w:r>
      <w:r>
        <w:rPr>
          <w:spacing w:val="-31"/>
        </w:rPr>
        <w:t>，</w:t>
      </w:r>
      <w:r>
        <w:t>如发生泄漏事故</w:t>
      </w:r>
      <w:r>
        <w:rPr>
          <w:spacing w:val="-32"/>
        </w:rPr>
        <w:t>，</w:t>
      </w:r>
      <w:r>
        <w:t>由于天然气密度比空气小，沸点极低（-161.5</w:t>
      </w:r>
      <w:r>
        <w:rPr>
          <w:rFonts w:eastAsia="Times New Roman"/>
        </w:rPr>
        <w:t>℃</w:t>
      </w:r>
      <w:r>
        <w:t>），且几乎不溶于水，在事故状态下输气管道</w:t>
      </w:r>
      <w:r>
        <w:rPr>
          <w:rFonts w:hint="eastAsia"/>
        </w:rPr>
        <w:t>附近坑塘</w:t>
      </w:r>
      <w:r>
        <w:t>处发生破裂，天然气对水质的直接影响很小。</w:t>
      </w:r>
    </w:p>
    <w:p w14:paraId="42DCFA55">
      <w:pPr>
        <w:pStyle w:val="5"/>
        <w:rPr>
          <w:b/>
          <w:bCs/>
          <w:color w:val="auto"/>
        </w:rPr>
      </w:pPr>
      <w:r>
        <w:rPr>
          <w:color w:val="auto"/>
        </w:rPr>
        <w:t xml:space="preserve"> 地下水环境影响评价</w:t>
      </w:r>
    </w:p>
    <w:p w14:paraId="7E5402BB">
      <w:pPr>
        <w:pStyle w:val="234"/>
      </w:pPr>
      <w:r>
        <w:t>本工程施工对地下水环境的影响主要表现在地下水埋深浅的区域施工对地下水环境的影响，但这种影响一般只在管线附近几米的范围，对地下水影响极微，管线施工结束就可恢复正常，在严格施工管理的情况下，对地下水环境的影响可接受。</w:t>
      </w:r>
    </w:p>
    <w:p w14:paraId="58F34A96">
      <w:pPr>
        <w:pStyle w:val="234"/>
        <w:ind w:firstLine="476"/>
      </w:pPr>
      <w:r>
        <w:rPr>
          <w:spacing w:val="-2"/>
        </w:rPr>
        <w:t>营运期</w:t>
      </w:r>
      <w:r>
        <w:rPr>
          <w:rFonts w:hint="eastAsia"/>
          <w:spacing w:val="-2"/>
        </w:rPr>
        <w:t>少量生活污水委托拉运处理，不会对地下水环境产生影响</w:t>
      </w:r>
      <w:r>
        <w:rPr>
          <w:spacing w:val="-2"/>
        </w:rPr>
        <w:t>。管线埋设于地下，输送介质为天然气，营运期间无生产废水产生。由于输气管线</w:t>
      </w:r>
      <w:r>
        <w:t>是全封闭系统</w:t>
      </w:r>
      <w:r>
        <w:rPr>
          <w:spacing w:val="-27"/>
        </w:rPr>
        <w:t>，</w:t>
      </w:r>
      <w:r>
        <w:t>管道防腐设计严格按照国家相关规定</w:t>
      </w:r>
      <w:r>
        <w:rPr>
          <w:spacing w:val="-24"/>
        </w:rPr>
        <w:t>，</w:t>
      </w:r>
      <w:r>
        <w:t>采用外防腐层和阴极保护的联合保护方案对管道进行保护</w:t>
      </w:r>
      <w:r>
        <w:rPr>
          <w:spacing w:val="-27"/>
        </w:rPr>
        <w:t>，</w:t>
      </w:r>
      <w:r>
        <w:t>输送的天然气不会与地下水发生联系</w:t>
      </w:r>
      <w:r>
        <w:rPr>
          <w:spacing w:val="-24"/>
        </w:rPr>
        <w:t>，</w:t>
      </w:r>
      <w:r>
        <w:t>对地下水环境无影响。事故状态下当管线发生破损(由于腐蚀、焊接缺陷、位移变形、外力破损等)发生天然气</w:t>
      </w:r>
      <w:r>
        <w:rPr>
          <w:rFonts w:hint="eastAsia"/>
        </w:rPr>
        <w:t>泄漏</w:t>
      </w:r>
      <w:r>
        <w:t>时，绝大部分天然气会通过包气带向外散逸，仅可能有极少量天然气体会滞留于土壤孔隙中。由于天然气难溶于水，因此即使发生降雨时，天然气也难以随雨水向下入渗进入含水层。</w:t>
      </w:r>
      <w:r>
        <w:rPr>
          <w:rFonts w:hint="eastAsia"/>
        </w:rPr>
        <w:t>耒阳分输站排污池采用混凝土池壁，具有良好的防渗性能，柴油发电机房地面硬化，可有效防渗。</w:t>
      </w:r>
      <w:r>
        <w:t>同时考虑到区域包气带岩土层天然防渗性能较好，可以有效防止污染物下渗污染地下水。因此事故状态下管线破损不会对区域地下水环境产生不良影响。</w:t>
      </w:r>
    </w:p>
    <w:p w14:paraId="36BD0261">
      <w:pPr>
        <w:pStyle w:val="5"/>
        <w:rPr>
          <w:b/>
          <w:bCs/>
          <w:color w:val="auto"/>
        </w:rPr>
      </w:pPr>
      <w:r>
        <w:rPr>
          <w:color w:val="auto"/>
        </w:rPr>
        <w:t xml:space="preserve"> 声环境影响评价</w:t>
      </w:r>
    </w:p>
    <w:p w14:paraId="12B5088F">
      <w:pPr>
        <w:pStyle w:val="234"/>
      </w:pPr>
      <w:r>
        <w:t>施工期，施工对声环境的影响中主要是由施工机械</w:t>
      </w:r>
      <w:r>
        <w:rPr>
          <w:rFonts w:hint="eastAsia"/>
        </w:rPr>
        <w:t>、</w:t>
      </w:r>
      <w:r>
        <w:t>运输车辆</w:t>
      </w:r>
      <w:r>
        <w:rPr>
          <w:rFonts w:hint="eastAsia"/>
        </w:rPr>
        <w:t>和放空</w:t>
      </w:r>
      <w:r>
        <w:t>造成。在加大声源治理力度，选择低噪声施工机械；合理布局施工现场；合理安排施工时间，在距居民区较近地段施工时，避免夜间作业；</w:t>
      </w:r>
      <w:r>
        <w:rPr>
          <w:rFonts w:hint="eastAsia"/>
        </w:rPr>
        <w:t>合理安排放空时间，通知周围居民；</w:t>
      </w:r>
      <w:r>
        <w:t>加强对施工期噪声的监督管理，将施工期噪声影响降至最低。</w:t>
      </w:r>
    </w:p>
    <w:p w14:paraId="7D071D09">
      <w:pPr>
        <w:pStyle w:val="234"/>
      </w:pPr>
      <w:r>
        <w:t>运营期，本工程站场正常工况下主要噪声源包括过滤分离器等，经过基础减振和隔声措施后，</w:t>
      </w:r>
      <w:r>
        <w:rPr>
          <w:rFonts w:hint="eastAsia"/>
        </w:rPr>
        <w:t>耒阳</w:t>
      </w:r>
      <w:r>
        <w:t>分输清管站厂界可满足《工业企业厂界环境噪声排放标准》（GB12348-2008）2类标准要求，</w:t>
      </w:r>
      <w:r>
        <w:rPr>
          <w:rFonts w:hint="eastAsia"/>
          <w:i/>
          <w:iCs/>
          <w:color w:val="auto"/>
          <w:u w:val="single"/>
        </w:rPr>
        <w:t>声环境敏感目标处满足《声环境质量标准》(GB3096-2008)2类标准要求，</w:t>
      </w:r>
      <w:r>
        <w:rPr>
          <w:rFonts w:hint="eastAsia"/>
        </w:rPr>
        <w:t>对声环境影响较小</w:t>
      </w:r>
      <w:r>
        <w:t>。</w:t>
      </w:r>
    </w:p>
    <w:p w14:paraId="1D701C2E">
      <w:pPr>
        <w:pStyle w:val="5"/>
        <w:rPr>
          <w:b/>
          <w:bCs/>
          <w:color w:val="auto"/>
        </w:rPr>
      </w:pPr>
      <w:r>
        <w:rPr>
          <w:color w:val="auto"/>
        </w:rPr>
        <w:t xml:space="preserve"> 固体废物影响评价</w:t>
      </w:r>
    </w:p>
    <w:p w14:paraId="2D6F023D">
      <w:pPr>
        <w:pStyle w:val="234"/>
      </w:pPr>
      <w:r>
        <w:t>施工期产生的固体废物主要为施工废料、</w:t>
      </w:r>
      <w:r>
        <w:rPr>
          <w:rFonts w:hint="eastAsia"/>
        </w:rPr>
        <w:t>清管废渣、建筑垃圾、废油漆桶和</w:t>
      </w:r>
      <w:r>
        <w:t>生活垃圾等。</w:t>
      </w:r>
    </w:p>
    <w:p w14:paraId="66062B05">
      <w:pPr>
        <w:pStyle w:val="234"/>
      </w:pPr>
      <w:r>
        <w:t>施工期施工废料部分回收利用，剩余废料委托工业废物回收单位处置；</w:t>
      </w:r>
      <w:r>
        <w:rPr>
          <w:rFonts w:hint="eastAsia"/>
        </w:rPr>
        <w:t>清管废渣和</w:t>
      </w:r>
      <w:r>
        <w:t>生活垃圾经分类收集后，交当地环卫部门处置</w:t>
      </w:r>
      <w:r>
        <w:rPr>
          <w:rFonts w:hint="eastAsia"/>
        </w:rPr>
        <w:t>；建筑垃圾清运至当地政府指定建筑垃圾消纳场进行处理；废油漆桶委托有资质单位拉运处理</w:t>
      </w:r>
      <w:r>
        <w:t>。施工期固体废物均能得到妥善处置，对环境影响较小。</w:t>
      </w:r>
    </w:p>
    <w:p w14:paraId="5107C1D8">
      <w:pPr>
        <w:pStyle w:val="234"/>
        <w:rPr>
          <w:rFonts w:eastAsia="黑体"/>
          <w:b/>
          <w:kern w:val="0"/>
          <w:sz w:val="28"/>
          <w:szCs w:val="20"/>
        </w:rPr>
      </w:pPr>
      <w:r>
        <w:t>营运期固体废物主要为</w:t>
      </w:r>
      <w:bookmarkStart w:id="291" w:name="_Hlk119962358"/>
      <w:r>
        <w:rPr>
          <w:rFonts w:hint="eastAsia"/>
        </w:rPr>
        <w:t>分离器检修废渣、废滤芯和</w:t>
      </w:r>
      <w:bookmarkEnd w:id="291"/>
      <w:r>
        <w:rPr>
          <w:rFonts w:hint="eastAsia"/>
        </w:rPr>
        <w:t>废铅酸蓄电池</w:t>
      </w:r>
      <w:r>
        <w:t>等</w:t>
      </w:r>
      <w:r>
        <w:rPr>
          <w:rFonts w:hint="eastAsia"/>
        </w:rPr>
        <w:t>。分离器检修废渣、废滤芯、废铅酸蓄电池委托有资质单位处置，</w:t>
      </w:r>
      <w:r>
        <w:t>对环境影响较小。</w:t>
      </w:r>
    </w:p>
    <w:p w14:paraId="735658E1">
      <w:pPr>
        <w:pStyle w:val="5"/>
        <w:rPr>
          <w:b/>
          <w:bCs/>
          <w:color w:val="auto"/>
        </w:rPr>
      </w:pPr>
      <w:r>
        <w:rPr>
          <w:color w:val="auto"/>
        </w:rPr>
        <w:t xml:space="preserve"> 生态环境影响评价</w:t>
      </w:r>
    </w:p>
    <w:p w14:paraId="596264CD">
      <w:pPr>
        <w:pStyle w:val="234"/>
      </w:pPr>
      <w:r>
        <w:t>（1）土地利用评价</w:t>
      </w:r>
    </w:p>
    <w:p w14:paraId="3FCA5D2D">
      <w:pPr>
        <w:pStyle w:val="234"/>
      </w:pPr>
      <w:r>
        <w:t>本工程永久占地面积</w:t>
      </w:r>
      <w:r>
        <w:rPr>
          <w:rFonts w:hint="eastAsia"/>
        </w:rPr>
        <w:t>主要为新建耒阳分输站及进站路占地</w:t>
      </w:r>
      <w:r>
        <w:t>，</w:t>
      </w:r>
      <w:r>
        <w:rPr>
          <w:rFonts w:hint="eastAsia"/>
        </w:rPr>
        <w:t>占地面积较小，不会</w:t>
      </w:r>
      <w:r>
        <w:t>对沿线土地利用结构造成大的改变。临时性工程占地将影响沿线土地的利用状况，施工结束后，随着生态补偿或生态恢复措施的实施，其影响将逐渐减小或消失。</w:t>
      </w:r>
    </w:p>
    <w:p w14:paraId="2DCB310A">
      <w:pPr>
        <w:pStyle w:val="234"/>
      </w:pPr>
      <w:r>
        <w:t>（2）生物多样性与生物量评价</w:t>
      </w:r>
    </w:p>
    <w:p w14:paraId="0FAA6438">
      <w:pPr>
        <w:pStyle w:val="234"/>
      </w:pPr>
      <w:r>
        <w:t>施工期，工程占地范围内的农作物、</w:t>
      </w:r>
      <w:r>
        <w:rPr>
          <w:rFonts w:hint="eastAsia"/>
        </w:rPr>
        <w:t>林木</w:t>
      </w:r>
      <w:r>
        <w:t>等被去除，导致占地范围内的植被覆盖率、植物物种量和生物量短时期内大幅降低。在管道施工结束后</w:t>
      </w:r>
      <w:r>
        <w:rPr>
          <w:rFonts w:hint="eastAsia"/>
        </w:rPr>
        <w:t>及时</w:t>
      </w:r>
      <w:r>
        <w:t>恢复种植</w:t>
      </w:r>
      <w:r>
        <w:rPr>
          <w:rFonts w:hint="eastAsia"/>
        </w:rPr>
        <w:t>，</w:t>
      </w:r>
      <w:r>
        <w:t>总体看，比建设前生物量有所减少</w:t>
      </w:r>
      <w:r>
        <w:rPr>
          <w:rFonts w:hint="eastAsia"/>
        </w:rPr>
        <w:t>。工程对整个评价范围内区域生态系统恢复及稳定性影响较小，不会引起物种的消失和生物多样性的减少。因此，工程</w:t>
      </w:r>
      <w:r>
        <w:t>对沿线区域生态环境造成的影响不大。</w:t>
      </w:r>
    </w:p>
    <w:p w14:paraId="1CFBA6E9">
      <w:pPr>
        <w:pStyle w:val="234"/>
      </w:pPr>
      <w:r>
        <w:t>（3）土壤影响评价</w:t>
      </w:r>
    </w:p>
    <w:p w14:paraId="1C9A50A9">
      <w:pPr>
        <w:pStyle w:val="234"/>
      </w:pPr>
      <w:r>
        <w:t>施工期敷设管道</w:t>
      </w:r>
      <w:r>
        <w:rPr>
          <w:rFonts w:hint="eastAsia"/>
        </w:rPr>
        <w:t>虽然</w:t>
      </w:r>
      <w:r>
        <w:t>改变了土壤结构和土壤养分状况，但通过采取分层开挖、分层堆放、分层回填制度等措施，土壤质量将会逐渐得到恢复。管道正常运营期间对土壤的影响</w:t>
      </w:r>
      <w:r>
        <w:rPr>
          <w:rFonts w:hint="eastAsia"/>
        </w:rPr>
        <w:t>主要为</w:t>
      </w:r>
      <w:r>
        <w:t>分离器排污和废滤芯等</w:t>
      </w:r>
      <w:r>
        <w:rPr>
          <w:rFonts w:hint="eastAsia"/>
        </w:rPr>
        <w:t>固体废物</w:t>
      </w:r>
      <w:r>
        <w:t>。因此，在运营期时只要做好固体废物回收工作，就可将其对土壤环境的影响降至最低程度。</w:t>
      </w:r>
    </w:p>
    <w:p w14:paraId="7B5B4166">
      <w:pPr>
        <w:pStyle w:val="234"/>
      </w:pPr>
      <w:r>
        <w:t>（4）景观评价</w:t>
      </w:r>
    </w:p>
    <w:p w14:paraId="76CC262A">
      <w:pPr>
        <w:pStyle w:val="234"/>
      </w:pPr>
      <w:r>
        <w:t>施工期，评价区项目占地范围内的农田、森林等生态系统遭到破坏，割裂了周围农田、森林生态系统的完整性。运营期，由于临时占地均已得到生态恢复，将使</w:t>
      </w:r>
      <w:r>
        <w:rPr>
          <w:rFonts w:hint="eastAsia"/>
        </w:rPr>
        <w:t>项目</w:t>
      </w:r>
      <w:r>
        <w:t>沿线生态系统的破碎化程度得以缓解，管线工程建设不会对沿线生态完整性产生明显影响。</w:t>
      </w:r>
    </w:p>
    <w:p w14:paraId="51BD42EF">
      <w:pPr>
        <w:pStyle w:val="234"/>
      </w:pPr>
      <w:r>
        <w:t>（5）农业影响评价</w:t>
      </w:r>
    </w:p>
    <w:p w14:paraId="4FEEC3C5">
      <w:pPr>
        <w:pStyle w:val="234"/>
      </w:pPr>
      <w:r>
        <w:t>施工期，施工作业带的设置应尽量少占用耕地，减轻对农业生态环境的影响；施工场地及</w:t>
      </w:r>
      <w:r>
        <w:rPr>
          <w:rFonts w:hint="eastAsia"/>
        </w:rPr>
        <w:t>堆管场</w:t>
      </w:r>
      <w:r>
        <w:t>等临时占地造成的影响可通过水土保持，进行生态恢复；通过采取雨季施工临时防护措施，施工运输车辆遮挡措施等，避免施工期对农田土壤和灌溉水体的影响。临时占地恢复为原有土地利用类型并进行相应补偿</w:t>
      </w:r>
      <w:r>
        <w:rPr>
          <w:rFonts w:hint="eastAsia"/>
        </w:rPr>
        <w:t>，</w:t>
      </w:r>
      <w:r>
        <w:t>因此不会给当地农业经济造成损失。</w:t>
      </w:r>
    </w:p>
    <w:p w14:paraId="672C3BCA">
      <w:pPr>
        <w:pStyle w:val="234"/>
      </w:pPr>
      <w:r>
        <w:t>（6）基本农田影响</w:t>
      </w:r>
    </w:p>
    <w:p w14:paraId="64822E1E">
      <w:pPr>
        <w:pStyle w:val="234"/>
      </w:pPr>
      <w:r>
        <w:t>本工程占用基本农田，施工时表层耕植土剥离保护，将表土集中堆放在管沟一侧稍远处，生土堆放于表土内侧，施工完成后对按顺序回填恢复耕作，根据当地时节恢复耕种玉米、</w:t>
      </w:r>
      <w:r>
        <w:rPr>
          <w:rFonts w:hint="eastAsia"/>
        </w:rPr>
        <w:t>水稻</w:t>
      </w:r>
      <w:r>
        <w:t>等浅根作物，不会造成基本农田的面积减少。</w:t>
      </w:r>
    </w:p>
    <w:p w14:paraId="34C44213">
      <w:pPr>
        <w:pStyle w:val="234"/>
      </w:pPr>
      <w:r>
        <w:rPr>
          <w:rFonts w:hint="eastAsia"/>
        </w:rPr>
        <w:t>（7）林地的影响</w:t>
      </w:r>
    </w:p>
    <w:p w14:paraId="1DA52329">
      <w:pPr>
        <w:pStyle w:val="234"/>
      </w:pPr>
      <w:r>
        <w:rPr>
          <w:rFonts w:hint="eastAsia"/>
        </w:rPr>
        <w:t>本工程管线临时占用林地，新建耒阳分输站及进站路永久占用林地。工程对林地的主要影响是林地植被的损失以及林地面积的减少，</w:t>
      </w:r>
      <w:r>
        <w:t>降低了项目区域林地覆盖率</w:t>
      </w:r>
      <w:r>
        <w:rPr>
          <w:rFonts w:hint="eastAsia"/>
        </w:rPr>
        <w:t>和生物量。建设单位</w:t>
      </w:r>
      <w:r>
        <w:t>严格控制施工作业带</w:t>
      </w:r>
      <w:r>
        <w:rPr>
          <w:rFonts w:hint="eastAsia"/>
        </w:rPr>
        <w:t>宽度</w:t>
      </w:r>
      <w:r>
        <w:t>，避免超挖破坏林地，并在施工结束后立即整治利用，恢复植被，</w:t>
      </w:r>
      <w:r>
        <w:rPr>
          <w:rFonts w:hint="eastAsia"/>
        </w:rPr>
        <w:t>采取上述措施后，</w:t>
      </w:r>
      <w:r>
        <w:t>本工程建设对生态公益林的影响总体较小</w:t>
      </w:r>
      <w:r>
        <w:rPr>
          <w:rFonts w:hint="eastAsia"/>
        </w:rPr>
        <w:t>。</w:t>
      </w:r>
    </w:p>
    <w:p w14:paraId="12CC8B64">
      <w:pPr>
        <w:pStyle w:val="234"/>
      </w:pPr>
      <w:r>
        <w:t>（</w:t>
      </w:r>
      <w:r>
        <w:rPr>
          <w:rFonts w:hint="eastAsia"/>
        </w:rPr>
        <w:t>8</w:t>
      </w:r>
      <w:r>
        <w:t>）对野生动植物的影响</w:t>
      </w:r>
    </w:p>
    <w:p w14:paraId="683E6D97">
      <w:pPr>
        <w:pStyle w:val="234"/>
      </w:pPr>
      <w:r>
        <w:t>本工程</w:t>
      </w:r>
      <w:r>
        <w:rPr>
          <w:rFonts w:hint="eastAsia"/>
        </w:rPr>
        <w:t>施工期</w:t>
      </w:r>
      <w:r>
        <w:t>管线工程割断了部分陆生动物的活动区域、迁移途径、栖息区域、觅食范围等，从而对动物的生存产生一定的影响。由于该区域内无大型野生动物，管道作为屏障对其迁移等活动的影响不大</w:t>
      </w:r>
      <w:r>
        <w:rPr>
          <w:rFonts w:hint="eastAsia"/>
        </w:rPr>
        <w:t>，</w:t>
      </w:r>
      <w:r>
        <w:t>由于管道敷设一般是分段进行的，管道施工活动对野生动物的影响是短时的、可逆的。施工结束后，这种影响也会随着消失。</w:t>
      </w:r>
    </w:p>
    <w:p w14:paraId="2F1FE323">
      <w:pPr>
        <w:pStyle w:val="5"/>
        <w:rPr>
          <w:color w:val="auto"/>
        </w:rPr>
      </w:pPr>
      <w:r>
        <w:rPr>
          <w:rFonts w:hint="eastAsia"/>
          <w:color w:val="auto"/>
        </w:rPr>
        <w:t xml:space="preserve"> </w:t>
      </w:r>
      <w:r>
        <w:rPr>
          <w:color w:val="auto"/>
        </w:rPr>
        <w:t>环境风险评价</w:t>
      </w:r>
    </w:p>
    <w:p w14:paraId="349192F6">
      <w:pPr>
        <w:pStyle w:val="234"/>
      </w:pPr>
      <w:r>
        <w:t>（1）通过对本工程风险识别和源项分析，工程风险物质为天然气，管段断裂天然气泄漏事故为最大可信事故，分析天然气泄漏后在空气中可能引起燃烧、爆炸，以及由此伴生的空气污染及生态破坏。</w:t>
      </w:r>
    </w:p>
    <w:p w14:paraId="4767F5A8">
      <w:pPr>
        <w:pStyle w:val="234"/>
      </w:pPr>
      <w:r>
        <w:t>（2）本工程管道沿线地势开阔，一旦发生天然气泄漏及火灾事故，污染物经过扩散后，浓度将很快被稀释，对周围环境和人体健康的危害降低。天然气中硫化氢含量很低，即便管线泄漏，对周围环境空气造成的影响不大。天然气为气态物质，成分均为不溶于水物质，泄漏后不会对地表水、地下水环境造成污染影响。火灾、爆炸影响范围有限，相对整个区域而言，植被破坏较小，且均为人工种植的农作物或常见种，不会对区域生态环境造成巨大影响。</w:t>
      </w:r>
    </w:p>
    <w:p w14:paraId="5F8C8303">
      <w:pPr>
        <w:pStyle w:val="234"/>
      </w:pPr>
      <w:r>
        <w:t>（3）建设单位在切实实施设计、建设和运行各项环境风险防</w:t>
      </w:r>
      <w:bookmarkStart w:id="316" w:name="_GoBack"/>
      <w:bookmarkEnd w:id="316"/>
      <w:r>
        <w:t>范措施和应急预案落实的基础上，加强风险管理的条件下，本工程运行期间产生的环境风险是可控的。</w:t>
      </w:r>
    </w:p>
    <w:p w14:paraId="5C58F7E6">
      <w:pPr>
        <w:pStyle w:val="4"/>
        <w:rPr>
          <w:b/>
        </w:rPr>
      </w:pPr>
      <w:bookmarkStart w:id="292" w:name="_Toc72672387"/>
      <w:bookmarkStart w:id="293" w:name="_Toc13381"/>
      <w:r>
        <w:t>环境经济损益分析</w:t>
      </w:r>
      <w:bookmarkEnd w:id="292"/>
      <w:bookmarkEnd w:id="293"/>
    </w:p>
    <w:p w14:paraId="0DC6E4E3">
      <w:pPr>
        <w:pStyle w:val="234"/>
      </w:pPr>
      <w:r>
        <w:t>本工程通过采取各项生态恢复和污染治理措施</w:t>
      </w:r>
      <w:r>
        <w:rPr>
          <w:spacing w:val="-51"/>
        </w:rPr>
        <w:t>，</w:t>
      </w:r>
      <w:r>
        <w:t>管道施工扰动面积可以得到全面治</w:t>
      </w:r>
      <w:r>
        <w:rPr>
          <w:spacing w:val="-2"/>
        </w:rPr>
        <w:t>理，环境风险也能得到有效控制，不会降低周边环境质量。管道运输是经济及安全的天</w:t>
      </w:r>
      <w:r>
        <w:t>然气输送方式</w:t>
      </w:r>
      <w:r>
        <w:rPr>
          <w:spacing w:val="-58"/>
        </w:rPr>
        <w:t>，</w:t>
      </w:r>
      <w:r>
        <w:t>运输中不会对环境造成污染</w:t>
      </w:r>
      <w:r>
        <w:rPr>
          <w:spacing w:val="-56"/>
        </w:rPr>
        <w:t>，</w:t>
      </w:r>
      <w:r>
        <w:t>而且安全系数较高</w:t>
      </w:r>
      <w:r>
        <w:rPr>
          <w:spacing w:val="-58"/>
        </w:rPr>
        <w:t>，</w:t>
      </w:r>
      <w:r>
        <w:t>具有较好的环境效益。</w:t>
      </w:r>
      <w:r>
        <w:rPr>
          <w:i/>
          <w:iCs/>
          <w:color w:val="auto"/>
          <w:u w:val="single"/>
        </w:rPr>
        <w:t>本工程环保投资费用为</w:t>
      </w:r>
      <w:r>
        <w:rPr>
          <w:rFonts w:hint="eastAsia"/>
          <w:i/>
          <w:iCs/>
          <w:color w:val="auto"/>
          <w:u w:val="single"/>
        </w:rPr>
        <w:t>1</w:t>
      </w:r>
      <w:r>
        <w:rPr>
          <w:rFonts w:hint="eastAsia"/>
          <w:i/>
          <w:iCs/>
          <w:color w:val="auto"/>
          <w:u w:val="single"/>
          <w:lang w:val="en-US" w:eastAsia="zh-CN"/>
        </w:rPr>
        <w:t>32</w:t>
      </w:r>
      <w:r>
        <w:rPr>
          <w:i/>
          <w:iCs/>
          <w:color w:val="auto"/>
          <w:u w:val="single"/>
        </w:rPr>
        <w:t>万元，约占工程总投资的</w:t>
      </w:r>
      <w:r>
        <w:rPr>
          <w:rFonts w:hint="eastAsia"/>
          <w:i/>
          <w:iCs/>
          <w:color w:val="auto"/>
          <w:spacing w:val="-1"/>
          <w:u w:val="single"/>
        </w:rPr>
        <w:t>3.</w:t>
      </w:r>
      <w:r>
        <w:rPr>
          <w:rFonts w:hint="eastAsia"/>
          <w:i/>
          <w:iCs/>
          <w:color w:val="auto"/>
          <w:spacing w:val="-1"/>
          <w:u w:val="single"/>
          <w:lang w:val="en-US" w:eastAsia="zh-CN"/>
        </w:rPr>
        <w:t>05</w:t>
      </w:r>
      <w:r>
        <w:rPr>
          <w:i/>
          <w:iCs/>
          <w:color w:val="auto"/>
          <w:spacing w:val="-1"/>
          <w:u w:val="single"/>
        </w:rPr>
        <w:t>%。</w:t>
      </w:r>
      <w:r>
        <w:rPr>
          <w:spacing w:val="-1"/>
        </w:rPr>
        <w:t>所产生的社会效益、经济效益显著。故从环保角度来看项目是可行的，环保投资具有成效。</w:t>
      </w:r>
    </w:p>
    <w:p w14:paraId="7FD19DB7">
      <w:pPr>
        <w:pStyle w:val="4"/>
        <w:rPr>
          <w:b/>
        </w:rPr>
      </w:pPr>
      <w:bookmarkStart w:id="294" w:name="_Toc15534"/>
      <w:bookmarkStart w:id="295" w:name="_Toc72672388"/>
      <w:r>
        <w:t>环境管理与监测计划</w:t>
      </w:r>
      <w:bookmarkEnd w:id="294"/>
      <w:bookmarkEnd w:id="295"/>
    </w:p>
    <w:p w14:paraId="31CD8367">
      <w:pPr>
        <w:pStyle w:val="234"/>
      </w:pPr>
      <w:r>
        <w:t>在施工设计文件中详细说明施工期应注意的环保问题，严格要求施工单位按设计文件施工，特别是按环保设计要求施工。在施工活动中落实各项污染和生态环境保护措施，保证在主体工程施工完成时环保设施同时完成。施工期环境管理由施工单位具体实施，由</w:t>
      </w:r>
      <w:r>
        <w:rPr>
          <w:rFonts w:hint="eastAsia"/>
        </w:rPr>
        <w:t>国家管网集团新疆煤制天然气外输管道有限责任公司</w:t>
      </w:r>
      <w:r>
        <w:t>和相关环保部门管理督促。运行期环境管理主要为检查场地恢复情况，核查对项目对环境保护目标的影响。维护环保设施的运行。运行期环境管理由运行单位具体实施，由环保及其它相关部门管理督促。</w:t>
      </w:r>
    </w:p>
    <w:p w14:paraId="2E606033">
      <w:pPr>
        <w:pStyle w:val="234"/>
      </w:pPr>
      <w:r>
        <w:t>本工程的环境监测包括施工期影响监测和生态环境监测，施工期监测主要有施工场地的大气、噪声。运营期监测主要包括污染源监测、生态调查和事故监测。</w:t>
      </w:r>
    </w:p>
    <w:p w14:paraId="0933E835">
      <w:pPr>
        <w:pStyle w:val="234"/>
      </w:pPr>
      <w:r>
        <w:t>本工程为天然气输送管道工程，尚未纳入《固定污染源排污许可分类管理名录(2019年版)》，</w:t>
      </w:r>
      <w:r>
        <w:rPr>
          <w:rFonts w:hint="eastAsia"/>
        </w:rPr>
        <w:t>且本工程站场不涉及锅炉、工业炉窑、表面处理及水处理等通用工序，</w:t>
      </w:r>
      <w:r>
        <w:t>结合《排污许可管理条例》</w:t>
      </w:r>
      <w:r>
        <w:rPr>
          <w:rFonts w:hint="eastAsia"/>
        </w:rPr>
        <w:t>，无需申请排污许可</w:t>
      </w:r>
      <w:r>
        <w:t>。</w:t>
      </w:r>
    </w:p>
    <w:p w14:paraId="007A626F">
      <w:pPr>
        <w:pStyle w:val="4"/>
      </w:pPr>
      <w:bookmarkStart w:id="296" w:name="_Toc23512"/>
      <w:r>
        <w:t>公众</w:t>
      </w:r>
      <w:r>
        <w:rPr>
          <w:rFonts w:hint="eastAsia"/>
        </w:rPr>
        <w:t>意见采纳情况</w:t>
      </w:r>
      <w:bookmarkEnd w:id="296"/>
    </w:p>
    <w:p w14:paraId="31344DC4">
      <w:pPr>
        <w:pStyle w:val="234"/>
        <w:jc w:val="left"/>
      </w:pPr>
      <w:r>
        <w:t>根据《环境影响评价公众参与办法》（2019年1月1日）和《关于切实加强风险防范严格环境影响评价管理的通知》（环发〔2012〕98号）等文件的有关规定，建设单位制定了该工程环境影响评价公众参与的工作程序和工作方法，随后对工程所在地区及沿线进行了深入细致的实地调查。本次公众参与采用网站公示、报纸公示、张贴公示等多种方式进行公众调查</w:t>
      </w:r>
      <w:r>
        <w:rPr>
          <w:rFonts w:hint="eastAsia"/>
        </w:rPr>
        <w:t>，于2023年7月21日进行了一次公示（网址：https://www.eiacloud.com/gs/detail/1?Id=30721WYota），2024年4月8日-4月24日进行了二次公示（网址：https://www.eiacloud.com/gs/detail/1?id=404087w5kK），二次公示期间在管线沿线村庄进行了张贴公示，于2024年4月10日和4月12日在环球时报进行了两次报纸公示</w:t>
      </w:r>
      <w:r>
        <w:t>。截至</w:t>
      </w:r>
      <w:r>
        <w:rPr>
          <w:rFonts w:hint="eastAsia"/>
        </w:rPr>
        <w:t>报告书报审</w:t>
      </w:r>
      <w:r>
        <w:t>，建设单位未收到有关本工程环境影响的意见和建议。</w:t>
      </w:r>
    </w:p>
    <w:p w14:paraId="2378C9A2">
      <w:pPr>
        <w:pStyle w:val="4"/>
        <w:rPr>
          <w:b/>
        </w:rPr>
      </w:pPr>
      <w:bookmarkStart w:id="297" w:name="_Toc535"/>
      <w:r>
        <w:rPr>
          <w:rFonts w:hint="eastAsia"/>
        </w:rPr>
        <w:t>建议</w:t>
      </w:r>
      <w:bookmarkEnd w:id="297"/>
    </w:p>
    <w:p w14:paraId="01A73E77">
      <w:pPr>
        <w:pStyle w:val="234"/>
      </w:pPr>
      <w:r>
        <w:t>（1）加强施工期环境监理工作及运行期环境管理工作，确保各项环境保护措施及风险防范措施得以落实，不得对沿线的</w:t>
      </w:r>
      <w:r>
        <w:rPr>
          <w:rFonts w:hint="eastAsia"/>
        </w:rPr>
        <w:t>永久基本农田、公益林</w:t>
      </w:r>
      <w:r>
        <w:t>造成不利环境影响。</w:t>
      </w:r>
    </w:p>
    <w:p w14:paraId="661BCB89">
      <w:pPr>
        <w:pStyle w:val="234"/>
      </w:pPr>
      <w:r>
        <w:t>（2）采用户外广告、招贴画、广播等形式，大力宣传管道保护法律、法规，使沿线群众熟知和了解管道保护的意义和方法，禁止任何单位和个人从事危及管道设施安全的活动。</w:t>
      </w:r>
    </w:p>
    <w:p w14:paraId="49F2C9E3">
      <w:pPr>
        <w:pStyle w:val="234"/>
      </w:pPr>
      <w:r>
        <w:t>（3）积极与地方生态环境等部门紧密结合，避免第三方对管道的破坏，保障管道运行安全。并以地方应急、医疗、消防、社会保障为依托，建立健全应急保障系统。</w:t>
      </w:r>
    </w:p>
    <w:p w14:paraId="6490B74B">
      <w:pPr>
        <w:pStyle w:val="234"/>
      </w:pPr>
      <w:r>
        <w:t>（4）在初步设计中，建设单位应科学、合理的确定穿越公路的建设方案，根据公路部门的要求及时优化调整，落实相应的保护措施和投资，满足相关法律法规及规范标准要求，落实本次评价提出的环境保护措施及风险防范设施。</w:t>
      </w:r>
    </w:p>
    <w:p w14:paraId="1D6E4D46">
      <w:pPr>
        <w:pStyle w:val="4"/>
        <w:rPr>
          <w:b/>
        </w:rPr>
      </w:pPr>
      <w:bookmarkStart w:id="298" w:name="_Toc15700"/>
      <w:bookmarkStart w:id="299" w:name="_Toc72672390"/>
      <w:r>
        <w:t>总结论</w:t>
      </w:r>
      <w:bookmarkEnd w:id="298"/>
      <w:bookmarkEnd w:id="299"/>
    </w:p>
    <w:p w14:paraId="4A2D1CCF">
      <w:pPr>
        <w:pStyle w:val="234"/>
        <w:ind w:firstLine="478"/>
      </w:pPr>
      <w:r>
        <w:rPr>
          <w:rFonts w:hint="eastAsia"/>
          <w:spacing w:val="-1"/>
        </w:rPr>
        <w:t>潜江—韶关输气管道28号阀室新增下载点改扩建项目</w:t>
      </w:r>
      <w:r>
        <w:rPr>
          <w:spacing w:val="-1"/>
        </w:rPr>
        <w:t>为</w:t>
      </w:r>
      <w:r>
        <w:rPr>
          <w:rFonts w:hint="eastAsia"/>
          <w:spacing w:val="-1"/>
        </w:rPr>
        <w:t>改扩建</w:t>
      </w:r>
      <w:r>
        <w:rPr>
          <w:spacing w:val="-1"/>
        </w:rPr>
        <w:t>项目，</w:t>
      </w:r>
      <w:r>
        <w:t>属于当前国家鼓励类产业，符合相关产业政策；管线路由符合地方相关规划，选址合理。通过本工程的建设，可有效实现</w:t>
      </w:r>
      <w:r>
        <w:rPr>
          <w:rFonts w:hint="eastAsia"/>
        </w:rPr>
        <w:t>耒阳市</w:t>
      </w:r>
      <w:r>
        <w:t>稳定供气，便于</w:t>
      </w:r>
      <w:r>
        <w:rPr>
          <w:rFonts w:hint="eastAsia"/>
        </w:rPr>
        <w:t>耒阳市</w:t>
      </w:r>
      <w:r>
        <w:t>境内资源调配，有利于优化天然气供需结构，对保障天然气的安全稳定供应具有重要意义。</w:t>
      </w:r>
    </w:p>
    <w:p w14:paraId="425F701D">
      <w:pPr>
        <w:pStyle w:val="234"/>
      </w:pPr>
      <w:r>
        <w:t>本工程的环境影响主要集中在施工期，建设符合国家的产业政策，所选路由总体上符合城市总体规划等相关规划的要求，工程建设和运行期间将会对工程区域的生态环境、大气环境、地表水环境、地下水环境、声环境等产生一定的影响，在工程施工及运行过程中，</w:t>
      </w:r>
      <w:r>
        <w:rPr>
          <w:rFonts w:hint="eastAsia"/>
        </w:rPr>
        <w:t>国家管网集团新疆煤制天然气外输管道有限责任公司</w:t>
      </w:r>
      <w:r>
        <w:t>将认真落实工程设计和本报告中提出的生态环境保护和恢复措施、污染防治措施、事故应急措施及突发环境事件应急预案，可以把工程对环境的影响降到最低程度</w:t>
      </w:r>
      <w:r>
        <w:rPr>
          <w:rFonts w:hint="eastAsia"/>
        </w:rPr>
        <w:t>，实现环境风险可防控</w:t>
      </w:r>
      <w:r>
        <w:t>。因此，在落实各项污染防治措施、生态保护措施及</w:t>
      </w:r>
      <w:r>
        <w:rPr>
          <w:rFonts w:hint="eastAsia"/>
        </w:rPr>
        <w:t>环境</w:t>
      </w:r>
      <w:r>
        <w:t>风险控制措施后，从环境保护角度考虑，本工程建设对环境的影响可接受。</w:t>
      </w:r>
    </w:p>
    <w:p w14:paraId="7CBA6114">
      <w:pPr>
        <w:pStyle w:val="234"/>
      </w:pPr>
    </w:p>
    <w:p w14:paraId="3BCE16D3">
      <w:pPr>
        <w:pStyle w:val="234"/>
        <w:ind w:firstLine="199" w:firstLineChars="83"/>
        <w:sectPr>
          <w:pgSz w:w="11906" w:h="16838"/>
          <w:pgMar w:top="1440" w:right="1418" w:bottom="1440" w:left="1418" w:header="851" w:footer="992" w:gutter="0"/>
          <w:cols w:space="425" w:num="1"/>
          <w:docGrid w:linePitch="312" w:charSpace="0"/>
        </w:sectPr>
      </w:pPr>
    </w:p>
    <w:bookmarkEnd w:id="283"/>
    <w:p w14:paraId="3A3144B4">
      <w:pPr>
        <w:outlineLvl w:val="0"/>
        <w:rPr>
          <w:rFonts w:eastAsia="黑体"/>
          <w:kern w:val="0"/>
          <w:sz w:val="22"/>
          <w:szCs w:val="16"/>
        </w:rPr>
      </w:pPr>
      <w:bookmarkStart w:id="300" w:name="_Toc53935635"/>
      <w:bookmarkStart w:id="301" w:name="_Toc5662"/>
      <w:r>
        <w:rPr>
          <w:rFonts w:eastAsia="黑体"/>
        </w:rPr>
        <w:t>附表1 大气环境影响评价自查表</w:t>
      </w:r>
      <w:bookmarkEnd w:id="300"/>
      <w:bookmarkEnd w:id="301"/>
    </w:p>
    <w:tbl>
      <w:tblPr>
        <w:tblStyle w:val="1396"/>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
        <w:gridCol w:w="1566"/>
        <w:gridCol w:w="717"/>
        <w:gridCol w:w="234"/>
        <w:gridCol w:w="394"/>
        <w:gridCol w:w="373"/>
        <w:gridCol w:w="373"/>
        <w:gridCol w:w="244"/>
        <w:gridCol w:w="436"/>
        <w:gridCol w:w="221"/>
        <w:gridCol w:w="471"/>
        <w:gridCol w:w="300"/>
        <w:gridCol w:w="132"/>
        <w:gridCol w:w="1028"/>
        <w:gridCol w:w="183"/>
        <w:gridCol w:w="562"/>
        <w:gridCol w:w="973"/>
      </w:tblGrid>
      <w:tr w14:paraId="5CFEF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pct"/>
            <w:gridSpan w:val="2"/>
            <w:vAlign w:val="center"/>
          </w:tcPr>
          <w:p w14:paraId="1216864C">
            <w:pPr>
              <w:widowControl/>
              <w:adjustRightInd w:val="0"/>
              <w:snapToGrid w:val="0"/>
              <w:spacing w:line="0" w:lineRule="atLeast"/>
              <w:jc w:val="center"/>
              <w:rPr>
                <w:szCs w:val="21"/>
              </w:rPr>
            </w:pPr>
            <w:r>
              <w:rPr>
                <w:szCs w:val="21"/>
              </w:rPr>
              <w:t>工作内容</w:t>
            </w:r>
          </w:p>
        </w:tc>
        <w:tc>
          <w:tcPr>
            <w:tcW w:w="3714" w:type="pct"/>
            <w:gridSpan w:val="15"/>
            <w:vAlign w:val="center"/>
          </w:tcPr>
          <w:p w14:paraId="10CC3213">
            <w:pPr>
              <w:widowControl/>
              <w:adjustRightInd w:val="0"/>
              <w:snapToGrid w:val="0"/>
              <w:spacing w:line="0" w:lineRule="atLeast"/>
              <w:jc w:val="center"/>
              <w:rPr>
                <w:szCs w:val="21"/>
              </w:rPr>
            </w:pPr>
            <w:r>
              <w:rPr>
                <w:rFonts w:hint="eastAsia"/>
              </w:rPr>
              <w:t>潜江—韶关输气管道28号阀室新增下载点改扩建项目</w:t>
            </w:r>
          </w:p>
        </w:tc>
      </w:tr>
      <w:tr w14:paraId="3205D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restart"/>
            <w:vAlign w:val="center"/>
          </w:tcPr>
          <w:p w14:paraId="4F28A64C">
            <w:pPr>
              <w:widowControl/>
              <w:adjustRightInd w:val="0"/>
              <w:snapToGrid w:val="0"/>
              <w:spacing w:line="0" w:lineRule="atLeast"/>
              <w:jc w:val="center"/>
              <w:rPr>
                <w:szCs w:val="21"/>
              </w:rPr>
            </w:pPr>
            <w:r>
              <w:rPr>
                <w:szCs w:val="21"/>
              </w:rPr>
              <w:t>评价等级与评价范围</w:t>
            </w:r>
          </w:p>
        </w:tc>
        <w:tc>
          <w:tcPr>
            <w:tcW w:w="875" w:type="pct"/>
            <w:vAlign w:val="center"/>
          </w:tcPr>
          <w:p w14:paraId="68E3DCE6">
            <w:pPr>
              <w:widowControl/>
              <w:adjustRightInd w:val="0"/>
              <w:snapToGrid w:val="0"/>
              <w:spacing w:line="0" w:lineRule="atLeast"/>
              <w:jc w:val="center"/>
              <w:rPr>
                <w:szCs w:val="21"/>
              </w:rPr>
            </w:pPr>
            <w:r>
              <w:rPr>
                <w:szCs w:val="21"/>
              </w:rPr>
              <w:t>评价等级</w:t>
            </w:r>
          </w:p>
        </w:tc>
        <w:tc>
          <w:tcPr>
            <w:tcW w:w="1170" w:type="pct"/>
            <w:gridSpan w:val="5"/>
            <w:vAlign w:val="center"/>
          </w:tcPr>
          <w:p w14:paraId="03EE390A">
            <w:pPr>
              <w:widowControl/>
              <w:adjustRightInd w:val="0"/>
              <w:snapToGrid w:val="0"/>
              <w:spacing w:line="0" w:lineRule="atLeast"/>
              <w:jc w:val="center"/>
              <w:rPr>
                <w:szCs w:val="21"/>
              </w:rPr>
            </w:pPr>
            <w:r>
              <w:rPr>
                <w:szCs w:val="21"/>
              </w:rPr>
              <w:t>一级</w:t>
            </w:r>
            <w:r>
              <w:rPr>
                <w:szCs w:val="21"/>
              </w:rPr>
              <w:sym w:font="Wingdings" w:char="00A8"/>
            </w:r>
          </w:p>
        </w:tc>
        <w:tc>
          <w:tcPr>
            <w:tcW w:w="935" w:type="pct"/>
            <w:gridSpan w:val="5"/>
            <w:vAlign w:val="center"/>
          </w:tcPr>
          <w:p w14:paraId="6853C052">
            <w:pPr>
              <w:widowControl/>
              <w:adjustRightInd w:val="0"/>
              <w:snapToGrid w:val="0"/>
              <w:spacing w:line="0" w:lineRule="atLeast"/>
              <w:jc w:val="center"/>
              <w:rPr>
                <w:szCs w:val="21"/>
              </w:rPr>
            </w:pPr>
            <w:r>
              <w:rPr>
                <w:szCs w:val="21"/>
              </w:rPr>
              <w:t>二级</w:t>
            </w:r>
            <w:r>
              <w:rPr>
                <w:szCs w:val="21"/>
              </w:rPr>
              <w:sym w:font="Wingdings" w:char="00A8"/>
            </w:r>
          </w:p>
        </w:tc>
        <w:tc>
          <w:tcPr>
            <w:tcW w:w="1609" w:type="pct"/>
            <w:gridSpan w:val="5"/>
            <w:vAlign w:val="center"/>
          </w:tcPr>
          <w:p w14:paraId="1D8DAB71">
            <w:pPr>
              <w:widowControl/>
              <w:adjustRightInd w:val="0"/>
              <w:snapToGrid w:val="0"/>
              <w:spacing w:line="0" w:lineRule="atLeast"/>
              <w:jc w:val="center"/>
              <w:rPr>
                <w:szCs w:val="21"/>
              </w:rPr>
            </w:pPr>
            <w:r>
              <w:rPr>
                <w:i/>
                <w:iCs/>
                <w:color w:val="auto"/>
                <w:szCs w:val="21"/>
                <w:highlight w:val="none"/>
                <w:u w:val="single"/>
              </w:rPr>
              <w:t>三级</w:t>
            </w:r>
            <w:r>
              <w:rPr>
                <w:i/>
                <w:iCs/>
                <w:color w:val="auto"/>
                <w:szCs w:val="21"/>
                <w:highlight w:val="none"/>
                <w:u w:val="single"/>
              </w:rPr>
              <w:sym w:font="Wingdings" w:char="00FE"/>
            </w:r>
          </w:p>
        </w:tc>
      </w:tr>
      <w:tr w14:paraId="37532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continue"/>
            <w:vAlign w:val="center"/>
          </w:tcPr>
          <w:p w14:paraId="1B961702">
            <w:pPr>
              <w:widowControl/>
              <w:adjustRightInd w:val="0"/>
              <w:snapToGrid w:val="0"/>
              <w:spacing w:line="0" w:lineRule="atLeast"/>
              <w:jc w:val="center"/>
              <w:rPr>
                <w:szCs w:val="21"/>
              </w:rPr>
            </w:pPr>
          </w:p>
        </w:tc>
        <w:tc>
          <w:tcPr>
            <w:tcW w:w="875" w:type="pct"/>
            <w:vAlign w:val="center"/>
          </w:tcPr>
          <w:p w14:paraId="3CBA0145">
            <w:pPr>
              <w:widowControl/>
              <w:adjustRightInd w:val="0"/>
              <w:snapToGrid w:val="0"/>
              <w:spacing w:line="0" w:lineRule="atLeast"/>
              <w:jc w:val="center"/>
              <w:rPr>
                <w:szCs w:val="21"/>
              </w:rPr>
            </w:pPr>
            <w:r>
              <w:rPr>
                <w:szCs w:val="21"/>
              </w:rPr>
              <w:t>评价范围</w:t>
            </w:r>
          </w:p>
        </w:tc>
        <w:tc>
          <w:tcPr>
            <w:tcW w:w="1170" w:type="pct"/>
            <w:gridSpan w:val="5"/>
            <w:vAlign w:val="center"/>
          </w:tcPr>
          <w:p w14:paraId="27DE207E">
            <w:pPr>
              <w:widowControl/>
              <w:adjustRightInd w:val="0"/>
              <w:snapToGrid w:val="0"/>
              <w:spacing w:line="0" w:lineRule="atLeast"/>
              <w:jc w:val="center"/>
              <w:rPr>
                <w:szCs w:val="21"/>
              </w:rPr>
            </w:pPr>
            <w:r>
              <w:rPr>
                <w:szCs w:val="21"/>
              </w:rPr>
              <w:t>边长=50km□</w:t>
            </w:r>
          </w:p>
        </w:tc>
        <w:tc>
          <w:tcPr>
            <w:tcW w:w="935" w:type="pct"/>
            <w:gridSpan w:val="5"/>
            <w:vAlign w:val="center"/>
          </w:tcPr>
          <w:p w14:paraId="6ACA46D1">
            <w:pPr>
              <w:widowControl/>
              <w:adjustRightInd w:val="0"/>
              <w:snapToGrid w:val="0"/>
              <w:spacing w:line="0" w:lineRule="atLeast"/>
              <w:jc w:val="center"/>
              <w:rPr>
                <w:szCs w:val="21"/>
              </w:rPr>
            </w:pPr>
            <w:r>
              <w:rPr>
                <w:szCs w:val="21"/>
              </w:rPr>
              <w:t>边长5～50km□</w:t>
            </w:r>
          </w:p>
        </w:tc>
        <w:tc>
          <w:tcPr>
            <w:tcW w:w="1609" w:type="pct"/>
            <w:gridSpan w:val="5"/>
            <w:vAlign w:val="center"/>
          </w:tcPr>
          <w:p w14:paraId="1D20299E">
            <w:pPr>
              <w:widowControl/>
              <w:adjustRightInd w:val="0"/>
              <w:snapToGrid w:val="0"/>
              <w:spacing w:line="0" w:lineRule="atLeast"/>
              <w:jc w:val="center"/>
              <w:rPr>
                <w:szCs w:val="21"/>
              </w:rPr>
            </w:pPr>
            <w:r>
              <w:rPr>
                <w:szCs w:val="21"/>
              </w:rPr>
              <w:t>边长=5km</w:t>
            </w:r>
            <w:r>
              <w:rPr>
                <w:szCs w:val="21"/>
              </w:rPr>
              <w:sym w:font="Wingdings" w:char="00A8"/>
            </w:r>
          </w:p>
        </w:tc>
      </w:tr>
      <w:tr w14:paraId="6AB96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restart"/>
            <w:vAlign w:val="center"/>
          </w:tcPr>
          <w:p w14:paraId="321DAEA3">
            <w:pPr>
              <w:widowControl/>
              <w:adjustRightInd w:val="0"/>
              <w:snapToGrid w:val="0"/>
              <w:spacing w:line="0" w:lineRule="atLeast"/>
              <w:jc w:val="center"/>
              <w:rPr>
                <w:szCs w:val="21"/>
              </w:rPr>
            </w:pPr>
            <w:r>
              <w:rPr>
                <w:szCs w:val="21"/>
              </w:rPr>
              <w:t>评价</w:t>
            </w:r>
          </w:p>
          <w:p w14:paraId="7F81BDA6">
            <w:pPr>
              <w:widowControl/>
              <w:adjustRightInd w:val="0"/>
              <w:snapToGrid w:val="0"/>
              <w:spacing w:line="0" w:lineRule="atLeast"/>
              <w:jc w:val="center"/>
              <w:rPr>
                <w:szCs w:val="21"/>
              </w:rPr>
            </w:pPr>
            <w:r>
              <w:rPr>
                <w:szCs w:val="21"/>
              </w:rPr>
              <w:t>因子</w:t>
            </w:r>
          </w:p>
        </w:tc>
        <w:tc>
          <w:tcPr>
            <w:tcW w:w="875" w:type="pct"/>
            <w:vAlign w:val="center"/>
          </w:tcPr>
          <w:p w14:paraId="5B853FE8">
            <w:pPr>
              <w:widowControl/>
              <w:adjustRightInd w:val="0"/>
              <w:snapToGrid w:val="0"/>
              <w:spacing w:line="0" w:lineRule="atLeast"/>
              <w:jc w:val="center"/>
              <w:rPr>
                <w:szCs w:val="21"/>
              </w:rPr>
            </w:pPr>
            <w:r>
              <w:rPr>
                <w:szCs w:val="21"/>
              </w:rPr>
              <w:t>SO</w:t>
            </w:r>
            <w:r>
              <w:rPr>
                <w:szCs w:val="21"/>
                <w:vertAlign w:val="subscript"/>
              </w:rPr>
              <w:t>2</w:t>
            </w:r>
            <w:r>
              <w:rPr>
                <w:szCs w:val="21"/>
              </w:rPr>
              <w:t>+NOx排放量</w:t>
            </w:r>
          </w:p>
        </w:tc>
        <w:tc>
          <w:tcPr>
            <w:tcW w:w="1170" w:type="pct"/>
            <w:gridSpan w:val="5"/>
            <w:vAlign w:val="center"/>
          </w:tcPr>
          <w:p w14:paraId="36F60E24">
            <w:pPr>
              <w:widowControl/>
              <w:adjustRightInd w:val="0"/>
              <w:snapToGrid w:val="0"/>
              <w:spacing w:line="0" w:lineRule="atLeast"/>
              <w:jc w:val="center"/>
              <w:rPr>
                <w:szCs w:val="21"/>
              </w:rPr>
            </w:pPr>
            <w:r>
              <w:rPr>
                <w:szCs w:val="21"/>
              </w:rPr>
              <w:t>≥2000t/a□</w:t>
            </w:r>
          </w:p>
        </w:tc>
        <w:tc>
          <w:tcPr>
            <w:tcW w:w="935" w:type="pct"/>
            <w:gridSpan w:val="5"/>
            <w:vAlign w:val="center"/>
          </w:tcPr>
          <w:p w14:paraId="156BA414">
            <w:pPr>
              <w:widowControl/>
              <w:adjustRightInd w:val="0"/>
              <w:snapToGrid w:val="0"/>
              <w:spacing w:line="0" w:lineRule="atLeast"/>
              <w:jc w:val="center"/>
              <w:rPr>
                <w:szCs w:val="21"/>
              </w:rPr>
            </w:pPr>
            <w:r>
              <w:rPr>
                <w:szCs w:val="21"/>
              </w:rPr>
              <w:t>500~2000t/a□</w:t>
            </w:r>
          </w:p>
        </w:tc>
        <w:tc>
          <w:tcPr>
            <w:tcW w:w="1609" w:type="pct"/>
            <w:gridSpan w:val="5"/>
            <w:vAlign w:val="center"/>
          </w:tcPr>
          <w:p w14:paraId="4FF266F4">
            <w:pPr>
              <w:widowControl/>
              <w:adjustRightInd w:val="0"/>
              <w:snapToGrid w:val="0"/>
              <w:spacing w:line="0" w:lineRule="atLeast"/>
              <w:jc w:val="center"/>
              <w:rPr>
                <w:szCs w:val="21"/>
              </w:rPr>
            </w:pPr>
            <w:r>
              <w:rPr>
                <w:szCs w:val="21"/>
              </w:rPr>
              <w:t>＜500 t/a</w:t>
            </w:r>
            <w:r>
              <w:rPr>
                <w:szCs w:val="21"/>
              </w:rPr>
              <w:sym w:font="Wingdings" w:char="F0FE"/>
            </w:r>
          </w:p>
        </w:tc>
      </w:tr>
      <w:tr w14:paraId="501E7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continue"/>
            <w:vAlign w:val="center"/>
          </w:tcPr>
          <w:p w14:paraId="73253D73">
            <w:pPr>
              <w:widowControl/>
              <w:adjustRightInd w:val="0"/>
              <w:snapToGrid w:val="0"/>
              <w:spacing w:line="0" w:lineRule="atLeast"/>
              <w:jc w:val="center"/>
              <w:rPr>
                <w:szCs w:val="21"/>
              </w:rPr>
            </w:pPr>
          </w:p>
        </w:tc>
        <w:tc>
          <w:tcPr>
            <w:tcW w:w="875" w:type="pct"/>
            <w:vAlign w:val="center"/>
          </w:tcPr>
          <w:p w14:paraId="5117AC39">
            <w:pPr>
              <w:widowControl/>
              <w:adjustRightInd w:val="0"/>
              <w:snapToGrid w:val="0"/>
              <w:spacing w:line="0" w:lineRule="atLeast"/>
              <w:jc w:val="center"/>
              <w:rPr>
                <w:szCs w:val="21"/>
              </w:rPr>
            </w:pPr>
            <w:r>
              <w:rPr>
                <w:szCs w:val="21"/>
              </w:rPr>
              <w:t>评价因子</w:t>
            </w:r>
          </w:p>
        </w:tc>
        <w:tc>
          <w:tcPr>
            <w:tcW w:w="2105" w:type="pct"/>
            <w:gridSpan w:val="10"/>
            <w:vAlign w:val="center"/>
          </w:tcPr>
          <w:p w14:paraId="43903B9A">
            <w:pPr>
              <w:widowControl/>
              <w:adjustRightInd w:val="0"/>
              <w:snapToGrid w:val="0"/>
              <w:spacing w:line="0" w:lineRule="atLeast"/>
              <w:jc w:val="center"/>
              <w:rPr>
                <w:szCs w:val="21"/>
              </w:rPr>
            </w:pPr>
            <w:r>
              <w:rPr>
                <w:szCs w:val="21"/>
              </w:rPr>
              <w:t>基本污染物(</w:t>
            </w:r>
            <w:r>
              <w:t>SO</w:t>
            </w:r>
            <w:r>
              <w:rPr>
                <w:sz w:val="14"/>
              </w:rPr>
              <w:t>2</w:t>
            </w:r>
            <w:r>
              <w:t>、NO</w:t>
            </w:r>
            <w:r>
              <w:rPr>
                <w:sz w:val="14"/>
              </w:rPr>
              <w:t>2</w:t>
            </w:r>
            <w:r>
              <w:t>、CO、PM</w:t>
            </w:r>
            <w:r>
              <w:rPr>
                <w:vertAlign w:val="subscript"/>
              </w:rPr>
              <w:t>10</w:t>
            </w:r>
            <w:r>
              <w:t>、PM</w:t>
            </w:r>
            <w:r>
              <w:rPr>
                <w:highlight w:val="none"/>
                <w:vertAlign w:val="subscript"/>
              </w:rPr>
              <w:t>2.5</w:t>
            </w:r>
            <w:r>
              <w:rPr>
                <w:highlight w:val="none"/>
              </w:rPr>
              <w:t>、O</w:t>
            </w:r>
            <w:r>
              <w:rPr>
                <w:highlight w:val="none"/>
                <w:vertAlign w:val="subscript"/>
              </w:rPr>
              <w:t>3</w:t>
            </w:r>
            <w:r>
              <w:rPr>
                <w:rFonts w:hint="eastAsia"/>
                <w:i/>
                <w:iCs/>
                <w:color w:val="auto"/>
                <w:highlight w:val="none"/>
                <w:u w:val="single"/>
                <w:vertAlign w:val="baseline"/>
                <w:lang w:val="en-US" w:eastAsia="zh-CN"/>
              </w:rPr>
              <w:t>、TSP</w:t>
            </w:r>
            <w:r>
              <w:rPr>
                <w:i/>
                <w:iCs/>
                <w:color w:val="auto"/>
                <w:szCs w:val="21"/>
                <w:highlight w:val="none"/>
                <w:u w:val="single"/>
              </w:rPr>
              <w:t>)、</w:t>
            </w:r>
            <w:r>
              <w:rPr>
                <w:szCs w:val="21"/>
              </w:rPr>
              <w:t>非甲烷总烃</w:t>
            </w:r>
          </w:p>
        </w:tc>
        <w:tc>
          <w:tcPr>
            <w:tcW w:w="1609" w:type="pct"/>
            <w:gridSpan w:val="5"/>
            <w:vAlign w:val="center"/>
          </w:tcPr>
          <w:p w14:paraId="266A2C14">
            <w:pPr>
              <w:widowControl/>
              <w:adjustRightInd w:val="0"/>
              <w:snapToGrid w:val="0"/>
              <w:spacing w:line="0" w:lineRule="atLeast"/>
              <w:jc w:val="center"/>
              <w:rPr>
                <w:szCs w:val="21"/>
              </w:rPr>
            </w:pPr>
            <w:r>
              <w:rPr>
                <w:szCs w:val="21"/>
              </w:rPr>
              <w:t>包括二次PM</w:t>
            </w:r>
            <w:r>
              <w:rPr>
                <w:szCs w:val="21"/>
                <w:vertAlign w:val="subscript"/>
              </w:rPr>
              <w:t>2.5</w:t>
            </w:r>
            <w:r>
              <w:rPr>
                <w:szCs w:val="21"/>
              </w:rPr>
              <w:t>□</w:t>
            </w:r>
          </w:p>
          <w:p w14:paraId="0C3C4163">
            <w:pPr>
              <w:widowControl/>
              <w:adjustRightInd w:val="0"/>
              <w:snapToGrid w:val="0"/>
              <w:spacing w:line="0" w:lineRule="atLeast"/>
              <w:jc w:val="center"/>
              <w:rPr>
                <w:szCs w:val="21"/>
              </w:rPr>
            </w:pPr>
            <w:r>
              <w:rPr>
                <w:szCs w:val="21"/>
              </w:rPr>
              <w:t>不包括二次PM</w:t>
            </w:r>
            <w:r>
              <w:rPr>
                <w:szCs w:val="21"/>
                <w:vertAlign w:val="subscript"/>
              </w:rPr>
              <w:t>2.5</w:t>
            </w:r>
            <w:r>
              <w:rPr>
                <w:szCs w:val="21"/>
              </w:rPr>
              <w:sym w:font="Wingdings" w:char="F0FE"/>
            </w:r>
          </w:p>
        </w:tc>
      </w:tr>
      <w:tr w14:paraId="4D602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Align w:val="center"/>
          </w:tcPr>
          <w:p w14:paraId="566380B4">
            <w:pPr>
              <w:widowControl/>
              <w:adjustRightInd w:val="0"/>
              <w:snapToGrid w:val="0"/>
              <w:spacing w:line="0" w:lineRule="atLeast"/>
              <w:jc w:val="center"/>
              <w:rPr>
                <w:szCs w:val="21"/>
              </w:rPr>
            </w:pPr>
            <w:r>
              <w:rPr>
                <w:szCs w:val="21"/>
              </w:rPr>
              <w:t>评价</w:t>
            </w:r>
          </w:p>
          <w:p w14:paraId="2F2467BE">
            <w:pPr>
              <w:widowControl/>
              <w:adjustRightInd w:val="0"/>
              <w:snapToGrid w:val="0"/>
              <w:spacing w:line="0" w:lineRule="atLeast"/>
              <w:jc w:val="center"/>
              <w:rPr>
                <w:szCs w:val="21"/>
              </w:rPr>
            </w:pPr>
            <w:r>
              <w:rPr>
                <w:szCs w:val="21"/>
              </w:rPr>
              <w:t>标准</w:t>
            </w:r>
          </w:p>
        </w:tc>
        <w:tc>
          <w:tcPr>
            <w:tcW w:w="875" w:type="pct"/>
            <w:vAlign w:val="center"/>
          </w:tcPr>
          <w:p w14:paraId="02D3ADC2">
            <w:pPr>
              <w:widowControl/>
              <w:adjustRightInd w:val="0"/>
              <w:snapToGrid w:val="0"/>
              <w:spacing w:line="0" w:lineRule="atLeast"/>
              <w:jc w:val="center"/>
              <w:rPr>
                <w:szCs w:val="21"/>
              </w:rPr>
            </w:pPr>
            <w:r>
              <w:rPr>
                <w:szCs w:val="21"/>
              </w:rPr>
              <w:t>评价标准</w:t>
            </w:r>
          </w:p>
        </w:tc>
        <w:tc>
          <w:tcPr>
            <w:tcW w:w="1170" w:type="pct"/>
            <w:gridSpan w:val="5"/>
            <w:vAlign w:val="center"/>
          </w:tcPr>
          <w:p w14:paraId="0616E164">
            <w:pPr>
              <w:widowControl/>
              <w:adjustRightInd w:val="0"/>
              <w:snapToGrid w:val="0"/>
              <w:spacing w:line="0" w:lineRule="atLeast"/>
              <w:jc w:val="center"/>
              <w:rPr>
                <w:szCs w:val="21"/>
              </w:rPr>
            </w:pPr>
            <w:r>
              <w:rPr>
                <w:szCs w:val="21"/>
              </w:rPr>
              <w:t>国家标准</w:t>
            </w:r>
            <w:r>
              <w:rPr>
                <w:szCs w:val="21"/>
              </w:rPr>
              <w:sym w:font="Wingdings" w:char="00FE"/>
            </w:r>
          </w:p>
        </w:tc>
        <w:tc>
          <w:tcPr>
            <w:tcW w:w="935" w:type="pct"/>
            <w:gridSpan w:val="5"/>
            <w:vAlign w:val="center"/>
          </w:tcPr>
          <w:p w14:paraId="38CDDB11">
            <w:pPr>
              <w:widowControl/>
              <w:adjustRightInd w:val="0"/>
              <w:snapToGrid w:val="0"/>
              <w:spacing w:line="0" w:lineRule="atLeast"/>
              <w:jc w:val="center"/>
              <w:rPr>
                <w:szCs w:val="21"/>
              </w:rPr>
            </w:pPr>
            <w:r>
              <w:rPr>
                <w:szCs w:val="21"/>
              </w:rPr>
              <w:t>地方标准</w:t>
            </w:r>
            <w:r>
              <w:rPr>
                <w:szCs w:val="21"/>
              </w:rPr>
              <w:sym w:font="Wingdings" w:char="00A8"/>
            </w:r>
          </w:p>
        </w:tc>
        <w:tc>
          <w:tcPr>
            <w:tcW w:w="751" w:type="pct"/>
            <w:gridSpan w:val="3"/>
            <w:vAlign w:val="center"/>
          </w:tcPr>
          <w:p w14:paraId="3E349247">
            <w:pPr>
              <w:widowControl/>
              <w:adjustRightInd w:val="0"/>
              <w:snapToGrid w:val="0"/>
              <w:spacing w:line="0" w:lineRule="atLeast"/>
              <w:jc w:val="center"/>
              <w:rPr>
                <w:szCs w:val="21"/>
              </w:rPr>
            </w:pPr>
            <w:r>
              <w:rPr>
                <w:szCs w:val="21"/>
              </w:rPr>
              <w:t>附录D□</w:t>
            </w:r>
          </w:p>
        </w:tc>
        <w:tc>
          <w:tcPr>
            <w:tcW w:w="857" w:type="pct"/>
            <w:gridSpan w:val="2"/>
            <w:vAlign w:val="center"/>
          </w:tcPr>
          <w:p w14:paraId="7CD8A367">
            <w:pPr>
              <w:widowControl/>
              <w:adjustRightInd w:val="0"/>
              <w:snapToGrid w:val="0"/>
              <w:spacing w:line="0" w:lineRule="atLeast"/>
              <w:jc w:val="center"/>
              <w:rPr>
                <w:szCs w:val="21"/>
              </w:rPr>
            </w:pPr>
            <w:r>
              <w:rPr>
                <w:szCs w:val="21"/>
              </w:rPr>
              <w:t>其他标准</w:t>
            </w:r>
            <w:r>
              <w:rPr>
                <w:szCs w:val="21"/>
              </w:rPr>
              <w:sym w:font="Wingdings" w:char="00FE"/>
            </w:r>
          </w:p>
        </w:tc>
      </w:tr>
      <w:tr w14:paraId="6627A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restart"/>
            <w:vAlign w:val="center"/>
          </w:tcPr>
          <w:p w14:paraId="733ADF5E">
            <w:pPr>
              <w:widowControl/>
              <w:adjustRightInd w:val="0"/>
              <w:snapToGrid w:val="0"/>
              <w:spacing w:line="0" w:lineRule="atLeast"/>
              <w:jc w:val="center"/>
              <w:rPr>
                <w:szCs w:val="21"/>
              </w:rPr>
            </w:pPr>
            <w:r>
              <w:rPr>
                <w:szCs w:val="21"/>
              </w:rPr>
              <w:t>现状</w:t>
            </w:r>
          </w:p>
          <w:p w14:paraId="6038D05F">
            <w:pPr>
              <w:widowControl/>
              <w:adjustRightInd w:val="0"/>
              <w:snapToGrid w:val="0"/>
              <w:spacing w:line="0" w:lineRule="atLeast"/>
              <w:jc w:val="center"/>
              <w:rPr>
                <w:szCs w:val="21"/>
              </w:rPr>
            </w:pPr>
            <w:r>
              <w:rPr>
                <w:szCs w:val="21"/>
              </w:rPr>
              <w:t>评价</w:t>
            </w:r>
          </w:p>
        </w:tc>
        <w:tc>
          <w:tcPr>
            <w:tcW w:w="875" w:type="pct"/>
            <w:vAlign w:val="center"/>
          </w:tcPr>
          <w:p w14:paraId="4869A98D">
            <w:pPr>
              <w:widowControl/>
              <w:adjustRightInd w:val="0"/>
              <w:snapToGrid w:val="0"/>
              <w:spacing w:line="0" w:lineRule="atLeast"/>
              <w:jc w:val="center"/>
              <w:rPr>
                <w:szCs w:val="21"/>
              </w:rPr>
            </w:pPr>
            <w:r>
              <w:rPr>
                <w:szCs w:val="21"/>
              </w:rPr>
              <w:t>环境功能区</w:t>
            </w:r>
          </w:p>
        </w:tc>
        <w:tc>
          <w:tcPr>
            <w:tcW w:w="1170" w:type="pct"/>
            <w:gridSpan w:val="5"/>
            <w:vAlign w:val="center"/>
          </w:tcPr>
          <w:p w14:paraId="69213BAE">
            <w:pPr>
              <w:widowControl/>
              <w:adjustRightInd w:val="0"/>
              <w:snapToGrid w:val="0"/>
              <w:spacing w:line="0" w:lineRule="atLeast"/>
              <w:jc w:val="center"/>
              <w:rPr>
                <w:szCs w:val="21"/>
              </w:rPr>
            </w:pPr>
            <w:r>
              <w:rPr>
                <w:szCs w:val="21"/>
              </w:rPr>
              <w:t>一类区□</w:t>
            </w:r>
          </w:p>
        </w:tc>
        <w:tc>
          <w:tcPr>
            <w:tcW w:w="935" w:type="pct"/>
            <w:gridSpan w:val="5"/>
            <w:vAlign w:val="center"/>
          </w:tcPr>
          <w:p w14:paraId="0E8F939B">
            <w:pPr>
              <w:widowControl/>
              <w:adjustRightInd w:val="0"/>
              <w:snapToGrid w:val="0"/>
              <w:spacing w:line="0" w:lineRule="atLeast"/>
              <w:jc w:val="center"/>
              <w:rPr>
                <w:szCs w:val="21"/>
              </w:rPr>
            </w:pPr>
            <w:r>
              <w:rPr>
                <w:szCs w:val="21"/>
              </w:rPr>
              <w:t>二类区</w:t>
            </w:r>
            <w:r>
              <w:rPr>
                <w:szCs w:val="21"/>
              </w:rPr>
              <w:sym w:font="Wingdings" w:char="00FE"/>
            </w:r>
          </w:p>
        </w:tc>
        <w:tc>
          <w:tcPr>
            <w:tcW w:w="1609" w:type="pct"/>
            <w:gridSpan w:val="5"/>
            <w:vAlign w:val="center"/>
          </w:tcPr>
          <w:p w14:paraId="1E615D57">
            <w:pPr>
              <w:widowControl/>
              <w:adjustRightInd w:val="0"/>
              <w:snapToGrid w:val="0"/>
              <w:spacing w:line="0" w:lineRule="atLeast"/>
              <w:jc w:val="center"/>
              <w:rPr>
                <w:szCs w:val="21"/>
              </w:rPr>
            </w:pPr>
            <w:r>
              <w:rPr>
                <w:szCs w:val="21"/>
              </w:rPr>
              <w:t>一类区和二类区</w:t>
            </w:r>
            <w:r>
              <w:rPr>
                <w:szCs w:val="21"/>
              </w:rPr>
              <w:sym w:font="Wingdings 2" w:char="00A3"/>
            </w:r>
          </w:p>
        </w:tc>
      </w:tr>
      <w:tr w14:paraId="66C12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continue"/>
            <w:vAlign w:val="center"/>
          </w:tcPr>
          <w:p w14:paraId="42B74E71">
            <w:pPr>
              <w:widowControl/>
              <w:adjustRightInd w:val="0"/>
              <w:snapToGrid w:val="0"/>
              <w:spacing w:line="0" w:lineRule="atLeast"/>
              <w:jc w:val="center"/>
              <w:rPr>
                <w:szCs w:val="21"/>
              </w:rPr>
            </w:pPr>
          </w:p>
        </w:tc>
        <w:tc>
          <w:tcPr>
            <w:tcW w:w="875" w:type="pct"/>
            <w:vAlign w:val="center"/>
          </w:tcPr>
          <w:p w14:paraId="6EC34254">
            <w:pPr>
              <w:widowControl/>
              <w:adjustRightInd w:val="0"/>
              <w:snapToGrid w:val="0"/>
              <w:spacing w:line="0" w:lineRule="atLeast"/>
              <w:jc w:val="center"/>
              <w:rPr>
                <w:szCs w:val="21"/>
              </w:rPr>
            </w:pPr>
            <w:r>
              <w:rPr>
                <w:szCs w:val="21"/>
              </w:rPr>
              <w:t>评价基准年</w:t>
            </w:r>
          </w:p>
        </w:tc>
        <w:tc>
          <w:tcPr>
            <w:tcW w:w="3714" w:type="pct"/>
            <w:gridSpan w:val="15"/>
            <w:vAlign w:val="center"/>
          </w:tcPr>
          <w:p w14:paraId="3BC1788E">
            <w:pPr>
              <w:widowControl/>
              <w:adjustRightInd w:val="0"/>
              <w:snapToGrid w:val="0"/>
              <w:spacing w:line="0" w:lineRule="atLeast"/>
              <w:jc w:val="center"/>
              <w:rPr>
                <w:szCs w:val="21"/>
              </w:rPr>
            </w:pPr>
            <w:r>
              <w:rPr>
                <w:szCs w:val="21"/>
              </w:rPr>
              <w:t>( 202</w:t>
            </w:r>
            <w:r>
              <w:rPr>
                <w:rFonts w:hint="eastAsia"/>
                <w:szCs w:val="21"/>
              </w:rPr>
              <w:t>3</w:t>
            </w:r>
            <w:r>
              <w:rPr>
                <w:szCs w:val="21"/>
              </w:rPr>
              <w:t xml:space="preserve"> )年</w:t>
            </w:r>
          </w:p>
        </w:tc>
      </w:tr>
      <w:tr w14:paraId="38F2E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continue"/>
            <w:vAlign w:val="center"/>
          </w:tcPr>
          <w:p w14:paraId="52FF6125">
            <w:pPr>
              <w:widowControl/>
              <w:adjustRightInd w:val="0"/>
              <w:snapToGrid w:val="0"/>
              <w:spacing w:line="0" w:lineRule="atLeast"/>
              <w:jc w:val="center"/>
              <w:rPr>
                <w:szCs w:val="21"/>
              </w:rPr>
            </w:pPr>
          </w:p>
        </w:tc>
        <w:tc>
          <w:tcPr>
            <w:tcW w:w="875" w:type="pct"/>
            <w:vAlign w:val="center"/>
          </w:tcPr>
          <w:p w14:paraId="0E04B598">
            <w:pPr>
              <w:widowControl/>
              <w:adjustRightInd w:val="0"/>
              <w:snapToGrid w:val="0"/>
              <w:spacing w:line="0" w:lineRule="atLeast"/>
              <w:jc w:val="center"/>
              <w:rPr>
                <w:szCs w:val="21"/>
              </w:rPr>
            </w:pPr>
            <w:r>
              <w:rPr>
                <w:szCs w:val="21"/>
              </w:rPr>
              <w:t>环境空气质量现状调查数据来源</w:t>
            </w:r>
          </w:p>
        </w:tc>
        <w:tc>
          <w:tcPr>
            <w:tcW w:w="1170" w:type="pct"/>
            <w:gridSpan w:val="5"/>
            <w:vAlign w:val="center"/>
          </w:tcPr>
          <w:p w14:paraId="5294E82E">
            <w:pPr>
              <w:widowControl/>
              <w:adjustRightInd w:val="0"/>
              <w:snapToGrid w:val="0"/>
              <w:spacing w:line="0" w:lineRule="atLeast"/>
              <w:jc w:val="center"/>
              <w:rPr>
                <w:szCs w:val="21"/>
              </w:rPr>
            </w:pPr>
            <w:r>
              <w:rPr>
                <w:szCs w:val="21"/>
              </w:rPr>
              <w:t>长期例行监测数据□</w:t>
            </w:r>
          </w:p>
        </w:tc>
        <w:tc>
          <w:tcPr>
            <w:tcW w:w="1009" w:type="pct"/>
            <w:gridSpan w:val="6"/>
            <w:vAlign w:val="center"/>
          </w:tcPr>
          <w:p w14:paraId="2061A221">
            <w:pPr>
              <w:widowControl/>
              <w:adjustRightInd w:val="0"/>
              <w:snapToGrid w:val="0"/>
              <w:spacing w:line="0" w:lineRule="atLeast"/>
              <w:jc w:val="center"/>
              <w:rPr>
                <w:szCs w:val="21"/>
              </w:rPr>
            </w:pPr>
            <w:r>
              <w:rPr>
                <w:szCs w:val="21"/>
              </w:rPr>
              <w:t>主管部门发布的数据</w:t>
            </w:r>
            <w:r>
              <w:rPr>
                <w:szCs w:val="21"/>
              </w:rPr>
              <w:sym w:font="Wingdings" w:char="F0FE"/>
            </w:r>
          </w:p>
        </w:tc>
        <w:tc>
          <w:tcPr>
            <w:tcW w:w="1535" w:type="pct"/>
            <w:gridSpan w:val="4"/>
            <w:vAlign w:val="center"/>
          </w:tcPr>
          <w:p w14:paraId="509C8213">
            <w:pPr>
              <w:widowControl/>
              <w:adjustRightInd w:val="0"/>
              <w:snapToGrid w:val="0"/>
              <w:spacing w:line="0" w:lineRule="atLeast"/>
              <w:jc w:val="center"/>
              <w:rPr>
                <w:szCs w:val="21"/>
              </w:rPr>
            </w:pPr>
            <w:r>
              <w:rPr>
                <w:szCs w:val="21"/>
              </w:rPr>
              <w:t>现状补充监测</w:t>
            </w:r>
            <w:r>
              <w:rPr>
                <w:szCs w:val="21"/>
              </w:rPr>
              <w:sym w:font="Wingdings" w:char="00FE"/>
            </w:r>
          </w:p>
        </w:tc>
      </w:tr>
      <w:tr w14:paraId="35221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continue"/>
            <w:vAlign w:val="center"/>
          </w:tcPr>
          <w:p w14:paraId="0000AC9E">
            <w:pPr>
              <w:widowControl/>
              <w:adjustRightInd w:val="0"/>
              <w:snapToGrid w:val="0"/>
              <w:spacing w:line="0" w:lineRule="atLeast"/>
              <w:jc w:val="center"/>
              <w:rPr>
                <w:szCs w:val="21"/>
              </w:rPr>
            </w:pPr>
          </w:p>
        </w:tc>
        <w:tc>
          <w:tcPr>
            <w:tcW w:w="875" w:type="pct"/>
            <w:vAlign w:val="center"/>
          </w:tcPr>
          <w:p w14:paraId="39DF68A1">
            <w:pPr>
              <w:widowControl/>
              <w:adjustRightInd w:val="0"/>
              <w:snapToGrid w:val="0"/>
              <w:spacing w:line="0" w:lineRule="atLeast"/>
              <w:jc w:val="center"/>
              <w:rPr>
                <w:szCs w:val="21"/>
              </w:rPr>
            </w:pPr>
            <w:r>
              <w:rPr>
                <w:szCs w:val="21"/>
              </w:rPr>
              <w:t>现状评价</w:t>
            </w:r>
          </w:p>
        </w:tc>
        <w:tc>
          <w:tcPr>
            <w:tcW w:w="2179" w:type="pct"/>
            <w:gridSpan w:val="11"/>
            <w:vAlign w:val="center"/>
          </w:tcPr>
          <w:p w14:paraId="52F4C1D2">
            <w:pPr>
              <w:widowControl/>
              <w:adjustRightInd w:val="0"/>
              <w:snapToGrid w:val="0"/>
              <w:spacing w:line="0" w:lineRule="atLeast"/>
              <w:jc w:val="center"/>
              <w:rPr>
                <w:szCs w:val="21"/>
              </w:rPr>
            </w:pPr>
            <w:r>
              <w:rPr>
                <w:szCs w:val="21"/>
              </w:rPr>
              <w:t>达标区</w:t>
            </w:r>
            <w:r>
              <w:rPr>
                <w:szCs w:val="21"/>
              </w:rPr>
              <w:sym w:font="Wingdings 2" w:char="0052"/>
            </w:r>
          </w:p>
        </w:tc>
        <w:tc>
          <w:tcPr>
            <w:tcW w:w="1535" w:type="pct"/>
            <w:gridSpan w:val="4"/>
            <w:vAlign w:val="center"/>
          </w:tcPr>
          <w:p w14:paraId="126C566C">
            <w:pPr>
              <w:widowControl/>
              <w:adjustRightInd w:val="0"/>
              <w:snapToGrid w:val="0"/>
              <w:spacing w:line="0" w:lineRule="atLeast"/>
              <w:jc w:val="center"/>
              <w:rPr>
                <w:szCs w:val="21"/>
              </w:rPr>
            </w:pPr>
            <w:r>
              <w:rPr>
                <w:szCs w:val="21"/>
              </w:rPr>
              <w:t>不达标区</w:t>
            </w:r>
            <w:r>
              <w:rPr>
                <w:szCs w:val="21"/>
              </w:rPr>
              <w:sym w:font="Wingdings" w:char="00A8"/>
            </w:r>
          </w:p>
        </w:tc>
      </w:tr>
      <w:tr w14:paraId="5DCE9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Align w:val="center"/>
          </w:tcPr>
          <w:p w14:paraId="6BF7FE58">
            <w:pPr>
              <w:widowControl/>
              <w:adjustRightInd w:val="0"/>
              <w:snapToGrid w:val="0"/>
              <w:spacing w:line="0" w:lineRule="atLeast"/>
              <w:jc w:val="center"/>
              <w:rPr>
                <w:szCs w:val="21"/>
              </w:rPr>
            </w:pPr>
            <w:r>
              <w:rPr>
                <w:szCs w:val="21"/>
              </w:rPr>
              <w:t>污染源调查</w:t>
            </w:r>
          </w:p>
        </w:tc>
        <w:tc>
          <w:tcPr>
            <w:tcW w:w="875" w:type="pct"/>
            <w:vAlign w:val="center"/>
          </w:tcPr>
          <w:p w14:paraId="5E3D057F">
            <w:pPr>
              <w:widowControl/>
              <w:adjustRightInd w:val="0"/>
              <w:snapToGrid w:val="0"/>
              <w:spacing w:line="0" w:lineRule="atLeast"/>
              <w:jc w:val="center"/>
              <w:rPr>
                <w:szCs w:val="21"/>
              </w:rPr>
            </w:pPr>
            <w:r>
              <w:rPr>
                <w:szCs w:val="21"/>
              </w:rPr>
              <w:t>调查内容</w:t>
            </w:r>
          </w:p>
        </w:tc>
        <w:tc>
          <w:tcPr>
            <w:tcW w:w="1623" w:type="pct"/>
            <w:gridSpan w:val="7"/>
            <w:vAlign w:val="center"/>
          </w:tcPr>
          <w:p w14:paraId="7BF5738B">
            <w:pPr>
              <w:widowControl/>
              <w:adjustRightInd w:val="0"/>
              <w:snapToGrid w:val="0"/>
              <w:spacing w:line="0" w:lineRule="atLeast"/>
              <w:jc w:val="center"/>
              <w:rPr>
                <w:szCs w:val="21"/>
              </w:rPr>
            </w:pPr>
            <w:r>
              <w:rPr>
                <w:szCs w:val="21"/>
              </w:rPr>
              <w:t>本工程正常排放源</w:t>
            </w:r>
            <w:r>
              <w:rPr>
                <w:szCs w:val="21"/>
              </w:rPr>
              <w:sym w:font="Wingdings" w:char="00FE"/>
            </w:r>
          </w:p>
          <w:p w14:paraId="0A89620E">
            <w:pPr>
              <w:widowControl/>
              <w:adjustRightInd w:val="0"/>
              <w:snapToGrid w:val="0"/>
              <w:spacing w:line="0" w:lineRule="atLeast"/>
              <w:jc w:val="center"/>
              <w:rPr>
                <w:szCs w:val="21"/>
              </w:rPr>
            </w:pPr>
            <w:r>
              <w:rPr>
                <w:szCs w:val="21"/>
              </w:rPr>
              <w:t>本工程非正常排放源</w:t>
            </w:r>
            <w:r>
              <w:rPr>
                <w:szCs w:val="21"/>
              </w:rPr>
              <w:sym w:font="Wingdings" w:char="00FE"/>
            </w:r>
          </w:p>
          <w:p w14:paraId="4796A068">
            <w:pPr>
              <w:widowControl/>
              <w:adjustRightInd w:val="0"/>
              <w:snapToGrid w:val="0"/>
              <w:spacing w:line="0" w:lineRule="atLeast"/>
              <w:jc w:val="center"/>
              <w:rPr>
                <w:szCs w:val="21"/>
              </w:rPr>
            </w:pPr>
            <w:r>
              <w:rPr>
                <w:szCs w:val="21"/>
              </w:rPr>
              <w:t>现有污染源</w:t>
            </w:r>
            <w:r>
              <w:rPr>
                <w:szCs w:val="21"/>
              </w:rPr>
              <w:sym w:font="Wingdings" w:char="00A8"/>
            </w:r>
          </w:p>
        </w:tc>
        <w:tc>
          <w:tcPr>
            <w:tcW w:w="555" w:type="pct"/>
            <w:gridSpan w:val="4"/>
            <w:vAlign w:val="center"/>
          </w:tcPr>
          <w:p w14:paraId="6041FE75">
            <w:pPr>
              <w:widowControl/>
              <w:adjustRightInd w:val="0"/>
              <w:snapToGrid w:val="0"/>
              <w:spacing w:line="0" w:lineRule="atLeast"/>
              <w:jc w:val="center"/>
              <w:rPr>
                <w:szCs w:val="21"/>
              </w:rPr>
            </w:pPr>
            <w:r>
              <w:rPr>
                <w:szCs w:val="21"/>
              </w:rPr>
              <w:t>拟替代的污染源□</w:t>
            </w:r>
          </w:p>
        </w:tc>
        <w:tc>
          <w:tcPr>
            <w:tcW w:w="677" w:type="pct"/>
            <w:gridSpan w:val="2"/>
            <w:vAlign w:val="center"/>
          </w:tcPr>
          <w:p w14:paraId="35912F68">
            <w:pPr>
              <w:widowControl/>
              <w:adjustRightInd w:val="0"/>
              <w:snapToGrid w:val="0"/>
              <w:spacing w:line="0" w:lineRule="atLeast"/>
              <w:jc w:val="center"/>
              <w:rPr>
                <w:szCs w:val="21"/>
              </w:rPr>
            </w:pPr>
            <w:r>
              <w:rPr>
                <w:szCs w:val="21"/>
              </w:rPr>
              <w:t>其他在建、拟建项目污染源□</w:t>
            </w:r>
          </w:p>
        </w:tc>
        <w:tc>
          <w:tcPr>
            <w:tcW w:w="857" w:type="pct"/>
            <w:gridSpan w:val="2"/>
            <w:vAlign w:val="center"/>
          </w:tcPr>
          <w:p w14:paraId="277C2264">
            <w:pPr>
              <w:widowControl/>
              <w:adjustRightInd w:val="0"/>
              <w:snapToGrid w:val="0"/>
              <w:spacing w:line="0" w:lineRule="atLeast"/>
              <w:jc w:val="center"/>
              <w:rPr>
                <w:szCs w:val="21"/>
              </w:rPr>
            </w:pPr>
            <w:r>
              <w:rPr>
                <w:szCs w:val="21"/>
              </w:rPr>
              <w:t>区域污染源□</w:t>
            </w:r>
          </w:p>
        </w:tc>
      </w:tr>
      <w:tr w14:paraId="76917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restart"/>
            <w:vAlign w:val="center"/>
          </w:tcPr>
          <w:p w14:paraId="42DB3419">
            <w:pPr>
              <w:widowControl/>
              <w:adjustRightInd w:val="0"/>
              <w:snapToGrid w:val="0"/>
              <w:spacing w:line="0" w:lineRule="atLeast"/>
              <w:jc w:val="center"/>
              <w:rPr>
                <w:szCs w:val="21"/>
              </w:rPr>
            </w:pPr>
            <w:r>
              <w:rPr>
                <w:szCs w:val="21"/>
              </w:rPr>
              <w:t>大气环境影响预测与评价</w:t>
            </w:r>
          </w:p>
        </w:tc>
        <w:tc>
          <w:tcPr>
            <w:tcW w:w="875" w:type="pct"/>
            <w:vAlign w:val="center"/>
          </w:tcPr>
          <w:p w14:paraId="7AC6A2C7">
            <w:pPr>
              <w:widowControl/>
              <w:adjustRightInd w:val="0"/>
              <w:snapToGrid w:val="0"/>
              <w:spacing w:line="0" w:lineRule="atLeast"/>
              <w:jc w:val="center"/>
              <w:rPr>
                <w:szCs w:val="21"/>
              </w:rPr>
            </w:pPr>
            <w:r>
              <w:rPr>
                <w:szCs w:val="21"/>
              </w:rPr>
              <w:t>预测模型</w:t>
            </w:r>
          </w:p>
        </w:tc>
        <w:tc>
          <w:tcPr>
            <w:tcW w:w="445" w:type="pct"/>
            <w:vAlign w:val="center"/>
          </w:tcPr>
          <w:p w14:paraId="185E03FE">
            <w:pPr>
              <w:widowControl/>
              <w:adjustRightInd w:val="0"/>
              <w:snapToGrid w:val="0"/>
              <w:spacing w:line="0" w:lineRule="atLeast"/>
              <w:jc w:val="center"/>
              <w:rPr>
                <w:sz w:val="18"/>
                <w:szCs w:val="18"/>
              </w:rPr>
            </w:pPr>
            <w:r>
              <w:rPr>
                <w:sz w:val="18"/>
                <w:szCs w:val="18"/>
              </w:rPr>
              <w:t>AERMOD□</w:t>
            </w:r>
          </w:p>
        </w:tc>
        <w:tc>
          <w:tcPr>
            <w:tcW w:w="360" w:type="pct"/>
            <w:gridSpan w:val="2"/>
            <w:vAlign w:val="center"/>
          </w:tcPr>
          <w:p w14:paraId="755E3CBD">
            <w:pPr>
              <w:widowControl/>
              <w:adjustRightInd w:val="0"/>
              <w:snapToGrid w:val="0"/>
              <w:spacing w:line="0" w:lineRule="atLeast"/>
              <w:jc w:val="center"/>
              <w:rPr>
                <w:sz w:val="18"/>
                <w:szCs w:val="18"/>
              </w:rPr>
            </w:pPr>
            <w:r>
              <w:rPr>
                <w:sz w:val="18"/>
                <w:szCs w:val="18"/>
              </w:rPr>
              <w:t>ADMS□</w:t>
            </w:r>
          </w:p>
        </w:tc>
        <w:tc>
          <w:tcPr>
            <w:tcW w:w="568" w:type="pct"/>
            <w:gridSpan w:val="3"/>
            <w:vAlign w:val="center"/>
          </w:tcPr>
          <w:p w14:paraId="7645884A">
            <w:pPr>
              <w:widowControl/>
              <w:adjustRightInd w:val="0"/>
              <w:snapToGrid w:val="0"/>
              <w:spacing w:line="0" w:lineRule="atLeast"/>
              <w:jc w:val="center"/>
              <w:rPr>
                <w:sz w:val="18"/>
                <w:szCs w:val="18"/>
              </w:rPr>
            </w:pPr>
            <w:r>
              <w:rPr>
                <w:sz w:val="18"/>
                <w:szCs w:val="18"/>
              </w:rPr>
              <w:t>AUSTAL2000□</w:t>
            </w:r>
          </w:p>
        </w:tc>
        <w:tc>
          <w:tcPr>
            <w:tcW w:w="647" w:type="pct"/>
            <w:gridSpan w:val="3"/>
            <w:vAlign w:val="center"/>
          </w:tcPr>
          <w:p w14:paraId="245157A2">
            <w:pPr>
              <w:widowControl/>
              <w:adjustRightInd w:val="0"/>
              <w:snapToGrid w:val="0"/>
              <w:spacing w:line="0" w:lineRule="atLeast"/>
              <w:jc w:val="center"/>
              <w:rPr>
                <w:sz w:val="18"/>
                <w:szCs w:val="18"/>
              </w:rPr>
            </w:pPr>
            <w:r>
              <w:rPr>
                <w:sz w:val="18"/>
                <w:szCs w:val="18"/>
              </w:rPr>
              <w:t>EDMS/AEDT□</w:t>
            </w:r>
          </w:p>
        </w:tc>
        <w:tc>
          <w:tcPr>
            <w:tcW w:w="732" w:type="pct"/>
            <w:gridSpan w:val="3"/>
            <w:vAlign w:val="center"/>
          </w:tcPr>
          <w:p w14:paraId="1465C2E7">
            <w:pPr>
              <w:widowControl/>
              <w:adjustRightInd w:val="0"/>
              <w:snapToGrid w:val="0"/>
              <w:spacing w:line="0" w:lineRule="atLeast"/>
              <w:jc w:val="center"/>
              <w:rPr>
                <w:sz w:val="18"/>
                <w:szCs w:val="18"/>
              </w:rPr>
            </w:pPr>
            <w:r>
              <w:rPr>
                <w:sz w:val="18"/>
                <w:szCs w:val="18"/>
              </w:rPr>
              <w:t>CALPUFF□</w:t>
            </w:r>
          </w:p>
        </w:tc>
        <w:tc>
          <w:tcPr>
            <w:tcW w:w="531" w:type="pct"/>
            <w:gridSpan w:val="2"/>
            <w:vAlign w:val="center"/>
          </w:tcPr>
          <w:p w14:paraId="7617B98A">
            <w:pPr>
              <w:widowControl/>
              <w:adjustRightInd w:val="0"/>
              <w:snapToGrid w:val="0"/>
              <w:spacing w:line="0" w:lineRule="atLeast"/>
              <w:jc w:val="center"/>
              <w:rPr>
                <w:sz w:val="18"/>
                <w:szCs w:val="18"/>
              </w:rPr>
            </w:pPr>
            <w:r>
              <w:rPr>
                <w:sz w:val="18"/>
                <w:szCs w:val="18"/>
              </w:rPr>
              <w:t>网络模型□</w:t>
            </w:r>
          </w:p>
        </w:tc>
        <w:tc>
          <w:tcPr>
            <w:tcW w:w="428" w:type="pct"/>
            <w:vAlign w:val="center"/>
          </w:tcPr>
          <w:p w14:paraId="7A452253">
            <w:pPr>
              <w:widowControl/>
              <w:adjustRightInd w:val="0"/>
              <w:snapToGrid w:val="0"/>
              <w:spacing w:line="0" w:lineRule="atLeast"/>
              <w:jc w:val="center"/>
              <w:rPr>
                <w:sz w:val="18"/>
                <w:szCs w:val="18"/>
              </w:rPr>
            </w:pPr>
            <w:r>
              <w:rPr>
                <w:sz w:val="18"/>
                <w:szCs w:val="18"/>
              </w:rPr>
              <w:t>其他□</w:t>
            </w:r>
          </w:p>
        </w:tc>
      </w:tr>
      <w:tr w14:paraId="028F6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continue"/>
            <w:vAlign w:val="center"/>
          </w:tcPr>
          <w:p w14:paraId="3A23B024">
            <w:pPr>
              <w:widowControl/>
              <w:adjustRightInd w:val="0"/>
              <w:snapToGrid w:val="0"/>
              <w:spacing w:line="0" w:lineRule="atLeast"/>
              <w:jc w:val="center"/>
              <w:rPr>
                <w:szCs w:val="21"/>
              </w:rPr>
            </w:pPr>
          </w:p>
        </w:tc>
        <w:tc>
          <w:tcPr>
            <w:tcW w:w="875" w:type="pct"/>
            <w:vAlign w:val="center"/>
          </w:tcPr>
          <w:p w14:paraId="1C91D1AF">
            <w:pPr>
              <w:widowControl/>
              <w:adjustRightInd w:val="0"/>
              <w:snapToGrid w:val="0"/>
              <w:spacing w:line="0" w:lineRule="atLeast"/>
              <w:jc w:val="center"/>
              <w:rPr>
                <w:szCs w:val="21"/>
              </w:rPr>
            </w:pPr>
            <w:r>
              <w:rPr>
                <w:szCs w:val="21"/>
              </w:rPr>
              <w:t>预测范围</w:t>
            </w:r>
          </w:p>
        </w:tc>
        <w:tc>
          <w:tcPr>
            <w:tcW w:w="1170" w:type="pct"/>
            <w:gridSpan w:val="5"/>
            <w:vAlign w:val="center"/>
          </w:tcPr>
          <w:p w14:paraId="13C33710">
            <w:pPr>
              <w:widowControl/>
              <w:adjustRightInd w:val="0"/>
              <w:snapToGrid w:val="0"/>
              <w:spacing w:line="0" w:lineRule="atLeast"/>
              <w:jc w:val="center"/>
              <w:rPr>
                <w:szCs w:val="21"/>
              </w:rPr>
            </w:pPr>
            <w:r>
              <w:rPr>
                <w:szCs w:val="21"/>
              </w:rPr>
              <w:t>边长≥50km□</w:t>
            </w:r>
          </w:p>
        </w:tc>
        <w:tc>
          <w:tcPr>
            <w:tcW w:w="1584" w:type="pct"/>
            <w:gridSpan w:val="7"/>
            <w:vAlign w:val="center"/>
          </w:tcPr>
          <w:p w14:paraId="6D78D062">
            <w:pPr>
              <w:widowControl/>
              <w:adjustRightInd w:val="0"/>
              <w:snapToGrid w:val="0"/>
              <w:spacing w:line="0" w:lineRule="atLeast"/>
              <w:jc w:val="center"/>
              <w:rPr>
                <w:szCs w:val="21"/>
              </w:rPr>
            </w:pPr>
            <w:r>
              <w:rPr>
                <w:szCs w:val="21"/>
              </w:rPr>
              <w:t>边长5～50km□</w:t>
            </w:r>
          </w:p>
        </w:tc>
        <w:tc>
          <w:tcPr>
            <w:tcW w:w="960" w:type="pct"/>
            <w:gridSpan w:val="3"/>
            <w:vAlign w:val="center"/>
          </w:tcPr>
          <w:p w14:paraId="1D9FDFE1">
            <w:pPr>
              <w:widowControl/>
              <w:adjustRightInd w:val="0"/>
              <w:snapToGrid w:val="0"/>
              <w:spacing w:line="0" w:lineRule="atLeast"/>
              <w:jc w:val="center"/>
              <w:rPr>
                <w:szCs w:val="21"/>
              </w:rPr>
            </w:pPr>
            <w:r>
              <w:rPr>
                <w:szCs w:val="21"/>
              </w:rPr>
              <w:t>边长=5km□</w:t>
            </w:r>
          </w:p>
        </w:tc>
      </w:tr>
      <w:tr w14:paraId="7B843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continue"/>
            <w:vAlign w:val="center"/>
          </w:tcPr>
          <w:p w14:paraId="33981336">
            <w:pPr>
              <w:widowControl/>
              <w:adjustRightInd w:val="0"/>
              <w:snapToGrid w:val="0"/>
              <w:spacing w:line="0" w:lineRule="atLeast"/>
              <w:jc w:val="center"/>
              <w:rPr>
                <w:szCs w:val="21"/>
              </w:rPr>
            </w:pPr>
          </w:p>
        </w:tc>
        <w:tc>
          <w:tcPr>
            <w:tcW w:w="875" w:type="pct"/>
            <w:vAlign w:val="center"/>
          </w:tcPr>
          <w:p w14:paraId="710126F5">
            <w:pPr>
              <w:widowControl/>
              <w:adjustRightInd w:val="0"/>
              <w:snapToGrid w:val="0"/>
              <w:spacing w:line="0" w:lineRule="atLeast"/>
              <w:jc w:val="center"/>
              <w:rPr>
                <w:szCs w:val="21"/>
              </w:rPr>
            </w:pPr>
            <w:r>
              <w:rPr>
                <w:szCs w:val="21"/>
              </w:rPr>
              <w:t>预测因子</w:t>
            </w:r>
          </w:p>
        </w:tc>
        <w:tc>
          <w:tcPr>
            <w:tcW w:w="1674" w:type="pct"/>
            <w:gridSpan w:val="8"/>
            <w:vAlign w:val="center"/>
          </w:tcPr>
          <w:p w14:paraId="05205E3B">
            <w:pPr>
              <w:widowControl/>
              <w:adjustRightInd w:val="0"/>
              <w:snapToGrid w:val="0"/>
              <w:spacing w:line="0" w:lineRule="atLeast"/>
              <w:jc w:val="center"/>
              <w:rPr>
                <w:szCs w:val="21"/>
              </w:rPr>
            </w:pPr>
            <w:r>
              <w:rPr>
                <w:szCs w:val="21"/>
              </w:rPr>
              <w:t>预测因子(/)</w:t>
            </w:r>
          </w:p>
        </w:tc>
        <w:tc>
          <w:tcPr>
            <w:tcW w:w="2040" w:type="pct"/>
            <w:gridSpan w:val="7"/>
            <w:vAlign w:val="center"/>
          </w:tcPr>
          <w:p w14:paraId="2ECBF058">
            <w:pPr>
              <w:widowControl/>
              <w:spacing w:line="0" w:lineRule="atLeast"/>
              <w:jc w:val="center"/>
              <w:rPr>
                <w:szCs w:val="21"/>
              </w:rPr>
            </w:pPr>
            <w:r>
              <w:rPr>
                <w:szCs w:val="21"/>
              </w:rPr>
              <w:t>包括二次PM</w:t>
            </w:r>
            <w:r>
              <w:rPr>
                <w:szCs w:val="21"/>
                <w:vertAlign w:val="subscript"/>
              </w:rPr>
              <w:t>2.5</w:t>
            </w:r>
            <w:r>
              <w:rPr>
                <w:szCs w:val="21"/>
              </w:rPr>
              <w:t>□</w:t>
            </w:r>
          </w:p>
          <w:p w14:paraId="74856C93">
            <w:pPr>
              <w:widowControl/>
              <w:adjustRightInd w:val="0"/>
              <w:snapToGrid w:val="0"/>
              <w:spacing w:line="0" w:lineRule="atLeast"/>
              <w:jc w:val="center"/>
              <w:rPr>
                <w:szCs w:val="21"/>
              </w:rPr>
            </w:pPr>
            <w:r>
              <w:rPr>
                <w:szCs w:val="21"/>
              </w:rPr>
              <w:t>不包括二次PM</w:t>
            </w:r>
            <w:r>
              <w:rPr>
                <w:szCs w:val="21"/>
                <w:vertAlign w:val="subscript"/>
              </w:rPr>
              <w:t>2.5</w:t>
            </w:r>
            <w:r>
              <w:rPr>
                <w:szCs w:val="21"/>
              </w:rPr>
              <w:t>□</w:t>
            </w:r>
          </w:p>
        </w:tc>
      </w:tr>
      <w:tr w14:paraId="5B7AD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continue"/>
            <w:vAlign w:val="center"/>
          </w:tcPr>
          <w:p w14:paraId="7CEF596F">
            <w:pPr>
              <w:widowControl/>
              <w:adjustRightInd w:val="0"/>
              <w:snapToGrid w:val="0"/>
              <w:spacing w:line="0" w:lineRule="atLeast"/>
              <w:jc w:val="center"/>
              <w:rPr>
                <w:szCs w:val="21"/>
              </w:rPr>
            </w:pPr>
          </w:p>
        </w:tc>
        <w:tc>
          <w:tcPr>
            <w:tcW w:w="875" w:type="pct"/>
            <w:vAlign w:val="center"/>
          </w:tcPr>
          <w:p w14:paraId="0ACDD399">
            <w:pPr>
              <w:widowControl/>
              <w:adjustRightInd w:val="0"/>
              <w:snapToGrid w:val="0"/>
              <w:spacing w:line="0" w:lineRule="atLeast"/>
              <w:jc w:val="center"/>
              <w:rPr>
                <w:szCs w:val="21"/>
              </w:rPr>
            </w:pPr>
            <w:r>
              <w:rPr>
                <w:szCs w:val="21"/>
              </w:rPr>
              <w:t>正常排放短期浓度贡献值</w:t>
            </w:r>
          </w:p>
        </w:tc>
        <w:tc>
          <w:tcPr>
            <w:tcW w:w="2105" w:type="pct"/>
            <w:gridSpan w:val="10"/>
            <w:vAlign w:val="center"/>
          </w:tcPr>
          <w:p w14:paraId="17DE2BED">
            <w:pPr>
              <w:widowControl/>
              <w:adjustRightInd w:val="0"/>
              <w:snapToGrid w:val="0"/>
              <w:spacing w:line="0" w:lineRule="atLeast"/>
              <w:jc w:val="center"/>
              <w:rPr>
                <w:szCs w:val="21"/>
              </w:rPr>
            </w:pPr>
            <w:r>
              <w:rPr>
                <w:szCs w:val="21"/>
              </w:rPr>
              <w:t>C本工程最大占标率≤100%</w:t>
            </w:r>
            <w:r>
              <w:rPr>
                <w:szCs w:val="21"/>
              </w:rPr>
              <w:sym w:font="Wingdings" w:char="00A8"/>
            </w:r>
          </w:p>
        </w:tc>
        <w:tc>
          <w:tcPr>
            <w:tcW w:w="1609" w:type="pct"/>
            <w:gridSpan w:val="5"/>
            <w:vAlign w:val="center"/>
          </w:tcPr>
          <w:p w14:paraId="2DBFB7E3">
            <w:pPr>
              <w:widowControl/>
              <w:adjustRightInd w:val="0"/>
              <w:snapToGrid w:val="0"/>
              <w:spacing w:line="0" w:lineRule="atLeast"/>
              <w:jc w:val="center"/>
              <w:rPr>
                <w:szCs w:val="21"/>
              </w:rPr>
            </w:pPr>
            <w:r>
              <w:rPr>
                <w:szCs w:val="21"/>
              </w:rPr>
              <w:t>C本工程最大占标率＞100%□</w:t>
            </w:r>
          </w:p>
        </w:tc>
      </w:tr>
      <w:tr w14:paraId="32686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continue"/>
            <w:vAlign w:val="center"/>
          </w:tcPr>
          <w:p w14:paraId="02010D72">
            <w:pPr>
              <w:widowControl/>
              <w:adjustRightInd w:val="0"/>
              <w:snapToGrid w:val="0"/>
              <w:spacing w:line="0" w:lineRule="atLeast"/>
              <w:jc w:val="center"/>
              <w:rPr>
                <w:szCs w:val="21"/>
              </w:rPr>
            </w:pPr>
          </w:p>
        </w:tc>
        <w:tc>
          <w:tcPr>
            <w:tcW w:w="875" w:type="pct"/>
            <w:vMerge w:val="restart"/>
            <w:vAlign w:val="center"/>
          </w:tcPr>
          <w:p w14:paraId="1C16BFA1">
            <w:pPr>
              <w:widowControl/>
              <w:adjustRightInd w:val="0"/>
              <w:snapToGrid w:val="0"/>
              <w:spacing w:line="0" w:lineRule="atLeast"/>
              <w:jc w:val="center"/>
              <w:rPr>
                <w:szCs w:val="21"/>
              </w:rPr>
            </w:pPr>
            <w:r>
              <w:rPr>
                <w:szCs w:val="21"/>
              </w:rPr>
              <w:t>正常排放年均浓度贡献值</w:t>
            </w:r>
          </w:p>
        </w:tc>
        <w:tc>
          <w:tcPr>
            <w:tcW w:w="532" w:type="pct"/>
            <w:gridSpan w:val="2"/>
            <w:vAlign w:val="center"/>
          </w:tcPr>
          <w:p w14:paraId="4DC65D9F">
            <w:pPr>
              <w:widowControl/>
              <w:adjustRightInd w:val="0"/>
              <w:snapToGrid w:val="0"/>
              <w:spacing w:line="0" w:lineRule="atLeast"/>
              <w:jc w:val="center"/>
              <w:rPr>
                <w:szCs w:val="21"/>
              </w:rPr>
            </w:pPr>
            <w:r>
              <w:rPr>
                <w:szCs w:val="21"/>
              </w:rPr>
              <w:t>一类区</w:t>
            </w:r>
          </w:p>
        </w:tc>
        <w:tc>
          <w:tcPr>
            <w:tcW w:w="1572" w:type="pct"/>
            <w:gridSpan w:val="8"/>
            <w:vAlign w:val="center"/>
          </w:tcPr>
          <w:p w14:paraId="49CD66F4">
            <w:pPr>
              <w:widowControl/>
              <w:adjustRightInd w:val="0"/>
              <w:snapToGrid w:val="0"/>
              <w:spacing w:line="0" w:lineRule="atLeast"/>
              <w:jc w:val="center"/>
              <w:rPr>
                <w:szCs w:val="21"/>
              </w:rPr>
            </w:pPr>
            <w:r>
              <w:rPr>
                <w:szCs w:val="21"/>
              </w:rPr>
              <w:t>C本工程最大占标率≤10%□</w:t>
            </w:r>
          </w:p>
        </w:tc>
        <w:tc>
          <w:tcPr>
            <w:tcW w:w="1609" w:type="pct"/>
            <w:gridSpan w:val="5"/>
            <w:vAlign w:val="center"/>
          </w:tcPr>
          <w:p w14:paraId="10884E30">
            <w:pPr>
              <w:widowControl/>
              <w:adjustRightInd w:val="0"/>
              <w:snapToGrid w:val="0"/>
              <w:spacing w:line="0" w:lineRule="atLeast"/>
              <w:jc w:val="center"/>
              <w:rPr>
                <w:szCs w:val="21"/>
              </w:rPr>
            </w:pPr>
            <w:r>
              <w:rPr>
                <w:szCs w:val="21"/>
              </w:rPr>
              <w:t>C本工程最大占标率＞10%□</w:t>
            </w:r>
          </w:p>
        </w:tc>
      </w:tr>
      <w:tr w14:paraId="402E5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continue"/>
            <w:vAlign w:val="center"/>
          </w:tcPr>
          <w:p w14:paraId="50AD17D8">
            <w:pPr>
              <w:widowControl/>
              <w:adjustRightInd w:val="0"/>
              <w:snapToGrid w:val="0"/>
              <w:spacing w:line="0" w:lineRule="atLeast"/>
              <w:jc w:val="center"/>
              <w:rPr>
                <w:szCs w:val="21"/>
              </w:rPr>
            </w:pPr>
          </w:p>
        </w:tc>
        <w:tc>
          <w:tcPr>
            <w:tcW w:w="875" w:type="pct"/>
            <w:vMerge w:val="continue"/>
            <w:vAlign w:val="center"/>
          </w:tcPr>
          <w:p w14:paraId="26B5E82D">
            <w:pPr>
              <w:widowControl/>
              <w:adjustRightInd w:val="0"/>
              <w:snapToGrid w:val="0"/>
              <w:spacing w:line="0" w:lineRule="atLeast"/>
              <w:jc w:val="center"/>
              <w:rPr>
                <w:szCs w:val="21"/>
              </w:rPr>
            </w:pPr>
          </w:p>
        </w:tc>
        <w:tc>
          <w:tcPr>
            <w:tcW w:w="532" w:type="pct"/>
            <w:gridSpan w:val="2"/>
            <w:vAlign w:val="center"/>
          </w:tcPr>
          <w:p w14:paraId="5EE48434">
            <w:pPr>
              <w:widowControl/>
              <w:adjustRightInd w:val="0"/>
              <w:snapToGrid w:val="0"/>
              <w:spacing w:line="0" w:lineRule="atLeast"/>
              <w:jc w:val="center"/>
              <w:rPr>
                <w:szCs w:val="21"/>
              </w:rPr>
            </w:pPr>
            <w:r>
              <w:rPr>
                <w:szCs w:val="21"/>
              </w:rPr>
              <w:t>二类区</w:t>
            </w:r>
          </w:p>
        </w:tc>
        <w:tc>
          <w:tcPr>
            <w:tcW w:w="1572" w:type="pct"/>
            <w:gridSpan w:val="8"/>
            <w:vAlign w:val="center"/>
          </w:tcPr>
          <w:p w14:paraId="67E193FF">
            <w:pPr>
              <w:widowControl/>
              <w:adjustRightInd w:val="0"/>
              <w:snapToGrid w:val="0"/>
              <w:spacing w:line="0" w:lineRule="atLeast"/>
              <w:jc w:val="center"/>
              <w:rPr>
                <w:szCs w:val="21"/>
              </w:rPr>
            </w:pPr>
            <w:r>
              <w:rPr>
                <w:szCs w:val="21"/>
              </w:rPr>
              <w:t>C本工程最大占标率≤30%□</w:t>
            </w:r>
          </w:p>
        </w:tc>
        <w:tc>
          <w:tcPr>
            <w:tcW w:w="1609" w:type="pct"/>
            <w:gridSpan w:val="5"/>
            <w:vAlign w:val="center"/>
          </w:tcPr>
          <w:p w14:paraId="0E2213B4">
            <w:pPr>
              <w:widowControl/>
              <w:adjustRightInd w:val="0"/>
              <w:snapToGrid w:val="0"/>
              <w:spacing w:line="0" w:lineRule="atLeast"/>
              <w:jc w:val="center"/>
              <w:rPr>
                <w:szCs w:val="21"/>
              </w:rPr>
            </w:pPr>
            <w:r>
              <w:rPr>
                <w:szCs w:val="21"/>
              </w:rPr>
              <w:t>C本工程最大占标率＞30%□</w:t>
            </w:r>
          </w:p>
        </w:tc>
      </w:tr>
      <w:tr w14:paraId="2B26E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continue"/>
            <w:vAlign w:val="center"/>
          </w:tcPr>
          <w:p w14:paraId="07C28DD5">
            <w:pPr>
              <w:widowControl/>
              <w:adjustRightInd w:val="0"/>
              <w:snapToGrid w:val="0"/>
              <w:spacing w:line="0" w:lineRule="atLeast"/>
              <w:jc w:val="center"/>
              <w:rPr>
                <w:szCs w:val="21"/>
              </w:rPr>
            </w:pPr>
          </w:p>
        </w:tc>
        <w:tc>
          <w:tcPr>
            <w:tcW w:w="875" w:type="pct"/>
            <w:vAlign w:val="center"/>
          </w:tcPr>
          <w:p w14:paraId="0C12CD57">
            <w:pPr>
              <w:widowControl/>
              <w:adjustRightInd w:val="0"/>
              <w:snapToGrid w:val="0"/>
              <w:spacing w:line="0" w:lineRule="atLeast"/>
              <w:jc w:val="center"/>
              <w:rPr>
                <w:szCs w:val="21"/>
              </w:rPr>
            </w:pPr>
            <w:r>
              <w:rPr>
                <w:szCs w:val="21"/>
              </w:rPr>
              <w:t>非正常排放1h浓度贡献值</w:t>
            </w:r>
          </w:p>
        </w:tc>
        <w:tc>
          <w:tcPr>
            <w:tcW w:w="961" w:type="pct"/>
            <w:gridSpan w:val="4"/>
            <w:vAlign w:val="center"/>
          </w:tcPr>
          <w:p w14:paraId="5C225958">
            <w:pPr>
              <w:widowControl/>
              <w:adjustRightInd w:val="0"/>
              <w:snapToGrid w:val="0"/>
              <w:spacing w:line="0" w:lineRule="atLeast"/>
              <w:jc w:val="center"/>
              <w:rPr>
                <w:szCs w:val="21"/>
              </w:rPr>
            </w:pPr>
            <w:r>
              <w:rPr>
                <w:szCs w:val="21"/>
              </w:rPr>
              <w:t>非正常持续时长(  )h</w:t>
            </w:r>
          </w:p>
        </w:tc>
        <w:tc>
          <w:tcPr>
            <w:tcW w:w="1143" w:type="pct"/>
            <w:gridSpan w:val="6"/>
            <w:vAlign w:val="center"/>
          </w:tcPr>
          <w:p w14:paraId="72840427">
            <w:pPr>
              <w:widowControl/>
              <w:adjustRightInd w:val="0"/>
              <w:snapToGrid w:val="0"/>
              <w:spacing w:line="0" w:lineRule="atLeast"/>
              <w:jc w:val="center"/>
              <w:rPr>
                <w:szCs w:val="21"/>
              </w:rPr>
            </w:pPr>
            <w:r>
              <w:rPr>
                <w:szCs w:val="21"/>
              </w:rPr>
              <w:t>C非正常最大占标率≤100%□</w:t>
            </w:r>
          </w:p>
        </w:tc>
        <w:tc>
          <w:tcPr>
            <w:tcW w:w="1609" w:type="pct"/>
            <w:gridSpan w:val="5"/>
            <w:vAlign w:val="center"/>
          </w:tcPr>
          <w:p w14:paraId="4D90616A">
            <w:pPr>
              <w:widowControl/>
              <w:adjustRightInd w:val="0"/>
              <w:snapToGrid w:val="0"/>
              <w:spacing w:line="0" w:lineRule="atLeast"/>
              <w:jc w:val="center"/>
              <w:rPr>
                <w:szCs w:val="21"/>
              </w:rPr>
            </w:pPr>
            <w:r>
              <w:rPr>
                <w:szCs w:val="21"/>
              </w:rPr>
              <w:t>C非正常最大占标率＞100%□</w:t>
            </w:r>
          </w:p>
        </w:tc>
      </w:tr>
      <w:tr w14:paraId="17198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trPr>
        <w:tc>
          <w:tcPr>
            <w:tcW w:w="409" w:type="pct"/>
            <w:vMerge w:val="continue"/>
            <w:vAlign w:val="center"/>
          </w:tcPr>
          <w:p w14:paraId="7FD9F9AD">
            <w:pPr>
              <w:widowControl/>
              <w:adjustRightInd w:val="0"/>
              <w:snapToGrid w:val="0"/>
              <w:spacing w:line="0" w:lineRule="atLeast"/>
              <w:jc w:val="center"/>
              <w:rPr>
                <w:szCs w:val="21"/>
              </w:rPr>
            </w:pPr>
          </w:p>
        </w:tc>
        <w:tc>
          <w:tcPr>
            <w:tcW w:w="875" w:type="pct"/>
            <w:vAlign w:val="center"/>
          </w:tcPr>
          <w:p w14:paraId="5778BFA3">
            <w:pPr>
              <w:widowControl/>
              <w:adjustRightInd w:val="0"/>
              <w:snapToGrid w:val="0"/>
              <w:spacing w:line="0" w:lineRule="atLeast"/>
              <w:jc w:val="center"/>
              <w:rPr>
                <w:szCs w:val="21"/>
              </w:rPr>
            </w:pPr>
            <w:r>
              <w:rPr>
                <w:szCs w:val="21"/>
              </w:rPr>
              <w:t>保证率日平均浓度和年均浓度叠加值</w:t>
            </w:r>
          </w:p>
        </w:tc>
        <w:tc>
          <w:tcPr>
            <w:tcW w:w="2105" w:type="pct"/>
            <w:gridSpan w:val="10"/>
            <w:vAlign w:val="center"/>
          </w:tcPr>
          <w:p w14:paraId="4875FAAD">
            <w:pPr>
              <w:widowControl/>
              <w:adjustRightInd w:val="0"/>
              <w:snapToGrid w:val="0"/>
              <w:spacing w:line="0" w:lineRule="atLeast"/>
              <w:jc w:val="center"/>
              <w:rPr>
                <w:szCs w:val="21"/>
              </w:rPr>
            </w:pPr>
            <w:r>
              <w:rPr>
                <w:szCs w:val="21"/>
              </w:rPr>
              <w:t>C叠加达标□</w:t>
            </w:r>
          </w:p>
        </w:tc>
        <w:tc>
          <w:tcPr>
            <w:tcW w:w="1609" w:type="pct"/>
            <w:gridSpan w:val="5"/>
            <w:vAlign w:val="center"/>
          </w:tcPr>
          <w:p w14:paraId="634F79BC">
            <w:pPr>
              <w:widowControl/>
              <w:adjustRightInd w:val="0"/>
              <w:snapToGrid w:val="0"/>
              <w:spacing w:line="0" w:lineRule="atLeast"/>
              <w:jc w:val="center"/>
              <w:rPr>
                <w:szCs w:val="21"/>
              </w:rPr>
            </w:pPr>
            <w:r>
              <w:rPr>
                <w:szCs w:val="21"/>
              </w:rPr>
              <w:t>C叠加不达标□</w:t>
            </w:r>
          </w:p>
        </w:tc>
      </w:tr>
      <w:tr w14:paraId="1999A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continue"/>
            <w:vAlign w:val="center"/>
          </w:tcPr>
          <w:p w14:paraId="7DAA32B1">
            <w:pPr>
              <w:widowControl/>
              <w:adjustRightInd w:val="0"/>
              <w:snapToGrid w:val="0"/>
              <w:spacing w:line="0" w:lineRule="atLeast"/>
              <w:jc w:val="center"/>
              <w:rPr>
                <w:szCs w:val="21"/>
              </w:rPr>
            </w:pPr>
          </w:p>
        </w:tc>
        <w:tc>
          <w:tcPr>
            <w:tcW w:w="875" w:type="pct"/>
            <w:vAlign w:val="center"/>
          </w:tcPr>
          <w:p w14:paraId="60958DB3">
            <w:pPr>
              <w:widowControl/>
              <w:adjustRightInd w:val="0"/>
              <w:snapToGrid w:val="0"/>
              <w:spacing w:line="0" w:lineRule="atLeast"/>
              <w:jc w:val="center"/>
              <w:rPr>
                <w:szCs w:val="21"/>
              </w:rPr>
            </w:pPr>
            <w:r>
              <w:rPr>
                <w:szCs w:val="21"/>
              </w:rPr>
              <w:t>区域环境质量的整体变化情况</w:t>
            </w:r>
          </w:p>
        </w:tc>
        <w:tc>
          <w:tcPr>
            <w:tcW w:w="1674" w:type="pct"/>
            <w:gridSpan w:val="8"/>
            <w:vAlign w:val="center"/>
          </w:tcPr>
          <w:p w14:paraId="41AB966E">
            <w:pPr>
              <w:widowControl/>
              <w:adjustRightInd w:val="0"/>
              <w:snapToGrid w:val="0"/>
              <w:spacing w:line="0" w:lineRule="atLeast"/>
              <w:jc w:val="center"/>
              <w:rPr>
                <w:szCs w:val="21"/>
              </w:rPr>
            </w:pPr>
            <w:r>
              <w:rPr>
                <w:szCs w:val="21"/>
              </w:rPr>
              <w:t>K≤-20%□</w:t>
            </w:r>
          </w:p>
        </w:tc>
        <w:tc>
          <w:tcPr>
            <w:tcW w:w="2040" w:type="pct"/>
            <w:gridSpan w:val="7"/>
            <w:vAlign w:val="center"/>
          </w:tcPr>
          <w:p w14:paraId="4A3715E8">
            <w:pPr>
              <w:widowControl/>
              <w:adjustRightInd w:val="0"/>
              <w:snapToGrid w:val="0"/>
              <w:spacing w:line="0" w:lineRule="atLeast"/>
              <w:jc w:val="center"/>
              <w:rPr>
                <w:szCs w:val="21"/>
              </w:rPr>
            </w:pPr>
            <w:r>
              <w:rPr>
                <w:szCs w:val="21"/>
              </w:rPr>
              <w:t>K＞-20%□</w:t>
            </w:r>
          </w:p>
        </w:tc>
      </w:tr>
      <w:tr w14:paraId="53177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restart"/>
            <w:vAlign w:val="center"/>
          </w:tcPr>
          <w:p w14:paraId="609BB5E6">
            <w:pPr>
              <w:widowControl/>
              <w:adjustRightInd w:val="0"/>
              <w:snapToGrid w:val="0"/>
              <w:spacing w:line="0" w:lineRule="atLeast"/>
              <w:jc w:val="center"/>
              <w:rPr>
                <w:szCs w:val="21"/>
              </w:rPr>
            </w:pPr>
            <w:r>
              <w:rPr>
                <w:szCs w:val="21"/>
              </w:rPr>
              <w:t>环境监测计划</w:t>
            </w:r>
          </w:p>
        </w:tc>
        <w:tc>
          <w:tcPr>
            <w:tcW w:w="875" w:type="pct"/>
            <w:vAlign w:val="center"/>
          </w:tcPr>
          <w:p w14:paraId="472A526C">
            <w:pPr>
              <w:widowControl/>
              <w:adjustRightInd w:val="0"/>
              <w:snapToGrid w:val="0"/>
              <w:spacing w:line="0" w:lineRule="atLeast"/>
              <w:jc w:val="center"/>
              <w:rPr>
                <w:szCs w:val="21"/>
              </w:rPr>
            </w:pPr>
            <w:r>
              <w:rPr>
                <w:szCs w:val="21"/>
              </w:rPr>
              <w:t>污染源监测</w:t>
            </w:r>
          </w:p>
        </w:tc>
        <w:tc>
          <w:tcPr>
            <w:tcW w:w="961" w:type="pct"/>
            <w:gridSpan w:val="4"/>
            <w:vAlign w:val="center"/>
          </w:tcPr>
          <w:p w14:paraId="48C47382">
            <w:pPr>
              <w:widowControl/>
              <w:adjustRightInd w:val="0"/>
              <w:snapToGrid w:val="0"/>
              <w:spacing w:line="0" w:lineRule="atLeast"/>
              <w:jc w:val="center"/>
              <w:rPr>
                <w:szCs w:val="21"/>
              </w:rPr>
            </w:pPr>
            <w:r>
              <w:rPr>
                <w:szCs w:val="21"/>
              </w:rPr>
              <w:t>监测因子：(非甲烷总烃</w:t>
            </w:r>
            <w:r>
              <w:rPr>
                <w:rFonts w:hint="eastAsia"/>
                <w:szCs w:val="21"/>
              </w:rPr>
              <w:t>、甲烷</w:t>
            </w:r>
            <w:r>
              <w:rPr>
                <w:szCs w:val="21"/>
              </w:rPr>
              <w:t>)</w:t>
            </w:r>
          </w:p>
        </w:tc>
        <w:tc>
          <w:tcPr>
            <w:tcW w:w="1895" w:type="pct"/>
            <w:gridSpan w:val="9"/>
            <w:vAlign w:val="center"/>
          </w:tcPr>
          <w:p w14:paraId="48A88CA1">
            <w:pPr>
              <w:widowControl/>
              <w:adjustRightInd w:val="0"/>
              <w:snapToGrid w:val="0"/>
              <w:spacing w:line="0" w:lineRule="atLeast"/>
              <w:jc w:val="center"/>
              <w:rPr>
                <w:szCs w:val="21"/>
              </w:rPr>
            </w:pPr>
            <w:r>
              <w:rPr>
                <w:szCs w:val="21"/>
              </w:rPr>
              <w:t>有组织废气监测</w:t>
            </w:r>
            <w:r>
              <w:rPr>
                <w:szCs w:val="21"/>
              </w:rPr>
              <w:sym w:font="Wingdings" w:char="00A8"/>
            </w:r>
          </w:p>
          <w:p w14:paraId="5F5423B2">
            <w:pPr>
              <w:widowControl/>
              <w:adjustRightInd w:val="0"/>
              <w:snapToGrid w:val="0"/>
              <w:spacing w:line="0" w:lineRule="atLeast"/>
              <w:jc w:val="center"/>
              <w:rPr>
                <w:szCs w:val="21"/>
              </w:rPr>
            </w:pPr>
            <w:r>
              <w:rPr>
                <w:szCs w:val="21"/>
              </w:rPr>
              <w:t>无组织废气监测</w:t>
            </w:r>
            <w:r>
              <w:rPr>
                <w:szCs w:val="21"/>
              </w:rPr>
              <w:sym w:font="Wingdings" w:char="F0FE"/>
            </w:r>
          </w:p>
        </w:tc>
        <w:tc>
          <w:tcPr>
            <w:tcW w:w="857" w:type="pct"/>
            <w:gridSpan w:val="2"/>
            <w:vAlign w:val="center"/>
          </w:tcPr>
          <w:p w14:paraId="7D190BE0">
            <w:pPr>
              <w:widowControl/>
              <w:adjustRightInd w:val="0"/>
              <w:snapToGrid w:val="0"/>
              <w:spacing w:line="0" w:lineRule="atLeast"/>
              <w:jc w:val="center"/>
              <w:rPr>
                <w:szCs w:val="21"/>
              </w:rPr>
            </w:pPr>
            <w:r>
              <w:rPr>
                <w:szCs w:val="21"/>
              </w:rPr>
              <w:t>无监测</w:t>
            </w:r>
            <w:r>
              <w:rPr>
                <w:szCs w:val="21"/>
              </w:rPr>
              <w:sym w:font="Wingdings" w:char="00A8"/>
            </w:r>
          </w:p>
        </w:tc>
      </w:tr>
      <w:tr w14:paraId="77608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continue"/>
            <w:vAlign w:val="center"/>
          </w:tcPr>
          <w:p w14:paraId="50255BE3">
            <w:pPr>
              <w:widowControl/>
              <w:adjustRightInd w:val="0"/>
              <w:snapToGrid w:val="0"/>
              <w:spacing w:line="0" w:lineRule="atLeast"/>
              <w:jc w:val="center"/>
              <w:rPr>
                <w:szCs w:val="21"/>
              </w:rPr>
            </w:pPr>
          </w:p>
        </w:tc>
        <w:tc>
          <w:tcPr>
            <w:tcW w:w="875" w:type="pct"/>
            <w:vAlign w:val="center"/>
          </w:tcPr>
          <w:p w14:paraId="0041DE78">
            <w:pPr>
              <w:widowControl/>
              <w:adjustRightInd w:val="0"/>
              <w:snapToGrid w:val="0"/>
              <w:spacing w:line="0" w:lineRule="atLeast"/>
              <w:jc w:val="center"/>
              <w:rPr>
                <w:szCs w:val="21"/>
              </w:rPr>
            </w:pPr>
            <w:r>
              <w:rPr>
                <w:szCs w:val="21"/>
              </w:rPr>
              <w:t>环境质量监测</w:t>
            </w:r>
          </w:p>
        </w:tc>
        <w:tc>
          <w:tcPr>
            <w:tcW w:w="961" w:type="pct"/>
            <w:gridSpan w:val="4"/>
            <w:vAlign w:val="center"/>
          </w:tcPr>
          <w:p w14:paraId="76C8535C">
            <w:pPr>
              <w:widowControl/>
              <w:adjustRightInd w:val="0"/>
              <w:snapToGrid w:val="0"/>
              <w:spacing w:line="0" w:lineRule="atLeast"/>
              <w:jc w:val="center"/>
              <w:rPr>
                <w:szCs w:val="21"/>
              </w:rPr>
            </w:pPr>
            <w:r>
              <w:rPr>
                <w:szCs w:val="21"/>
              </w:rPr>
              <w:t>监测因子：(/)</w:t>
            </w:r>
          </w:p>
        </w:tc>
        <w:tc>
          <w:tcPr>
            <w:tcW w:w="1143" w:type="pct"/>
            <w:gridSpan w:val="6"/>
            <w:vAlign w:val="center"/>
          </w:tcPr>
          <w:p w14:paraId="1DAA86A8">
            <w:pPr>
              <w:widowControl/>
              <w:adjustRightInd w:val="0"/>
              <w:snapToGrid w:val="0"/>
              <w:spacing w:line="0" w:lineRule="atLeast"/>
              <w:jc w:val="center"/>
              <w:rPr>
                <w:szCs w:val="21"/>
              </w:rPr>
            </w:pPr>
            <w:r>
              <w:rPr>
                <w:szCs w:val="21"/>
              </w:rPr>
              <w:t>监测点位数(/)</w:t>
            </w:r>
          </w:p>
        </w:tc>
        <w:tc>
          <w:tcPr>
            <w:tcW w:w="1609" w:type="pct"/>
            <w:gridSpan w:val="5"/>
            <w:vAlign w:val="center"/>
          </w:tcPr>
          <w:p w14:paraId="5B8B0F6E">
            <w:pPr>
              <w:widowControl/>
              <w:adjustRightInd w:val="0"/>
              <w:snapToGrid w:val="0"/>
              <w:spacing w:line="0" w:lineRule="atLeast"/>
              <w:jc w:val="center"/>
              <w:rPr>
                <w:szCs w:val="21"/>
              </w:rPr>
            </w:pPr>
            <w:r>
              <w:rPr>
                <w:szCs w:val="21"/>
              </w:rPr>
              <w:t>无监测</w:t>
            </w:r>
            <w:r>
              <w:rPr>
                <w:szCs w:val="21"/>
              </w:rPr>
              <w:sym w:font="Wingdings" w:char="00FE"/>
            </w:r>
          </w:p>
        </w:tc>
      </w:tr>
      <w:tr w14:paraId="565C0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restart"/>
            <w:vAlign w:val="center"/>
          </w:tcPr>
          <w:p w14:paraId="3333FB4F">
            <w:pPr>
              <w:widowControl/>
              <w:adjustRightInd w:val="0"/>
              <w:snapToGrid w:val="0"/>
              <w:spacing w:line="0" w:lineRule="atLeast"/>
              <w:jc w:val="center"/>
              <w:rPr>
                <w:szCs w:val="21"/>
              </w:rPr>
            </w:pPr>
            <w:r>
              <w:rPr>
                <w:szCs w:val="21"/>
              </w:rPr>
              <w:t>评价</w:t>
            </w:r>
          </w:p>
          <w:p w14:paraId="55B37ADC">
            <w:pPr>
              <w:widowControl/>
              <w:adjustRightInd w:val="0"/>
              <w:snapToGrid w:val="0"/>
              <w:spacing w:line="0" w:lineRule="atLeast"/>
              <w:jc w:val="center"/>
              <w:rPr>
                <w:szCs w:val="21"/>
              </w:rPr>
            </w:pPr>
            <w:r>
              <w:rPr>
                <w:szCs w:val="21"/>
              </w:rPr>
              <w:t>结论</w:t>
            </w:r>
          </w:p>
        </w:tc>
        <w:tc>
          <w:tcPr>
            <w:tcW w:w="875" w:type="pct"/>
            <w:vAlign w:val="center"/>
          </w:tcPr>
          <w:p w14:paraId="7767ED62">
            <w:pPr>
              <w:widowControl/>
              <w:adjustRightInd w:val="0"/>
              <w:snapToGrid w:val="0"/>
              <w:spacing w:line="0" w:lineRule="atLeast"/>
              <w:jc w:val="center"/>
              <w:rPr>
                <w:szCs w:val="21"/>
              </w:rPr>
            </w:pPr>
            <w:r>
              <w:rPr>
                <w:szCs w:val="21"/>
              </w:rPr>
              <w:t>环境影响</w:t>
            </w:r>
          </w:p>
        </w:tc>
        <w:tc>
          <w:tcPr>
            <w:tcW w:w="3714" w:type="pct"/>
            <w:gridSpan w:val="15"/>
            <w:vAlign w:val="center"/>
          </w:tcPr>
          <w:p w14:paraId="0C55DA50">
            <w:pPr>
              <w:widowControl/>
              <w:adjustRightInd w:val="0"/>
              <w:snapToGrid w:val="0"/>
              <w:spacing w:line="0" w:lineRule="atLeast"/>
              <w:jc w:val="center"/>
              <w:rPr>
                <w:szCs w:val="21"/>
              </w:rPr>
            </w:pPr>
            <w:r>
              <w:rPr>
                <w:szCs w:val="21"/>
              </w:rPr>
              <w:t>可以接受</w:t>
            </w:r>
            <w:r>
              <w:rPr>
                <w:szCs w:val="21"/>
              </w:rPr>
              <w:sym w:font="Wingdings" w:char="F0FE"/>
            </w:r>
            <w:r>
              <w:rPr>
                <w:szCs w:val="21"/>
              </w:rPr>
              <w:t xml:space="preserve">      不可以接受□</w:t>
            </w:r>
          </w:p>
        </w:tc>
      </w:tr>
      <w:tr w14:paraId="72DE6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continue"/>
            <w:vAlign w:val="center"/>
          </w:tcPr>
          <w:p w14:paraId="178F6BEE">
            <w:pPr>
              <w:widowControl/>
              <w:adjustRightInd w:val="0"/>
              <w:snapToGrid w:val="0"/>
              <w:spacing w:line="0" w:lineRule="atLeast"/>
              <w:jc w:val="center"/>
              <w:rPr>
                <w:szCs w:val="21"/>
              </w:rPr>
            </w:pPr>
          </w:p>
        </w:tc>
        <w:tc>
          <w:tcPr>
            <w:tcW w:w="875" w:type="pct"/>
            <w:vAlign w:val="center"/>
          </w:tcPr>
          <w:p w14:paraId="442C87BF">
            <w:pPr>
              <w:widowControl/>
              <w:adjustRightInd w:val="0"/>
              <w:snapToGrid w:val="0"/>
              <w:spacing w:line="0" w:lineRule="atLeast"/>
              <w:jc w:val="center"/>
              <w:rPr>
                <w:szCs w:val="21"/>
              </w:rPr>
            </w:pPr>
            <w:r>
              <w:rPr>
                <w:szCs w:val="21"/>
              </w:rPr>
              <w:t>大气防护距离</w:t>
            </w:r>
          </w:p>
        </w:tc>
        <w:tc>
          <w:tcPr>
            <w:tcW w:w="3714" w:type="pct"/>
            <w:gridSpan w:val="15"/>
            <w:vAlign w:val="center"/>
          </w:tcPr>
          <w:p w14:paraId="1AE97D6D">
            <w:pPr>
              <w:widowControl/>
              <w:adjustRightInd w:val="0"/>
              <w:snapToGrid w:val="0"/>
              <w:spacing w:line="0" w:lineRule="atLeast"/>
              <w:jc w:val="center"/>
              <w:rPr>
                <w:szCs w:val="21"/>
              </w:rPr>
            </w:pPr>
            <w:r>
              <w:rPr>
                <w:szCs w:val="21"/>
              </w:rPr>
              <w:t>距(  )厂界最远(   )米</w:t>
            </w:r>
          </w:p>
        </w:tc>
      </w:tr>
      <w:tr w14:paraId="3094A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 w:type="pct"/>
            <w:vMerge w:val="continue"/>
            <w:vAlign w:val="center"/>
          </w:tcPr>
          <w:p w14:paraId="42469C1C">
            <w:pPr>
              <w:widowControl/>
              <w:adjustRightInd w:val="0"/>
              <w:snapToGrid w:val="0"/>
              <w:spacing w:line="0" w:lineRule="atLeast"/>
              <w:jc w:val="center"/>
              <w:rPr>
                <w:szCs w:val="21"/>
              </w:rPr>
            </w:pPr>
          </w:p>
        </w:tc>
        <w:tc>
          <w:tcPr>
            <w:tcW w:w="875" w:type="pct"/>
            <w:vAlign w:val="center"/>
          </w:tcPr>
          <w:p w14:paraId="35B7EFB5">
            <w:pPr>
              <w:widowControl/>
              <w:adjustRightInd w:val="0"/>
              <w:snapToGrid w:val="0"/>
              <w:spacing w:line="0" w:lineRule="atLeast"/>
              <w:jc w:val="center"/>
              <w:rPr>
                <w:szCs w:val="21"/>
              </w:rPr>
            </w:pPr>
            <w:r>
              <w:rPr>
                <w:szCs w:val="21"/>
              </w:rPr>
              <w:t>污染源年排放量</w:t>
            </w:r>
          </w:p>
        </w:tc>
        <w:tc>
          <w:tcPr>
            <w:tcW w:w="961" w:type="pct"/>
            <w:gridSpan w:val="4"/>
            <w:vAlign w:val="center"/>
          </w:tcPr>
          <w:p w14:paraId="0140D4C6">
            <w:pPr>
              <w:widowControl/>
              <w:adjustRightInd w:val="0"/>
              <w:snapToGrid w:val="0"/>
              <w:spacing w:line="0" w:lineRule="atLeast"/>
              <w:jc w:val="center"/>
              <w:rPr>
                <w:szCs w:val="21"/>
              </w:rPr>
            </w:pPr>
            <w:r>
              <w:rPr>
                <w:szCs w:val="21"/>
              </w:rPr>
              <w:t>SO</w:t>
            </w:r>
            <w:r>
              <w:rPr>
                <w:szCs w:val="21"/>
                <w:vertAlign w:val="subscript"/>
              </w:rPr>
              <w:t>2</w:t>
            </w:r>
            <w:r>
              <w:rPr>
                <w:szCs w:val="21"/>
              </w:rPr>
              <w:t>：</w:t>
            </w:r>
          </w:p>
          <w:p w14:paraId="73EDDC08">
            <w:pPr>
              <w:widowControl/>
              <w:adjustRightInd w:val="0"/>
              <w:snapToGrid w:val="0"/>
              <w:spacing w:line="0" w:lineRule="atLeast"/>
              <w:jc w:val="center"/>
              <w:rPr>
                <w:szCs w:val="21"/>
              </w:rPr>
            </w:pPr>
            <w:r>
              <w:rPr>
                <w:szCs w:val="21"/>
              </w:rPr>
              <w:t>(/)t/a</w:t>
            </w:r>
          </w:p>
        </w:tc>
        <w:tc>
          <w:tcPr>
            <w:tcW w:w="1143" w:type="pct"/>
            <w:gridSpan w:val="6"/>
            <w:vAlign w:val="center"/>
          </w:tcPr>
          <w:p w14:paraId="7C78D2A4">
            <w:pPr>
              <w:widowControl/>
              <w:adjustRightInd w:val="0"/>
              <w:snapToGrid w:val="0"/>
              <w:spacing w:line="0" w:lineRule="atLeast"/>
              <w:jc w:val="center"/>
              <w:rPr>
                <w:szCs w:val="21"/>
              </w:rPr>
            </w:pPr>
            <w:r>
              <w:rPr>
                <w:szCs w:val="21"/>
              </w:rPr>
              <w:t>NOx：</w:t>
            </w:r>
          </w:p>
          <w:p w14:paraId="77F07A55">
            <w:pPr>
              <w:widowControl/>
              <w:adjustRightInd w:val="0"/>
              <w:snapToGrid w:val="0"/>
              <w:spacing w:line="0" w:lineRule="atLeast"/>
              <w:jc w:val="center"/>
              <w:rPr>
                <w:szCs w:val="21"/>
              </w:rPr>
            </w:pPr>
            <w:r>
              <w:rPr>
                <w:szCs w:val="21"/>
              </w:rPr>
              <w:t>(/)t/a</w:t>
            </w:r>
          </w:p>
        </w:tc>
        <w:tc>
          <w:tcPr>
            <w:tcW w:w="751" w:type="pct"/>
            <w:gridSpan w:val="3"/>
            <w:vAlign w:val="center"/>
          </w:tcPr>
          <w:p w14:paraId="53D2564A">
            <w:pPr>
              <w:widowControl/>
              <w:adjustRightInd w:val="0"/>
              <w:snapToGrid w:val="0"/>
              <w:spacing w:line="0" w:lineRule="atLeast"/>
              <w:jc w:val="center"/>
              <w:rPr>
                <w:szCs w:val="21"/>
              </w:rPr>
            </w:pPr>
            <w:r>
              <w:rPr>
                <w:szCs w:val="21"/>
              </w:rPr>
              <w:t>颗粒物：</w:t>
            </w:r>
          </w:p>
          <w:p w14:paraId="7DFCA771">
            <w:pPr>
              <w:widowControl/>
              <w:adjustRightInd w:val="0"/>
              <w:snapToGrid w:val="0"/>
              <w:spacing w:line="0" w:lineRule="atLeast"/>
              <w:jc w:val="center"/>
              <w:rPr>
                <w:szCs w:val="21"/>
              </w:rPr>
            </w:pPr>
            <w:r>
              <w:rPr>
                <w:szCs w:val="21"/>
              </w:rPr>
              <w:t>(/)t/a</w:t>
            </w:r>
          </w:p>
        </w:tc>
        <w:tc>
          <w:tcPr>
            <w:tcW w:w="857" w:type="pct"/>
            <w:gridSpan w:val="2"/>
            <w:vAlign w:val="center"/>
          </w:tcPr>
          <w:p w14:paraId="7B91FB49">
            <w:pPr>
              <w:widowControl/>
              <w:adjustRightInd w:val="0"/>
              <w:snapToGrid w:val="0"/>
              <w:spacing w:line="0" w:lineRule="atLeast"/>
              <w:jc w:val="center"/>
              <w:rPr>
                <w:szCs w:val="21"/>
              </w:rPr>
            </w:pPr>
            <w:r>
              <w:rPr>
                <w:rFonts w:hint="eastAsia"/>
                <w:szCs w:val="21"/>
              </w:rPr>
              <w:t>非甲烷总烃</w:t>
            </w:r>
            <w:r>
              <w:rPr>
                <w:szCs w:val="21"/>
              </w:rPr>
              <w:t>：</w:t>
            </w:r>
          </w:p>
          <w:p w14:paraId="58DA05D3">
            <w:pPr>
              <w:widowControl/>
              <w:adjustRightInd w:val="0"/>
              <w:snapToGrid w:val="0"/>
              <w:spacing w:line="0" w:lineRule="atLeast"/>
              <w:jc w:val="center"/>
              <w:rPr>
                <w:szCs w:val="21"/>
              </w:rPr>
            </w:pPr>
            <w:r>
              <w:rPr>
                <w:i/>
                <w:iCs/>
                <w:color w:val="auto"/>
                <w:szCs w:val="21"/>
                <w:highlight w:val="none"/>
                <w:u w:val="single"/>
              </w:rPr>
              <w:t>(</w:t>
            </w:r>
            <w:r>
              <w:rPr>
                <w:rFonts w:hint="eastAsia"/>
                <w:i/>
                <w:iCs/>
                <w:color w:val="auto"/>
                <w:szCs w:val="21"/>
                <w:highlight w:val="none"/>
                <w:u w:val="single"/>
                <w:lang w:val="en-US" w:eastAsia="zh-CN"/>
              </w:rPr>
              <w:t>0.025</w:t>
            </w:r>
            <w:r>
              <w:rPr>
                <w:i/>
                <w:iCs/>
                <w:color w:val="auto"/>
                <w:szCs w:val="21"/>
                <w:highlight w:val="none"/>
                <w:u w:val="single"/>
              </w:rPr>
              <w:t>)t/a</w:t>
            </w:r>
          </w:p>
        </w:tc>
      </w:tr>
      <w:tr w14:paraId="0EF76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17"/>
            <w:vAlign w:val="center"/>
          </w:tcPr>
          <w:p w14:paraId="3F9A7A1A">
            <w:pPr>
              <w:widowControl/>
              <w:adjustRightInd w:val="0"/>
              <w:snapToGrid w:val="0"/>
              <w:spacing w:line="0" w:lineRule="atLeast"/>
              <w:jc w:val="center"/>
              <w:rPr>
                <w:szCs w:val="21"/>
              </w:rPr>
            </w:pPr>
            <w:r>
              <w:rPr>
                <w:szCs w:val="21"/>
              </w:rPr>
              <w:t>注：“□”为勾选项，填“√”，“(  )”为填写项</w:t>
            </w:r>
          </w:p>
        </w:tc>
      </w:tr>
    </w:tbl>
    <w:p w14:paraId="658E18F4">
      <w:pPr>
        <w:pStyle w:val="234"/>
      </w:pPr>
      <w:bookmarkStart w:id="302" w:name="_Toc53935638"/>
      <w:bookmarkStart w:id="303" w:name="_Toc24671"/>
      <w:bookmarkStart w:id="304" w:name="_Toc53935636"/>
      <w:bookmarkStart w:id="305" w:name="_Toc38114366"/>
    </w:p>
    <w:p w14:paraId="16090F86">
      <w:pPr>
        <w:rPr>
          <w:rFonts w:eastAsia="黑体"/>
          <w:sz w:val="22"/>
          <w:szCs w:val="22"/>
        </w:rPr>
      </w:pPr>
      <w:r>
        <w:rPr>
          <w:rFonts w:eastAsia="黑体"/>
          <w:sz w:val="22"/>
          <w:szCs w:val="22"/>
        </w:rPr>
        <w:br w:type="page"/>
      </w:r>
    </w:p>
    <w:p w14:paraId="68A5924A">
      <w:pPr>
        <w:outlineLvl w:val="0"/>
        <w:rPr>
          <w:rFonts w:eastAsia="黑体"/>
          <w:sz w:val="22"/>
          <w:szCs w:val="22"/>
        </w:rPr>
      </w:pPr>
      <w:bookmarkStart w:id="306" w:name="_Toc28397"/>
      <w:r>
        <w:rPr>
          <w:rFonts w:eastAsia="黑体"/>
          <w:sz w:val="22"/>
          <w:szCs w:val="22"/>
        </w:rPr>
        <w:t>附表2 地表水环境影响评价自查表</w:t>
      </w:r>
      <w:bookmarkEnd w:id="302"/>
      <w:bookmarkEnd w:id="303"/>
      <w:bookmarkEnd w:id="306"/>
    </w:p>
    <w:tbl>
      <w:tblPr>
        <w:tblStyle w:val="139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
        <w:gridCol w:w="1448"/>
        <w:gridCol w:w="1351"/>
        <w:gridCol w:w="487"/>
        <w:gridCol w:w="109"/>
        <w:gridCol w:w="193"/>
        <w:gridCol w:w="850"/>
        <w:gridCol w:w="605"/>
        <w:gridCol w:w="503"/>
        <w:gridCol w:w="349"/>
        <w:gridCol w:w="11"/>
        <w:gridCol w:w="845"/>
        <w:gridCol w:w="93"/>
        <w:gridCol w:w="741"/>
        <w:gridCol w:w="925"/>
      </w:tblGrid>
      <w:tr w14:paraId="0BBA2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54" w:type="pct"/>
            <w:gridSpan w:val="2"/>
            <w:vAlign w:val="center"/>
          </w:tcPr>
          <w:p w14:paraId="3F3A9091">
            <w:pPr>
              <w:widowControl/>
              <w:jc w:val="center"/>
              <w:rPr>
                <w:szCs w:val="21"/>
              </w:rPr>
            </w:pPr>
            <w:r>
              <w:rPr>
                <w:szCs w:val="21"/>
              </w:rPr>
              <w:t>工作内容</w:t>
            </w:r>
          </w:p>
        </w:tc>
        <w:tc>
          <w:tcPr>
            <w:tcW w:w="3946" w:type="pct"/>
            <w:gridSpan w:val="13"/>
            <w:vAlign w:val="center"/>
          </w:tcPr>
          <w:p w14:paraId="051C4104">
            <w:pPr>
              <w:widowControl/>
              <w:jc w:val="center"/>
              <w:rPr>
                <w:szCs w:val="21"/>
              </w:rPr>
            </w:pPr>
            <w:r>
              <w:rPr>
                <w:rFonts w:hint="eastAsia"/>
              </w:rPr>
              <w:t>潜江—韶关输气管道28号阀室新增下载点改扩建项目</w:t>
            </w:r>
          </w:p>
        </w:tc>
      </w:tr>
      <w:tr w14:paraId="5F088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restart"/>
            <w:vAlign w:val="center"/>
          </w:tcPr>
          <w:p w14:paraId="02A1E527">
            <w:pPr>
              <w:widowControl/>
              <w:jc w:val="center"/>
              <w:rPr>
                <w:szCs w:val="21"/>
              </w:rPr>
            </w:pPr>
            <w:r>
              <w:rPr>
                <w:szCs w:val="21"/>
              </w:rPr>
              <w:t>影响识别</w:t>
            </w:r>
          </w:p>
        </w:tc>
        <w:tc>
          <w:tcPr>
            <w:tcW w:w="810" w:type="pct"/>
            <w:vAlign w:val="center"/>
          </w:tcPr>
          <w:p w14:paraId="07EDCEF0">
            <w:pPr>
              <w:widowControl/>
              <w:jc w:val="center"/>
              <w:rPr>
                <w:szCs w:val="21"/>
              </w:rPr>
            </w:pPr>
            <w:r>
              <w:rPr>
                <w:szCs w:val="21"/>
              </w:rPr>
              <w:t>影响类型</w:t>
            </w:r>
          </w:p>
        </w:tc>
        <w:tc>
          <w:tcPr>
            <w:tcW w:w="3946" w:type="pct"/>
            <w:gridSpan w:val="13"/>
            <w:vAlign w:val="center"/>
          </w:tcPr>
          <w:p w14:paraId="24236CFD">
            <w:pPr>
              <w:widowControl/>
              <w:jc w:val="left"/>
              <w:rPr>
                <w:rFonts w:eastAsia="仿宋"/>
                <w:szCs w:val="21"/>
              </w:rPr>
            </w:pPr>
            <w:r>
              <w:rPr>
                <w:szCs w:val="21"/>
              </w:rPr>
              <w:t xml:space="preserve">水污染影响型 </w:t>
            </w:r>
            <w:r>
              <w:rPr>
                <w:szCs w:val="21"/>
              </w:rPr>
              <w:sym w:font="Wingdings 2" w:char="0052"/>
            </w:r>
            <w:r>
              <w:rPr>
                <w:szCs w:val="21"/>
              </w:rPr>
              <w:t xml:space="preserve">；水文要素影响型 </w:t>
            </w:r>
            <w:r>
              <w:rPr>
                <w:szCs w:val="21"/>
              </w:rPr>
              <w:sym w:font="Wingdings 2" w:char="00A3"/>
            </w:r>
          </w:p>
        </w:tc>
      </w:tr>
      <w:tr w14:paraId="00E0C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1AD6CA6B">
            <w:pPr>
              <w:widowControl/>
              <w:jc w:val="center"/>
              <w:rPr>
                <w:szCs w:val="21"/>
              </w:rPr>
            </w:pPr>
          </w:p>
        </w:tc>
        <w:tc>
          <w:tcPr>
            <w:tcW w:w="810" w:type="pct"/>
            <w:vAlign w:val="center"/>
          </w:tcPr>
          <w:p w14:paraId="3274E815">
            <w:pPr>
              <w:widowControl/>
              <w:jc w:val="center"/>
              <w:rPr>
                <w:szCs w:val="21"/>
              </w:rPr>
            </w:pPr>
            <w:r>
              <w:rPr>
                <w:szCs w:val="21"/>
              </w:rPr>
              <w:t>水环境保护目标</w:t>
            </w:r>
          </w:p>
        </w:tc>
        <w:tc>
          <w:tcPr>
            <w:tcW w:w="3946" w:type="pct"/>
            <w:gridSpan w:val="13"/>
            <w:vAlign w:val="center"/>
          </w:tcPr>
          <w:p w14:paraId="2382D212">
            <w:pPr>
              <w:widowControl/>
              <w:jc w:val="left"/>
              <w:rPr>
                <w:szCs w:val="21"/>
              </w:rPr>
            </w:pPr>
            <w:r>
              <w:rPr>
                <w:szCs w:val="21"/>
              </w:rPr>
              <w:t>饮用水水源保护区</w:t>
            </w:r>
            <w:r>
              <w:rPr>
                <w:szCs w:val="21"/>
              </w:rPr>
              <w:sym w:font="Wingdings 2" w:char="00A3"/>
            </w:r>
            <w:r>
              <w:rPr>
                <w:szCs w:val="21"/>
              </w:rPr>
              <w:t>；饮用水取水</w:t>
            </w:r>
            <w:r>
              <w:rPr>
                <w:szCs w:val="21"/>
              </w:rPr>
              <w:sym w:font="Wingdings 2" w:char="00A3"/>
            </w:r>
            <w:r>
              <w:rPr>
                <w:szCs w:val="21"/>
              </w:rPr>
              <w:t>；涉水的自然保护区</w:t>
            </w:r>
            <w:r>
              <w:rPr>
                <w:szCs w:val="21"/>
              </w:rPr>
              <w:sym w:font="Wingdings 2" w:char="00A3"/>
            </w:r>
            <w:r>
              <w:rPr>
                <w:szCs w:val="21"/>
              </w:rPr>
              <w:t xml:space="preserve">；重要湿地 </w:t>
            </w:r>
            <w:r>
              <w:rPr>
                <w:szCs w:val="21"/>
              </w:rPr>
              <w:sym w:font="Wingdings 2" w:char="00A3"/>
            </w:r>
            <w:r>
              <w:rPr>
                <w:szCs w:val="21"/>
              </w:rPr>
              <w:t>；</w:t>
            </w:r>
          </w:p>
          <w:p w14:paraId="5C8590EB">
            <w:pPr>
              <w:widowControl/>
              <w:jc w:val="left"/>
              <w:rPr>
                <w:szCs w:val="21"/>
              </w:rPr>
            </w:pPr>
            <w:r>
              <w:rPr>
                <w:szCs w:val="21"/>
              </w:rPr>
              <w:t>重点保护与珍稀水生生物的栖息地</w:t>
            </w:r>
            <w:r>
              <w:rPr>
                <w:szCs w:val="21"/>
              </w:rPr>
              <w:sym w:font="Wingdings 2" w:char="00A3"/>
            </w:r>
            <w:r>
              <w:rPr>
                <w:szCs w:val="21"/>
              </w:rPr>
              <w:t>；重要水生生物的自然产卵地及索耳场、越冬场和洄游通道、天然渔场等水体；涉水的风景名胜区</w:t>
            </w:r>
            <w:r>
              <w:rPr>
                <w:szCs w:val="21"/>
              </w:rPr>
              <w:sym w:font="Wingdings 2" w:char="00A3"/>
            </w:r>
            <w:r>
              <w:rPr>
                <w:szCs w:val="21"/>
              </w:rPr>
              <w:t>；其他</w:t>
            </w:r>
            <w:r>
              <w:rPr>
                <w:szCs w:val="21"/>
              </w:rPr>
              <w:sym w:font="Wingdings 2" w:char="0052"/>
            </w:r>
          </w:p>
        </w:tc>
      </w:tr>
      <w:tr w14:paraId="1C87E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2F4A7D41">
            <w:pPr>
              <w:widowControl/>
              <w:jc w:val="center"/>
              <w:rPr>
                <w:szCs w:val="21"/>
              </w:rPr>
            </w:pPr>
          </w:p>
        </w:tc>
        <w:tc>
          <w:tcPr>
            <w:tcW w:w="810" w:type="pct"/>
            <w:vMerge w:val="restart"/>
            <w:vAlign w:val="center"/>
          </w:tcPr>
          <w:p w14:paraId="0B2E46A4">
            <w:pPr>
              <w:widowControl/>
              <w:jc w:val="center"/>
              <w:rPr>
                <w:szCs w:val="21"/>
              </w:rPr>
            </w:pPr>
            <w:r>
              <w:rPr>
                <w:szCs w:val="21"/>
              </w:rPr>
              <w:t>影响途径</w:t>
            </w:r>
          </w:p>
        </w:tc>
        <w:tc>
          <w:tcPr>
            <w:tcW w:w="2009" w:type="pct"/>
            <w:gridSpan w:val="6"/>
            <w:vAlign w:val="center"/>
          </w:tcPr>
          <w:p w14:paraId="4F2B4BE4">
            <w:pPr>
              <w:widowControl/>
              <w:jc w:val="center"/>
              <w:rPr>
                <w:szCs w:val="21"/>
              </w:rPr>
            </w:pPr>
            <w:r>
              <w:rPr>
                <w:szCs w:val="21"/>
              </w:rPr>
              <w:t>水污染影响型</w:t>
            </w:r>
          </w:p>
        </w:tc>
        <w:tc>
          <w:tcPr>
            <w:tcW w:w="1937" w:type="pct"/>
            <w:gridSpan w:val="7"/>
            <w:vAlign w:val="center"/>
          </w:tcPr>
          <w:p w14:paraId="263EE34F">
            <w:pPr>
              <w:widowControl/>
              <w:jc w:val="center"/>
              <w:rPr>
                <w:szCs w:val="21"/>
              </w:rPr>
            </w:pPr>
            <w:r>
              <w:rPr>
                <w:szCs w:val="21"/>
              </w:rPr>
              <w:t>水文要素影响型</w:t>
            </w:r>
          </w:p>
        </w:tc>
      </w:tr>
      <w:tr w14:paraId="421B7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3A18DB94">
            <w:pPr>
              <w:widowControl/>
              <w:jc w:val="center"/>
              <w:rPr>
                <w:szCs w:val="21"/>
              </w:rPr>
            </w:pPr>
          </w:p>
        </w:tc>
        <w:tc>
          <w:tcPr>
            <w:tcW w:w="810" w:type="pct"/>
            <w:vMerge w:val="continue"/>
            <w:vAlign w:val="center"/>
          </w:tcPr>
          <w:p w14:paraId="16AF7106">
            <w:pPr>
              <w:widowControl/>
              <w:jc w:val="center"/>
              <w:rPr>
                <w:szCs w:val="21"/>
              </w:rPr>
            </w:pPr>
          </w:p>
        </w:tc>
        <w:tc>
          <w:tcPr>
            <w:tcW w:w="2009" w:type="pct"/>
            <w:gridSpan w:val="6"/>
            <w:vAlign w:val="center"/>
          </w:tcPr>
          <w:p w14:paraId="46CBD00C">
            <w:pPr>
              <w:widowControl/>
              <w:jc w:val="left"/>
              <w:rPr>
                <w:szCs w:val="21"/>
              </w:rPr>
            </w:pPr>
            <w:r>
              <w:rPr>
                <w:szCs w:val="21"/>
              </w:rPr>
              <w:t>直接排放</w:t>
            </w:r>
            <w:r>
              <w:rPr>
                <w:szCs w:val="21"/>
              </w:rPr>
              <w:sym w:font="Wingdings 2" w:char="00A3"/>
            </w:r>
            <w:r>
              <w:rPr>
                <w:szCs w:val="21"/>
              </w:rPr>
              <w:t>；间接排放</w:t>
            </w:r>
            <w:r>
              <w:rPr>
                <w:szCs w:val="21"/>
              </w:rPr>
              <w:sym w:font="Wingdings 2" w:char="00A3"/>
            </w:r>
            <w:r>
              <w:rPr>
                <w:szCs w:val="21"/>
              </w:rPr>
              <w:t>；其他</w:t>
            </w:r>
            <w:r>
              <w:rPr>
                <w:szCs w:val="21"/>
              </w:rPr>
              <w:sym w:font="Wingdings 2" w:char="0052"/>
            </w:r>
          </w:p>
        </w:tc>
        <w:tc>
          <w:tcPr>
            <w:tcW w:w="1937" w:type="pct"/>
            <w:gridSpan w:val="7"/>
            <w:vAlign w:val="center"/>
          </w:tcPr>
          <w:p w14:paraId="35B4D8B1">
            <w:pPr>
              <w:widowControl/>
              <w:jc w:val="left"/>
              <w:rPr>
                <w:szCs w:val="21"/>
              </w:rPr>
            </w:pPr>
            <w:r>
              <w:rPr>
                <w:szCs w:val="21"/>
              </w:rPr>
              <w:t>水温</w:t>
            </w:r>
            <w:r>
              <w:rPr>
                <w:szCs w:val="21"/>
              </w:rPr>
              <w:sym w:font="Wingdings 2" w:char="00A3"/>
            </w:r>
            <w:r>
              <w:rPr>
                <w:szCs w:val="21"/>
              </w:rPr>
              <w:t>；径流</w:t>
            </w:r>
            <w:r>
              <w:rPr>
                <w:szCs w:val="21"/>
              </w:rPr>
              <w:sym w:font="Wingdings 2" w:char="00A3"/>
            </w:r>
            <w:r>
              <w:rPr>
                <w:szCs w:val="21"/>
              </w:rPr>
              <w:t>；水域面积</w:t>
            </w:r>
            <w:r>
              <w:rPr>
                <w:szCs w:val="21"/>
              </w:rPr>
              <w:sym w:font="Wingdings 2" w:char="00A3"/>
            </w:r>
          </w:p>
        </w:tc>
      </w:tr>
      <w:tr w14:paraId="3C961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42103AD1">
            <w:pPr>
              <w:widowControl/>
              <w:jc w:val="center"/>
              <w:rPr>
                <w:szCs w:val="21"/>
              </w:rPr>
            </w:pPr>
          </w:p>
        </w:tc>
        <w:tc>
          <w:tcPr>
            <w:tcW w:w="810" w:type="pct"/>
            <w:vAlign w:val="center"/>
          </w:tcPr>
          <w:p w14:paraId="605BA011">
            <w:pPr>
              <w:widowControl/>
              <w:jc w:val="center"/>
              <w:rPr>
                <w:szCs w:val="21"/>
              </w:rPr>
            </w:pPr>
            <w:r>
              <w:rPr>
                <w:szCs w:val="21"/>
              </w:rPr>
              <w:t>影响因子</w:t>
            </w:r>
          </w:p>
        </w:tc>
        <w:tc>
          <w:tcPr>
            <w:tcW w:w="2009" w:type="pct"/>
            <w:gridSpan w:val="6"/>
            <w:vAlign w:val="center"/>
          </w:tcPr>
          <w:p w14:paraId="407DDD45">
            <w:pPr>
              <w:widowControl/>
              <w:jc w:val="left"/>
              <w:rPr>
                <w:szCs w:val="21"/>
              </w:rPr>
            </w:pPr>
            <w:r>
              <w:rPr>
                <w:szCs w:val="21"/>
              </w:rPr>
              <w:t>持久性污染物</w:t>
            </w:r>
            <w:r>
              <w:rPr>
                <w:szCs w:val="21"/>
              </w:rPr>
              <w:sym w:font="Wingdings 2" w:char="00A3"/>
            </w:r>
            <w:r>
              <w:rPr>
                <w:szCs w:val="21"/>
              </w:rPr>
              <w:t>；有毒有害污染物</w:t>
            </w:r>
            <w:r>
              <w:rPr>
                <w:szCs w:val="21"/>
              </w:rPr>
              <w:sym w:font="Wingdings 2" w:char="00A3"/>
            </w:r>
            <w:r>
              <w:rPr>
                <w:szCs w:val="21"/>
              </w:rPr>
              <w:t>；非持久性污染物</w:t>
            </w:r>
            <w:r>
              <w:rPr>
                <w:szCs w:val="21"/>
              </w:rPr>
              <w:sym w:font="Wingdings 2" w:char="0052"/>
            </w:r>
            <w:r>
              <w:rPr>
                <w:szCs w:val="21"/>
              </w:rPr>
              <w:t>；pH值</w:t>
            </w:r>
            <w:r>
              <w:rPr>
                <w:szCs w:val="21"/>
              </w:rPr>
              <w:sym w:font="Wingdings 2" w:char="00A3"/>
            </w:r>
            <w:r>
              <w:rPr>
                <w:szCs w:val="21"/>
              </w:rPr>
              <w:t>；热污染</w:t>
            </w:r>
            <w:r>
              <w:rPr>
                <w:szCs w:val="21"/>
              </w:rPr>
              <w:sym w:font="Wingdings 2" w:char="00A3"/>
            </w:r>
            <w:r>
              <w:rPr>
                <w:szCs w:val="21"/>
              </w:rPr>
              <w:t>；富营养化</w:t>
            </w:r>
            <w:r>
              <w:rPr>
                <w:szCs w:val="21"/>
              </w:rPr>
              <w:sym w:font="Wingdings 2" w:char="00A3"/>
            </w:r>
            <w:r>
              <w:rPr>
                <w:szCs w:val="21"/>
              </w:rPr>
              <w:t>；其他</w:t>
            </w:r>
            <w:r>
              <w:rPr>
                <w:szCs w:val="21"/>
              </w:rPr>
              <w:sym w:font="Wingdings 2" w:char="00A3"/>
            </w:r>
          </w:p>
        </w:tc>
        <w:tc>
          <w:tcPr>
            <w:tcW w:w="1937" w:type="pct"/>
            <w:gridSpan w:val="7"/>
            <w:vAlign w:val="center"/>
          </w:tcPr>
          <w:p w14:paraId="72F96458">
            <w:pPr>
              <w:widowControl/>
              <w:jc w:val="left"/>
              <w:rPr>
                <w:szCs w:val="21"/>
              </w:rPr>
            </w:pPr>
            <w:r>
              <w:rPr>
                <w:szCs w:val="21"/>
              </w:rPr>
              <w:t xml:space="preserve">水温 </w:t>
            </w:r>
            <w:r>
              <w:rPr>
                <w:szCs w:val="21"/>
              </w:rPr>
              <w:sym w:font="Wingdings 2" w:char="00A3"/>
            </w:r>
            <w:r>
              <w:rPr>
                <w:szCs w:val="21"/>
              </w:rPr>
              <w:t xml:space="preserve">；水位(水深) </w:t>
            </w:r>
            <w:r>
              <w:rPr>
                <w:szCs w:val="21"/>
              </w:rPr>
              <w:sym w:font="Wingdings 2" w:char="00A3"/>
            </w:r>
            <w:r>
              <w:rPr>
                <w:szCs w:val="21"/>
              </w:rPr>
              <w:t xml:space="preserve">；流速 </w:t>
            </w:r>
            <w:r>
              <w:rPr>
                <w:szCs w:val="21"/>
              </w:rPr>
              <w:sym w:font="Wingdings 2" w:char="00A3"/>
            </w:r>
            <w:r>
              <w:rPr>
                <w:szCs w:val="21"/>
              </w:rPr>
              <w:t xml:space="preserve">；流量 </w:t>
            </w:r>
            <w:r>
              <w:rPr>
                <w:szCs w:val="21"/>
              </w:rPr>
              <w:sym w:font="Wingdings 2" w:char="00A3"/>
            </w:r>
            <w:r>
              <w:rPr>
                <w:szCs w:val="21"/>
              </w:rPr>
              <w:t xml:space="preserve">；其他 </w:t>
            </w:r>
            <w:r>
              <w:rPr>
                <w:szCs w:val="21"/>
              </w:rPr>
              <w:sym w:font="Wingdings 2" w:char="00A3"/>
            </w:r>
          </w:p>
        </w:tc>
      </w:tr>
      <w:tr w14:paraId="65193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54" w:type="pct"/>
            <w:gridSpan w:val="2"/>
            <w:vMerge w:val="restart"/>
            <w:vAlign w:val="center"/>
          </w:tcPr>
          <w:p w14:paraId="47F94472">
            <w:pPr>
              <w:widowControl/>
              <w:jc w:val="center"/>
              <w:rPr>
                <w:szCs w:val="21"/>
              </w:rPr>
            </w:pPr>
            <w:r>
              <w:rPr>
                <w:szCs w:val="21"/>
              </w:rPr>
              <w:t>评价等级</w:t>
            </w:r>
          </w:p>
        </w:tc>
        <w:tc>
          <w:tcPr>
            <w:tcW w:w="2009" w:type="pct"/>
            <w:gridSpan w:val="6"/>
            <w:vAlign w:val="center"/>
          </w:tcPr>
          <w:p w14:paraId="43A9BA8F">
            <w:pPr>
              <w:widowControl/>
              <w:jc w:val="center"/>
              <w:rPr>
                <w:szCs w:val="21"/>
              </w:rPr>
            </w:pPr>
            <w:r>
              <w:rPr>
                <w:szCs w:val="21"/>
              </w:rPr>
              <w:t>水污染影响型</w:t>
            </w:r>
          </w:p>
        </w:tc>
        <w:tc>
          <w:tcPr>
            <w:tcW w:w="1937" w:type="pct"/>
            <w:gridSpan w:val="7"/>
            <w:vAlign w:val="center"/>
          </w:tcPr>
          <w:p w14:paraId="4EEB1C40">
            <w:pPr>
              <w:widowControl/>
              <w:jc w:val="center"/>
              <w:rPr>
                <w:szCs w:val="21"/>
              </w:rPr>
            </w:pPr>
            <w:r>
              <w:rPr>
                <w:szCs w:val="21"/>
              </w:rPr>
              <w:t>水文要素影响型</w:t>
            </w:r>
          </w:p>
        </w:tc>
      </w:tr>
      <w:tr w14:paraId="1328F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54" w:type="pct"/>
            <w:gridSpan w:val="2"/>
            <w:vMerge w:val="continue"/>
            <w:vAlign w:val="center"/>
          </w:tcPr>
          <w:p w14:paraId="0735FC6C">
            <w:pPr>
              <w:widowControl/>
              <w:jc w:val="center"/>
              <w:rPr>
                <w:szCs w:val="21"/>
              </w:rPr>
            </w:pPr>
          </w:p>
        </w:tc>
        <w:tc>
          <w:tcPr>
            <w:tcW w:w="2009" w:type="pct"/>
            <w:gridSpan w:val="6"/>
            <w:vAlign w:val="center"/>
          </w:tcPr>
          <w:p w14:paraId="06CE7879">
            <w:pPr>
              <w:widowControl/>
              <w:jc w:val="left"/>
              <w:rPr>
                <w:szCs w:val="21"/>
              </w:rPr>
            </w:pPr>
            <w:r>
              <w:rPr>
                <w:szCs w:val="21"/>
              </w:rPr>
              <w:t>一级</w:t>
            </w:r>
            <w:r>
              <w:rPr>
                <w:szCs w:val="21"/>
              </w:rPr>
              <w:sym w:font="Wingdings 2" w:char="00A3"/>
            </w:r>
            <w:r>
              <w:rPr>
                <w:szCs w:val="21"/>
              </w:rPr>
              <w:t>；二级</w:t>
            </w:r>
            <w:r>
              <w:rPr>
                <w:szCs w:val="21"/>
              </w:rPr>
              <w:sym w:font="Wingdings 2" w:char="00A3"/>
            </w:r>
            <w:r>
              <w:rPr>
                <w:szCs w:val="21"/>
              </w:rPr>
              <w:t>；三级A</w:t>
            </w:r>
            <w:r>
              <w:rPr>
                <w:szCs w:val="21"/>
              </w:rPr>
              <w:sym w:font="Wingdings 2" w:char="00A3"/>
            </w:r>
            <w:r>
              <w:rPr>
                <w:szCs w:val="21"/>
              </w:rPr>
              <w:t xml:space="preserve">；三级B </w:t>
            </w:r>
            <w:r>
              <w:rPr>
                <w:szCs w:val="21"/>
              </w:rPr>
              <w:sym w:font="Wingdings 2" w:char="0052"/>
            </w:r>
          </w:p>
        </w:tc>
        <w:tc>
          <w:tcPr>
            <w:tcW w:w="1937" w:type="pct"/>
            <w:gridSpan w:val="7"/>
            <w:vAlign w:val="center"/>
          </w:tcPr>
          <w:p w14:paraId="6786FFF7">
            <w:pPr>
              <w:widowControl/>
              <w:jc w:val="left"/>
              <w:rPr>
                <w:szCs w:val="21"/>
              </w:rPr>
            </w:pPr>
            <w:r>
              <w:rPr>
                <w:szCs w:val="21"/>
              </w:rPr>
              <w:t xml:space="preserve">一级 </w:t>
            </w:r>
            <w:r>
              <w:rPr>
                <w:szCs w:val="21"/>
              </w:rPr>
              <w:sym w:font="Wingdings 2" w:char="00A3"/>
            </w:r>
            <w:r>
              <w:rPr>
                <w:szCs w:val="21"/>
              </w:rPr>
              <w:t xml:space="preserve">；二级 </w:t>
            </w:r>
            <w:r>
              <w:rPr>
                <w:szCs w:val="21"/>
              </w:rPr>
              <w:sym w:font="Wingdings 2" w:char="00A3"/>
            </w:r>
            <w:r>
              <w:rPr>
                <w:szCs w:val="21"/>
              </w:rPr>
              <w:t xml:space="preserve">；三级 </w:t>
            </w:r>
            <w:r>
              <w:rPr>
                <w:szCs w:val="21"/>
              </w:rPr>
              <w:sym w:font="Wingdings 2" w:char="00A3"/>
            </w:r>
          </w:p>
        </w:tc>
      </w:tr>
      <w:tr w14:paraId="0E090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restart"/>
            <w:vAlign w:val="center"/>
          </w:tcPr>
          <w:p w14:paraId="2FD4D9A0">
            <w:pPr>
              <w:widowControl/>
              <w:jc w:val="center"/>
              <w:rPr>
                <w:szCs w:val="21"/>
              </w:rPr>
            </w:pPr>
            <w:r>
              <w:rPr>
                <w:szCs w:val="21"/>
              </w:rPr>
              <w:t>现状调查</w:t>
            </w:r>
          </w:p>
        </w:tc>
        <w:tc>
          <w:tcPr>
            <w:tcW w:w="810" w:type="pct"/>
            <w:vMerge w:val="restart"/>
            <w:vAlign w:val="center"/>
          </w:tcPr>
          <w:p w14:paraId="6596AE9A">
            <w:pPr>
              <w:widowControl/>
              <w:jc w:val="center"/>
              <w:rPr>
                <w:szCs w:val="21"/>
              </w:rPr>
            </w:pPr>
            <w:r>
              <w:rPr>
                <w:szCs w:val="21"/>
              </w:rPr>
              <w:t>区域污染源</w:t>
            </w:r>
          </w:p>
        </w:tc>
        <w:tc>
          <w:tcPr>
            <w:tcW w:w="2009" w:type="pct"/>
            <w:gridSpan w:val="6"/>
            <w:vAlign w:val="center"/>
          </w:tcPr>
          <w:p w14:paraId="323DEA80">
            <w:pPr>
              <w:widowControl/>
              <w:jc w:val="center"/>
              <w:rPr>
                <w:szCs w:val="21"/>
              </w:rPr>
            </w:pPr>
            <w:r>
              <w:rPr>
                <w:szCs w:val="21"/>
              </w:rPr>
              <w:t>调查项目</w:t>
            </w:r>
          </w:p>
        </w:tc>
        <w:tc>
          <w:tcPr>
            <w:tcW w:w="1937" w:type="pct"/>
            <w:gridSpan w:val="7"/>
            <w:vAlign w:val="center"/>
          </w:tcPr>
          <w:p w14:paraId="0701947D">
            <w:pPr>
              <w:widowControl/>
              <w:jc w:val="center"/>
              <w:rPr>
                <w:szCs w:val="21"/>
              </w:rPr>
            </w:pPr>
            <w:r>
              <w:rPr>
                <w:szCs w:val="21"/>
              </w:rPr>
              <w:t>数据来源</w:t>
            </w:r>
          </w:p>
        </w:tc>
      </w:tr>
      <w:tr w14:paraId="7EE60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74A93565">
            <w:pPr>
              <w:widowControl/>
              <w:jc w:val="center"/>
              <w:rPr>
                <w:szCs w:val="21"/>
              </w:rPr>
            </w:pPr>
          </w:p>
        </w:tc>
        <w:tc>
          <w:tcPr>
            <w:tcW w:w="810" w:type="pct"/>
            <w:vMerge w:val="continue"/>
            <w:vAlign w:val="center"/>
          </w:tcPr>
          <w:p w14:paraId="23F7B536">
            <w:pPr>
              <w:widowControl/>
              <w:jc w:val="center"/>
              <w:rPr>
                <w:szCs w:val="21"/>
              </w:rPr>
            </w:pPr>
          </w:p>
        </w:tc>
        <w:tc>
          <w:tcPr>
            <w:tcW w:w="1196" w:type="pct"/>
            <w:gridSpan w:val="4"/>
            <w:vAlign w:val="center"/>
          </w:tcPr>
          <w:p w14:paraId="7A356E23">
            <w:pPr>
              <w:widowControl/>
              <w:jc w:val="left"/>
              <w:rPr>
                <w:szCs w:val="21"/>
              </w:rPr>
            </w:pPr>
            <w:r>
              <w:rPr>
                <w:szCs w:val="21"/>
              </w:rPr>
              <w:t xml:space="preserve">已建 </w:t>
            </w:r>
            <w:r>
              <w:rPr>
                <w:szCs w:val="21"/>
              </w:rPr>
              <w:sym w:font="Wingdings 2" w:char="00A3"/>
            </w:r>
            <w:r>
              <w:rPr>
                <w:szCs w:val="21"/>
              </w:rPr>
              <w:t xml:space="preserve">；在建 </w:t>
            </w:r>
            <w:r>
              <w:rPr>
                <w:szCs w:val="21"/>
              </w:rPr>
              <w:sym w:font="Wingdings 2" w:char="00A3"/>
            </w:r>
            <w:r>
              <w:rPr>
                <w:szCs w:val="21"/>
              </w:rPr>
              <w:t>；拟建</w:t>
            </w:r>
            <w:r>
              <w:rPr>
                <w:szCs w:val="21"/>
              </w:rPr>
              <w:sym w:font="Wingdings 2" w:char="00A3"/>
            </w:r>
            <w:r>
              <w:rPr>
                <w:szCs w:val="21"/>
              </w:rPr>
              <w:t>；</w:t>
            </w:r>
          </w:p>
          <w:p w14:paraId="03CE56C5">
            <w:pPr>
              <w:widowControl/>
              <w:jc w:val="left"/>
              <w:rPr>
                <w:szCs w:val="21"/>
              </w:rPr>
            </w:pPr>
            <w:r>
              <w:rPr>
                <w:szCs w:val="21"/>
              </w:rPr>
              <w:t xml:space="preserve">其他 </w:t>
            </w:r>
            <w:r>
              <w:rPr>
                <w:szCs w:val="21"/>
              </w:rPr>
              <w:sym w:font="Wingdings 2" w:char="00A3"/>
            </w:r>
            <w:r>
              <w:rPr>
                <w:szCs w:val="21"/>
              </w:rPr>
              <w:t>；</w:t>
            </w:r>
          </w:p>
        </w:tc>
        <w:tc>
          <w:tcPr>
            <w:tcW w:w="813" w:type="pct"/>
            <w:gridSpan w:val="2"/>
            <w:vAlign w:val="center"/>
          </w:tcPr>
          <w:p w14:paraId="05B47344">
            <w:pPr>
              <w:widowControl/>
              <w:jc w:val="left"/>
              <w:rPr>
                <w:szCs w:val="21"/>
              </w:rPr>
            </w:pPr>
            <w:r>
              <w:rPr>
                <w:szCs w:val="21"/>
              </w:rPr>
              <w:t xml:space="preserve">拟替代的污染源 </w:t>
            </w:r>
            <w:r>
              <w:rPr>
                <w:szCs w:val="21"/>
              </w:rPr>
              <w:sym w:font="Wingdings 2" w:char="00A3"/>
            </w:r>
          </w:p>
        </w:tc>
        <w:tc>
          <w:tcPr>
            <w:tcW w:w="1937" w:type="pct"/>
            <w:gridSpan w:val="7"/>
            <w:vAlign w:val="center"/>
          </w:tcPr>
          <w:p w14:paraId="133B4D79">
            <w:pPr>
              <w:widowControl/>
              <w:jc w:val="left"/>
              <w:rPr>
                <w:szCs w:val="21"/>
              </w:rPr>
            </w:pPr>
            <w:r>
              <w:rPr>
                <w:szCs w:val="21"/>
              </w:rPr>
              <w:t xml:space="preserve">排污许可证 </w:t>
            </w:r>
            <w:r>
              <w:rPr>
                <w:szCs w:val="21"/>
              </w:rPr>
              <w:sym w:font="Wingdings 2" w:char="00A3"/>
            </w:r>
            <w:r>
              <w:rPr>
                <w:szCs w:val="21"/>
              </w:rPr>
              <w:t xml:space="preserve">；环评 </w:t>
            </w:r>
            <w:r>
              <w:rPr>
                <w:szCs w:val="21"/>
              </w:rPr>
              <w:sym w:font="Wingdings 2" w:char="00A3"/>
            </w:r>
            <w:r>
              <w:rPr>
                <w:szCs w:val="21"/>
              </w:rPr>
              <w:t xml:space="preserve">；环保验收 </w:t>
            </w:r>
            <w:r>
              <w:rPr>
                <w:szCs w:val="21"/>
              </w:rPr>
              <w:sym w:font="Wingdings 2" w:char="00A3"/>
            </w:r>
            <w:r>
              <w:rPr>
                <w:szCs w:val="21"/>
              </w:rPr>
              <w:t xml:space="preserve">；即有实测 </w:t>
            </w:r>
            <w:r>
              <w:rPr>
                <w:szCs w:val="21"/>
              </w:rPr>
              <w:sym w:font="Wingdings 2" w:char="00A3"/>
            </w:r>
            <w:r>
              <w:rPr>
                <w:szCs w:val="21"/>
              </w:rPr>
              <w:t xml:space="preserve">；现场监测 </w:t>
            </w:r>
            <w:r>
              <w:rPr>
                <w:szCs w:val="21"/>
              </w:rPr>
              <w:sym w:font="Wingdings 2" w:char="00A3"/>
            </w:r>
            <w:r>
              <w:rPr>
                <w:szCs w:val="21"/>
              </w:rPr>
              <w:t xml:space="preserve">；入河排放口数据 </w:t>
            </w:r>
            <w:r>
              <w:rPr>
                <w:szCs w:val="21"/>
              </w:rPr>
              <w:sym w:font="Wingdings 2" w:char="00A3"/>
            </w:r>
            <w:r>
              <w:rPr>
                <w:szCs w:val="21"/>
              </w:rPr>
              <w:t xml:space="preserve">；其他 </w:t>
            </w:r>
            <w:r>
              <w:rPr>
                <w:szCs w:val="21"/>
              </w:rPr>
              <w:sym w:font="Wingdings 2" w:char="00A3"/>
            </w:r>
          </w:p>
        </w:tc>
      </w:tr>
      <w:tr w14:paraId="0CB78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2D4CA540">
            <w:pPr>
              <w:widowControl/>
              <w:jc w:val="center"/>
              <w:rPr>
                <w:szCs w:val="21"/>
              </w:rPr>
            </w:pPr>
          </w:p>
        </w:tc>
        <w:tc>
          <w:tcPr>
            <w:tcW w:w="810" w:type="pct"/>
            <w:vMerge w:val="restart"/>
            <w:vAlign w:val="center"/>
          </w:tcPr>
          <w:p w14:paraId="23569B45">
            <w:pPr>
              <w:widowControl/>
              <w:jc w:val="center"/>
              <w:rPr>
                <w:szCs w:val="21"/>
              </w:rPr>
            </w:pPr>
            <w:r>
              <w:rPr>
                <w:szCs w:val="21"/>
              </w:rPr>
              <w:t>受影响水体水环境质量</w:t>
            </w:r>
          </w:p>
        </w:tc>
        <w:tc>
          <w:tcPr>
            <w:tcW w:w="2009" w:type="pct"/>
            <w:gridSpan w:val="6"/>
            <w:vAlign w:val="center"/>
          </w:tcPr>
          <w:p w14:paraId="6EB24B0F">
            <w:pPr>
              <w:widowControl/>
              <w:jc w:val="center"/>
              <w:rPr>
                <w:szCs w:val="21"/>
              </w:rPr>
            </w:pPr>
            <w:r>
              <w:rPr>
                <w:szCs w:val="21"/>
              </w:rPr>
              <w:t>调查时期</w:t>
            </w:r>
          </w:p>
        </w:tc>
        <w:tc>
          <w:tcPr>
            <w:tcW w:w="1937" w:type="pct"/>
            <w:gridSpan w:val="7"/>
            <w:vAlign w:val="center"/>
          </w:tcPr>
          <w:p w14:paraId="0EFB2D7C">
            <w:pPr>
              <w:widowControl/>
              <w:jc w:val="center"/>
              <w:rPr>
                <w:szCs w:val="21"/>
              </w:rPr>
            </w:pPr>
            <w:r>
              <w:rPr>
                <w:szCs w:val="21"/>
              </w:rPr>
              <w:t>数据来源</w:t>
            </w:r>
          </w:p>
        </w:tc>
      </w:tr>
      <w:tr w14:paraId="6F3AB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1457A2AB">
            <w:pPr>
              <w:widowControl/>
              <w:jc w:val="center"/>
              <w:rPr>
                <w:szCs w:val="21"/>
              </w:rPr>
            </w:pPr>
          </w:p>
        </w:tc>
        <w:tc>
          <w:tcPr>
            <w:tcW w:w="810" w:type="pct"/>
            <w:vMerge w:val="continue"/>
            <w:vAlign w:val="center"/>
          </w:tcPr>
          <w:p w14:paraId="76C5B83B">
            <w:pPr>
              <w:widowControl/>
              <w:jc w:val="center"/>
              <w:rPr>
                <w:szCs w:val="21"/>
              </w:rPr>
            </w:pPr>
          </w:p>
        </w:tc>
        <w:tc>
          <w:tcPr>
            <w:tcW w:w="2009" w:type="pct"/>
            <w:gridSpan w:val="6"/>
            <w:vAlign w:val="center"/>
          </w:tcPr>
          <w:p w14:paraId="0A0125FF">
            <w:pPr>
              <w:widowControl/>
              <w:jc w:val="left"/>
              <w:rPr>
                <w:szCs w:val="21"/>
              </w:rPr>
            </w:pPr>
            <w:r>
              <w:rPr>
                <w:szCs w:val="21"/>
              </w:rPr>
              <w:t xml:space="preserve">丰水期 </w:t>
            </w:r>
            <w:r>
              <w:rPr>
                <w:szCs w:val="21"/>
              </w:rPr>
              <w:sym w:font="Wingdings 2" w:char="0052"/>
            </w:r>
            <w:r>
              <w:rPr>
                <w:szCs w:val="21"/>
              </w:rPr>
              <w:t xml:space="preserve">；平水期 </w:t>
            </w:r>
            <w:r>
              <w:rPr>
                <w:szCs w:val="21"/>
              </w:rPr>
              <w:sym w:font="Wingdings 2" w:char="00A3"/>
            </w:r>
            <w:r>
              <w:rPr>
                <w:szCs w:val="21"/>
              </w:rPr>
              <w:t xml:space="preserve">；枯水期 </w:t>
            </w:r>
            <w:r>
              <w:rPr>
                <w:szCs w:val="21"/>
              </w:rPr>
              <w:sym w:font="Wingdings 2" w:char="00A3"/>
            </w:r>
            <w:r>
              <w:rPr>
                <w:szCs w:val="21"/>
              </w:rPr>
              <w:t xml:space="preserve">；冰封期 </w:t>
            </w:r>
            <w:r>
              <w:rPr>
                <w:szCs w:val="21"/>
              </w:rPr>
              <w:sym w:font="Wingdings 2" w:char="00A3"/>
            </w:r>
            <w:r>
              <w:rPr>
                <w:szCs w:val="21"/>
              </w:rPr>
              <w:t>；</w:t>
            </w:r>
          </w:p>
          <w:p w14:paraId="53ADE115">
            <w:pPr>
              <w:widowControl/>
              <w:jc w:val="left"/>
              <w:rPr>
                <w:szCs w:val="21"/>
              </w:rPr>
            </w:pPr>
            <w:r>
              <w:rPr>
                <w:szCs w:val="21"/>
              </w:rPr>
              <w:t xml:space="preserve">春季 </w:t>
            </w:r>
            <w:r>
              <w:rPr>
                <w:szCs w:val="21"/>
              </w:rPr>
              <w:sym w:font="Wingdings 2" w:char="00A3"/>
            </w:r>
            <w:r>
              <w:rPr>
                <w:szCs w:val="21"/>
              </w:rPr>
              <w:t xml:space="preserve">；夏季 </w:t>
            </w:r>
            <w:r>
              <w:rPr>
                <w:szCs w:val="21"/>
              </w:rPr>
              <w:sym w:font="Wingdings 2" w:char="00A3"/>
            </w:r>
            <w:r>
              <w:rPr>
                <w:szCs w:val="21"/>
              </w:rPr>
              <w:t xml:space="preserve">；秋季 </w:t>
            </w:r>
            <w:r>
              <w:rPr>
                <w:szCs w:val="21"/>
              </w:rPr>
              <w:sym w:font="Wingdings 2" w:char="00A3"/>
            </w:r>
            <w:r>
              <w:rPr>
                <w:szCs w:val="21"/>
              </w:rPr>
              <w:t xml:space="preserve">；冬季 </w:t>
            </w:r>
            <w:r>
              <w:rPr>
                <w:szCs w:val="21"/>
              </w:rPr>
              <w:sym w:font="Wingdings 2" w:char="00A3"/>
            </w:r>
          </w:p>
        </w:tc>
        <w:tc>
          <w:tcPr>
            <w:tcW w:w="1937" w:type="pct"/>
            <w:gridSpan w:val="7"/>
            <w:vAlign w:val="center"/>
          </w:tcPr>
          <w:p w14:paraId="30053D38">
            <w:pPr>
              <w:widowControl/>
              <w:jc w:val="left"/>
              <w:rPr>
                <w:szCs w:val="21"/>
              </w:rPr>
            </w:pPr>
            <w:r>
              <w:rPr>
                <w:szCs w:val="21"/>
              </w:rPr>
              <w:t>生态环境保护主管部门</w:t>
            </w:r>
            <w:r>
              <w:rPr>
                <w:szCs w:val="21"/>
              </w:rPr>
              <w:sym w:font="Wingdings 2" w:char="00A3"/>
            </w:r>
            <w:r>
              <w:rPr>
                <w:szCs w:val="21"/>
              </w:rPr>
              <w:t>；补充监测</w:t>
            </w:r>
            <w:r>
              <w:rPr>
                <w:szCs w:val="21"/>
              </w:rPr>
              <w:sym w:font="Wingdings 2" w:char="0052"/>
            </w:r>
            <w:r>
              <w:rPr>
                <w:szCs w:val="21"/>
              </w:rPr>
              <w:t xml:space="preserve">；其他 </w:t>
            </w:r>
            <w:r>
              <w:rPr>
                <w:szCs w:val="21"/>
              </w:rPr>
              <w:sym w:font="Wingdings 2" w:char="00A3"/>
            </w:r>
          </w:p>
        </w:tc>
      </w:tr>
      <w:tr w14:paraId="3359D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3CC7BE8D">
            <w:pPr>
              <w:widowControl/>
              <w:jc w:val="center"/>
              <w:rPr>
                <w:szCs w:val="21"/>
              </w:rPr>
            </w:pPr>
          </w:p>
        </w:tc>
        <w:tc>
          <w:tcPr>
            <w:tcW w:w="810" w:type="pct"/>
            <w:vAlign w:val="center"/>
          </w:tcPr>
          <w:p w14:paraId="32E9E6B1">
            <w:pPr>
              <w:widowControl/>
              <w:jc w:val="center"/>
              <w:rPr>
                <w:szCs w:val="21"/>
              </w:rPr>
            </w:pPr>
            <w:r>
              <w:rPr>
                <w:szCs w:val="21"/>
              </w:rPr>
              <w:t>区域水资源开发利用状况</w:t>
            </w:r>
          </w:p>
        </w:tc>
        <w:tc>
          <w:tcPr>
            <w:tcW w:w="3946" w:type="pct"/>
            <w:gridSpan w:val="13"/>
            <w:vAlign w:val="center"/>
          </w:tcPr>
          <w:p w14:paraId="1B89CD4C">
            <w:pPr>
              <w:widowControl/>
              <w:jc w:val="left"/>
              <w:rPr>
                <w:szCs w:val="21"/>
              </w:rPr>
            </w:pPr>
            <w:r>
              <w:rPr>
                <w:szCs w:val="21"/>
              </w:rPr>
              <w:t xml:space="preserve">未开发 </w:t>
            </w:r>
            <w:r>
              <w:rPr>
                <w:szCs w:val="21"/>
              </w:rPr>
              <w:sym w:font="Wingdings 2" w:char="00A3"/>
            </w:r>
            <w:r>
              <w:rPr>
                <w:szCs w:val="21"/>
              </w:rPr>
              <w:t xml:space="preserve">；开发量40%以下 </w:t>
            </w:r>
            <w:r>
              <w:rPr>
                <w:szCs w:val="21"/>
              </w:rPr>
              <w:sym w:font="Wingdings 2" w:char="00A3"/>
            </w:r>
            <w:r>
              <w:rPr>
                <w:szCs w:val="21"/>
              </w:rPr>
              <w:t xml:space="preserve">；发量40%以上 </w:t>
            </w:r>
            <w:r>
              <w:rPr>
                <w:szCs w:val="21"/>
              </w:rPr>
              <w:sym w:font="Wingdings 2" w:char="00A3"/>
            </w:r>
          </w:p>
        </w:tc>
      </w:tr>
      <w:tr w14:paraId="59F9E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6CE2C7D8">
            <w:pPr>
              <w:widowControl/>
              <w:jc w:val="center"/>
              <w:rPr>
                <w:szCs w:val="21"/>
              </w:rPr>
            </w:pPr>
          </w:p>
        </w:tc>
        <w:tc>
          <w:tcPr>
            <w:tcW w:w="810" w:type="pct"/>
            <w:vMerge w:val="restart"/>
            <w:vAlign w:val="center"/>
          </w:tcPr>
          <w:p w14:paraId="1381A4C0">
            <w:pPr>
              <w:widowControl/>
              <w:jc w:val="center"/>
              <w:rPr>
                <w:szCs w:val="21"/>
              </w:rPr>
            </w:pPr>
            <w:r>
              <w:rPr>
                <w:szCs w:val="21"/>
              </w:rPr>
              <w:t>水文情势调查</w:t>
            </w:r>
          </w:p>
        </w:tc>
        <w:tc>
          <w:tcPr>
            <w:tcW w:w="2009" w:type="pct"/>
            <w:gridSpan w:val="6"/>
            <w:vAlign w:val="center"/>
          </w:tcPr>
          <w:p w14:paraId="6B61BFFF">
            <w:pPr>
              <w:widowControl/>
              <w:jc w:val="center"/>
              <w:rPr>
                <w:szCs w:val="21"/>
              </w:rPr>
            </w:pPr>
            <w:r>
              <w:rPr>
                <w:szCs w:val="21"/>
              </w:rPr>
              <w:t>调查时期</w:t>
            </w:r>
          </w:p>
        </w:tc>
        <w:tc>
          <w:tcPr>
            <w:tcW w:w="1937" w:type="pct"/>
            <w:gridSpan w:val="7"/>
            <w:vAlign w:val="center"/>
          </w:tcPr>
          <w:p w14:paraId="001418EF">
            <w:pPr>
              <w:widowControl/>
              <w:jc w:val="center"/>
              <w:rPr>
                <w:szCs w:val="21"/>
              </w:rPr>
            </w:pPr>
            <w:r>
              <w:rPr>
                <w:szCs w:val="21"/>
              </w:rPr>
              <w:t>数据来源</w:t>
            </w:r>
          </w:p>
        </w:tc>
      </w:tr>
      <w:tr w14:paraId="5995B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20BC87CD">
            <w:pPr>
              <w:widowControl/>
              <w:jc w:val="center"/>
              <w:rPr>
                <w:szCs w:val="21"/>
              </w:rPr>
            </w:pPr>
          </w:p>
        </w:tc>
        <w:tc>
          <w:tcPr>
            <w:tcW w:w="810" w:type="pct"/>
            <w:vMerge w:val="continue"/>
            <w:vAlign w:val="center"/>
          </w:tcPr>
          <w:p w14:paraId="12357281">
            <w:pPr>
              <w:widowControl/>
              <w:jc w:val="center"/>
              <w:rPr>
                <w:szCs w:val="21"/>
              </w:rPr>
            </w:pPr>
          </w:p>
        </w:tc>
        <w:tc>
          <w:tcPr>
            <w:tcW w:w="2009" w:type="pct"/>
            <w:gridSpan w:val="6"/>
            <w:vAlign w:val="center"/>
          </w:tcPr>
          <w:p w14:paraId="5FF3B114">
            <w:pPr>
              <w:widowControl/>
              <w:jc w:val="left"/>
              <w:rPr>
                <w:szCs w:val="21"/>
              </w:rPr>
            </w:pPr>
            <w:r>
              <w:rPr>
                <w:szCs w:val="21"/>
              </w:rPr>
              <w:t>丰水期</w:t>
            </w:r>
            <w:r>
              <w:rPr>
                <w:szCs w:val="21"/>
              </w:rPr>
              <w:sym w:font="Wingdings 2" w:char="00A3"/>
            </w:r>
            <w:r>
              <w:rPr>
                <w:szCs w:val="21"/>
              </w:rPr>
              <w:t>；平水期</w:t>
            </w:r>
            <w:r>
              <w:rPr>
                <w:szCs w:val="21"/>
              </w:rPr>
              <w:sym w:font="Wingdings 2" w:char="00A3"/>
            </w:r>
            <w:r>
              <w:rPr>
                <w:szCs w:val="21"/>
              </w:rPr>
              <w:t>；枯水期</w:t>
            </w:r>
            <w:r>
              <w:rPr>
                <w:szCs w:val="21"/>
              </w:rPr>
              <w:sym w:font="Wingdings 2" w:char="00A3"/>
            </w:r>
            <w:r>
              <w:rPr>
                <w:szCs w:val="21"/>
              </w:rPr>
              <w:t>；冰封期</w:t>
            </w:r>
            <w:r>
              <w:rPr>
                <w:szCs w:val="21"/>
              </w:rPr>
              <w:sym w:font="Wingdings 2" w:char="00A3"/>
            </w:r>
            <w:r>
              <w:rPr>
                <w:szCs w:val="21"/>
              </w:rPr>
              <w:t>；春季</w:t>
            </w:r>
            <w:r>
              <w:rPr>
                <w:szCs w:val="21"/>
              </w:rPr>
              <w:sym w:font="Wingdings 2" w:char="00A3"/>
            </w:r>
            <w:r>
              <w:rPr>
                <w:szCs w:val="21"/>
              </w:rPr>
              <w:t>；夏季</w:t>
            </w:r>
            <w:r>
              <w:rPr>
                <w:szCs w:val="21"/>
              </w:rPr>
              <w:sym w:font="Wingdings 2" w:char="00A3"/>
            </w:r>
            <w:r>
              <w:rPr>
                <w:szCs w:val="21"/>
              </w:rPr>
              <w:t>；秋季</w:t>
            </w:r>
            <w:r>
              <w:rPr>
                <w:szCs w:val="21"/>
              </w:rPr>
              <w:sym w:font="Wingdings 2" w:char="00A3"/>
            </w:r>
            <w:r>
              <w:rPr>
                <w:szCs w:val="21"/>
              </w:rPr>
              <w:t>；冬季</w:t>
            </w:r>
            <w:r>
              <w:rPr>
                <w:szCs w:val="21"/>
              </w:rPr>
              <w:sym w:font="Wingdings 2" w:char="00A3"/>
            </w:r>
          </w:p>
        </w:tc>
        <w:tc>
          <w:tcPr>
            <w:tcW w:w="1937" w:type="pct"/>
            <w:gridSpan w:val="7"/>
            <w:vAlign w:val="center"/>
          </w:tcPr>
          <w:p w14:paraId="7A46E5F2">
            <w:pPr>
              <w:widowControl/>
              <w:jc w:val="left"/>
              <w:rPr>
                <w:szCs w:val="21"/>
              </w:rPr>
            </w:pPr>
            <w:r>
              <w:rPr>
                <w:szCs w:val="21"/>
              </w:rPr>
              <w:t>水行政主管部门</w:t>
            </w:r>
            <w:r>
              <w:rPr>
                <w:szCs w:val="21"/>
              </w:rPr>
              <w:sym w:font="Wingdings 2" w:char="00A3"/>
            </w:r>
            <w:r>
              <w:rPr>
                <w:szCs w:val="21"/>
              </w:rPr>
              <w:t>；补充监测</w:t>
            </w:r>
            <w:r>
              <w:rPr>
                <w:szCs w:val="21"/>
              </w:rPr>
              <w:sym w:font="Wingdings 2" w:char="00A3"/>
            </w:r>
            <w:r>
              <w:rPr>
                <w:szCs w:val="21"/>
              </w:rPr>
              <w:t>；其他</w:t>
            </w:r>
            <w:r>
              <w:rPr>
                <w:szCs w:val="21"/>
              </w:rPr>
              <w:sym w:font="Wingdings 2" w:char="00A3"/>
            </w:r>
          </w:p>
        </w:tc>
      </w:tr>
      <w:tr w14:paraId="374D6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00A2BC8B">
            <w:pPr>
              <w:widowControl/>
              <w:jc w:val="center"/>
              <w:rPr>
                <w:szCs w:val="21"/>
              </w:rPr>
            </w:pPr>
          </w:p>
        </w:tc>
        <w:tc>
          <w:tcPr>
            <w:tcW w:w="810" w:type="pct"/>
            <w:vMerge w:val="restart"/>
            <w:vAlign w:val="center"/>
          </w:tcPr>
          <w:p w14:paraId="40C8AF73">
            <w:pPr>
              <w:widowControl/>
              <w:jc w:val="center"/>
              <w:rPr>
                <w:szCs w:val="21"/>
              </w:rPr>
            </w:pPr>
            <w:r>
              <w:rPr>
                <w:szCs w:val="21"/>
              </w:rPr>
              <w:t>补充监测</w:t>
            </w:r>
          </w:p>
        </w:tc>
        <w:tc>
          <w:tcPr>
            <w:tcW w:w="2009" w:type="pct"/>
            <w:gridSpan w:val="6"/>
            <w:vAlign w:val="center"/>
          </w:tcPr>
          <w:p w14:paraId="3CD33F25">
            <w:pPr>
              <w:widowControl/>
              <w:jc w:val="center"/>
              <w:rPr>
                <w:szCs w:val="21"/>
              </w:rPr>
            </w:pPr>
            <w:r>
              <w:rPr>
                <w:szCs w:val="21"/>
              </w:rPr>
              <w:t>监测时期</w:t>
            </w:r>
          </w:p>
        </w:tc>
        <w:tc>
          <w:tcPr>
            <w:tcW w:w="1006" w:type="pct"/>
            <w:gridSpan w:val="5"/>
            <w:vAlign w:val="center"/>
          </w:tcPr>
          <w:p w14:paraId="02017AB7">
            <w:pPr>
              <w:widowControl/>
              <w:jc w:val="center"/>
              <w:rPr>
                <w:szCs w:val="21"/>
              </w:rPr>
            </w:pPr>
            <w:r>
              <w:rPr>
                <w:szCs w:val="21"/>
              </w:rPr>
              <w:t>监测因子</w:t>
            </w:r>
          </w:p>
        </w:tc>
        <w:tc>
          <w:tcPr>
            <w:tcW w:w="931" w:type="pct"/>
            <w:gridSpan w:val="2"/>
            <w:vAlign w:val="center"/>
          </w:tcPr>
          <w:p w14:paraId="4887509A">
            <w:pPr>
              <w:widowControl/>
              <w:jc w:val="center"/>
              <w:rPr>
                <w:szCs w:val="21"/>
              </w:rPr>
            </w:pPr>
            <w:r>
              <w:rPr>
                <w:szCs w:val="21"/>
              </w:rPr>
              <w:t>监测断面或点位</w:t>
            </w:r>
          </w:p>
        </w:tc>
      </w:tr>
      <w:tr w14:paraId="35A3D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198AA846">
            <w:pPr>
              <w:widowControl/>
              <w:jc w:val="center"/>
              <w:rPr>
                <w:szCs w:val="21"/>
              </w:rPr>
            </w:pPr>
          </w:p>
        </w:tc>
        <w:tc>
          <w:tcPr>
            <w:tcW w:w="810" w:type="pct"/>
            <w:vMerge w:val="continue"/>
            <w:vAlign w:val="center"/>
          </w:tcPr>
          <w:p w14:paraId="2DEEE4DD">
            <w:pPr>
              <w:widowControl/>
              <w:jc w:val="center"/>
              <w:rPr>
                <w:szCs w:val="21"/>
              </w:rPr>
            </w:pPr>
          </w:p>
        </w:tc>
        <w:tc>
          <w:tcPr>
            <w:tcW w:w="2009" w:type="pct"/>
            <w:gridSpan w:val="6"/>
            <w:vAlign w:val="center"/>
          </w:tcPr>
          <w:p w14:paraId="3F9DCD6B">
            <w:pPr>
              <w:widowControl/>
              <w:jc w:val="left"/>
              <w:rPr>
                <w:szCs w:val="21"/>
              </w:rPr>
            </w:pPr>
            <w:r>
              <w:rPr>
                <w:szCs w:val="21"/>
              </w:rPr>
              <w:t>丰水期</w:t>
            </w:r>
            <w:r>
              <w:rPr>
                <w:szCs w:val="21"/>
              </w:rPr>
              <w:sym w:font="Wingdings 2" w:char="0052"/>
            </w:r>
            <w:r>
              <w:rPr>
                <w:szCs w:val="21"/>
              </w:rPr>
              <w:t>；平水期</w:t>
            </w:r>
            <w:r>
              <w:rPr>
                <w:szCs w:val="21"/>
              </w:rPr>
              <w:sym w:font="Wingdings 2" w:char="00A3"/>
            </w:r>
            <w:r>
              <w:rPr>
                <w:szCs w:val="21"/>
              </w:rPr>
              <w:t>；枯水期</w:t>
            </w:r>
            <w:r>
              <w:rPr>
                <w:szCs w:val="21"/>
              </w:rPr>
              <w:sym w:font="Wingdings 2" w:char="00A3"/>
            </w:r>
            <w:r>
              <w:rPr>
                <w:szCs w:val="21"/>
              </w:rPr>
              <w:t>；冰封期</w:t>
            </w:r>
            <w:r>
              <w:rPr>
                <w:szCs w:val="21"/>
              </w:rPr>
              <w:sym w:font="Wingdings 2" w:char="00A3"/>
            </w:r>
            <w:r>
              <w:rPr>
                <w:szCs w:val="21"/>
              </w:rPr>
              <w:t>；</w:t>
            </w:r>
          </w:p>
          <w:p w14:paraId="15D3CDF0">
            <w:pPr>
              <w:widowControl/>
              <w:jc w:val="left"/>
              <w:rPr>
                <w:szCs w:val="21"/>
              </w:rPr>
            </w:pPr>
            <w:r>
              <w:rPr>
                <w:szCs w:val="21"/>
              </w:rPr>
              <w:t>春季</w:t>
            </w:r>
            <w:r>
              <w:rPr>
                <w:szCs w:val="21"/>
              </w:rPr>
              <w:sym w:font="Wingdings 2" w:char="00A3"/>
            </w:r>
            <w:r>
              <w:rPr>
                <w:szCs w:val="21"/>
              </w:rPr>
              <w:t>；夏季</w:t>
            </w:r>
            <w:r>
              <w:rPr>
                <w:szCs w:val="21"/>
              </w:rPr>
              <w:sym w:font="Wingdings 2" w:char="0052"/>
            </w:r>
            <w:r>
              <w:rPr>
                <w:szCs w:val="21"/>
              </w:rPr>
              <w:t>；秋季</w:t>
            </w:r>
            <w:r>
              <w:rPr>
                <w:szCs w:val="21"/>
              </w:rPr>
              <w:sym w:font="Wingdings 2" w:char="00A3"/>
            </w:r>
            <w:r>
              <w:rPr>
                <w:szCs w:val="21"/>
              </w:rPr>
              <w:t>；冬季</w:t>
            </w:r>
            <w:r>
              <w:rPr>
                <w:szCs w:val="21"/>
              </w:rPr>
              <w:sym w:font="Wingdings 2" w:char="00A3"/>
            </w:r>
          </w:p>
        </w:tc>
        <w:tc>
          <w:tcPr>
            <w:tcW w:w="1006" w:type="pct"/>
            <w:gridSpan w:val="5"/>
            <w:vAlign w:val="center"/>
          </w:tcPr>
          <w:p w14:paraId="5CE3190E">
            <w:pPr>
              <w:widowControl/>
              <w:jc w:val="center"/>
              <w:rPr>
                <w:szCs w:val="21"/>
              </w:rPr>
            </w:pPr>
            <w:r>
              <w:rPr>
                <w:spacing w:val="-1"/>
              </w:rPr>
              <w:t>/</w:t>
            </w:r>
          </w:p>
        </w:tc>
        <w:tc>
          <w:tcPr>
            <w:tcW w:w="931" w:type="pct"/>
            <w:gridSpan w:val="2"/>
            <w:vAlign w:val="center"/>
          </w:tcPr>
          <w:p w14:paraId="258ABA5D">
            <w:pPr>
              <w:widowControl/>
              <w:jc w:val="left"/>
              <w:rPr>
                <w:szCs w:val="21"/>
              </w:rPr>
            </w:pPr>
            <w:r>
              <w:rPr>
                <w:szCs w:val="21"/>
              </w:rPr>
              <w:t>监测断面或点位个数(</w:t>
            </w:r>
            <w:r>
              <w:rPr>
                <w:rFonts w:hint="eastAsia"/>
                <w:szCs w:val="21"/>
              </w:rPr>
              <w:t>1</w:t>
            </w:r>
            <w:r>
              <w:rPr>
                <w:szCs w:val="21"/>
              </w:rPr>
              <w:t>)个</w:t>
            </w:r>
          </w:p>
        </w:tc>
      </w:tr>
      <w:tr w14:paraId="299E1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restart"/>
            <w:vAlign w:val="center"/>
          </w:tcPr>
          <w:p w14:paraId="778D12A1">
            <w:pPr>
              <w:widowControl/>
              <w:jc w:val="center"/>
              <w:rPr>
                <w:szCs w:val="21"/>
              </w:rPr>
            </w:pPr>
            <w:r>
              <w:rPr>
                <w:szCs w:val="21"/>
              </w:rPr>
              <w:t>现状评价</w:t>
            </w:r>
          </w:p>
        </w:tc>
        <w:tc>
          <w:tcPr>
            <w:tcW w:w="810" w:type="pct"/>
            <w:vAlign w:val="center"/>
          </w:tcPr>
          <w:p w14:paraId="484E635A">
            <w:pPr>
              <w:widowControl/>
              <w:jc w:val="center"/>
              <w:rPr>
                <w:szCs w:val="21"/>
              </w:rPr>
            </w:pPr>
            <w:r>
              <w:rPr>
                <w:szCs w:val="21"/>
              </w:rPr>
              <w:t>评价范围</w:t>
            </w:r>
          </w:p>
        </w:tc>
        <w:tc>
          <w:tcPr>
            <w:tcW w:w="3946" w:type="pct"/>
            <w:gridSpan w:val="13"/>
            <w:vAlign w:val="center"/>
          </w:tcPr>
          <w:p w14:paraId="019D2302">
            <w:pPr>
              <w:widowControl/>
              <w:jc w:val="left"/>
              <w:rPr>
                <w:szCs w:val="21"/>
              </w:rPr>
            </w:pPr>
            <w:r>
              <w:rPr>
                <w:szCs w:val="21"/>
              </w:rPr>
              <w:t>河流：长度(    )km；湖库、河口及近岸海域：面积(    )km</w:t>
            </w:r>
            <w:r>
              <w:rPr>
                <w:szCs w:val="21"/>
                <w:vertAlign w:val="superscript"/>
              </w:rPr>
              <w:t>2</w:t>
            </w:r>
          </w:p>
        </w:tc>
      </w:tr>
      <w:tr w14:paraId="317B3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29E21CCC">
            <w:pPr>
              <w:widowControl/>
              <w:jc w:val="center"/>
              <w:rPr>
                <w:szCs w:val="21"/>
              </w:rPr>
            </w:pPr>
          </w:p>
        </w:tc>
        <w:tc>
          <w:tcPr>
            <w:tcW w:w="810" w:type="pct"/>
            <w:vAlign w:val="center"/>
          </w:tcPr>
          <w:p w14:paraId="3DDDDAC5">
            <w:pPr>
              <w:widowControl/>
              <w:jc w:val="center"/>
              <w:rPr>
                <w:szCs w:val="21"/>
              </w:rPr>
            </w:pPr>
            <w:r>
              <w:rPr>
                <w:szCs w:val="21"/>
              </w:rPr>
              <w:t>评价因子</w:t>
            </w:r>
          </w:p>
        </w:tc>
        <w:tc>
          <w:tcPr>
            <w:tcW w:w="3946" w:type="pct"/>
            <w:gridSpan w:val="13"/>
            <w:vAlign w:val="center"/>
          </w:tcPr>
          <w:p w14:paraId="454E57D3">
            <w:pPr>
              <w:widowControl/>
              <w:jc w:val="left"/>
              <w:rPr>
                <w:szCs w:val="21"/>
              </w:rPr>
            </w:pPr>
            <w:r>
              <w:rPr>
                <w:szCs w:val="21"/>
              </w:rPr>
              <w:t>(</w:t>
            </w:r>
            <w:r>
              <w:rPr>
                <w:kern w:val="0"/>
                <w:szCs w:val="21"/>
              </w:rPr>
              <w:t>pH、COD、BOD</w:t>
            </w:r>
            <w:r>
              <w:rPr>
                <w:kern w:val="0"/>
                <w:szCs w:val="21"/>
                <w:vertAlign w:val="subscript"/>
              </w:rPr>
              <w:t>5</w:t>
            </w:r>
            <w:r>
              <w:rPr>
                <w:kern w:val="0"/>
                <w:szCs w:val="21"/>
              </w:rPr>
              <w:t>、</w:t>
            </w:r>
            <w:r>
              <w:rPr>
                <w:rFonts w:hint="eastAsia"/>
                <w:kern w:val="0"/>
                <w:szCs w:val="21"/>
              </w:rPr>
              <w:t>悬浮物</w:t>
            </w:r>
            <w:r>
              <w:rPr>
                <w:kern w:val="0"/>
                <w:szCs w:val="21"/>
              </w:rPr>
              <w:t>、石油类、</w:t>
            </w:r>
            <w:r>
              <w:rPr>
                <w:rFonts w:hint="eastAsia"/>
                <w:kern w:val="0"/>
                <w:szCs w:val="21"/>
              </w:rPr>
              <w:t>挥发酚、粪大肠菌群数</w:t>
            </w:r>
            <w:r>
              <w:rPr>
                <w:szCs w:val="21"/>
              </w:rPr>
              <w:t>)</w:t>
            </w:r>
          </w:p>
        </w:tc>
      </w:tr>
      <w:tr w14:paraId="104AD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654B4043">
            <w:pPr>
              <w:widowControl/>
              <w:jc w:val="center"/>
              <w:rPr>
                <w:szCs w:val="21"/>
              </w:rPr>
            </w:pPr>
          </w:p>
        </w:tc>
        <w:tc>
          <w:tcPr>
            <w:tcW w:w="810" w:type="pct"/>
            <w:vAlign w:val="center"/>
          </w:tcPr>
          <w:p w14:paraId="4DC0B4BE">
            <w:pPr>
              <w:widowControl/>
              <w:jc w:val="center"/>
              <w:rPr>
                <w:szCs w:val="21"/>
              </w:rPr>
            </w:pPr>
            <w:r>
              <w:rPr>
                <w:szCs w:val="21"/>
              </w:rPr>
              <w:t>评价标准</w:t>
            </w:r>
          </w:p>
        </w:tc>
        <w:tc>
          <w:tcPr>
            <w:tcW w:w="3946" w:type="pct"/>
            <w:gridSpan w:val="13"/>
            <w:vAlign w:val="center"/>
          </w:tcPr>
          <w:p w14:paraId="1CE9CB83">
            <w:pPr>
              <w:widowControl/>
              <w:jc w:val="left"/>
              <w:rPr>
                <w:szCs w:val="21"/>
              </w:rPr>
            </w:pPr>
            <w:r>
              <w:rPr>
                <w:szCs w:val="21"/>
              </w:rPr>
              <w:t xml:space="preserve">河流、湖库、河口：Ⅰ类 </w:t>
            </w:r>
            <w:r>
              <w:rPr>
                <w:szCs w:val="21"/>
              </w:rPr>
              <w:sym w:font="Wingdings 2" w:char="00A3"/>
            </w:r>
            <w:r>
              <w:rPr>
                <w:szCs w:val="21"/>
              </w:rPr>
              <w:t>；Ⅱ类</w:t>
            </w:r>
            <w:r>
              <w:rPr>
                <w:szCs w:val="21"/>
              </w:rPr>
              <w:sym w:font="Wingdings 2" w:char="00A3"/>
            </w:r>
            <w:r>
              <w:rPr>
                <w:i/>
                <w:iCs/>
                <w:color w:val="auto"/>
                <w:szCs w:val="21"/>
                <w:u w:val="single"/>
              </w:rPr>
              <w:t xml:space="preserve">；Ⅲ类 </w:t>
            </w:r>
            <w:r>
              <w:rPr>
                <w:i/>
                <w:iCs/>
                <w:color w:val="auto"/>
                <w:szCs w:val="21"/>
                <w:u w:val="single"/>
              </w:rPr>
              <w:sym w:font="Wingdings 2" w:char="0052"/>
            </w:r>
            <w:r>
              <w:rPr>
                <w:i/>
                <w:iCs/>
                <w:color w:val="auto"/>
                <w:szCs w:val="21"/>
                <w:u w:val="single"/>
              </w:rPr>
              <w:t>；Ⅳ类</w:t>
            </w:r>
            <w:r>
              <w:rPr>
                <w:i/>
                <w:iCs/>
                <w:color w:val="auto"/>
                <w:szCs w:val="21"/>
                <w:u w:val="single"/>
              </w:rPr>
              <w:sym w:font="Wingdings 2" w:char="00A3"/>
            </w:r>
            <w:r>
              <w:rPr>
                <w:i/>
                <w:iCs/>
                <w:color w:val="auto"/>
                <w:szCs w:val="21"/>
                <w:u w:val="single"/>
              </w:rPr>
              <w:t>；Ⅴ类</w:t>
            </w:r>
            <w:r>
              <w:rPr>
                <w:i/>
                <w:iCs/>
                <w:color w:val="auto"/>
                <w:szCs w:val="21"/>
                <w:u w:val="single"/>
              </w:rPr>
              <w:sym w:font="Wingdings 2" w:char="00A3"/>
            </w:r>
            <w:r>
              <w:rPr>
                <w:i/>
                <w:iCs/>
                <w:color w:val="auto"/>
                <w:szCs w:val="21"/>
                <w:u w:val="single"/>
              </w:rPr>
              <w:t>；</w:t>
            </w:r>
          </w:p>
          <w:p w14:paraId="6669CE46">
            <w:pPr>
              <w:widowControl/>
              <w:jc w:val="left"/>
              <w:rPr>
                <w:szCs w:val="21"/>
              </w:rPr>
            </w:pPr>
            <w:r>
              <w:rPr>
                <w:szCs w:val="21"/>
              </w:rPr>
              <w:t xml:space="preserve">近岸海域：第一类 </w:t>
            </w:r>
            <w:r>
              <w:rPr>
                <w:szCs w:val="21"/>
              </w:rPr>
              <w:sym w:font="Wingdings 2" w:char="00A3"/>
            </w:r>
            <w:r>
              <w:rPr>
                <w:szCs w:val="21"/>
              </w:rPr>
              <w:t xml:space="preserve">；第二类 </w:t>
            </w:r>
            <w:r>
              <w:rPr>
                <w:szCs w:val="21"/>
              </w:rPr>
              <w:sym w:font="Wingdings 2" w:char="00A3"/>
            </w:r>
            <w:r>
              <w:rPr>
                <w:szCs w:val="21"/>
              </w:rPr>
              <w:t xml:space="preserve">；第三类 </w:t>
            </w:r>
            <w:r>
              <w:rPr>
                <w:szCs w:val="21"/>
              </w:rPr>
              <w:sym w:font="Wingdings 2" w:char="00A3"/>
            </w:r>
            <w:r>
              <w:rPr>
                <w:szCs w:val="21"/>
              </w:rPr>
              <w:t xml:space="preserve">；第四类 </w:t>
            </w:r>
            <w:r>
              <w:rPr>
                <w:szCs w:val="21"/>
              </w:rPr>
              <w:sym w:font="Wingdings 2" w:char="00A3"/>
            </w:r>
          </w:p>
          <w:p w14:paraId="396597C2">
            <w:pPr>
              <w:widowControl/>
              <w:jc w:val="left"/>
              <w:rPr>
                <w:szCs w:val="21"/>
              </w:rPr>
            </w:pPr>
            <w:r>
              <w:rPr>
                <w:szCs w:val="21"/>
              </w:rPr>
              <w:t>规划年评价标准(  )</w:t>
            </w:r>
          </w:p>
        </w:tc>
      </w:tr>
      <w:tr w14:paraId="3303C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0BE598B3">
            <w:pPr>
              <w:widowControl/>
              <w:jc w:val="center"/>
              <w:rPr>
                <w:szCs w:val="21"/>
              </w:rPr>
            </w:pPr>
          </w:p>
        </w:tc>
        <w:tc>
          <w:tcPr>
            <w:tcW w:w="810" w:type="pct"/>
            <w:vAlign w:val="center"/>
          </w:tcPr>
          <w:p w14:paraId="26CF3B7E">
            <w:pPr>
              <w:widowControl/>
              <w:jc w:val="center"/>
              <w:rPr>
                <w:szCs w:val="21"/>
              </w:rPr>
            </w:pPr>
            <w:r>
              <w:rPr>
                <w:szCs w:val="21"/>
              </w:rPr>
              <w:t>评价时期</w:t>
            </w:r>
          </w:p>
        </w:tc>
        <w:tc>
          <w:tcPr>
            <w:tcW w:w="3946" w:type="pct"/>
            <w:gridSpan w:val="13"/>
            <w:vAlign w:val="center"/>
          </w:tcPr>
          <w:p w14:paraId="71FFEF04">
            <w:pPr>
              <w:widowControl/>
              <w:jc w:val="left"/>
              <w:rPr>
                <w:szCs w:val="21"/>
              </w:rPr>
            </w:pPr>
            <w:r>
              <w:rPr>
                <w:szCs w:val="21"/>
              </w:rPr>
              <w:t xml:space="preserve">丰水期 </w:t>
            </w:r>
            <w:r>
              <w:rPr>
                <w:szCs w:val="21"/>
              </w:rPr>
              <w:sym w:font="Wingdings 2" w:char="0052"/>
            </w:r>
            <w:r>
              <w:rPr>
                <w:szCs w:val="21"/>
              </w:rPr>
              <w:t xml:space="preserve">；平水期 </w:t>
            </w:r>
            <w:r>
              <w:rPr>
                <w:szCs w:val="21"/>
              </w:rPr>
              <w:sym w:font="Wingdings 2" w:char="00A3"/>
            </w:r>
            <w:r>
              <w:rPr>
                <w:szCs w:val="21"/>
              </w:rPr>
              <w:t xml:space="preserve">；枯水期 </w:t>
            </w:r>
            <w:r>
              <w:rPr>
                <w:szCs w:val="21"/>
              </w:rPr>
              <w:sym w:font="Wingdings 2" w:char="00A3"/>
            </w:r>
            <w:r>
              <w:rPr>
                <w:szCs w:val="21"/>
              </w:rPr>
              <w:t xml:space="preserve">；冰封期 </w:t>
            </w:r>
            <w:r>
              <w:rPr>
                <w:szCs w:val="21"/>
              </w:rPr>
              <w:sym w:font="Wingdings 2" w:char="00A3"/>
            </w:r>
            <w:r>
              <w:rPr>
                <w:szCs w:val="21"/>
              </w:rPr>
              <w:t>；</w:t>
            </w:r>
          </w:p>
          <w:p w14:paraId="0DC823F5">
            <w:pPr>
              <w:widowControl/>
              <w:jc w:val="left"/>
              <w:rPr>
                <w:szCs w:val="21"/>
              </w:rPr>
            </w:pPr>
            <w:r>
              <w:rPr>
                <w:szCs w:val="21"/>
              </w:rPr>
              <w:t xml:space="preserve">春季 </w:t>
            </w:r>
            <w:r>
              <w:rPr>
                <w:szCs w:val="21"/>
              </w:rPr>
              <w:sym w:font="Wingdings 2" w:char="00A3"/>
            </w:r>
            <w:r>
              <w:rPr>
                <w:szCs w:val="21"/>
              </w:rPr>
              <w:t xml:space="preserve">；夏季 </w:t>
            </w:r>
            <w:r>
              <w:rPr>
                <w:szCs w:val="21"/>
              </w:rPr>
              <w:sym w:font="Wingdings 2" w:char="0052"/>
            </w:r>
            <w:r>
              <w:rPr>
                <w:szCs w:val="21"/>
              </w:rPr>
              <w:t xml:space="preserve">；秋季 </w:t>
            </w:r>
            <w:r>
              <w:rPr>
                <w:szCs w:val="21"/>
              </w:rPr>
              <w:sym w:font="Wingdings 2" w:char="00A3"/>
            </w:r>
            <w:r>
              <w:rPr>
                <w:szCs w:val="21"/>
              </w:rPr>
              <w:t xml:space="preserve">；冬季 </w:t>
            </w:r>
            <w:r>
              <w:rPr>
                <w:szCs w:val="21"/>
              </w:rPr>
              <w:sym w:font="Wingdings 2" w:char="00A3"/>
            </w:r>
          </w:p>
        </w:tc>
      </w:tr>
      <w:tr w14:paraId="3AB26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70578B65">
            <w:pPr>
              <w:widowControl/>
              <w:jc w:val="center"/>
              <w:rPr>
                <w:szCs w:val="21"/>
              </w:rPr>
            </w:pPr>
          </w:p>
        </w:tc>
        <w:tc>
          <w:tcPr>
            <w:tcW w:w="810" w:type="pct"/>
            <w:vAlign w:val="center"/>
          </w:tcPr>
          <w:p w14:paraId="1E365151">
            <w:pPr>
              <w:widowControl/>
              <w:jc w:val="center"/>
              <w:rPr>
                <w:szCs w:val="21"/>
              </w:rPr>
            </w:pPr>
            <w:r>
              <w:rPr>
                <w:szCs w:val="21"/>
              </w:rPr>
              <w:t>评价结论</w:t>
            </w:r>
          </w:p>
        </w:tc>
        <w:tc>
          <w:tcPr>
            <w:tcW w:w="3429" w:type="pct"/>
            <w:gridSpan w:val="12"/>
            <w:vAlign w:val="center"/>
          </w:tcPr>
          <w:p w14:paraId="78F2D6E1">
            <w:pPr>
              <w:widowControl/>
              <w:jc w:val="left"/>
              <w:rPr>
                <w:szCs w:val="21"/>
              </w:rPr>
            </w:pPr>
            <w:r>
              <w:rPr>
                <w:szCs w:val="21"/>
              </w:rPr>
              <w:t xml:space="preserve">水环境功能区或水功能区、近岸海域环境功能区水质达标状况：达标 </w:t>
            </w:r>
            <w:r>
              <w:rPr>
                <w:szCs w:val="21"/>
              </w:rPr>
              <w:sym w:font="Wingdings 2" w:char="00A3"/>
            </w:r>
            <w:r>
              <w:rPr>
                <w:szCs w:val="21"/>
              </w:rPr>
              <w:t xml:space="preserve">；不达标 </w:t>
            </w:r>
            <w:r>
              <w:rPr>
                <w:szCs w:val="21"/>
              </w:rPr>
              <w:sym w:font="Wingdings 2" w:char="00A3"/>
            </w:r>
          </w:p>
          <w:p w14:paraId="0E945010">
            <w:pPr>
              <w:widowControl/>
              <w:jc w:val="left"/>
              <w:rPr>
                <w:szCs w:val="21"/>
              </w:rPr>
            </w:pPr>
            <w:r>
              <w:rPr>
                <w:szCs w:val="21"/>
              </w:rPr>
              <w:t xml:space="preserve">水环境控制单元或断面水质达标状况：达标 </w:t>
            </w:r>
            <w:r>
              <w:rPr>
                <w:szCs w:val="21"/>
              </w:rPr>
              <w:sym w:font="Wingdings 2" w:char="0052"/>
            </w:r>
            <w:r>
              <w:rPr>
                <w:szCs w:val="21"/>
              </w:rPr>
              <w:t xml:space="preserve">；不达标 </w:t>
            </w:r>
            <w:r>
              <w:rPr>
                <w:szCs w:val="21"/>
              </w:rPr>
              <w:sym w:font="Wingdings 2" w:char="00A3"/>
            </w:r>
          </w:p>
          <w:p w14:paraId="3ABFED7A">
            <w:pPr>
              <w:widowControl/>
              <w:jc w:val="left"/>
              <w:rPr>
                <w:szCs w:val="21"/>
              </w:rPr>
            </w:pPr>
            <w:r>
              <w:rPr>
                <w:szCs w:val="21"/>
              </w:rPr>
              <w:t xml:space="preserve">水环境保护目标质量状况 </w:t>
            </w:r>
            <w:r>
              <w:rPr>
                <w:szCs w:val="21"/>
              </w:rPr>
              <w:sym w:font="Wingdings 2" w:char="00A3"/>
            </w:r>
            <w:r>
              <w:rPr>
                <w:szCs w:val="21"/>
              </w:rPr>
              <w:t>：达标</w:t>
            </w:r>
            <w:r>
              <w:rPr>
                <w:szCs w:val="21"/>
              </w:rPr>
              <w:sym w:font="Wingdings 2" w:char="0052"/>
            </w:r>
            <w:r>
              <w:rPr>
                <w:szCs w:val="21"/>
              </w:rPr>
              <w:t xml:space="preserve">；不达标 </w:t>
            </w:r>
            <w:r>
              <w:rPr>
                <w:szCs w:val="21"/>
              </w:rPr>
              <w:sym w:font="Wingdings 2" w:char="00A3"/>
            </w:r>
          </w:p>
          <w:p w14:paraId="01BCBBAF">
            <w:pPr>
              <w:widowControl/>
              <w:jc w:val="left"/>
              <w:rPr>
                <w:szCs w:val="21"/>
              </w:rPr>
            </w:pPr>
            <w:r>
              <w:rPr>
                <w:szCs w:val="21"/>
              </w:rPr>
              <w:t xml:space="preserve">对照断面、控制断面等代表性断面的水质状况 </w:t>
            </w:r>
            <w:r>
              <w:rPr>
                <w:szCs w:val="21"/>
              </w:rPr>
              <w:sym w:font="Wingdings 2" w:char="00A3"/>
            </w:r>
            <w:r>
              <w:rPr>
                <w:szCs w:val="21"/>
              </w:rPr>
              <w:t>：达标</w:t>
            </w:r>
            <w:r>
              <w:rPr>
                <w:szCs w:val="21"/>
              </w:rPr>
              <w:sym w:font="Wingdings 2" w:char="00A3"/>
            </w:r>
            <w:r>
              <w:rPr>
                <w:szCs w:val="21"/>
              </w:rPr>
              <w:t xml:space="preserve">；不达标 </w:t>
            </w:r>
            <w:r>
              <w:rPr>
                <w:szCs w:val="21"/>
              </w:rPr>
              <w:sym w:font="Wingdings 2" w:char="00A3"/>
            </w:r>
          </w:p>
          <w:p w14:paraId="5FC87A9D">
            <w:pPr>
              <w:widowControl/>
              <w:jc w:val="left"/>
              <w:rPr>
                <w:szCs w:val="21"/>
              </w:rPr>
            </w:pPr>
            <w:r>
              <w:rPr>
                <w:szCs w:val="21"/>
              </w:rPr>
              <w:t xml:space="preserve">底泥污染评价 </w:t>
            </w:r>
            <w:r>
              <w:rPr>
                <w:szCs w:val="21"/>
              </w:rPr>
              <w:sym w:font="Wingdings 2" w:char="00A3"/>
            </w:r>
          </w:p>
          <w:p w14:paraId="4A55E63B">
            <w:pPr>
              <w:widowControl/>
              <w:jc w:val="left"/>
              <w:rPr>
                <w:szCs w:val="21"/>
              </w:rPr>
            </w:pPr>
            <w:r>
              <w:rPr>
                <w:szCs w:val="21"/>
              </w:rPr>
              <w:t xml:space="preserve">水资源与开发利用程度及其水文情势评价 </w:t>
            </w:r>
            <w:r>
              <w:rPr>
                <w:szCs w:val="21"/>
              </w:rPr>
              <w:sym w:font="Wingdings 2" w:char="00A3"/>
            </w:r>
          </w:p>
          <w:p w14:paraId="200D767E">
            <w:pPr>
              <w:widowControl/>
              <w:jc w:val="left"/>
              <w:rPr>
                <w:szCs w:val="21"/>
              </w:rPr>
            </w:pPr>
            <w:r>
              <w:rPr>
                <w:szCs w:val="21"/>
              </w:rPr>
              <w:t xml:space="preserve">水环境质量回顾评价 </w:t>
            </w:r>
            <w:r>
              <w:rPr>
                <w:szCs w:val="21"/>
              </w:rPr>
              <w:sym w:font="Wingdings 2" w:char="00A3"/>
            </w:r>
          </w:p>
          <w:p w14:paraId="3ABCD1A4">
            <w:pPr>
              <w:widowControl/>
              <w:jc w:val="left"/>
              <w:rPr>
                <w:szCs w:val="21"/>
              </w:rPr>
            </w:pPr>
            <w:r>
              <w:rPr>
                <w:szCs w:val="21"/>
              </w:rPr>
              <w:t xml:space="preserve">流域(区域)水资源(包括水能资源)与开发利用总体状况、生态流量管理要求与现状满足程度、建设项目占用水域空间的水流状况与河湖演变状况 </w:t>
            </w:r>
            <w:r>
              <w:rPr>
                <w:szCs w:val="21"/>
              </w:rPr>
              <w:sym w:font="Wingdings 2" w:char="00A3"/>
            </w:r>
          </w:p>
          <w:p w14:paraId="50B1F842">
            <w:pPr>
              <w:widowControl/>
              <w:jc w:val="left"/>
              <w:rPr>
                <w:szCs w:val="21"/>
              </w:rPr>
            </w:pPr>
            <w:r>
              <w:rPr>
                <w:szCs w:val="21"/>
              </w:rPr>
              <w:t>依托污水处理设施稳定达标排放评价</w:t>
            </w:r>
            <w:r>
              <w:rPr>
                <w:szCs w:val="21"/>
              </w:rPr>
              <w:sym w:font="Wingdings 2" w:char="00A3"/>
            </w:r>
          </w:p>
        </w:tc>
        <w:tc>
          <w:tcPr>
            <w:tcW w:w="516" w:type="pct"/>
            <w:vAlign w:val="center"/>
          </w:tcPr>
          <w:p w14:paraId="0A753759">
            <w:pPr>
              <w:widowControl/>
              <w:jc w:val="left"/>
              <w:rPr>
                <w:szCs w:val="21"/>
              </w:rPr>
            </w:pPr>
            <w:r>
              <w:rPr>
                <w:szCs w:val="21"/>
              </w:rPr>
              <w:t xml:space="preserve">达标区 </w:t>
            </w:r>
            <w:r>
              <w:rPr>
                <w:szCs w:val="21"/>
              </w:rPr>
              <w:sym w:font="Wingdings 2" w:char="0052"/>
            </w:r>
          </w:p>
          <w:p w14:paraId="47963BE5">
            <w:pPr>
              <w:widowControl/>
              <w:jc w:val="left"/>
              <w:rPr>
                <w:szCs w:val="21"/>
              </w:rPr>
            </w:pPr>
            <w:r>
              <w:rPr>
                <w:szCs w:val="21"/>
              </w:rPr>
              <w:t xml:space="preserve">不达标区 </w:t>
            </w:r>
            <w:r>
              <w:rPr>
                <w:szCs w:val="21"/>
              </w:rPr>
              <w:sym w:font="Wingdings 2" w:char="00A3"/>
            </w:r>
          </w:p>
        </w:tc>
      </w:tr>
      <w:tr w14:paraId="565BE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restart"/>
            <w:vAlign w:val="center"/>
          </w:tcPr>
          <w:p w14:paraId="7F95557E">
            <w:pPr>
              <w:widowControl/>
              <w:jc w:val="center"/>
              <w:rPr>
                <w:szCs w:val="21"/>
              </w:rPr>
            </w:pPr>
            <w:r>
              <w:rPr>
                <w:szCs w:val="21"/>
              </w:rPr>
              <w:t>影响预测</w:t>
            </w:r>
          </w:p>
        </w:tc>
        <w:tc>
          <w:tcPr>
            <w:tcW w:w="810" w:type="pct"/>
            <w:vAlign w:val="center"/>
          </w:tcPr>
          <w:p w14:paraId="2DEBFC08">
            <w:pPr>
              <w:widowControl/>
              <w:jc w:val="center"/>
              <w:rPr>
                <w:szCs w:val="21"/>
              </w:rPr>
            </w:pPr>
            <w:r>
              <w:rPr>
                <w:szCs w:val="21"/>
              </w:rPr>
              <w:t>预测范围</w:t>
            </w:r>
          </w:p>
        </w:tc>
        <w:tc>
          <w:tcPr>
            <w:tcW w:w="3946" w:type="pct"/>
            <w:gridSpan w:val="13"/>
            <w:vAlign w:val="center"/>
          </w:tcPr>
          <w:p w14:paraId="0EBEA603">
            <w:pPr>
              <w:widowControl/>
              <w:jc w:val="left"/>
              <w:rPr>
                <w:szCs w:val="21"/>
              </w:rPr>
            </w:pPr>
            <w:r>
              <w:rPr>
                <w:szCs w:val="21"/>
              </w:rPr>
              <w:t>河流：长度(    )km；湖库、河口及近岸海域：面积(    )km</w:t>
            </w:r>
            <w:r>
              <w:rPr>
                <w:szCs w:val="21"/>
                <w:vertAlign w:val="superscript"/>
              </w:rPr>
              <w:t>2</w:t>
            </w:r>
          </w:p>
        </w:tc>
      </w:tr>
      <w:tr w14:paraId="734D3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20FA608D">
            <w:pPr>
              <w:widowControl/>
              <w:jc w:val="center"/>
              <w:rPr>
                <w:szCs w:val="21"/>
              </w:rPr>
            </w:pPr>
          </w:p>
        </w:tc>
        <w:tc>
          <w:tcPr>
            <w:tcW w:w="810" w:type="pct"/>
            <w:vAlign w:val="center"/>
          </w:tcPr>
          <w:p w14:paraId="095AA69F">
            <w:pPr>
              <w:widowControl/>
              <w:jc w:val="center"/>
              <w:rPr>
                <w:szCs w:val="21"/>
              </w:rPr>
            </w:pPr>
            <w:r>
              <w:rPr>
                <w:szCs w:val="21"/>
              </w:rPr>
              <w:t>预测因子</w:t>
            </w:r>
          </w:p>
        </w:tc>
        <w:tc>
          <w:tcPr>
            <w:tcW w:w="3946" w:type="pct"/>
            <w:gridSpan w:val="13"/>
            <w:vAlign w:val="center"/>
          </w:tcPr>
          <w:p w14:paraId="6A21149B">
            <w:pPr>
              <w:widowControl/>
              <w:jc w:val="left"/>
              <w:rPr>
                <w:szCs w:val="21"/>
              </w:rPr>
            </w:pPr>
            <w:r>
              <w:rPr>
                <w:szCs w:val="21"/>
              </w:rPr>
              <w:t>(     )</w:t>
            </w:r>
          </w:p>
        </w:tc>
      </w:tr>
      <w:tr w14:paraId="447F7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5B74316A">
            <w:pPr>
              <w:widowControl/>
              <w:jc w:val="center"/>
              <w:rPr>
                <w:szCs w:val="21"/>
              </w:rPr>
            </w:pPr>
          </w:p>
        </w:tc>
        <w:tc>
          <w:tcPr>
            <w:tcW w:w="810" w:type="pct"/>
            <w:vAlign w:val="center"/>
          </w:tcPr>
          <w:p w14:paraId="0A7DE520">
            <w:pPr>
              <w:widowControl/>
              <w:jc w:val="center"/>
              <w:rPr>
                <w:szCs w:val="21"/>
              </w:rPr>
            </w:pPr>
            <w:r>
              <w:rPr>
                <w:szCs w:val="21"/>
              </w:rPr>
              <w:t>预测时期</w:t>
            </w:r>
          </w:p>
        </w:tc>
        <w:tc>
          <w:tcPr>
            <w:tcW w:w="3946" w:type="pct"/>
            <w:gridSpan w:val="13"/>
            <w:vAlign w:val="center"/>
          </w:tcPr>
          <w:p w14:paraId="3980E9F3">
            <w:pPr>
              <w:widowControl/>
              <w:jc w:val="left"/>
              <w:rPr>
                <w:szCs w:val="21"/>
              </w:rPr>
            </w:pPr>
            <w:r>
              <w:rPr>
                <w:szCs w:val="21"/>
              </w:rPr>
              <w:t xml:space="preserve">丰水期 </w:t>
            </w:r>
            <w:r>
              <w:rPr>
                <w:szCs w:val="21"/>
              </w:rPr>
              <w:sym w:font="Wingdings 2" w:char="00A3"/>
            </w:r>
            <w:r>
              <w:rPr>
                <w:szCs w:val="21"/>
              </w:rPr>
              <w:t xml:space="preserve">；平水期 </w:t>
            </w:r>
            <w:r>
              <w:rPr>
                <w:szCs w:val="21"/>
              </w:rPr>
              <w:sym w:font="Wingdings 2" w:char="00A3"/>
            </w:r>
            <w:r>
              <w:rPr>
                <w:szCs w:val="21"/>
              </w:rPr>
              <w:t xml:space="preserve">；枯水期 </w:t>
            </w:r>
            <w:r>
              <w:rPr>
                <w:szCs w:val="21"/>
              </w:rPr>
              <w:sym w:font="Wingdings 2" w:char="00A3"/>
            </w:r>
            <w:r>
              <w:rPr>
                <w:szCs w:val="21"/>
              </w:rPr>
              <w:t xml:space="preserve">；冰封期 </w:t>
            </w:r>
            <w:r>
              <w:rPr>
                <w:szCs w:val="21"/>
              </w:rPr>
              <w:sym w:font="Wingdings 2" w:char="00A3"/>
            </w:r>
            <w:r>
              <w:rPr>
                <w:szCs w:val="21"/>
              </w:rPr>
              <w:t xml:space="preserve">；     春季 </w:t>
            </w:r>
            <w:r>
              <w:rPr>
                <w:szCs w:val="21"/>
              </w:rPr>
              <w:sym w:font="Wingdings 2" w:char="00A3"/>
            </w:r>
            <w:r>
              <w:rPr>
                <w:szCs w:val="21"/>
              </w:rPr>
              <w:t xml:space="preserve">；夏季 </w:t>
            </w:r>
            <w:r>
              <w:rPr>
                <w:szCs w:val="21"/>
              </w:rPr>
              <w:sym w:font="Wingdings 2" w:char="00A3"/>
            </w:r>
            <w:r>
              <w:rPr>
                <w:szCs w:val="21"/>
              </w:rPr>
              <w:t xml:space="preserve">；秋季 </w:t>
            </w:r>
            <w:r>
              <w:rPr>
                <w:szCs w:val="21"/>
              </w:rPr>
              <w:sym w:font="Wingdings 2" w:char="00A3"/>
            </w:r>
            <w:r>
              <w:rPr>
                <w:szCs w:val="21"/>
              </w:rPr>
              <w:t xml:space="preserve">；冬季 </w:t>
            </w:r>
            <w:r>
              <w:rPr>
                <w:szCs w:val="21"/>
              </w:rPr>
              <w:sym w:font="Wingdings 2" w:char="00A3"/>
            </w:r>
            <w:r>
              <w:rPr>
                <w:szCs w:val="21"/>
              </w:rPr>
              <w:t xml:space="preserve">       设计水文条件</w:t>
            </w:r>
            <w:r>
              <w:rPr>
                <w:szCs w:val="21"/>
              </w:rPr>
              <w:sym w:font="Wingdings 2" w:char="00A3"/>
            </w:r>
          </w:p>
        </w:tc>
      </w:tr>
      <w:tr w14:paraId="18CAC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76CFC50A">
            <w:pPr>
              <w:widowControl/>
              <w:jc w:val="center"/>
              <w:rPr>
                <w:szCs w:val="21"/>
              </w:rPr>
            </w:pPr>
          </w:p>
        </w:tc>
        <w:tc>
          <w:tcPr>
            <w:tcW w:w="810" w:type="pct"/>
            <w:vAlign w:val="center"/>
          </w:tcPr>
          <w:p w14:paraId="67B9308A">
            <w:pPr>
              <w:widowControl/>
              <w:jc w:val="center"/>
              <w:rPr>
                <w:szCs w:val="21"/>
              </w:rPr>
            </w:pPr>
            <w:r>
              <w:rPr>
                <w:szCs w:val="21"/>
              </w:rPr>
              <w:t>预测情景</w:t>
            </w:r>
          </w:p>
        </w:tc>
        <w:tc>
          <w:tcPr>
            <w:tcW w:w="3946" w:type="pct"/>
            <w:gridSpan w:val="13"/>
            <w:vAlign w:val="center"/>
          </w:tcPr>
          <w:p w14:paraId="2C41B522">
            <w:pPr>
              <w:widowControl/>
              <w:jc w:val="left"/>
              <w:rPr>
                <w:szCs w:val="21"/>
              </w:rPr>
            </w:pPr>
            <w:r>
              <w:rPr>
                <w:szCs w:val="21"/>
              </w:rPr>
              <w:t xml:space="preserve">建设期 </w:t>
            </w:r>
            <w:r>
              <w:rPr>
                <w:szCs w:val="21"/>
              </w:rPr>
              <w:sym w:font="Wingdings 2" w:char="00A3"/>
            </w:r>
            <w:r>
              <w:rPr>
                <w:szCs w:val="21"/>
              </w:rPr>
              <w:t xml:space="preserve">；生产运行期 </w:t>
            </w:r>
            <w:r>
              <w:rPr>
                <w:szCs w:val="21"/>
              </w:rPr>
              <w:sym w:font="Wingdings 2" w:char="00A3"/>
            </w:r>
            <w:r>
              <w:rPr>
                <w:szCs w:val="21"/>
              </w:rPr>
              <w:t xml:space="preserve">；服务期满后 </w:t>
            </w:r>
            <w:r>
              <w:rPr>
                <w:szCs w:val="21"/>
              </w:rPr>
              <w:sym w:font="Wingdings 2" w:char="00A3"/>
            </w:r>
            <w:r>
              <w:rPr>
                <w:szCs w:val="21"/>
              </w:rPr>
              <w:t xml:space="preserve">      正常工况 </w:t>
            </w:r>
            <w:r>
              <w:rPr>
                <w:szCs w:val="21"/>
              </w:rPr>
              <w:sym w:font="Wingdings 2" w:char="00A3"/>
            </w:r>
            <w:r>
              <w:rPr>
                <w:szCs w:val="21"/>
              </w:rPr>
              <w:t xml:space="preserve">；非正常工况 </w:t>
            </w:r>
            <w:r>
              <w:rPr>
                <w:szCs w:val="21"/>
              </w:rPr>
              <w:sym w:font="Wingdings 2" w:char="00A3"/>
            </w:r>
            <w:r>
              <w:rPr>
                <w:szCs w:val="21"/>
              </w:rPr>
              <w:t xml:space="preserve">      污染控制可减缓措施方案 </w:t>
            </w:r>
            <w:r>
              <w:rPr>
                <w:szCs w:val="21"/>
              </w:rPr>
              <w:sym w:font="Wingdings 2" w:char="00A3"/>
            </w:r>
          </w:p>
          <w:p w14:paraId="023B8688">
            <w:pPr>
              <w:widowControl/>
              <w:jc w:val="left"/>
              <w:rPr>
                <w:szCs w:val="21"/>
              </w:rPr>
            </w:pPr>
            <w:r>
              <w:rPr>
                <w:szCs w:val="21"/>
              </w:rPr>
              <w:t xml:space="preserve">区(流)域环境质量改善目标要求情景 </w:t>
            </w:r>
            <w:r>
              <w:rPr>
                <w:szCs w:val="21"/>
              </w:rPr>
              <w:sym w:font="Wingdings 2" w:char="00A3"/>
            </w:r>
          </w:p>
        </w:tc>
      </w:tr>
      <w:tr w14:paraId="392D6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4FED0D12">
            <w:pPr>
              <w:widowControl/>
              <w:jc w:val="center"/>
              <w:rPr>
                <w:szCs w:val="21"/>
              </w:rPr>
            </w:pPr>
          </w:p>
        </w:tc>
        <w:tc>
          <w:tcPr>
            <w:tcW w:w="810" w:type="pct"/>
            <w:vAlign w:val="center"/>
          </w:tcPr>
          <w:p w14:paraId="5DF31E97">
            <w:pPr>
              <w:widowControl/>
              <w:jc w:val="center"/>
              <w:rPr>
                <w:szCs w:val="21"/>
              </w:rPr>
            </w:pPr>
            <w:r>
              <w:rPr>
                <w:szCs w:val="21"/>
              </w:rPr>
              <w:t>预测方法</w:t>
            </w:r>
          </w:p>
        </w:tc>
        <w:tc>
          <w:tcPr>
            <w:tcW w:w="3946" w:type="pct"/>
            <w:gridSpan w:val="13"/>
            <w:vAlign w:val="center"/>
          </w:tcPr>
          <w:p w14:paraId="2C45C66E">
            <w:pPr>
              <w:widowControl/>
              <w:jc w:val="left"/>
              <w:rPr>
                <w:szCs w:val="21"/>
              </w:rPr>
            </w:pPr>
            <w:r>
              <w:rPr>
                <w:szCs w:val="21"/>
              </w:rPr>
              <w:t xml:space="preserve">数值解 </w:t>
            </w:r>
            <w:r>
              <w:rPr>
                <w:szCs w:val="21"/>
              </w:rPr>
              <w:sym w:font="Wingdings 2" w:char="00A3"/>
            </w:r>
            <w:r>
              <w:rPr>
                <w:szCs w:val="21"/>
              </w:rPr>
              <w:t xml:space="preserve">；解析解 </w:t>
            </w:r>
            <w:r>
              <w:rPr>
                <w:szCs w:val="21"/>
              </w:rPr>
              <w:sym w:font="Wingdings 2" w:char="00A3"/>
            </w:r>
            <w:r>
              <w:rPr>
                <w:szCs w:val="21"/>
              </w:rPr>
              <w:t xml:space="preserve">；其他 </w:t>
            </w:r>
            <w:r>
              <w:rPr>
                <w:szCs w:val="21"/>
              </w:rPr>
              <w:sym w:font="Wingdings 2" w:char="00A3"/>
            </w:r>
            <w:r>
              <w:rPr>
                <w:szCs w:val="21"/>
              </w:rPr>
              <w:t xml:space="preserve"> </w:t>
            </w:r>
          </w:p>
          <w:p w14:paraId="69760C42">
            <w:pPr>
              <w:widowControl/>
              <w:jc w:val="left"/>
              <w:rPr>
                <w:szCs w:val="21"/>
              </w:rPr>
            </w:pPr>
            <w:r>
              <w:rPr>
                <w:szCs w:val="21"/>
              </w:rPr>
              <w:t xml:space="preserve">导则推荐模式 </w:t>
            </w:r>
            <w:r>
              <w:rPr>
                <w:szCs w:val="21"/>
              </w:rPr>
              <w:sym w:font="Wingdings 2" w:char="00A3"/>
            </w:r>
            <w:r>
              <w:rPr>
                <w:szCs w:val="21"/>
              </w:rPr>
              <w:t xml:space="preserve">；其他 </w:t>
            </w:r>
            <w:r>
              <w:rPr>
                <w:szCs w:val="21"/>
              </w:rPr>
              <w:sym w:font="Wingdings 2" w:char="00A3"/>
            </w:r>
          </w:p>
        </w:tc>
      </w:tr>
      <w:tr w14:paraId="0EDC6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restart"/>
            <w:vAlign w:val="center"/>
          </w:tcPr>
          <w:p w14:paraId="6CF5FDE3">
            <w:pPr>
              <w:widowControl/>
              <w:jc w:val="center"/>
              <w:rPr>
                <w:szCs w:val="21"/>
              </w:rPr>
            </w:pPr>
            <w:r>
              <w:rPr>
                <w:szCs w:val="21"/>
              </w:rPr>
              <w:t>影响评价</w:t>
            </w:r>
          </w:p>
        </w:tc>
        <w:tc>
          <w:tcPr>
            <w:tcW w:w="810" w:type="pct"/>
            <w:vAlign w:val="center"/>
          </w:tcPr>
          <w:p w14:paraId="5D7A2826">
            <w:pPr>
              <w:widowControl/>
              <w:jc w:val="center"/>
              <w:rPr>
                <w:szCs w:val="21"/>
              </w:rPr>
            </w:pPr>
            <w:r>
              <w:rPr>
                <w:szCs w:val="21"/>
              </w:rPr>
              <w:t>水污染控制和水环境影响减缓措施有效性评价</w:t>
            </w:r>
          </w:p>
        </w:tc>
        <w:tc>
          <w:tcPr>
            <w:tcW w:w="3946" w:type="pct"/>
            <w:gridSpan w:val="13"/>
            <w:vAlign w:val="center"/>
          </w:tcPr>
          <w:p w14:paraId="7AD1AC51">
            <w:pPr>
              <w:widowControl/>
              <w:jc w:val="left"/>
              <w:rPr>
                <w:szCs w:val="21"/>
              </w:rPr>
            </w:pPr>
            <w:r>
              <w:rPr>
                <w:szCs w:val="21"/>
              </w:rPr>
              <w:t xml:space="preserve">区(流)域环境质量改善目标 </w:t>
            </w:r>
            <w:r>
              <w:rPr>
                <w:szCs w:val="21"/>
              </w:rPr>
              <w:sym w:font="Wingdings 2" w:char="00A3"/>
            </w:r>
            <w:r>
              <w:rPr>
                <w:szCs w:val="21"/>
              </w:rPr>
              <w:t xml:space="preserve">； 替代消减源 </w:t>
            </w:r>
            <w:r>
              <w:rPr>
                <w:szCs w:val="21"/>
              </w:rPr>
              <w:sym w:font="Wingdings 2" w:char="00A3"/>
            </w:r>
          </w:p>
        </w:tc>
      </w:tr>
      <w:tr w14:paraId="1A20D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5A6C9E3B">
            <w:pPr>
              <w:widowControl/>
              <w:jc w:val="center"/>
              <w:rPr>
                <w:szCs w:val="21"/>
              </w:rPr>
            </w:pPr>
          </w:p>
        </w:tc>
        <w:tc>
          <w:tcPr>
            <w:tcW w:w="810" w:type="pct"/>
            <w:vAlign w:val="center"/>
          </w:tcPr>
          <w:p w14:paraId="1AFEFE5E">
            <w:pPr>
              <w:widowControl/>
              <w:jc w:val="center"/>
              <w:rPr>
                <w:szCs w:val="21"/>
              </w:rPr>
            </w:pPr>
            <w:r>
              <w:rPr>
                <w:szCs w:val="21"/>
              </w:rPr>
              <w:t>水环境影响评价</w:t>
            </w:r>
          </w:p>
        </w:tc>
        <w:tc>
          <w:tcPr>
            <w:tcW w:w="3946" w:type="pct"/>
            <w:gridSpan w:val="13"/>
            <w:vAlign w:val="center"/>
          </w:tcPr>
          <w:p w14:paraId="1B69407D">
            <w:pPr>
              <w:widowControl/>
              <w:jc w:val="left"/>
              <w:rPr>
                <w:szCs w:val="21"/>
              </w:rPr>
            </w:pPr>
            <w:r>
              <w:rPr>
                <w:szCs w:val="21"/>
              </w:rPr>
              <w:t xml:space="preserve">排放口混合去外满足水环境保护要求 </w:t>
            </w:r>
            <w:r>
              <w:rPr>
                <w:szCs w:val="21"/>
              </w:rPr>
              <w:sym w:font="Wingdings 2" w:char="00A3"/>
            </w:r>
          </w:p>
          <w:p w14:paraId="5DE83143">
            <w:pPr>
              <w:widowControl/>
              <w:jc w:val="left"/>
              <w:rPr>
                <w:szCs w:val="21"/>
              </w:rPr>
            </w:pPr>
            <w:r>
              <w:rPr>
                <w:szCs w:val="21"/>
              </w:rPr>
              <w:t xml:space="preserve">水环境功能区或水功能区、近岸海域环境功能区水质达标 </w:t>
            </w:r>
            <w:r>
              <w:rPr>
                <w:szCs w:val="21"/>
              </w:rPr>
              <w:sym w:font="Wingdings 2" w:char="00A3"/>
            </w:r>
          </w:p>
          <w:p w14:paraId="41FC4AE8">
            <w:pPr>
              <w:widowControl/>
              <w:jc w:val="left"/>
              <w:rPr>
                <w:szCs w:val="21"/>
              </w:rPr>
            </w:pPr>
            <w:r>
              <w:rPr>
                <w:szCs w:val="21"/>
              </w:rPr>
              <w:t>满足水环境保护目标水域水环境质量要求</w:t>
            </w:r>
            <w:r>
              <w:rPr>
                <w:szCs w:val="21"/>
              </w:rPr>
              <w:sym w:font="Wingdings" w:char="F0FE"/>
            </w:r>
          </w:p>
          <w:p w14:paraId="6204F0D5">
            <w:pPr>
              <w:widowControl/>
              <w:jc w:val="left"/>
              <w:rPr>
                <w:szCs w:val="21"/>
              </w:rPr>
            </w:pPr>
            <w:r>
              <w:rPr>
                <w:szCs w:val="21"/>
              </w:rPr>
              <w:t xml:space="preserve">水环境控制单元或断面水质达标 </w:t>
            </w:r>
            <w:r>
              <w:rPr>
                <w:szCs w:val="21"/>
              </w:rPr>
              <w:sym w:font="Wingdings 2" w:char="0052"/>
            </w:r>
          </w:p>
          <w:p w14:paraId="366BEEF3">
            <w:pPr>
              <w:widowControl/>
              <w:jc w:val="left"/>
              <w:rPr>
                <w:szCs w:val="21"/>
              </w:rPr>
            </w:pPr>
            <w:r>
              <w:rPr>
                <w:szCs w:val="21"/>
              </w:rPr>
              <w:t xml:space="preserve">满足重点水污染物排放总量控制指标要求，重点行业建设项目，主要污染物排放满足等量或减量替代要求 </w:t>
            </w:r>
            <w:r>
              <w:rPr>
                <w:szCs w:val="21"/>
              </w:rPr>
              <w:sym w:font="Wingdings 2" w:char="00A3"/>
            </w:r>
          </w:p>
          <w:p w14:paraId="043DE061">
            <w:pPr>
              <w:widowControl/>
              <w:jc w:val="left"/>
              <w:rPr>
                <w:szCs w:val="21"/>
              </w:rPr>
            </w:pPr>
            <w:r>
              <w:rPr>
                <w:szCs w:val="21"/>
              </w:rPr>
              <w:t xml:space="preserve">满足区(流)域环境质量改善目标要求 </w:t>
            </w:r>
            <w:r>
              <w:rPr>
                <w:szCs w:val="21"/>
              </w:rPr>
              <w:sym w:font="Wingdings 2" w:char="00A3"/>
            </w:r>
          </w:p>
          <w:p w14:paraId="7D93CA02">
            <w:pPr>
              <w:widowControl/>
              <w:jc w:val="left"/>
              <w:rPr>
                <w:szCs w:val="21"/>
              </w:rPr>
            </w:pPr>
            <w:r>
              <w:rPr>
                <w:szCs w:val="21"/>
              </w:rPr>
              <w:t xml:space="preserve">水文要素影响型建设项目同时应包括水文情势变化评价、主要水文特征值影响评价、生态流量符合性评价 </w:t>
            </w:r>
            <w:r>
              <w:rPr>
                <w:szCs w:val="21"/>
              </w:rPr>
              <w:sym w:font="Wingdings 2" w:char="00A3"/>
            </w:r>
          </w:p>
          <w:p w14:paraId="407499E8">
            <w:pPr>
              <w:widowControl/>
              <w:jc w:val="left"/>
              <w:rPr>
                <w:szCs w:val="21"/>
              </w:rPr>
            </w:pPr>
            <w:r>
              <w:rPr>
                <w:szCs w:val="21"/>
              </w:rPr>
              <w:t xml:space="preserve">对于新设或调整入河(湖库、近岸海域)排放口的建设项目，应包括排放口设置的环境合理性评价 </w:t>
            </w:r>
            <w:r>
              <w:rPr>
                <w:szCs w:val="21"/>
              </w:rPr>
              <w:sym w:font="Wingdings 2" w:char="00A3"/>
            </w:r>
          </w:p>
          <w:p w14:paraId="31189411">
            <w:pPr>
              <w:widowControl/>
              <w:jc w:val="left"/>
              <w:rPr>
                <w:szCs w:val="21"/>
              </w:rPr>
            </w:pPr>
            <w:r>
              <w:rPr>
                <w:szCs w:val="21"/>
              </w:rPr>
              <w:t>满足生态保护红线、水环境质量底线、资源利用上线和环境准入清单管理要求</w:t>
            </w:r>
            <w:r>
              <w:rPr>
                <w:szCs w:val="21"/>
              </w:rPr>
              <w:sym w:font="Wingdings" w:char="F0FE"/>
            </w:r>
          </w:p>
        </w:tc>
      </w:tr>
      <w:tr w14:paraId="43252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47D5C807">
            <w:pPr>
              <w:widowControl/>
              <w:jc w:val="center"/>
              <w:rPr>
                <w:szCs w:val="21"/>
              </w:rPr>
            </w:pPr>
          </w:p>
        </w:tc>
        <w:tc>
          <w:tcPr>
            <w:tcW w:w="810" w:type="pct"/>
            <w:vMerge w:val="restart"/>
            <w:vAlign w:val="center"/>
          </w:tcPr>
          <w:p w14:paraId="5249BD13">
            <w:pPr>
              <w:widowControl/>
              <w:jc w:val="center"/>
              <w:rPr>
                <w:szCs w:val="21"/>
              </w:rPr>
            </w:pPr>
            <w:r>
              <w:rPr>
                <w:szCs w:val="21"/>
              </w:rPr>
              <w:t>污染源排放量核算</w:t>
            </w:r>
          </w:p>
        </w:tc>
        <w:tc>
          <w:tcPr>
            <w:tcW w:w="1088" w:type="pct"/>
            <w:gridSpan w:val="3"/>
            <w:vAlign w:val="center"/>
          </w:tcPr>
          <w:p w14:paraId="71FE3057">
            <w:pPr>
              <w:widowControl/>
              <w:jc w:val="center"/>
              <w:rPr>
                <w:szCs w:val="21"/>
              </w:rPr>
            </w:pPr>
            <w:r>
              <w:rPr>
                <w:szCs w:val="21"/>
              </w:rPr>
              <w:t>污染物名称</w:t>
            </w:r>
          </w:p>
        </w:tc>
        <w:tc>
          <w:tcPr>
            <w:tcW w:w="1397" w:type="pct"/>
            <w:gridSpan w:val="5"/>
            <w:vAlign w:val="center"/>
          </w:tcPr>
          <w:p w14:paraId="51CEE264">
            <w:pPr>
              <w:widowControl/>
              <w:jc w:val="center"/>
              <w:rPr>
                <w:szCs w:val="21"/>
              </w:rPr>
            </w:pPr>
            <w:r>
              <w:rPr>
                <w:szCs w:val="21"/>
              </w:rPr>
              <w:t>排放量/(t/a)</w:t>
            </w:r>
          </w:p>
        </w:tc>
        <w:tc>
          <w:tcPr>
            <w:tcW w:w="1461" w:type="pct"/>
            <w:gridSpan w:val="5"/>
            <w:vAlign w:val="center"/>
          </w:tcPr>
          <w:p w14:paraId="2172FDD1">
            <w:pPr>
              <w:widowControl/>
              <w:jc w:val="center"/>
              <w:rPr>
                <w:szCs w:val="21"/>
              </w:rPr>
            </w:pPr>
            <w:r>
              <w:rPr>
                <w:szCs w:val="21"/>
              </w:rPr>
              <w:t>排放浓度/(mg/L)</w:t>
            </w:r>
          </w:p>
        </w:tc>
      </w:tr>
      <w:tr w14:paraId="2F800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59EF0F6A">
            <w:pPr>
              <w:widowControl/>
              <w:jc w:val="center"/>
              <w:rPr>
                <w:szCs w:val="21"/>
              </w:rPr>
            </w:pPr>
          </w:p>
        </w:tc>
        <w:tc>
          <w:tcPr>
            <w:tcW w:w="810" w:type="pct"/>
            <w:vMerge w:val="continue"/>
            <w:vAlign w:val="center"/>
          </w:tcPr>
          <w:p w14:paraId="019F621F">
            <w:pPr>
              <w:widowControl/>
              <w:jc w:val="center"/>
              <w:rPr>
                <w:szCs w:val="21"/>
              </w:rPr>
            </w:pPr>
          </w:p>
        </w:tc>
        <w:tc>
          <w:tcPr>
            <w:tcW w:w="1088" w:type="pct"/>
            <w:gridSpan w:val="3"/>
            <w:vAlign w:val="center"/>
          </w:tcPr>
          <w:p w14:paraId="37488FE4">
            <w:pPr>
              <w:widowControl/>
              <w:jc w:val="center"/>
              <w:rPr>
                <w:szCs w:val="21"/>
              </w:rPr>
            </w:pPr>
            <w:r>
              <w:rPr>
                <w:szCs w:val="21"/>
              </w:rPr>
              <w:t>(  /  )</w:t>
            </w:r>
          </w:p>
        </w:tc>
        <w:tc>
          <w:tcPr>
            <w:tcW w:w="1397" w:type="pct"/>
            <w:gridSpan w:val="5"/>
            <w:vAlign w:val="center"/>
          </w:tcPr>
          <w:p w14:paraId="161F28D1">
            <w:pPr>
              <w:widowControl/>
              <w:jc w:val="center"/>
              <w:rPr>
                <w:szCs w:val="21"/>
              </w:rPr>
            </w:pPr>
            <w:r>
              <w:rPr>
                <w:szCs w:val="21"/>
              </w:rPr>
              <w:t>(  /  )</w:t>
            </w:r>
          </w:p>
        </w:tc>
        <w:tc>
          <w:tcPr>
            <w:tcW w:w="1461" w:type="pct"/>
            <w:gridSpan w:val="5"/>
            <w:vAlign w:val="center"/>
          </w:tcPr>
          <w:p w14:paraId="0EF22806">
            <w:pPr>
              <w:widowControl/>
              <w:jc w:val="center"/>
              <w:rPr>
                <w:szCs w:val="21"/>
              </w:rPr>
            </w:pPr>
            <w:r>
              <w:rPr>
                <w:szCs w:val="21"/>
              </w:rPr>
              <w:t>(  /  )</w:t>
            </w:r>
          </w:p>
        </w:tc>
      </w:tr>
      <w:tr w14:paraId="492FC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3E36F5D2">
            <w:pPr>
              <w:widowControl/>
              <w:jc w:val="center"/>
              <w:rPr>
                <w:szCs w:val="21"/>
              </w:rPr>
            </w:pPr>
          </w:p>
        </w:tc>
        <w:tc>
          <w:tcPr>
            <w:tcW w:w="810" w:type="pct"/>
            <w:vMerge w:val="restart"/>
            <w:vAlign w:val="center"/>
          </w:tcPr>
          <w:p w14:paraId="6669615B">
            <w:pPr>
              <w:widowControl/>
              <w:jc w:val="center"/>
              <w:rPr>
                <w:szCs w:val="21"/>
              </w:rPr>
            </w:pPr>
            <w:r>
              <w:rPr>
                <w:szCs w:val="21"/>
              </w:rPr>
              <w:t>替代源排放量情况</w:t>
            </w:r>
          </w:p>
        </w:tc>
        <w:tc>
          <w:tcPr>
            <w:tcW w:w="755" w:type="pct"/>
            <w:vAlign w:val="center"/>
          </w:tcPr>
          <w:p w14:paraId="621F257A">
            <w:pPr>
              <w:widowControl/>
              <w:jc w:val="center"/>
              <w:rPr>
                <w:szCs w:val="21"/>
              </w:rPr>
            </w:pPr>
            <w:r>
              <w:rPr>
                <w:szCs w:val="21"/>
              </w:rPr>
              <w:t>污染源名称</w:t>
            </w:r>
          </w:p>
        </w:tc>
        <w:tc>
          <w:tcPr>
            <w:tcW w:w="916" w:type="pct"/>
            <w:gridSpan w:val="4"/>
            <w:vAlign w:val="center"/>
          </w:tcPr>
          <w:p w14:paraId="14E3BB02">
            <w:pPr>
              <w:widowControl/>
              <w:jc w:val="center"/>
              <w:rPr>
                <w:szCs w:val="21"/>
              </w:rPr>
            </w:pPr>
            <w:r>
              <w:rPr>
                <w:szCs w:val="21"/>
              </w:rPr>
              <w:t>排污许可证编号</w:t>
            </w:r>
          </w:p>
        </w:tc>
        <w:tc>
          <w:tcPr>
            <w:tcW w:w="619" w:type="pct"/>
            <w:gridSpan w:val="2"/>
            <w:vAlign w:val="center"/>
          </w:tcPr>
          <w:p w14:paraId="045BBB0A">
            <w:pPr>
              <w:widowControl/>
              <w:jc w:val="center"/>
              <w:rPr>
                <w:szCs w:val="21"/>
              </w:rPr>
            </w:pPr>
            <w:r>
              <w:rPr>
                <w:szCs w:val="21"/>
              </w:rPr>
              <w:t>污染物名称</w:t>
            </w:r>
          </w:p>
        </w:tc>
        <w:tc>
          <w:tcPr>
            <w:tcW w:w="673" w:type="pct"/>
            <w:gridSpan w:val="3"/>
            <w:vAlign w:val="center"/>
          </w:tcPr>
          <w:p w14:paraId="59B6BEBD">
            <w:pPr>
              <w:widowControl/>
              <w:jc w:val="center"/>
              <w:rPr>
                <w:szCs w:val="21"/>
              </w:rPr>
            </w:pPr>
            <w:r>
              <w:rPr>
                <w:szCs w:val="21"/>
              </w:rPr>
              <w:t>排放量</w:t>
            </w:r>
          </w:p>
        </w:tc>
        <w:tc>
          <w:tcPr>
            <w:tcW w:w="982" w:type="pct"/>
            <w:gridSpan w:val="3"/>
            <w:vAlign w:val="center"/>
          </w:tcPr>
          <w:p w14:paraId="0701DDBB">
            <w:pPr>
              <w:widowControl/>
              <w:jc w:val="center"/>
              <w:rPr>
                <w:szCs w:val="21"/>
              </w:rPr>
            </w:pPr>
            <w:r>
              <w:rPr>
                <w:szCs w:val="21"/>
              </w:rPr>
              <w:t>排放浓度/(mg/L)</w:t>
            </w:r>
          </w:p>
        </w:tc>
      </w:tr>
      <w:tr w14:paraId="7C658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7EFD0CAE">
            <w:pPr>
              <w:widowControl/>
              <w:jc w:val="center"/>
              <w:rPr>
                <w:szCs w:val="21"/>
              </w:rPr>
            </w:pPr>
          </w:p>
        </w:tc>
        <w:tc>
          <w:tcPr>
            <w:tcW w:w="810" w:type="pct"/>
            <w:vMerge w:val="continue"/>
            <w:vAlign w:val="center"/>
          </w:tcPr>
          <w:p w14:paraId="5C7B859E">
            <w:pPr>
              <w:widowControl/>
              <w:jc w:val="center"/>
              <w:rPr>
                <w:szCs w:val="21"/>
              </w:rPr>
            </w:pPr>
          </w:p>
        </w:tc>
        <w:tc>
          <w:tcPr>
            <w:tcW w:w="755" w:type="pct"/>
            <w:vAlign w:val="center"/>
          </w:tcPr>
          <w:p w14:paraId="45A1B886">
            <w:pPr>
              <w:widowControl/>
              <w:jc w:val="center"/>
              <w:rPr>
                <w:szCs w:val="21"/>
              </w:rPr>
            </w:pPr>
            <w:r>
              <w:rPr>
                <w:szCs w:val="21"/>
              </w:rPr>
              <w:t>(    )</w:t>
            </w:r>
          </w:p>
        </w:tc>
        <w:tc>
          <w:tcPr>
            <w:tcW w:w="916" w:type="pct"/>
            <w:gridSpan w:val="4"/>
            <w:vAlign w:val="center"/>
          </w:tcPr>
          <w:p w14:paraId="487D911D">
            <w:pPr>
              <w:widowControl/>
              <w:jc w:val="center"/>
              <w:rPr>
                <w:szCs w:val="21"/>
              </w:rPr>
            </w:pPr>
            <w:r>
              <w:rPr>
                <w:szCs w:val="21"/>
              </w:rPr>
              <w:t>(    )</w:t>
            </w:r>
          </w:p>
        </w:tc>
        <w:tc>
          <w:tcPr>
            <w:tcW w:w="619" w:type="pct"/>
            <w:gridSpan w:val="2"/>
            <w:vAlign w:val="center"/>
          </w:tcPr>
          <w:p w14:paraId="2F209776">
            <w:pPr>
              <w:widowControl/>
              <w:jc w:val="center"/>
              <w:rPr>
                <w:szCs w:val="21"/>
              </w:rPr>
            </w:pPr>
            <w:r>
              <w:rPr>
                <w:szCs w:val="21"/>
              </w:rPr>
              <w:t>(    )</w:t>
            </w:r>
          </w:p>
        </w:tc>
        <w:tc>
          <w:tcPr>
            <w:tcW w:w="673" w:type="pct"/>
            <w:gridSpan w:val="3"/>
            <w:vAlign w:val="center"/>
          </w:tcPr>
          <w:p w14:paraId="1CBD7A81">
            <w:pPr>
              <w:widowControl/>
              <w:jc w:val="center"/>
              <w:rPr>
                <w:szCs w:val="21"/>
              </w:rPr>
            </w:pPr>
            <w:r>
              <w:rPr>
                <w:szCs w:val="21"/>
              </w:rPr>
              <w:t>(    )</w:t>
            </w:r>
          </w:p>
        </w:tc>
        <w:tc>
          <w:tcPr>
            <w:tcW w:w="982" w:type="pct"/>
            <w:gridSpan w:val="3"/>
            <w:vAlign w:val="center"/>
          </w:tcPr>
          <w:p w14:paraId="338D8BD7">
            <w:pPr>
              <w:widowControl/>
              <w:jc w:val="center"/>
              <w:rPr>
                <w:szCs w:val="21"/>
              </w:rPr>
            </w:pPr>
            <w:r>
              <w:rPr>
                <w:szCs w:val="21"/>
              </w:rPr>
              <w:t>(    )</w:t>
            </w:r>
          </w:p>
        </w:tc>
      </w:tr>
      <w:tr w14:paraId="59117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704C69F8">
            <w:pPr>
              <w:widowControl/>
              <w:jc w:val="center"/>
              <w:rPr>
                <w:szCs w:val="21"/>
              </w:rPr>
            </w:pPr>
          </w:p>
        </w:tc>
        <w:tc>
          <w:tcPr>
            <w:tcW w:w="810" w:type="pct"/>
            <w:vAlign w:val="center"/>
          </w:tcPr>
          <w:p w14:paraId="00A88AD5">
            <w:pPr>
              <w:widowControl/>
              <w:jc w:val="center"/>
              <w:rPr>
                <w:szCs w:val="21"/>
              </w:rPr>
            </w:pPr>
            <w:r>
              <w:rPr>
                <w:szCs w:val="21"/>
              </w:rPr>
              <w:t>生态流量确定</w:t>
            </w:r>
          </w:p>
        </w:tc>
        <w:tc>
          <w:tcPr>
            <w:tcW w:w="3946" w:type="pct"/>
            <w:gridSpan w:val="13"/>
            <w:vAlign w:val="center"/>
          </w:tcPr>
          <w:p w14:paraId="08A0C77F">
            <w:pPr>
              <w:widowControl/>
              <w:jc w:val="left"/>
              <w:rPr>
                <w:szCs w:val="21"/>
              </w:rPr>
            </w:pPr>
            <w:r>
              <w:rPr>
                <w:szCs w:val="21"/>
              </w:rPr>
              <w:t>生态流量：一般水期(  )m</w:t>
            </w:r>
            <w:r>
              <w:rPr>
                <w:szCs w:val="21"/>
                <w:vertAlign w:val="superscript"/>
              </w:rPr>
              <w:t>3</w:t>
            </w:r>
            <w:r>
              <w:rPr>
                <w:szCs w:val="21"/>
              </w:rPr>
              <w:t>/s；鱼类繁殖期(  )m</w:t>
            </w:r>
            <w:r>
              <w:rPr>
                <w:szCs w:val="21"/>
                <w:vertAlign w:val="superscript"/>
              </w:rPr>
              <w:t>3</w:t>
            </w:r>
            <w:r>
              <w:rPr>
                <w:szCs w:val="21"/>
              </w:rPr>
              <w:t>/s；其他(  )m</w:t>
            </w:r>
            <w:r>
              <w:rPr>
                <w:szCs w:val="21"/>
                <w:vertAlign w:val="superscript"/>
              </w:rPr>
              <w:t>3</w:t>
            </w:r>
            <w:r>
              <w:rPr>
                <w:szCs w:val="21"/>
              </w:rPr>
              <w:t>/s</w:t>
            </w:r>
          </w:p>
          <w:p w14:paraId="6958DCFA">
            <w:pPr>
              <w:widowControl/>
              <w:jc w:val="left"/>
              <w:rPr>
                <w:szCs w:val="21"/>
              </w:rPr>
            </w:pPr>
            <w:r>
              <w:rPr>
                <w:szCs w:val="21"/>
              </w:rPr>
              <w:t>生态水位：一般水期(  )m</w:t>
            </w:r>
            <w:r>
              <w:rPr>
                <w:szCs w:val="21"/>
                <w:vertAlign w:val="superscript"/>
              </w:rPr>
              <w:t>3</w:t>
            </w:r>
            <w:r>
              <w:rPr>
                <w:szCs w:val="21"/>
              </w:rPr>
              <w:t>/s；鱼类繁殖期(  )m</w:t>
            </w:r>
            <w:r>
              <w:rPr>
                <w:szCs w:val="21"/>
                <w:vertAlign w:val="superscript"/>
              </w:rPr>
              <w:t>3</w:t>
            </w:r>
            <w:r>
              <w:rPr>
                <w:szCs w:val="21"/>
              </w:rPr>
              <w:t>/s；其他(  )m</w:t>
            </w:r>
            <w:r>
              <w:rPr>
                <w:szCs w:val="21"/>
                <w:vertAlign w:val="superscript"/>
              </w:rPr>
              <w:t>3</w:t>
            </w:r>
            <w:r>
              <w:rPr>
                <w:szCs w:val="21"/>
              </w:rPr>
              <w:t>/s</w:t>
            </w:r>
          </w:p>
        </w:tc>
      </w:tr>
      <w:tr w14:paraId="5B65B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restart"/>
            <w:vAlign w:val="center"/>
          </w:tcPr>
          <w:p w14:paraId="166C97EA">
            <w:pPr>
              <w:widowControl/>
              <w:jc w:val="center"/>
              <w:rPr>
                <w:szCs w:val="21"/>
              </w:rPr>
            </w:pPr>
            <w:r>
              <w:rPr>
                <w:szCs w:val="21"/>
              </w:rPr>
              <w:t>防治措施</w:t>
            </w:r>
          </w:p>
        </w:tc>
        <w:tc>
          <w:tcPr>
            <w:tcW w:w="810" w:type="pct"/>
            <w:vAlign w:val="center"/>
          </w:tcPr>
          <w:p w14:paraId="05871D8C">
            <w:pPr>
              <w:widowControl/>
              <w:jc w:val="center"/>
              <w:rPr>
                <w:szCs w:val="21"/>
              </w:rPr>
            </w:pPr>
            <w:r>
              <w:rPr>
                <w:szCs w:val="21"/>
              </w:rPr>
              <w:t>环保措施</w:t>
            </w:r>
          </w:p>
        </w:tc>
        <w:tc>
          <w:tcPr>
            <w:tcW w:w="3946" w:type="pct"/>
            <w:gridSpan w:val="13"/>
            <w:vAlign w:val="center"/>
          </w:tcPr>
          <w:p w14:paraId="0862DE93">
            <w:pPr>
              <w:widowControl/>
              <w:jc w:val="left"/>
              <w:rPr>
                <w:szCs w:val="21"/>
              </w:rPr>
            </w:pPr>
            <w:r>
              <w:rPr>
                <w:szCs w:val="21"/>
              </w:rPr>
              <w:t xml:space="preserve">污水处理设施 </w:t>
            </w:r>
            <w:r>
              <w:rPr>
                <w:szCs w:val="21"/>
              </w:rPr>
              <w:sym w:font="Wingdings 2" w:char="00A3"/>
            </w:r>
            <w:r>
              <w:rPr>
                <w:szCs w:val="21"/>
              </w:rPr>
              <w:t xml:space="preserve">；水文减缓设施 </w:t>
            </w:r>
            <w:r>
              <w:rPr>
                <w:szCs w:val="21"/>
              </w:rPr>
              <w:sym w:font="Wingdings 2" w:char="00A3"/>
            </w:r>
            <w:r>
              <w:rPr>
                <w:szCs w:val="21"/>
              </w:rPr>
              <w:t xml:space="preserve">；生态流量保障设施 </w:t>
            </w:r>
            <w:r>
              <w:rPr>
                <w:szCs w:val="21"/>
              </w:rPr>
              <w:sym w:font="Wingdings 2" w:char="00A3"/>
            </w:r>
            <w:r>
              <w:rPr>
                <w:szCs w:val="21"/>
              </w:rPr>
              <w:t xml:space="preserve">；区域消减依托其他工程措施 </w:t>
            </w:r>
            <w:r>
              <w:rPr>
                <w:szCs w:val="21"/>
              </w:rPr>
              <w:sym w:font="Wingdings 2" w:char="00A3"/>
            </w:r>
            <w:r>
              <w:rPr>
                <w:szCs w:val="21"/>
              </w:rPr>
              <w:t xml:space="preserve">；其他 </w:t>
            </w:r>
            <w:r>
              <w:rPr>
                <w:szCs w:val="21"/>
              </w:rPr>
              <w:sym w:font="Wingdings 2" w:char="00A3"/>
            </w:r>
          </w:p>
        </w:tc>
      </w:tr>
      <w:tr w14:paraId="02B87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6FF717D0">
            <w:pPr>
              <w:widowControl/>
              <w:jc w:val="center"/>
              <w:rPr>
                <w:szCs w:val="21"/>
              </w:rPr>
            </w:pPr>
          </w:p>
        </w:tc>
        <w:tc>
          <w:tcPr>
            <w:tcW w:w="810" w:type="pct"/>
            <w:vMerge w:val="restart"/>
            <w:vAlign w:val="center"/>
          </w:tcPr>
          <w:p w14:paraId="4FDF2E48">
            <w:pPr>
              <w:widowControl/>
              <w:jc w:val="center"/>
              <w:rPr>
                <w:szCs w:val="21"/>
              </w:rPr>
            </w:pPr>
            <w:r>
              <w:rPr>
                <w:szCs w:val="21"/>
              </w:rPr>
              <w:t>监测计划</w:t>
            </w:r>
          </w:p>
        </w:tc>
        <w:tc>
          <w:tcPr>
            <w:tcW w:w="1027" w:type="pct"/>
            <w:gridSpan w:val="2"/>
            <w:vAlign w:val="center"/>
          </w:tcPr>
          <w:p w14:paraId="0626D450">
            <w:pPr>
              <w:widowControl/>
              <w:jc w:val="center"/>
              <w:rPr>
                <w:szCs w:val="21"/>
              </w:rPr>
            </w:pPr>
          </w:p>
        </w:tc>
        <w:tc>
          <w:tcPr>
            <w:tcW w:w="1464" w:type="pct"/>
            <w:gridSpan w:val="7"/>
            <w:vAlign w:val="center"/>
          </w:tcPr>
          <w:p w14:paraId="0CD64D11">
            <w:pPr>
              <w:widowControl/>
              <w:jc w:val="center"/>
              <w:rPr>
                <w:szCs w:val="21"/>
              </w:rPr>
            </w:pPr>
            <w:r>
              <w:rPr>
                <w:szCs w:val="21"/>
              </w:rPr>
              <w:t>环境质量</w:t>
            </w:r>
          </w:p>
        </w:tc>
        <w:tc>
          <w:tcPr>
            <w:tcW w:w="1454" w:type="pct"/>
            <w:gridSpan w:val="4"/>
            <w:vAlign w:val="center"/>
          </w:tcPr>
          <w:p w14:paraId="21649188">
            <w:pPr>
              <w:widowControl/>
              <w:jc w:val="center"/>
              <w:rPr>
                <w:szCs w:val="21"/>
              </w:rPr>
            </w:pPr>
            <w:r>
              <w:rPr>
                <w:szCs w:val="21"/>
              </w:rPr>
              <w:t>污染源</w:t>
            </w:r>
          </w:p>
        </w:tc>
      </w:tr>
      <w:tr w14:paraId="3765F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679270D5">
            <w:pPr>
              <w:widowControl/>
              <w:jc w:val="center"/>
              <w:rPr>
                <w:szCs w:val="21"/>
              </w:rPr>
            </w:pPr>
          </w:p>
        </w:tc>
        <w:tc>
          <w:tcPr>
            <w:tcW w:w="810" w:type="pct"/>
            <w:vMerge w:val="continue"/>
            <w:vAlign w:val="center"/>
          </w:tcPr>
          <w:p w14:paraId="4262E515">
            <w:pPr>
              <w:widowControl/>
              <w:jc w:val="center"/>
              <w:rPr>
                <w:szCs w:val="21"/>
              </w:rPr>
            </w:pPr>
          </w:p>
        </w:tc>
        <w:tc>
          <w:tcPr>
            <w:tcW w:w="1027" w:type="pct"/>
            <w:gridSpan w:val="2"/>
            <w:vAlign w:val="center"/>
          </w:tcPr>
          <w:p w14:paraId="153D9BED">
            <w:pPr>
              <w:widowControl/>
              <w:jc w:val="center"/>
              <w:rPr>
                <w:szCs w:val="21"/>
              </w:rPr>
            </w:pPr>
            <w:r>
              <w:rPr>
                <w:szCs w:val="21"/>
              </w:rPr>
              <w:t>监测方法</w:t>
            </w:r>
          </w:p>
        </w:tc>
        <w:tc>
          <w:tcPr>
            <w:tcW w:w="1464" w:type="pct"/>
            <w:gridSpan w:val="7"/>
            <w:vAlign w:val="center"/>
          </w:tcPr>
          <w:p w14:paraId="45DB0A07">
            <w:pPr>
              <w:widowControl/>
              <w:jc w:val="center"/>
              <w:rPr>
                <w:szCs w:val="21"/>
              </w:rPr>
            </w:pPr>
            <w:r>
              <w:rPr>
                <w:szCs w:val="21"/>
              </w:rPr>
              <w:t xml:space="preserve">手动 </w:t>
            </w:r>
            <w:r>
              <w:rPr>
                <w:szCs w:val="21"/>
              </w:rPr>
              <w:sym w:font="Wingdings 2" w:char="00A3"/>
            </w:r>
            <w:r>
              <w:rPr>
                <w:szCs w:val="21"/>
              </w:rPr>
              <w:t xml:space="preserve">；自动 </w:t>
            </w:r>
            <w:r>
              <w:rPr>
                <w:szCs w:val="21"/>
              </w:rPr>
              <w:sym w:font="Wingdings 2" w:char="00A3"/>
            </w:r>
            <w:r>
              <w:rPr>
                <w:szCs w:val="21"/>
              </w:rPr>
              <w:t>；无</w:t>
            </w:r>
            <w:r>
              <w:rPr>
                <w:rFonts w:hint="eastAsia"/>
                <w:szCs w:val="21"/>
              </w:rPr>
              <w:t>监测</w:t>
            </w:r>
            <w:r>
              <w:rPr>
                <w:szCs w:val="21"/>
              </w:rPr>
              <w:sym w:font="Wingdings 2" w:char="0052"/>
            </w:r>
          </w:p>
        </w:tc>
        <w:tc>
          <w:tcPr>
            <w:tcW w:w="1454" w:type="pct"/>
            <w:gridSpan w:val="4"/>
            <w:vAlign w:val="center"/>
          </w:tcPr>
          <w:p w14:paraId="4FD9397D">
            <w:pPr>
              <w:widowControl/>
              <w:jc w:val="center"/>
              <w:rPr>
                <w:szCs w:val="21"/>
              </w:rPr>
            </w:pPr>
            <w:r>
              <w:rPr>
                <w:szCs w:val="21"/>
              </w:rPr>
              <w:t xml:space="preserve">手动 </w:t>
            </w:r>
            <w:r>
              <w:rPr>
                <w:szCs w:val="21"/>
              </w:rPr>
              <w:sym w:font="Wingdings 2" w:char="00A3"/>
            </w:r>
            <w:r>
              <w:rPr>
                <w:szCs w:val="21"/>
              </w:rPr>
              <w:t xml:space="preserve">；自动 </w:t>
            </w:r>
            <w:r>
              <w:rPr>
                <w:szCs w:val="21"/>
              </w:rPr>
              <w:sym w:font="Wingdings 2" w:char="00A3"/>
            </w:r>
            <w:r>
              <w:rPr>
                <w:szCs w:val="21"/>
              </w:rPr>
              <w:t>；无</w:t>
            </w:r>
            <w:r>
              <w:rPr>
                <w:rFonts w:hint="eastAsia"/>
                <w:szCs w:val="21"/>
              </w:rPr>
              <w:t>监测</w:t>
            </w:r>
            <w:r>
              <w:rPr>
                <w:szCs w:val="21"/>
              </w:rPr>
              <w:t xml:space="preserve"> </w:t>
            </w:r>
            <w:r>
              <w:rPr>
                <w:szCs w:val="21"/>
              </w:rPr>
              <w:sym w:font="Wingdings 2" w:char="0052"/>
            </w:r>
          </w:p>
        </w:tc>
      </w:tr>
      <w:tr w14:paraId="4E656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7A8AB878">
            <w:pPr>
              <w:widowControl/>
              <w:jc w:val="center"/>
              <w:rPr>
                <w:szCs w:val="21"/>
              </w:rPr>
            </w:pPr>
          </w:p>
        </w:tc>
        <w:tc>
          <w:tcPr>
            <w:tcW w:w="810" w:type="pct"/>
            <w:vMerge w:val="continue"/>
            <w:vAlign w:val="center"/>
          </w:tcPr>
          <w:p w14:paraId="43C15A75">
            <w:pPr>
              <w:widowControl/>
              <w:jc w:val="center"/>
              <w:rPr>
                <w:szCs w:val="21"/>
              </w:rPr>
            </w:pPr>
          </w:p>
        </w:tc>
        <w:tc>
          <w:tcPr>
            <w:tcW w:w="1027" w:type="pct"/>
            <w:gridSpan w:val="2"/>
            <w:vAlign w:val="center"/>
          </w:tcPr>
          <w:p w14:paraId="16A9C31C">
            <w:pPr>
              <w:widowControl/>
              <w:jc w:val="center"/>
              <w:rPr>
                <w:szCs w:val="21"/>
              </w:rPr>
            </w:pPr>
            <w:r>
              <w:rPr>
                <w:szCs w:val="21"/>
              </w:rPr>
              <w:t>监测点位</w:t>
            </w:r>
          </w:p>
        </w:tc>
        <w:tc>
          <w:tcPr>
            <w:tcW w:w="1464" w:type="pct"/>
            <w:gridSpan w:val="7"/>
            <w:vAlign w:val="center"/>
          </w:tcPr>
          <w:p w14:paraId="76503B22">
            <w:pPr>
              <w:widowControl/>
              <w:jc w:val="center"/>
              <w:rPr>
                <w:szCs w:val="21"/>
              </w:rPr>
            </w:pPr>
            <w:r>
              <w:rPr>
                <w:szCs w:val="21"/>
              </w:rPr>
              <w:t>(      )</w:t>
            </w:r>
          </w:p>
        </w:tc>
        <w:tc>
          <w:tcPr>
            <w:tcW w:w="1454" w:type="pct"/>
            <w:gridSpan w:val="4"/>
            <w:vAlign w:val="center"/>
          </w:tcPr>
          <w:p w14:paraId="16AEF261">
            <w:pPr>
              <w:widowControl/>
              <w:jc w:val="center"/>
              <w:rPr>
                <w:szCs w:val="21"/>
              </w:rPr>
            </w:pPr>
            <w:r>
              <w:rPr>
                <w:szCs w:val="21"/>
              </w:rPr>
              <w:t>(      )</w:t>
            </w:r>
          </w:p>
        </w:tc>
      </w:tr>
      <w:tr w14:paraId="797A1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560760DF">
            <w:pPr>
              <w:widowControl/>
              <w:jc w:val="center"/>
              <w:rPr>
                <w:szCs w:val="21"/>
              </w:rPr>
            </w:pPr>
          </w:p>
        </w:tc>
        <w:tc>
          <w:tcPr>
            <w:tcW w:w="810" w:type="pct"/>
            <w:vMerge w:val="continue"/>
            <w:vAlign w:val="center"/>
          </w:tcPr>
          <w:p w14:paraId="62A4AC8B">
            <w:pPr>
              <w:widowControl/>
              <w:jc w:val="center"/>
              <w:rPr>
                <w:szCs w:val="21"/>
              </w:rPr>
            </w:pPr>
          </w:p>
        </w:tc>
        <w:tc>
          <w:tcPr>
            <w:tcW w:w="1027" w:type="pct"/>
            <w:gridSpan w:val="2"/>
            <w:vAlign w:val="center"/>
          </w:tcPr>
          <w:p w14:paraId="3D1F4461">
            <w:pPr>
              <w:widowControl/>
              <w:jc w:val="center"/>
              <w:rPr>
                <w:szCs w:val="21"/>
              </w:rPr>
            </w:pPr>
            <w:r>
              <w:rPr>
                <w:szCs w:val="21"/>
              </w:rPr>
              <w:t>监测因子</w:t>
            </w:r>
          </w:p>
        </w:tc>
        <w:tc>
          <w:tcPr>
            <w:tcW w:w="1464" w:type="pct"/>
            <w:gridSpan w:val="7"/>
            <w:vAlign w:val="center"/>
          </w:tcPr>
          <w:p w14:paraId="0E3B53A1">
            <w:pPr>
              <w:widowControl/>
              <w:jc w:val="center"/>
              <w:rPr>
                <w:szCs w:val="21"/>
              </w:rPr>
            </w:pPr>
            <w:r>
              <w:rPr>
                <w:szCs w:val="21"/>
              </w:rPr>
              <w:t>(      )</w:t>
            </w:r>
          </w:p>
        </w:tc>
        <w:tc>
          <w:tcPr>
            <w:tcW w:w="1454" w:type="pct"/>
            <w:gridSpan w:val="4"/>
            <w:vAlign w:val="center"/>
          </w:tcPr>
          <w:p w14:paraId="105025B8">
            <w:pPr>
              <w:widowControl/>
              <w:jc w:val="center"/>
              <w:rPr>
                <w:szCs w:val="21"/>
              </w:rPr>
            </w:pPr>
            <w:r>
              <w:rPr>
                <w:szCs w:val="21"/>
              </w:rPr>
              <w:t>(      )</w:t>
            </w:r>
          </w:p>
        </w:tc>
      </w:tr>
      <w:tr w14:paraId="4B89B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4" w:type="pct"/>
            <w:vMerge w:val="continue"/>
            <w:vAlign w:val="center"/>
          </w:tcPr>
          <w:p w14:paraId="571D29FA">
            <w:pPr>
              <w:widowControl/>
              <w:jc w:val="center"/>
              <w:rPr>
                <w:szCs w:val="21"/>
              </w:rPr>
            </w:pPr>
          </w:p>
        </w:tc>
        <w:tc>
          <w:tcPr>
            <w:tcW w:w="810" w:type="pct"/>
            <w:vAlign w:val="center"/>
          </w:tcPr>
          <w:p w14:paraId="4171321B">
            <w:pPr>
              <w:widowControl/>
              <w:jc w:val="center"/>
              <w:rPr>
                <w:szCs w:val="21"/>
              </w:rPr>
            </w:pPr>
            <w:r>
              <w:rPr>
                <w:szCs w:val="21"/>
              </w:rPr>
              <w:t>污染物排放清单</w:t>
            </w:r>
          </w:p>
        </w:tc>
        <w:tc>
          <w:tcPr>
            <w:tcW w:w="3946" w:type="pct"/>
            <w:gridSpan w:val="13"/>
            <w:vAlign w:val="center"/>
          </w:tcPr>
          <w:p w14:paraId="468289D0">
            <w:pPr>
              <w:widowControl/>
              <w:jc w:val="left"/>
              <w:rPr>
                <w:szCs w:val="21"/>
              </w:rPr>
            </w:pPr>
            <w:r>
              <w:rPr>
                <w:szCs w:val="21"/>
              </w:rPr>
              <w:sym w:font="Wingdings 2" w:char="00A3"/>
            </w:r>
          </w:p>
        </w:tc>
      </w:tr>
      <w:tr w14:paraId="69DAB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054" w:type="pct"/>
            <w:gridSpan w:val="2"/>
            <w:vAlign w:val="center"/>
          </w:tcPr>
          <w:p w14:paraId="06C199D0">
            <w:pPr>
              <w:widowControl/>
              <w:jc w:val="center"/>
              <w:rPr>
                <w:szCs w:val="21"/>
              </w:rPr>
            </w:pPr>
            <w:r>
              <w:rPr>
                <w:szCs w:val="21"/>
              </w:rPr>
              <w:t>评价结论</w:t>
            </w:r>
          </w:p>
        </w:tc>
        <w:tc>
          <w:tcPr>
            <w:tcW w:w="3946" w:type="pct"/>
            <w:gridSpan w:val="13"/>
            <w:vAlign w:val="center"/>
          </w:tcPr>
          <w:p w14:paraId="789D7EAF">
            <w:pPr>
              <w:widowControl/>
              <w:jc w:val="left"/>
              <w:rPr>
                <w:szCs w:val="21"/>
              </w:rPr>
            </w:pPr>
            <w:r>
              <w:rPr>
                <w:szCs w:val="21"/>
              </w:rPr>
              <w:t xml:space="preserve">可以接受 </w:t>
            </w:r>
            <w:r>
              <w:rPr>
                <w:szCs w:val="21"/>
              </w:rPr>
              <w:sym w:font="Wingdings 2" w:char="0052"/>
            </w:r>
            <w:r>
              <w:rPr>
                <w:szCs w:val="21"/>
              </w:rPr>
              <w:t xml:space="preserve">；不可以接受 </w:t>
            </w:r>
            <w:r>
              <w:rPr>
                <w:szCs w:val="21"/>
              </w:rPr>
              <w:sym w:font="Wingdings 2" w:char="00A3"/>
            </w:r>
            <w:r>
              <w:rPr>
                <w:szCs w:val="21"/>
              </w:rPr>
              <w:t>；</w:t>
            </w:r>
          </w:p>
        </w:tc>
      </w:tr>
      <w:tr w14:paraId="20287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000" w:type="pct"/>
            <w:gridSpan w:val="15"/>
            <w:vAlign w:val="center"/>
          </w:tcPr>
          <w:p w14:paraId="08C2C2B1">
            <w:pPr>
              <w:widowControl/>
              <w:jc w:val="left"/>
              <w:rPr>
                <w:szCs w:val="21"/>
              </w:rPr>
            </w:pPr>
            <w:r>
              <w:rPr>
                <w:szCs w:val="21"/>
              </w:rPr>
              <w:t>注：“</w:t>
            </w:r>
            <w:r>
              <w:rPr>
                <w:szCs w:val="21"/>
              </w:rPr>
              <w:sym w:font="Wingdings 2" w:char="00A3"/>
            </w:r>
            <w:r>
              <w:rPr>
                <w:szCs w:val="21"/>
              </w:rPr>
              <w:t>”为勾选项，可√；“(  )”为内容填写项：“备注”为其他补充内容。</w:t>
            </w:r>
          </w:p>
        </w:tc>
      </w:tr>
      <w:bookmarkEnd w:id="304"/>
      <w:bookmarkEnd w:id="305"/>
    </w:tbl>
    <w:p w14:paraId="208EB0C2">
      <w:pPr>
        <w:outlineLvl w:val="0"/>
        <w:rPr>
          <w:rFonts w:eastAsia="黑体"/>
        </w:rPr>
        <w:sectPr>
          <w:pgSz w:w="11906" w:h="16838"/>
          <w:pgMar w:top="1247" w:right="1588" w:bottom="1247" w:left="1588" w:header="680" w:footer="992" w:gutter="0"/>
          <w:cols w:space="720" w:num="1"/>
          <w:docGrid w:linePitch="312" w:charSpace="0"/>
        </w:sectPr>
      </w:pPr>
      <w:bookmarkStart w:id="307" w:name="_Toc53935637"/>
      <w:bookmarkStart w:id="308" w:name="_Toc38114367"/>
    </w:p>
    <w:p w14:paraId="7BF6A9EF">
      <w:pPr>
        <w:outlineLvl w:val="0"/>
        <w:rPr>
          <w:rFonts w:eastAsia="黑体"/>
          <w:sz w:val="22"/>
          <w:szCs w:val="22"/>
        </w:rPr>
      </w:pPr>
      <w:bookmarkStart w:id="309" w:name="_Toc29416"/>
      <w:r>
        <w:rPr>
          <w:rFonts w:eastAsia="黑体"/>
          <w:sz w:val="22"/>
          <w:szCs w:val="22"/>
        </w:rPr>
        <w:t>附表3声环境影响评价自查表</w:t>
      </w:r>
      <w:bookmarkEnd w:id="309"/>
    </w:p>
    <w:tbl>
      <w:tblPr>
        <w:tblStyle w:val="8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73"/>
        <w:gridCol w:w="1372"/>
        <w:gridCol w:w="1058"/>
        <w:gridCol w:w="820"/>
        <w:gridCol w:w="28"/>
        <w:gridCol w:w="229"/>
        <w:gridCol w:w="1040"/>
        <w:gridCol w:w="1094"/>
        <w:gridCol w:w="533"/>
        <w:gridCol w:w="495"/>
        <w:gridCol w:w="1098"/>
      </w:tblGrid>
      <w:tr w14:paraId="6B52F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42" w:type="pct"/>
            <w:gridSpan w:val="2"/>
            <w:vAlign w:val="center"/>
          </w:tcPr>
          <w:p w14:paraId="348C6BE3">
            <w:pPr>
              <w:autoSpaceDE w:val="0"/>
              <w:autoSpaceDN w:val="0"/>
              <w:adjustRightInd w:val="0"/>
              <w:snapToGrid w:val="0"/>
              <w:jc w:val="center"/>
              <w:rPr>
                <w:bCs/>
                <w:szCs w:val="21"/>
                <w:lang w:val="zh-CN" w:eastAsia="en-US" w:bidi="zh-CN"/>
              </w:rPr>
            </w:pPr>
            <w:r>
              <w:rPr>
                <w:bCs/>
                <w:szCs w:val="21"/>
                <w:lang w:val="zh-CN" w:eastAsia="en-US" w:bidi="zh-CN"/>
              </w:rPr>
              <w:t>工作内容</w:t>
            </w:r>
          </w:p>
        </w:tc>
        <w:tc>
          <w:tcPr>
            <w:tcW w:w="3658" w:type="pct"/>
            <w:gridSpan w:val="9"/>
            <w:vAlign w:val="center"/>
          </w:tcPr>
          <w:p w14:paraId="79888E95">
            <w:pPr>
              <w:autoSpaceDE w:val="0"/>
              <w:autoSpaceDN w:val="0"/>
              <w:adjustRightInd w:val="0"/>
              <w:snapToGrid w:val="0"/>
              <w:jc w:val="center"/>
              <w:rPr>
                <w:bCs/>
                <w:szCs w:val="21"/>
                <w:lang w:val="zh-CN" w:bidi="zh-CN"/>
              </w:rPr>
            </w:pPr>
            <w:r>
              <w:rPr>
                <w:rFonts w:hint="eastAsia"/>
              </w:rPr>
              <w:t>潜江—韶关输气管道28号阀室新增下载点改扩建项目</w:t>
            </w:r>
          </w:p>
        </w:tc>
      </w:tr>
      <w:tr w14:paraId="4FF39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7" w:type="pct"/>
            <w:vMerge w:val="restart"/>
            <w:vAlign w:val="center"/>
          </w:tcPr>
          <w:p w14:paraId="1BE2B626">
            <w:pPr>
              <w:autoSpaceDE w:val="0"/>
              <w:autoSpaceDN w:val="0"/>
              <w:adjustRightInd w:val="0"/>
              <w:snapToGrid w:val="0"/>
              <w:jc w:val="center"/>
              <w:rPr>
                <w:bCs/>
                <w:szCs w:val="21"/>
                <w:lang w:val="zh-CN" w:eastAsia="en-US" w:bidi="zh-CN"/>
              </w:rPr>
            </w:pPr>
            <w:r>
              <w:rPr>
                <w:bCs/>
                <w:szCs w:val="21"/>
                <w:lang w:val="zh-CN" w:eastAsia="en-US" w:bidi="zh-CN"/>
              </w:rPr>
              <w:t>评价等级与范围</w:t>
            </w:r>
          </w:p>
        </w:tc>
        <w:tc>
          <w:tcPr>
            <w:tcW w:w="785" w:type="pct"/>
            <w:vAlign w:val="center"/>
          </w:tcPr>
          <w:p w14:paraId="7CDDF00A">
            <w:pPr>
              <w:autoSpaceDE w:val="0"/>
              <w:autoSpaceDN w:val="0"/>
              <w:adjustRightInd w:val="0"/>
              <w:snapToGrid w:val="0"/>
              <w:jc w:val="center"/>
              <w:rPr>
                <w:bCs/>
                <w:szCs w:val="21"/>
                <w:lang w:val="zh-CN" w:eastAsia="en-US" w:bidi="zh-CN"/>
              </w:rPr>
            </w:pPr>
            <w:r>
              <w:rPr>
                <w:bCs/>
                <w:szCs w:val="21"/>
                <w:lang w:val="zh-CN" w:eastAsia="en-US" w:bidi="zh-CN"/>
              </w:rPr>
              <w:t>评价等级</w:t>
            </w:r>
          </w:p>
        </w:tc>
        <w:tc>
          <w:tcPr>
            <w:tcW w:w="3658" w:type="pct"/>
            <w:gridSpan w:val="9"/>
            <w:vAlign w:val="center"/>
          </w:tcPr>
          <w:p w14:paraId="72A11753">
            <w:pPr>
              <w:tabs>
                <w:tab w:val="left" w:pos="2103"/>
                <w:tab w:val="left" w:pos="3635"/>
              </w:tabs>
              <w:autoSpaceDE w:val="0"/>
              <w:autoSpaceDN w:val="0"/>
              <w:adjustRightInd w:val="0"/>
              <w:snapToGrid w:val="0"/>
              <w:jc w:val="center"/>
              <w:rPr>
                <w:bCs/>
                <w:szCs w:val="21"/>
                <w:lang w:val="zh-CN" w:eastAsia="en-US" w:bidi="zh-CN"/>
              </w:rPr>
            </w:pPr>
            <w:r>
              <w:rPr>
                <w:bCs/>
                <w:szCs w:val="21"/>
                <w:lang w:val="zh-CN" w:eastAsia="en-US" w:bidi="zh-CN"/>
              </w:rPr>
              <w:t>一级□     二</w:t>
            </w:r>
            <w:r>
              <w:rPr>
                <w:bCs/>
                <w:spacing w:val="-3"/>
                <w:szCs w:val="21"/>
                <w:lang w:val="zh-CN" w:eastAsia="en-US" w:bidi="zh-CN"/>
              </w:rPr>
              <w:t>级</w:t>
            </w:r>
            <w:r>
              <w:rPr>
                <w:bCs/>
                <w:szCs w:val="21"/>
              </w:rPr>
              <w:sym w:font="Wingdings 2" w:char="F052"/>
            </w:r>
            <w:r>
              <w:rPr>
                <w:bCs/>
                <w:szCs w:val="21"/>
                <w:lang w:val="zh-CN" w:eastAsia="en-US" w:bidi="zh-CN"/>
              </w:rPr>
              <w:t xml:space="preserve">      三级□</w:t>
            </w:r>
          </w:p>
        </w:tc>
      </w:tr>
      <w:tr w14:paraId="4FF69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7" w:type="pct"/>
            <w:vMerge w:val="continue"/>
            <w:vAlign w:val="center"/>
          </w:tcPr>
          <w:p w14:paraId="28E9AAF1">
            <w:pPr>
              <w:autoSpaceDE w:val="0"/>
              <w:autoSpaceDN w:val="0"/>
              <w:adjustRightInd w:val="0"/>
              <w:snapToGrid w:val="0"/>
              <w:jc w:val="center"/>
              <w:rPr>
                <w:bCs/>
                <w:szCs w:val="21"/>
                <w:lang w:val="zh-CN" w:eastAsia="en-US" w:bidi="zh-CN"/>
              </w:rPr>
            </w:pPr>
          </w:p>
        </w:tc>
        <w:tc>
          <w:tcPr>
            <w:tcW w:w="785" w:type="pct"/>
            <w:vAlign w:val="center"/>
          </w:tcPr>
          <w:p w14:paraId="7F484C52">
            <w:pPr>
              <w:autoSpaceDE w:val="0"/>
              <w:autoSpaceDN w:val="0"/>
              <w:adjustRightInd w:val="0"/>
              <w:snapToGrid w:val="0"/>
              <w:jc w:val="center"/>
              <w:rPr>
                <w:bCs/>
                <w:szCs w:val="21"/>
                <w:lang w:val="zh-CN" w:eastAsia="en-US" w:bidi="zh-CN"/>
              </w:rPr>
            </w:pPr>
            <w:r>
              <w:rPr>
                <w:bCs/>
                <w:szCs w:val="21"/>
                <w:lang w:val="zh-CN" w:eastAsia="en-US" w:bidi="zh-CN"/>
              </w:rPr>
              <w:t>评价范围</w:t>
            </w:r>
          </w:p>
        </w:tc>
        <w:tc>
          <w:tcPr>
            <w:tcW w:w="3658" w:type="pct"/>
            <w:gridSpan w:val="9"/>
            <w:vAlign w:val="center"/>
          </w:tcPr>
          <w:p w14:paraId="0B1F52ED">
            <w:pPr>
              <w:tabs>
                <w:tab w:val="left" w:pos="2384"/>
                <w:tab w:val="left" w:pos="5315"/>
              </w:tabs>
              <w:autoSpaceDE w:val="0"/>
              <w:autoSpaceDN w:val="0"/>
              <w:adjustRightInd w:val="0"/>
              <w:snapToGrid w:val="0"/>
              <w:jc w:val="center"/>
              <w:rPr>
                <w:bCs/>
                <w:szCs w:val="21"/>
                <w:lang w:val="zh-CN" w:bidi="zh-CN"/>
              </w:rPr>
            </w:pPr>
            <w:r>
              <w:rPr>
                <w:bCs/>
                <w:szCs w:val="21"/>
                <w:lang w:val="zh-CN" w:bidi="zh-CN"/>
              </w:rPr>
              <w:t>200m</w:t>
            </w:r>
            <w:r>
              <w:rPr>
                <w:bCs/>
                <w:szCs w:val="21"/>
              </w:rPr>
              <w:sym w:font="Wingdings 2" w:char="F052"/>
            </w:r>
            <w:r>
              <w:rPr>
                <w:bCs/>
                <w:szCs w:val="21"/>
                <w:lang w:val="zh-CN" w:bidi="zh-CN"/>
              </w:rPr>
              <w:t xml:space="preserve">      </w:t>
            </w:r>
            <w:r>
              <w:rPr>
                <w:bCs/>
                <w:spacing w:val="-3"/>
                <w:szCs w:val="21"/>
                <w:lang w:val="zh-CN" w:bidi="zh-CN"/>
              </w:rPr>
              <w:t>大</w:t>
            </w:r>
            <w:r>
              <w:rPr>
                <w:bCs/>
                <w:szCs w:val="21"/>
                <w:lang w:val="zh-CN" w:bidi="zh-CN"/>
              </w:rPr>
              <w:t>于200m□      小于200m□</w:t>
            </w:r>
          </w:p>
        </w:tc>
      </w:tr>
      <w:tr w14:paraId="48D9B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7" w:type="pct"/>
            <w:vAlign w:val="center"/>
          </w:tcPr>
          <w:p w14:paraId="5F538F54">
            <w:pPr>
              <w:autoSpaceDE w:val="0"/>
              <w:autoSpaceDN w:val="0"/>
              <w:adjustRightInd w:val="0"/>
              <w:snapToGrid w:val="0"/>
              <w:jc w:val="center"/>
              <w:rPr>
                <w:bCs/>
                <w:szCs w:val="21"/>
                <w:lang w:val="zh-CN" w:eastAsia="en-US" w:bidi="zh-CN"/>
              </w:rPr>
            </w:pPr>
            <w:r>
              <w:rPr>
                <w:bCs/>
                <w:szCs w:val="21"/>
                <w:lang w:val="zh-CN" w:eastAsia="en-US" w:bidi="zh-CN"/>
              </w:rPr>
              <w:t>评价因子</w:t>
            </w:r>
          </w:p>
        </w:tc>
        <w:tc>
          <w:tcPr>
            <w:tcW w:w="785" w:type="pct"/>
            <w:vAlign w:val="center"/>
          </w:tcPr>
          <w:p w14:paraId="467D42B8">
            <w:pPr>
              <w:autoSpaceDE w:val="0"/>
              <w:autoSpaceDN w:val="0"/>
              <w:adjustRightInd w:val="0"/>
              <w:snapToGrid w:val="0"/>
              <w:jc w:val="center"/>
              <w:rPr>
                <w:bCs/>
                <w:szCs w:val="21"/>
                <w:lang w:val="zh-CN" w:eastAsia="en-US" w:bidi="zh-CN"/>
              </w:rPr>
            </w:pPr>
            <w:r>
              <w:rPr>
                <w:bCs/>
                <w:szCs w:val="21"/>
                <w:lang w:val="zh-CN" w:eastAsia="en-US" w:bidi="zh-CN"/>
              </w:rPr>
              <w:t>评价因子</w:t>
            </w:r>
          </w:p>
        </w:tc>
        <w:tc>
          <w:tcPr>
            <w:tcW w:w="3658" w:type="pct"/>
            <w:gridSpan w:val="9"/>
            <w:vAlign w:val="center"/>
          </w:tcPr>
          <w:p w14:paraId="14AFF6F0">
            <w:pPr>
              <w:autoSpaceDE w:val="0"/>
              <w:autoSpaceDN w:val="0"/>
              <w:adjustRightInd w:val="0"/>
              <w:snapToGrid w:val="0"/>
              <w:jc w:val="center"/>
              <w:rPr>
                <w:bCs/>
                <w:szCs w:val="21"/>
                <w:lang w:val="zh-CN" w:bidi="zh-CN"/>
              </w:rPr>
            </w:pPr>
            <w:r>
              <w:rPr>
                <w:bCs/>
                <w:szCs w:val="21"/>
                <w:lang w:val="zh-CN" w:bidi="zh-CN"/>
              </w:rPr>
              <w:t>等效连续A声级</w:t>
            </w:r>
            <w:r>
              <w:rPr>
                <w:bCs/>
                <w:szCs w:val="21"/>
              </w:rPr>
              <w:sym w:font="Wingdings 2" w:char="F052"/>
            </w:r>
            <w:r>
              <w:rPr>
                <w:bCs/>
                <w:szCs w:val="21"/>
                <w:lang w:val="zh-CN" w:bidi="zh-CN"/>
              </w:rPr>
              <w:t xml:space="preserve">       最大A声级□     计权等效连续感觉噪声级□</w:t>
            </w:r>
          </w:p>
        </w:tc>
      </w:tr>
      <w:tr w14:paraId="5D0A7711">
        <w:tblPrEx>
          <w:tblCellMar>
            <w:top w:w="0" w:type="dxa"/>
            <w:left w:w="0" w:type="dxa"/>
            <w:bottom w:w="0" w:type="dxa"/>
            <w:right w:w="0" w:type="dxa"/>
          </w:tblCellMar>
        </w:tblPrEx>
        <w:trPr>
          <w:trHeight w:val="397" w:hRule="atLeast"/>
          <w:jc w:val="center"/>
        </w:trPr>
        <w:tc>
          <w:tcPr>
            <w:tcW w:w="557" w:type="pct"/>
            <w:vAlign w:val="center"/>
          </w:tcPr>
          <w:p w14:paraId="19661FCB">
            <w:pPr>
              <w:autoSpaceDE w:val="0"/>
              <w:autoSpaceDN w:val="0"/>
              <w:adjustRightInd w:val="0"/>
              <w:snapToGrid w:val="0"/>
              <w:jc w:val="center"/>
              <w:rPr>
                <w:bCs/>
                <w:szCs w:val="21"/>
                <w:lang w:val="zh-CN" w:eastAsia="en-US" w:bidi="zh-CN"/>
              </w:rPr>
            </w:pPr>
            <w:r>
              <w:rPr>
                <w:bCs/>
                <w:szCs w:val="21"/>
                <w:lang w:val="zh-CN" w:eastAsia="en-US" w:bidi="zh-CN"/>
              </w:rPr>
              <w:t>评价标准</w:t>
            </w:r>
          </w:p>
        </w:tc>
        <w:tc>
          <w:tcPr>
            <w:tcW w:w="785" w:type="pct"/>
            <w:vAlign w:val="center"/>
          </w:tcPr>
          <w:p w14:paraId="3CC5058C">
            <w:pPr>
              <w:autoSpaceDE w:val="0"/>
              <w:autoSpaceDN w:val="0"/>
              <w:adjustRightInd w:val="0"/>
              <w:snapToGrid w:val="0"/>
              <w:jc w:val="center"/>
              <w:rPr>
                <w:bCs/>
                <w:szCs w:val="21"/>
                <w:lang w:val="zh-CN" w:eastAsia="en-US" w:bidi="zh-CN"/>
              </w:rPr>
            </w:pPr>
            <w:r>
              <w:rPr>
                <w:bCs/>
                <w:szCs w:val="21"/>
                <w:lang w:val="zh-CN" w:eastAsia="en-US" w:bidi="zh-CN"/>
              </w:rPr>
              <w:t>评价标准</w:t>
            </w:r>
          </w:p>
        </w:tc>
        <w:tc>
          <w:tcPr>
            <w:tcW w:w="3658" w:type="pct"/>
            <w:gridSpan w:val="9"/>
            <w:vAlign w:val="center"/>
          </w:tcPr>
          <w:p w14:paraId="0D795029">
            <w:pPr>
              <w:autoSpaceDE w:val="0"/>
              <w:autoSpaceDN w:val="0"/>
              <w:adjustRightInd w:val="0"/>
              <w:snapToGrid w:val="0"/>
              <w:jc w:val="center"/>
              <w:rPr>
                <w:bCs/>
                <w:szCs w:val="21"/>
                <w:lang w:val="zh-CN" w:bidi="zh-CN"/>
              </w:rPr>
            </w:pPr>
            <w:r>
              <w:rPr>
                <w:bCs/>
                <w:szCs w:val="21"/>
                <w:lang w:val="zh-CN" w:bidi="zh-CN"/>
              </w:rPr>
              <w:t>国家标准</w:t>
            </w:r>
            <w:r>
              <w:rPr>
                <w:bCs/>
                <w:szCs w:val="21"/>
              </w:rPr>
              <w:sym w:font="Wingdings 2" w:char="F052"/>
            </w:r>
            <w:r>
              <w:rPr>
                <w:bCs/>
                <w:szCs w:val="21"/>
                <w:lang w:val="zh-CN" w:bidi="zh-CN"/>
              </w:rPr>
              <w:t xml:space="preserve">             地方标准□             国外标准□</w:t>
            </w:r>
          </w:p>
        </w:tc>
      </w:tr>
      <w:tr w14:paraId="7E72F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7" w:type="pct"/>
            <w:vMerge w:val="restart"/>
            <w:vAlign w:val="center"/>
          </w:tcPr>
          <w:p w14:paraId="0888AB08">
            <w:pPr>
              <w:autoSpaceDE w:val="0"/>
              <w:autoSpaceDN w:val="0"/>
              <w:adjustRightInd w:val="0"/>
              <w:snapToGrid w:val="0"/>
              <w:jc w:val="center"/>
              <w:rPr>
                <w:bCs/>
                <w:szCs w:val="21"/>
                <w:lang w:val="zh-CN" w:eastAsia="en-US" w:bidi="zh-CN"/>
              </w:rPr>
            </w:pPr>
            <w:r>
              <w:rPr>
                <w:bCs/>
                <w:szCs w:val="21"/>
                <w:lang w:val="zh-CN" w:eastAsia="en-US" w:bidi="zh-CN"/>
              </w:rPr>
              <w:t>现状评价</w:t>
            </w:r>
          </w:p>
        </w:tc>
        <w:tc>
          <w:tcPr>
            <w:tcW w:w="785" w:type="pct"/>
            <w:vAlign w:val="center"/>
          </w:tcPr>
          <w:p w14:paraId="2AE0FB2F">
            <w:pPr>
              <w:autoSpaceDE w:val="0"/>
              <w:autoSpaceDN w:val="0"/>
              <w:adjustRightInd w:val="0"/>
              <w:snapToGrid w:val="0"/>
              <w:jc w:val="center"/>
              <w:rPr>
                <w:bCs/>
                <w:szCs w:val="21"/>
                <w:lang w:val="zh-CN" w:eastAsia="en-US" w:bidi="zh-CN"/>
              </w:rPr>
            </w:pPr>
            <w:r>
              <w:rPr>
                <w:bCs/>
                <w:szCs w:val="21"/>
                <w:lang w:val="zh-CN" w:eastAsia="en-US" w:bidi="zh-CN"/>
              </w:rPr>
              <w:t>环境功能区</w:t>
            </w:r>
          </w:p>
        </w:tc>
        <w:tc>
          <w:tcPr>
            <w:tcW w:w="605" w:type="pct"/>
            <w:vAlign w:val="center"/>
          </w:tcPr>
          <w:p w14:paraId="65BA8123">
            <w:pPr>
              <w:autoSpaceDE w:val="0"/>
              <w:autoSpaceDN w:val="0"/>
              <w:adjustRightInd w:val="0"/>
              <w:snapToGrid w:val="0"/>
              <w:jc w:val="center"/>
              <w:rPr>
                <w:bCs/>
                <w:szCs w:val="21"/>
                <w:lang w:val="zh-CN" w:eastAsia="en-US" w:bidi="zh-CN"/>
              </w:rPr>
            </w:pPr>
            <w:r>
              <w:rPr>
                <w:bCs/>
                <w:szCs w:val="21"/>
                <w:lang w:val="zh-CN" w:eastAsia="en-US" w:bidi="zh-CN"/>
              </w:rPr>
              <w:t>0类区□</w:t>
            </w:r>
          </w:p>
        </w:tc>
        <w:tc>
          <w:tcPr>
            <w:tcW w:w="616" w:type="pct"/>
            <w:gridSpan w:val="3"/>
            <w:vAlign w:val="center"/>
          </w:tcPr>
          <w:p w14:paraId="2F9B8225">
            <w:pPr>
              <w:autoSpaceDE w:val="0"/>
              <w:autoSpaceDN w:val="0"/>
              <w:adjustRightInd w:val="0"/>
              <w:snapToGrid w:val="0"/>
              <w:jc w:val="center"/>
              <w:rPr>
                <w:bCs/>
                <w:szCs w:val="21"/>
                <w:lang w:val="zh-CN" w:eastAsia="en-US" w:bidi="zh-CN"/>
              </w:rPr>
            </w:pPr>
            <w:r>
              <w:rPr>
                <w:bCs/>
                <w:szCs w:val="21"/>
                <w:lang w:val="zh-CN" w:eastAsia="en-US" w:bidi="zh-CN"/>
              </w:rPr>
              <w:t>1类区</w:t>
            </w:r>
            <w:r>
              <w:rPr>
                <w:bCs/>
                <w:szCs w:val="21"/>
              </w:rPr>
              <w:sym w:font="Wingdings 2" w:char="00A3"/>
            </w:r>
          </w:p>
        </w:tc>
        <w:tc>
          <w:tcPr>
            <w:tcW w:w="594" w:type="pct"/>
            <w:vAlign w:val="center"/>
          </w:tcPr>
          <w:p w14:paraId="7081DBF1">
            <w:pPr>
              <w:autoSpaceDE w:val="0"/>
              <w:autoSpaceDN w:val="0"/>
              <w:adjustRightInd w:val="0"/>
              <w:snapToGrid w:val="0"/>
              <w:jc w:val="center"/>
              <w:rPr>
                <w:bCs/>
                <w:szCs w:val="21"/>
                <w:lang w:val="zh-CN" w:eastAsia="en-US" w:bidi="zh-CN"/>
              </w:rPr>
            </w:pPr>
            <w:r>
              <w:rPr>
                <w:bCs/>
                <w:szCs w:val="21"/>
                <w:lang w:val="zh-CN" w:eastAsia="en-US" w:bidi="zh-CN"/>
              </w:rPr>
              <w:t>2类区</w:t>
            </w:r>
            <w:r>
              <w:rPr>
                <w:bCs/>
                <w:szCs w:val="21"/>
              </w:rPr>
              <w:sym w:font="Wingdings 2" w:char="F052"/>
            </w:r>
          </w:p>
        </w:tc>
        <w:tc>
          <w:tcPr>
            <w:tcW w:w="626" w:type="pct"/>
            <w:vAlign w:val="center"/>
          </w:tcPr>
          <w:p w14:paraId="5B94DFEF">
            <w:pPr>
              <w:autoSpaceDE w:val="0"/>
              <w:autoSpaceDN w:val="0"/>
              <w:adjustRightInd w:val="0"/>
              <w:snapToGrid w:val="0"/>
              <w:jc w:val="center"/>
              <w:rPr>
                <w:bCs/>
                <w:szCs w:val="21"/>
                <w:lang w:val="zh-CN" w:eastAsia="en-US" w:bidi="zh-CN"/>
              </w:rPr>
            </w:pPr>
            <w:r>
              <w:rPr>
                <w:bCs/>
                <w:szCs w:val="21"/>
                <w:lang w:val="zh-CN" w:eastAsia="en-US" w:bidi="zh-CN"/>
              </w:rPr>
              <w:t>3类区□</w:t>
            </w:r>
          </w:p>
        </w:tc>
        <w:tc>
          <w:tcPr>
            <w:tcW w:w="588" w:type="pct"/>
            <w:gridSpan w:val="2"/>
            <w:vAlign w:val="center"/>
          </w:tcPr>
          <w:p w14:paraId="71AB33A9">
            <w:pPr>
              <w:autoSpaceDE w:val="0"/>
              <w:autoSpaceDN w:val="0"/>
              <w:adjustRightInd w:val="0"/>
              <w:snapToGrid w:val="0"/>
              <w:jc w:val="center"/>
              <w:rPr>
                <w:bCs/>
                <w:szCs w:val="21"/>
                <w:lang w:val="zh-CN" w:eastAsia="en-US" w:bidi="zh-CN"/>
              </w:rPr>
            </w:pPr>
            <w:r>
              <w:rPr>
                <w:bCs/>
                <w:szCs w:val="21"/>
                <w:lang w:val="zh-CN" w:eastAsia="en-US" w:bidi="zh-CN"/>
              </w:rPr>
              <w:t>4a类区</w:t>
            </w:r>
            <w:r>
              <w:rPr>
                <w:bCs/>
                <w:szCs w:val="21"/>
              </w:rPr>
              <w:sym w:font="Wingdings 2" w:char="F052"/>
            </w:r>
          </w:p>
        </w:tc>
        <w:tc>
          <w:tcPr>
            <w:tcW w:w="630" w:type="pct"/>
            <w:vAlign w:val="center"/>
          </w:tcPr>
          <w:p w14:paraId="13D76DAB">
            <w:pPr>
              <w:autoSpaceDE w:val="0"/>
              <w:autoSpaceDN w:val="0"/>
              <w:adjustRightInd w:val="0"/>
              <w:snapToGrid w:val="0"/>
              <w:jc w:val="center"/>
              <w:rPr>
                <w:bCs/>
                <w:szCs w:val="21"/>
                <w:lang w:val="zh-CN" w:eastAsia="en-US" w:bidi="zh-CN"/>
              </w:rPr>
            </w:pPr>
            <w:r>
              <w:rPr>
                <w:bCs/>
                <w:szCs w:val="21"/>
                <w:lang w:val="zh-CN" w:eastAsia="en-US" w:bidi="zh-CN"/>
              </w:rPr>
              <w:t>4b类区</w:t>
            </w:r>
            <w:r>
              <w:rPr>
                <w:bCs/>
                <w:szCs w:val="21"/>
              </w:rPr>
              <w:sym w:font="Wingdings 2" w:char="00A3"/>
            </w:r>
          </w:p>
        </w:tc>
      </w:tr>
      <w:tr w14:paraId="700DC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7" w:type="pct"/>
            <w:vMerge w:val="continue"/>
            <w:vAlign w:val="center"/>
          </w:tcPr>
          <w:p w14:paraId="4266F60D">
            <w:pPr>
              <w:autoSpaceDE w:val="0"/>
              <w:autoSpaceDN w:val="0"/>
              <w:adjustRightInd w:val="0"/>
              <w:snapToGrid w:val="0"/>
              <w:jc w:val="center"/>
              <w:rPr>
                <w:bCs/>
                <w:szCs w:val="21"/>
                <w:lang w:val="zh-CN" w:eastAsia="en-US" w:bidi="zh-CN"/>
              </w:rPr>
            </w:pPr>
          </w:p>
        </w:tc>
        <w:tc>
          <w:tcPr>
            <w:tcW w:w="785" w:type="pct"/>
            <w:vAlign w:val="center"/>
          </w:tcPr>
          <w:p w14:paraId="45EC829A">
            <w:pPr>
              <w:autoSpaceDE w:val="0"/>
              <w:autoSpaceDN w:val="0"/>
              <w:adjustRightInd w:val="0"/>
              <w:snapToGrid w:val="0"/>
              <w:jc w:val="center"/>
              <w:rPr>
                <w:bCs/>
                <w:szCs w:val="21"/>
                <w:lang w:val="zh-CN" w:eastAsia="en-US" w:bidi="zh-CN"/>
              </w:rPr>
            </w:pPr>
            <w:r>
              <w:rPr>
                <w:bCs/>
                <w:szCs w:val="21"/>
                <w:lang w:val="zh-CN" w:eastAsia="en-US" w:bidi="zh-CN"/>
              </w:rPr>
              <w:t>评价年度</w:t>
            </w:r>
          </w:p>
        </w:tc>
        <w:tc>
          <w:tcPr>
            <w:tcW w:w="1074" w:type="pct"/>
            <w:gridSpan w:val="2"/>
            <w:vAlign w:val="center"/>
          </w:tcPr>
          <w:p w14:paraId="348A2E0A">
            <w:pPr>
              <w:autoSpaceDE w:val="0"/>
              <w:autoSpaceDN w:val="0"/>
              <w:adjustRightInd w:val="0"/>
              <w:snapToGrid w:val="0"/>
              <w:jc w:val="center"/>
              <w:rPr>
                <w:bCs/>
                <w:szCs w:val="21"/>
                <w:lang w:val="zh-CN" w:eastAsia="en-US" w:bidi="zh-CN"/>
              </w:rPr>
            </w:pPr>
            <w:r>
              <w:rPr>
                <w:bCs/>
                <w:szCs w:val="21"/>
                <w:lang w:val="zh-CN" w:eastAsia="en-US" w:bidi="zh-CN"/>
              </w:rPr>
              <w:t>初期□</w:t>
            </w:r>
          </w:p>
        </w:tc>
        <w:tc>
          <w:tcPr>
            <w:tcW w:w="742" w:type="pct"/>
            <w:gridSpan w:val="3"/>
            <w:vAlign w:val="center"/>
          </w:tcPr>
          <w:p w14:paraId="2F86AA48">
            <w:pPr>
              <w:autoSpaceDE w:val="0"/>
              <w:autoSpaceDN w:val="0"/>
              <w:adjustRightInd w:val="0"/>
              <w:snapToGrid w:val="0"/>
              <w:jc w:val="center"/>
              <w:rPr>
                <w:bCs/>
                <w:szCs w:val="21"/>
                <w:lang w:val="zh-CN" w:eastAsia="en-US" w:bidi="zh-CN"/>
              </w:rPr>
            </w:pPr>
            <w:r>
              <w:rPr>
                <w:bCs/>
                <w:szCs w:val="21"/>
                <w:lang w:val="zh-CN" w:eastAsia="en-US" w:bidi="zh-CN"/>
              </w:rPr>
              <w:t>近期</w:t>
            </w:r>
            <w:r>
              <w:rPr>
                <w:bCs/>
                <w:szCs w:val="21"/>
              </w:rPr>
              <w:sym w:font="Wingdings 2" w:char="F052"/>
            </w:r>
          </w:p>
        </w:tc>
        <w:tc>
          <w:tcPr>
            <w:tcW w:w="931" w:type="pct"/>
            <w:gridSpan w:val="2"/>
            <w:vAlign w:val="center"/>
          </w:tcPr>
          <w:p w14:paraId="1A0180D6">
            <w:pPr>
              <w:autoSpaceDE w:val="0"/>
              <w:autoSpaceDN w:val="0"/>
              <w:adjustRightInd w:val="0"/>
              <w:snapToGrid w:val="0"/>
              <w:jc w:val="center"/>
              <w:rPr>
                <w:bCs/>
                <w:szCs w:val="21"/>
                <w:lang w:val="zh-CN" w:eastAsia="en-US" w:bidi="zh-CN"/>
              </w:rPr>
            </w:pPr>
            <w:r>
              <w:rPr>
                <w:bCs/>
                <w:szCs w:val="21"/>
                <w:lang w:val="zh-CN" w:eastAsia="en-US" w:bidi="zh-CN"/>
              </w:rPr>
              <w:t>中期□</w:t>
            </w:r>
          </w:p>
        </w:tc>
        <w:tc>
          <w:tcPr>
            <w:tcW w:w="912" w:type="pct"/>
            <w:gridSpan w:val="2"/>
            <w:vAlign w:val="center"/>
          </w:tcPr>
          <w:p w14:paraId="1EEDCB96">
            <w:pPr>
              <w:autoSpaceDE w:val="0"/>
              <w:autoSpaceDN w:val="0"/>
              <w:adjustRightInd w:val="0"/>
              <w:snapToGrid w:val="0"/>
              <w:jc w:val="center"/>
              <w:rPr>
                <w:bCs/>
                <w:szCs w:val="21"/>
                <w:lang w:val="zh-CN" w:eastAsia="en-US" w:bidi="zh-CN"/>
              </w:rPr>
            </w:pPr>
            <w:r>
              <w:rPr>
                <w:bCs/>
                <w:szCs w:val="21"/>
                <w:lang w:val="zh-CN" w:eastAsia="en-US" w:bidi="zh-CN"/>
              </w:rPr>
              <w:t>远期□</w:t>
            </w:r>
          </w:p>
        </w:tc>
      </w:tr>
      <w:tr w14:paraId="5837C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7" w:type="pct"/>
            <w:vMerge w:val="continue"/>
            <w:vAlign w:val="center"/>
          </w:tcPr>
          <w:p w14:paraId="40428D61">
            <w:pPr>
              <w:autoSpaceDE w:val="0"/>
              <w:autoSpaceDN w:val="0"/>
              <w:adjustRightInd w:val="0"/>
              <w:snapToGrid w:val="0"/>
              <w:jc w:val="center"/>
              <w:rPr>
                <w:bCs/>
                <w:szCs w:val="21"/>
                <w:lang w:val="zh-CN" w:eastAsia="en-US" w:bidi="zh-CN"/>
              </w:rPr>
            </w:pPr>
          </w:p>
        </w:tc>
        <w:tc>
          <w:tcPr>
            <w:tcW w:w="785" w:type="pct"/>
            <w:vAlign w:val="center"/>
          </w:tcPr>
          <w:p w14:paraId="09A8C137">
            <w:pPr>
              <w:autoSpaceDE w:val="0"/>
              <w:autoSpaceDN w:val="0"/>
              <w:adjustRightInd w:val="0"/>
              <w:snapToGrid w:val="0"/>
              <w:jc w:val="center"/>
              <w:rPr>
                <w:bCs/>
                <w:szCs w:val="21"/>
                <w:lang w:val="zh-CN" w:eastAsia="en-US" w:bidi="zh-CN"/>
              </w:rPr>
            </w:pPr>
            <w:r>
              <w:rPr>
                <w:bCs/>
                <w:szCs w:val="21"/>
                <w:lang w:val="zh-CN" w:eastAsia="en-US" w:bidi="zh-CN"/>
              </w:rPr>
              <w:t>现状调查方法</w:t>
            </w:r>
          </w:p>
        </w:tc>
        <w:tc>
          <w:tcPr>
            <w:tcW w:w="3658" w:type="pct"/>
            <w:gridSpan w:val="9"/>
            <w:vAlign w:val="center"/>
          </w:tcPr>
          <w:p w14:paraId="411BC6C4">
            <w:pPr>
              <w:autoSpaceDE w:val="0"/>
              <w:autoSpaceDN w:val="0"/>
              <w:adjustRightInd w:val="0"/>
              <w:snapToGrid w:val="0"/>
              <w:jc w:val="center"/>
              <w:rPr>
                <w:bCs/>
                <w:szCs w:val="21"/>
                <w:lang w:val="zh-CN" w:bidi="zh-CN"/>
              </w:rPr>
            </w:pPr>
            <w:r>
              <w:rPr>
                <w:bCs/>
                <w:szCs w:val="21"/>
                <w:lang w:val="zh-CN" w:bidi="zh-CN"/>
              </w:rPr>
              <w:t>现场实测法</w:t>
            </w:r>
            <w:r>
              <w:rPr>
                <w:bCs/>
                <w:szCs w:val="21"/>
              </w:rPr>
              <w:sym w:font="Wingdings 2" w:char="F052"/>
            </w:r>
            <w:r>
              <w:rPr>
                <w:bCs/>
                <w:szCs w:val="21"/>
                <w:lang w:val="zh-CN" w:bidi="zh-CN"/>
              </w:rPr>
              <w:t xml:space="preserve">    现场实测加模型计算法□      收集资料□</w:t>
            </w:r>
          </w:p>
        </w:tc>
      </w:tr>
      <w:tr w14:paraId="157D0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7" w:type="pct"/>
            <w:vMerge w:val="continue"/>
            <w:vAlign w:val="center"/>
          </w:tcPr>
          <w:p w14:paraId="051BE181">
            <w:pPr>
              <w:autoSpaceDE w:val="0"/>
              <w:autoSpaceDN w:val="0"/>
              <w:adjustRightInd w:val="0"/>
              <w:snapToGrid w:val="0"/>
              <w:jc w:val="center"/>
              <w:rPr>
                <w:bCs/>
                <w:szCs w:val="21"/>
                <w:lang w:val="zh-CN" w:bidi="zh-CN"/>
              </w:rPr>
            </w:pPr>
          </w:p>
        </w:tc>
        <w:tc>
          <w:tcPr>
            <w:tcW w:w="785" w:type="pct"/>
            <w:vAlign w:val="center"/>
          </w:tcPr>
          <w:p w14:paraId="0E254203">
            <w:pPr>
              <w:autoSpaceDE w:val="0"/>
              <w:autoSpaceDN w:val="0"/>
              <w:adjustRightInd w:val="0"/>
              <w:snapToGrid w:val="0"/>
              <w:jc w:val="center"/>
              <w:rPr>
                <w:bCs/>
                <w:szCs w:val="21"/>
                <w:lang w:val="zh-CN" w:eastAsia="en-US" w:bidi="zh-CN"/>
              </w:rPr>
            </w:pPr>
            <w:r>
              <w:rPr>
                <w:bCs/>
                <w:szCs w:val="21"/>
                <w:lang w:val="zh-CN" w:eastAsia="en-US" w:bidi="zh-CN"/>
              </w:rPr>
              <w:t>现状评价</w:t>
            </w:r>
          </w:p>
        </w:tc>
        <w:tc>
          <w:tcPr>
            <w:tcW w:w="1090" w:type="pct"/>
            <w:gridSpan w:val="3"/>
            <w:vAlign w:val="center"/>
          </w:tcPr>
          <w:p w14:paraId="1D372495">
            <w:pPr>
              <w:autoSpaceDE w:val="0"/>
              <w:autoSpaceDN w:val="0"/>
              <w:adjustRightInd w:val="0"/>
              <w:snapToGrid w:val="0"/>
              <w:jc w:val="center"/>
              <w:rPr>
                <w:bCs/>
                <w:szCs w:val="21"/>
                <w:lang w:val="zh-CN" w:eastAsia="en-US" w:bidi="zh-CN"/>
              </w:rPr>
            </w:pPr>
            <w:r>
              <w:rPr>
                <w:bCs/>
                <w:szCs w:val="21"/>
                <w:lang w:val="zh-CN" w:eastAsia="en-US" w:bidi="zh-CN"/>
              </w:rPr>
              <w:t>达标百分比</w:t>
            </w:r>
          </w:p>
        </w:tc>
        <w:tc>
          <w:tcPr>
            <w:tcW w:w="2569" w:type="pct"/>
            <w:gridSpan w:val="6"/>
            <w:vAlign w:val="center"/>
          </w:tcPr>
          <w:p w14:paraId="73FC0CE7">
            <w:pPr>
              <w:autoSpaceDE w:val="0"/>
              <w:autoSpaceDN w:val="0"/>
              <w:adjustRightInd w:val="0"/>
              <w:snapToGrid w:val="0"/>
              <w:jc w:val="center"/>
              <w:rPr>
                <w:bCs/>
                <w:szCs w:val="21"/>
                <w:lang w:val="zh-CN" w:bidi="zh-CN"/>
              </w:rPr>
            </w:pPr>
            <w:r>
              <w:rPr>
                <w:bCs/>
                <w:szCs w:val="21"/>
                <w:lang w:val="zh-CN" w:bidi="zh-CN"/>
              </w:rPr>
              <w:t>100%</w:t>
            </w:r>
          </w:p>
        </w:tc>
      </w:tr>
      <w:tr w14:paraId="0442F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7" w:type="pct"/>
            <w:vAlign w:val="center"/>
          </w:tcPr>
          <w:p w14:paraId="0566FB8F">
            <w:pPr>
              <w:autoSpaceDE w:val="0"/>
              <w:autoSpaceDN w:val="0"/>
              <w:adjustRightInd w:val="0"/>
              <w:snapToGrid w:val="0"/>
              <w:jc w:val="center"/>
              <w:rPr>
                <w:bCs/>
                <w:szCs w:val="21"/>
                <w:lang w:val="zh-CN" w:eastAsia="en-US" w:bidi="zh-CN"/>
              </w:rPr>
            </w:pPr>
            <w:r>
              <w:rPr>
                <w:bCs/>
                <w:szCs w:val="21"/>
                <w:lang w:val="zh-CN" w:eastAsia="en-US" w:bidi="zh-CN"/>
              </w:rPr>
              <w:t>噪声源</w:t>
            </w:r>
          </w:p>
          <w:p w14:paraId="4E6A89FE">
            <w:pPr>
              <w:autoSpaceDE w:val="0"/>
              <w:autoSpaceDN w:val="0"/>
              <w:adjustRightInd w:val="0"/>
              <w:snapToGrid w:val="0"/>
              <w:jc w:val="center"/>
              <w:rPr>
                <w:bCs/>
                <w:szCs w:val="21"/>
                <w:lang w:val="zh-CN" w:eastAsia="en-US" w:bidi="zh-CN"/>
              </w:rPr>
            </w:pPr>
            <w:r>
              <w:rPr>
                <w:bCs/>
                <w:szCs w:val="21"/>
                <w:lang w:val="zh-CN" w:eastAsia="en-US" w:bidi="zh-CN"/>
              </w:rPr>
              <w:t>调查</w:t>
            </w:r>
          </w:p>
        </w:tc>
        <w:tc>
          <w:tcPr>
            <w:tcW w:w="785" w:type="pct"/>
            <w:vAlign w:val="center"/>
          </w:tcPr>
          <w:p w14:paraId="5F90BF32">
            <w:pPr>
              <w:autoSpaceDE w:val="0"/>
              <w:autoSpaceDN w:val="0"/>
              <w:adjustRightInd w:val="0"/>
              <w:snapToGrid w:val="0"/>
              <w:jc w:val="center"/>
              <w:rPr>
                <w:bCs/>
                <w:szCs w:val="21"/>
                <w:lang w:val="zh-CN" w:eastAsia="en-US" w:bidi="zh-CN"/>
              </w:rPr>
            </w:pPr>
            <w:r>
              <w:rPr>
                <w:bCs/>
                <w:szCs w:val="21"/>
                <w:lang w:val="zh-CN" w:eastAsia="en-US" w:bidi="zh-CN"/>
              </w:rPr>
              <w:t>噪声源调查方法</w:t>
            </w:r>
          </w:p>
        </w:tc>
        <w:tc>
          <w:tcPr>
            <w:tcW w:w="3658" w:type="pct"/>
            <w:gridSpan w:val="9"/>
            <w:vAlign w:val="center"/>
          </w:tcPr>
          <w:p w14:paraId="5581EA78">
            <w:pPr>
              <w:autoSpaceDE w:val="0"/>
              <w:autoSpaceDN w:val="0"/>
              <w:adjustRightInd w:val="0"/>
              <w:snapToGrid w:val="0"/>
              <w:jc w:val="center"/>
              <w:rPr>
                <w:bCs/>
                <w:szCs w:val="21"/>
                <w:lang w:val="zh-CN" w:bidi="zh-CN"/>
              </w:rPr>
            </w:pPr>
            <w:r>
              <w:rPr>
                <w:bCs/>
                <w:szCs w:val="21"/>
                <w:lang w:val="zh-CN" w:bidi="zh-CN"/>
              </w:rPr>
              <w:t>现场实测□          已有资料</w:t>
            </w:r>
            <w:r>
              <w:rPr>
                <w:bCs/>
                <w:szCs w:val="21"/>
              </w:rPr>
              <w:sym w:font="Wingdings 2" w:char="F052"/>
            </w:r>
            <w:r>
              <w:rPr>
                <w:bCs/>
                <w:szCs w:val="21"/>
                <w:lang w:val="zh-CN" w:bidi="zh-CN"/>
              </w:rPr>
              <w:t xml:space="preserve">             研究成果□</w:t>
            </w:r>
          </w:p>
        </w:tc>
      </w:tr>
      <w:tr w14:paraId="51836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7" w:type="pct"/>
            <w:vMerge w:val="restart"/>
            <w:vAlign w:val="center"/>
          </w:tcPr>
          <w:p w14:paraId="1BC5E8A7">
            <w:pPr>
              <w:autoSpaceDE w:val="0"/>
              <w:autoSpaceDN w:val="0"/>
              <w:adjustRightInd w:val="0"/>
              <w:snapToGrid w:val="0"/>
              <w:jc w:val="center"/>
              <w:rPr>
                <w:bCs/>
                <w:szCs w:val="21"/>
                <w:lang w:val="zh-CN" w:bidi="zh-CN"/>
              </w:rPr>
            </w:pPr>
            <w:r>
              <w:rPr>
                <w:bCs/>
                <w:szCs w:val="21"/>
                <w:lang w:val="zh-CN" w:bidi="zh-CN"/>
              </w:rPr>
              <w:t>声环境影响预测与评价</w:t>
            </w:r>
          </w:p>
        </w:tc>
        <w:tc>
          <w:tcPr>
            <w:tcW w:w="785" w:type="pct"/>
            <w:vAlign w:val="center"/>
          </w:tcPr>
          <w:p w14:paraId="6D3D4F5E">
            <w:pPr>
              <w:autoSpaceDE w:val="0"/>
              <w:autoSpaceDN w:val="0"/>
              <w:adjustRightInd w:val="0"/>
              <w:snapToGrid w:val="0"/>
              <w:jc w:val="center"/>
              <w:rPr>
                <w:bCs/>
                <w:szCs w:val="21"/>
                <w:lang w:val="zh-CN" w:eastAsia="en-US" w:bidi="zh-CN"/>
              </w:rPr>
            </w:pPr>
            <w:r>
              <w:rPr>
                <w:bCs/>
                <w:szCs w:val="21"/>
                <w:lang w:val="zh-CN" w:eastAsia="en-US" w:bidi="zh-CN"/>
              </w:rPr>
              <w:t>预测模型</w:t>
            </w:r>
          </w:p>
        </w:tc>
        <w:tc>
          <w:tcPr>
            <w:tcW w:w="3658" w:type="pct"/>
            <w:gridSpan w:val="9"/>
            <w:vAlign w:val="center"/>
          </w:tcPr>
          <w:p w14:paraId="27463CB7">
            <w:pPr>
              <w:autoSpaceDE w:val="0"/>
              <w:autoSpaceDN w:val="0"/>
              <w:adjustRightInd w:val="0"/>
              <w:snapToGrid w:val="0"/>
              <w:jc w:val="center"/>
              <w:rPr>
                <w:bCs/>
                <w:szCs w:val="21"/>
                <w:lang w:val="zh-CN" w:bidi="zh-CN"/>
              </w:rPr>
            </w:pPr>
            <w:r>
              <w:rPr>
                <w:bCs/>
                <w:szCs w:val="21"/>
                <w:lang w:val="zh-CN" w:bidi="zh-CN"/>
              </w:rPr>
              <w:t>导则推荐模型</w:t>
            </w:r>
            <w:r>
              <w:rPr>
                <w:bCs/>
                <w:szCs w:val="21"/>
              </w:rPr>
              <w:sym w:font="Wingdings 2" w:char="F052"/>
            </w:r>
            <w:r>
              <w:rPr>
                <w:bCs/>
                <w:szCs w:val="21"/>
                <w:lang w:val="zh-CN" w:bidi="zh-CN"/>
              </w:rPr>
              <w:t xml:space="preserve">                    其他□</w:t>
            </w:r>
          </w:p>
        </w:tc>
      </w:tr>
      <w:tr w14:paraId="4B65F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7" w:type="pct"/>
            <w:vMerge w:val="continue"/>
            <w:vAlign w:val="center"/>
          </w:tcPr>
          <w:p w14:paraId="113FF187">
            <w:pPr>
              <w:autoSpaceDE w:val="0"/>
              <w:autoSpaceDN w:val="0"/>
              <w:adjustRightInd w:val="0"/>
              <w:snapToGrid w:val="0"/>
              <w:jc w:val="center"/>
              <w:rPr>
                <w:bCs/>
                <w:szCs w:val="21"/>
                <w:lang w:val="zh-CN" w:bidi="zh-CN"/>
              </w:rPr>
            </w:pPr>
          </w:p>
        </w:tc>
        <w:tc>
          <w:tcPr>
            <w:tcW w:w="785" w:type="pct"/>
            <w:vAlign w:val="center"/>
          </w:tcPr>
          <w:p w14:paraId="2EBC9F2F">
            <w:pPr>
              <w:autoSpaceDE w:val="0"/>
              <w:autoSpaceDN w:val="0"/>
              <w:adjustRightInd w:val="0"/>
              <w:snapToGrid w:val="0"/>
              <w:jc w:val="center"/>
              <w:rPr>
                <w:bCs/>
                <w:szCs w:val="21"/>
                <w:lang w:val="zh-CN" w:eastAsia="en-US" w:bidi="zh-CN"/>
              </w:rPr>
            </w:pPr>
            <w:r>
              <w:rPr>
                <w:bCs/>
                <w:szCs w:val="21"/>
                <w:lang w:val="zh-CN" w:eastAsia="en-US" w:bidi="zh-CN"/>
              </w:rPr>
              <w:t>预测范围</w:t>
            </w:r>
          </w:p>
        </w:tc>
        <w:tc>
          <w:tcPr>
            <w:tcW w:w="3658" w:type="pct"/>
            <w:gridSpan w:val="9"/>
            <w:vAlign w:val="center"/>
          </w:tcPr>
          <w:p w14:paraId="2EB2C36C">
            <w:pPr>
              <w:autoSpaceDE w:val="0"/>
              <w:autoSpaceDN w:val="0"/>
              <w:adjustRightInd w:val="0"/>
              <w:snapToGrid w:val="0"/>
              <w:jc w:val="center"/>
              <w:rPr>
                <w:bCs/>
                <w:szCs w:val="21"/>
                <w:lang w:val="zh-CN" w:bidi="zh-CN"/>
              </w:rPr>
            </w:pPr>
            <w:r>
              <w:rPr>
                <w:bCs/>
                <w:szCs w:val="21"/>
                <w:lang w:val="zh-CN" w:bidi="zh-CN"/>
              </w:rPr>
              <w:t>200 m</w:t>
            </w:r>
            <w:r>
              <w:rPr>
                <w:bCs/>
                <w:szCs w:val="21"/>
              </w:rPr>
              <w:sym w:font="Wingdings 2" w:char="F052"/>
            </w:r>
            <w:r>
              <w:rPr>
                <w:bCs/>
                <w:szCs w:val="21"/>
                <w:lang w:val="zh-CN" w:bidi="zh-CN"/>
              </w:rPr>
              <w:t xml:space="preserve">               大于 200 m□              小于 200 m□</w:t>
            </w:r>
          </w:p>
        </w:tc>
      </w:tr>
      <w:tr w14:paraId="75A1E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7" w:type="pct"/>
            <w:vMerge w:val="continue"/>
            <w:vAlign w:val="center"/>
          </w:tcPr>
          <w:p w14:paraId="74CBF549">
            <w:pPr>
              <w:autoSpaceDE w:val="0"/>
              <w:autoSpaceDN w:val="0"/>
              <w:adjustRightInd w:val="0"/>
              <w:snapToGrid w:val="0"/>
              <w:jc w:val="center"/>
              <w:rPr>
                <w:bCs/>
                <w:szCs w:val="21"/>
                <w:lang w:val="zh-CN" w:bidi="zh-CN"/>
              </w:rPr>
            </w:pPr>
          </w:p>
        </w:tc>
        <w:tc>
          <w:tcPr>
            <w:tcW w:w="785" w:type="pct"/>
            <w:vAlign w:val="center"/>
          </w:tcPr>
          <w:p w14:paraId="51DD6C5C">
            <w:pPr>
              <w:autoSpaceDE w:val="0"/>
              <w:autoSpaceDN w:val="0"/>
              <w:adjustRightInd w:val="0"/>
              <w:snapToGrid w:val="0"/>
              <w:jc w:val="center"/>
              <w:rPr>
                <w:bCs/>
                <w:szCs w:val="21"/>
                <w:lang w:val="zh-CN" w:eastAsia="en-US" w:bidi="zh-CN"/>
              </w:rPr>
            </w:pPr>
            <w:r>
              <w:rPr>
                <w:bCs/>
                <w:szCs w:val="21"/>
                <w:lang w:val="zh-CN" w:eastAsia="en-US" w:bidi="zh-CN"/>
              </w:rPr>
              <w:t>预测因子</w:t>
            </w:r>
          </w:p>
        </w:tc>
        <w:tc>
          <w:tcPr>
            <w:tcW w:w="3658" w:type="pct"/>
            <w:gridSpan w:val="9"/>
            <w:vAlign w:val="center"/>
          </w:tcPr>
          <w:p w14:paraId="4556E919">
            <w:pPr>
              <w:autoSpaceDE w:val="0"/>
              <w:autoSpaceDN w:val="0"/>
              <w:adjustRightInd w:val="0"/>
              <w:snapToGrid w:val="0"/>
              <w:jc w:val="center"/>
              <w:rPr>
                <w:bCs/>
                <w:szCs w:val="21"/>
                <w:lang w:val="zh-CN" w:bidi="zh-CN"/>
              </w:rPr>
            </w:pPr>
            <w:r>
              <w:rPr>
                <w:bCs/>
                <w:szCs w:val="21"/>
                <w:lang w:val="zh-CN" w:bidi="zh-CN"/>
              </w:rPr>
              <w:t>等效连续 A声级</w:t>
            </w:r>
            <w:r>
              <w:rPr>
                <w:bCs/>
                <w:szCs w:val="21"/>
              </w:rPr>
              <w:sym w:font="Wingdings 2" w:char="F052"/>
            </w:r>
            <w:r>
              <w:rPr>
                <w:bCs/>
                <w:szCs w:val="21"/>
                <w:lang w:val="zh-CN" w:bidi="zh-CN"/>
              </w:rPr>
              <w:t xml:space="preserve">     最大 A 声级□   计权等效连续感觉噪声级□</w:t>
            </w:r>
          </w:p>
        </w:tc>
      </w:tr>
      <w:tr w14:paraId="64FE3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7" w:type="pct"/>
            <w:vMerge w:val="continue"/>
            <w:vAlign w:val="center"/>
          </w:tcPr>
          <w:p w14:paraId="18C0C7D8">
            <w:pPr>
              <w:autoSpaceDE w:val="0"/>
              <w:autoSpaceDN w:val="0"/>
              <w:adjustRightInd w:val="0"/>
              <w:snapToGrid w:val="0"/>
              <w:jc w:val="center"/>
              <w:rPr>
                <w:bCs/>
                <w:szCs w:val="21"/>
                <w:lang w:val="zh-CN" w:bidi="zh-CN"/>
              </w:rPr>
            </w:pPr>
          </w:p>
        </w:tc>
        <w:tc>
          <w:tcPr>
            <w:tcW w:w="785" w:type="pct"/>
            <w:vAlign w:val="center"/>
          </w:tcPr>
          <w:p w14:paraId="3292119C">
            <w:pPr>
              <w:autoSpaceDE w:val="0"/>
              <w:autoSpaceDN w:val="0"/>
              <w:adjustRightInd w:val="0"/>
              <w:snapToGrid w:val="0"/>
              <w:jc w:val="center"/>
              <w:rPr>
                <w:bCs/>
                <w:szCs w:val="21"/>
                <w:lang w:val="zh-CN" w:eastAsia="en-US" w:bidi="zh-CN"/>
              </w:rPr>
            </w:pPr>
            <w:r>
              <w:rPr>
                <w:bCs/>
                <w:szCs w:val="21"/>
                <w:lang w:val="zh-CN" w:eastAsia="en-US" w:bidi="zh-CN"/>
              </w:rPr>
              <w:t>厂界噪声</w:t>
            </w:r>
          </w:p>
          <w:p w14:paraId="71637A1C">
            <w:pPr>
              <w:autoSpaceDE w:val="0"/>
              <w:autoSpaceDN w:val="0"/>
              <w:adjustRightInd w:val="0"/>
              <w:snapToGrid w:val="0"/>
              <w:jc w:val="center"/>
              <w:rPr>
                <w:bCs/>
                <w:szCs w:val="21"/>
                <w:lang w:val="zh-CN" w:eastAsia="en-US" w:bidi="zh-CN"/>
              </w:rPr>
            </w:pPr>
            <w:r>
              <w:rPr>
                <w:bCs/>
                <w:szCs w:val="21"/>
                <w:lang w:val="zh-CN" w:eastAsia="en-US" w:bidi="zh-CN"/>
              </w:rPr>
              <w:t>贡献值</w:t>
            </w:r>
          </w:p>
        </w:tc>
        <w:tc>
          <w:tcPr>
            <w:tcW w:w="3658" w:type="pct"/>
            <w:gridSpan w:val="9"/>
            <w:vAlign w:val="center"/>
          </w:tcPr>
          <w:p w14:paraId="2E83634A">
            <w:pPr>
              <w:autoSpaceDE w:val="0"/>
              <w:autoSpaceDN w:val="0"/>
              <w:adjustRightInd w:val="0"/>
              <w:snapToGrid w:val="0"/>
              <w:jc w:val="center"/>
              <w:rPr>
                <w:bCs/>
                <w:szCs w:val="21"/>
                <w:lang w:val="zh-CN" w:eastAsia="en-US" w:bidi="zh-CN"/>
              </w:rPr>
            </w:pPr>
            <w:r>
              <w:rPr>
                <w:bCs/>
                <w:szCs w:val="21"/>
                <w:lang w:val="zh-CN" w:eastAsia="en-US" w:bidi="zh-CN"/>
              </w:rPr>
              <w:t>达标</w:t>
            </w:r>
            <w:r>
              <w:rPr>
                <w:bCs/>
                <w:szCs w:val="21"/>
              </w:rPr>
              <w:sym w:font="Wingdings 2" w:char="F052"/>
            </w:r>
            <w:r>
              <w:rPr>
                <w:bCs/>
                <w:szCs w:val="21"/>
                <w:lang w:val="zh-CN" w:eastAsia="en-US" w:bidi="zh-CN"/>
              </w:rPr>
              <w:t xml:space="preserve">               不达标□</w:t>
            </w:r>
          </w:p>
        </w:tc>
      </w:tr>
      <w:tr w14:paraId="07AA7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7" w:type="pct"/>
            <w:vMerge w:val="continue"/>
            <w:vAlign w:val="center"/>
          </w:tcPr>
          <w:p w14:paraId="20AC7EC5">
            <w:pPr>
              <w:autoSpaceDE w:val="0"/>
              <w:autoSpaceDN w:val="0"/>
              <w:adjustRightInd w:val="0"/>
              <w:snapToGrid w:val="0"/>
              <w:jc w:val="center"/>
              <w:rPr>
                <w:bCs/>
                <w:szCs w:val="21"/>
                <w:lang w:val="zh-CN" w:eastAsia="en-US" w:bidi="zh-CN"/>
              </w:rPr>
            </w:pPr>
          </w:p>
        </w:tc>
        <w:tc>
          <w:tcPr>
            <w:tcW w:w="785" w:type="pct"/>
            <w:vAlign w:val="center"/>
          </w:tcPr>
          <w:p w14:paraId="0A0BA56D">
            <w:pPr>
              <w:autoSpaceDE w:val="0"/>
              <w:autoSpaceDN w:val="0"/>
              <w:adjustRightInd w:val="0"/>
              <w:snapToGrid w:val="0"/>
              <w:jc w:val="center"/>
              <w:rPr>
                <w:bCs/>
                <w:szCs w:val="21"/>
                <w:lang w:val="zh-CN" w:bidi="zh-CN"/>
              </w:rPr>
            </w:pPr>
            <w:r>
              <w:rPr>
                <w:bCs/>
                <w:szCs w:val="21"/>
                <w:lang w:val="zh-CN" w:bidi="zh-CN"/>
              </w:rPr>
              <w:t>声环境保护</w:t>
            </w:r>
          </w:p>
          <w:p w14:paraId="0BAEDF69">
            <w:pPr>
              <w:autoSpaceDE w:val="0"/>
              <w:autoSpaceDN w:val="0"/>
              <w:adjustRightInd w:val="0"/>
              <w:snapToGrid w:val="0"/>
              <w:jc w:val="center"/>
              <w:rPr>
                <w:bCs/>
                <w:szCs w:val="21"/>
                <w:lang w:val="zh-CN" w:bidi="zh-CN"/>
              </w:rPr>
            </w:pPr>
            <w:r>
              <w:rPr>
                <w:bCs/>
                <w:szCs w:val="21"/>
                <w:lang w:val="zh-CN" w:bidi="zh-CN"/>
              </w:rPr>
              <w:t>目标处噪声值</w:t>
            </w:r>
          </w:p>
        </w:tc>
        <w:tc>
          <w:tcPr>
            <w:tcW w:w="3658" w:type="pct"/>
            <w:gridSpan w:val="9"/>
            <w:vAlign w:val="center"/>
          </w:tcPr>
          <w:p w14:paraId="66CB8F9E">
            <w:pPr>
              <w:autoSpaceDE w:val="0"/>
              <w:autoSpaceDN w:val="0"/>
              <w:adjustRightInd w:val="0"/>
              <w:snapToGrid w:val="0"/>
              <w:jc w:val="center"/>
              <w:rPr>
                <w:bCs/>
                <w:szCs w:val="21"/>
                <w:lang w:val="zh-CN" w:eastAsia="en-US" w:bidi="zh-CN"/>
              </w:rPr>
            </w:pPr>
            <w:r>
              <w:rPr>
                <w:bCs/>
                <w:szCs w:val="21"/>
                <w:lang w:val="zh-CN" w:eastAsia="en-US" w:bidi="zh-CN"/>
              </w:rPr>
              <w:t>达标</w:t>
            </w:r>
            <w:r>
              <w:rPr>
                <w:bCs/>
                <w:szCs w:val="21"/>
              </w:rPr>
              <w:sym w:font="Wingdings 2" w:char="F052"/>
            </w:r>
            <w:r>
              <w:rPr>
                <w:bCs/>
                <w:szCs w:val="21"/>
                <w:lang w:val="zh-CN" w:eastAsia="en-US" w:bidi="zh-CN"/>
              </w:rPr>
              <w:t xml:space="preserve">                   不达标□</w:t>
            </w:r>
          </w:p>
        </w:tc>
      </w:tr>
      <w:tr w14:paraId="61F36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7" w:type="pct"/>
            <w:vMerge w:val="restart"/>
            <w:vAlign w:val="center"/>
          </w:tcPr>
          <w:p w14:paraId="28E3C03B">
            <w:pPr>
              <w:autoSpaceDE w:val="0"/>
              <w:autoSpaceDN w:val="0"/>
              <w:adjustRightInd w:val="0"/>
              <w:snapToGrid w:val="0"/>
              <w:jc w:val="center"/>
              <w:rPr>
                <w:bCs/>
                <w:szCs w:val="21"/>
                <w:lang w:val="zh-CN" w:eastAsia="en-US" w:bidi="zh-CN"/>
              </w:rPr>
            </w:pPr>
            <w:r>
              <w:rPr>
                <w:bCs/>
                <w:szCs w:val="21"/>
                <w:lang w:val="zh-CN" w:eastAsia="en-US" w:bidi="zh-CN"/>
              </w:rPr>
              <w:t>环境监测计划</w:t>
            </w:r>
          </w:p>
        </w:tc>
        <w:tc>
          <w:tcPr>
            <w:tcW w:w="785" w:type="pct"/>
            <w:vAlign w:val="center"/>
          </w:tcPr>
          <w:p w14:paraId="5A16784E">
            <w:pPr>
              <w:autoSpaceDE w:val="0"/>
              <w:autoSpaceDN w:val="0"/>
              <w:adjustRightInd w:val="0"/>
              <w:snapToGrid w:val="0"/>
              <w:jc w:val="center"/>
              <w:rPr>
                <w:bCs/>
                <w:szCs w:val="21"/>
                <w:lang w:val="zh-CN" w:eastAsia="en-US" w:bidi="zh-CN"/>
              </w:rPr>
            </w:pPr>
            <w:r>
              <w:rPr>
                <w:bCs/>
                <w:szCs w:val="21"/>
                <w:lang w:val="zh-CN" w:eastAsia="en-US" w:bidi="zh-CN"/>
              </w:rPr>
              <w:t>排放监测</w:t>
            </w:r>
          </w:p>
        </w:tc>
        <w:tc>
          <w:tcPr>
            <w:tcW w:w="3658" w:type="pct"/>
            <w:gridSpan w:val="9"/>
            <w:vAlign w:val="center"/>
          </w:tcPr>
          <w:p w14:paraId="04B947F9">
            <w:pPr>
              <w:tabs>
                <w:tab w:val="left" w:pos="1621"/>
              </w:tabs>
              <w:autoSpaceDE w:val="0"/>
              <w:autoSpaceDN w:val="0"/>
              <w:adjustRightInd w:val="0"/>
              <w:snapToGrid w:val="0"/>
              <w:jc w:val="center"/>
              <w:rPr>
                <w:bCs/>
                <w:szCs w:val="21"/>
                <w:lang w:val="zh-CN" w:bidi="zh-CN"/>
              </w:rPr>
            </w:pPr>
            <w:r>
              <w:rPr>
                <w:bCs/>
                <w:szCs w:val="21"/>
                <w:lang w:val="zh-CN" w:bidi="zh-CN"/>
              </w:rPr>
              <w:t>厂界监测</w:t>
            </w:r>
            <w:r>
              <w:rPr>
                <w:bCs/>
                <w:szCs w:val="21"/>
              </w:rPr>
              <w:sym w:font="Wingdings 2" w:char="F052"/>
            </w:r>
            <w:r>
              <w:rPr>
                <w:bCs/>
                <w:szCs w:val="21"/>
                <w:lang w:val="zh-CN" w:bidi="zh-CN"/>
              </w:rPr>
              <w:t xml:space="preserve">   固定位置监</w:t>
            </w:r>
            <w:r>
              <w:rPr>
                <w:bCs/>
                <w:spacing w:val="-3"/>
                <w:szCs w:val="21"/>
                <w:lang w:val="zh-CN" w:bidi="zh-CN"/>
              </w:rPr>
              <w:t>测</w:t>
            </w:r>
            <w:r>
              <w:rPr>
                <w:bCs/>
                <w:szCs w:val="21"/>
                <w:lang w:val="zh-CN" w:bidi="zh-CN"/>
              </w:rPr>
              <w:t>□   自动监测□   手动监测□   无监测□</w:t>
            </w:r>
          </w:p>
        </w:tc>
      </w:tr>
      <w:tr w14:paraId="489B0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7" w:type="pct"/>
            <w:vMerge w:val="continue"/>
            <w:vAlign w:val="center"/>
          </w:tcPr>
          <w:p w14:paraId="3C305D37">
            <w:pPr>
              <w:autoSpaceDE w:val="0"/>
              <w:autoSpaceDN w:val="0"/>
              <w:adjustRightInd w:val="0"/>
              <w:snapToGrid w:val="0"/>
              <w:jc w:val="center"/>
              <w:rPr>
                <w:bCs/>
                <w:szCs w:val="21"/>
                <w:lang w:val="zh-CN" w:bidi="zh-CN"/>
              </w:rPr>
            </w:pPr>
          </w:p>
        </w:tc>
        <w:tc>
          <w:tcPr>
            <w:tcW w:w="785" w:type="pct"/>
            <w:vAlign w:val="center"/>
          </w:tcPr>
          <w:p w14:paraId="1164ACFF">
            <w:pPr>
              <w:autoSpaceDE w:val="0"/>
              <w:autoSpaceDN w:val="0"/>
              <w:adjustRightInd w:val="0"/>
              <w:snapToGrid w:val="0"/>
              <w:jc w:val="center"/>
              <w:rPr>
                <w:bCs/>
                <w:szCs w:val="21"/>
                <w:lang w:val="zh-CN" w:bidi="zh-CN"/>
              </w:rPr>
            </w:pPr>
            <w:r>
              <w:rPr>
                <w:bCs/>
                <w:szCs w:val="21"/>
                <w:lang w:val="zh-CN" w:bidi="zh-CN"/>
              </w:rPr>
              <w:t>声环境保护目标处噪声监测</w:t>
            </w:r>
          </w:p>
        </w:tc>
        <w:tc>
          <w:tcPr>
            <w:tcW w:w="1815" w:type="pct"/>
            <w:gridSpan w:val="5"/>
            <w:vAlign w:val="center"/>
          </w:tcPr>
          <w:p w14:paraId="2426E457">
            <w:pPr>
              <w:tabs>
                <w:tab w:val="left" w:pos="2252"/>
              </w:tabs>
              <w:autoSpaceDE w:val="0"/>
              <w:autoSpaceDN w:val="0"/>
              <w:adjustRightInd w:val="0"/>
              <w:snapToGrid w:val="0"/>
              <w:jc w:val="center"/>
              <w:rPr>
                <w:bCs/>
                <w:szCs w:val="21"/>
                <w:lang w:val="zh-CN" w:eastAsia="en-US" w:bidi="zh-CN"/>
              </w:rPr>
            </w:pPr>
            <w:r>
              <w:rPr>
                <w:bCs/>
                <w:szCs w:val="21"/>
                <w:lang w:val="zh-CN" w:eastAsia="en-US" w:bidi="zh-CN"/>
              </w:rPr>
              <w:t>监测因子</w:t>
            </w:r>
            <w:r>
              <w:rPr>
                <w:bCs/>
                <w:spacing w:val="-92"/>
                <w:szCs w:val="21"/>
                <w:lang w:val="zh-CN" w:eastAsia="en-US" w:bidi="zh-CN"/>
              </w:rPr>
              <w:t>：</w:t>
            </w:r>
            <w:r>
              <w:rPr>
                <w:bCs/>
                <w:szCs w:val="21"/>
                <w:lang w:val="zh-CN" w:eastAsia="en-US" w:bidi="zh-CN"/>
              </w:rPr>
              <w:t>（）</w:t>
            </w:r>
          </w:p>
        </w:tc>
        <w:tc>
          <w:tcPr>
            <w:tcW w:w="1214" w:type="pct"/>
            <w:gridSpan w:val="3"/>
            <w:vAlign w:val="center"/>
          </w:tcPr>
          <w:p w14:paraId="0E35FE82">
            <w:pPr>
              <w:tabs>
                <w:tab w:val="left" w:pos="1735"/>
              </w:tabs>
              <w:autoSpaceDE w:val="0"/>
              <w:autoSpaceDN w:val="0"/>
              <w:adjustRightInd w:val="0"/>
              <w:snapToGrid w:val="0"/>
              <w:jc w:val="center"/>
              <w:rPr>
                <w:bCs/>
                <w:szCs w:val="21"/>
                <w:lang w:val="zh-CN" w:eastAsia="en-US" w:bidi="zh-CN"/>
              </w:rPr>
            </w:pPr>
            <w:r>
              <w:rPr>
                <w:bCs/>
                <w:szCs w:val="21"/>
                <w:lang w:val="zh-CN" w:eastAsia="en-US" w:bidi="zh-CN"/>
              </w:rPr>
              <w:t>监测点位数（）</w:t>
            </w:r>
          </w:p>
        </w:tc>
        <w:tc>
          <w:tcPr>
            <w:tcW w:w="630" w:type="pct"/>
            <w:vAlign w:val="center"/>
          </w:tcPr>
          <w:p w14:paraId="11694EF6">
            <w:pPr>
              <w:autoSpaceDE w:val="0"/>
              <w:autoSpaceDN w:val="0"/>
              <w:adjustRightInd w:val="0"/>
              <w:snapToGrid w:val="0"/>
              <w:jc w:val="center"/>
              <w:rPr>
                <w:bCs/>
                <w:szCs w:val="21"/>
                <w:lang w:val="zh-CN" w:eastAsia="en-US" w:bidi="zh-CN"/>
              </w:rPr>
            </w:pPr>
            <w:r>
              <w:rPr>
                <w:bCs/>
                <w:szCs w:val="21"/>
                <w:lang w:val="zh-CN" w:eastAsia="en-US" w:bidi="zh-CN"/>
              </w:rPr>
              <w:t>无监测</w:t>
            </w:r>
            <w:r>
              <w:rPr>
                <w:bCs/>
                <w:szCs w:val="21"/>
              </w:rPr>
              <w:sym w:font="Wingdings 2" w:char="F052"/>
            </w:r>
          </w:p>
        </w:tc>
      </w:tr>
      <w:tr w14:paraId="5606F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57" w:type="pct"/>
            <w:vAlign w:val="center"/>
          </w:tcPr>
          <w:p w14:paraId="60C746A4">
            <w:pPr>
              <w:autoSpaceDE w:val="0"/>
              <w:autoSpaceDN w:val="0"/>
              <w:adjustRightInd w:val="0"/>
              <w:snapToGrid w:val="0"/>
              <w:jc w:val="center"/>
              <w:rPr>
                <w:bCs/>
                <w:szCs w:val="21"/>
                <w:lang w:val="zh-CN" w:eastAsia="en-US" w:bidi="zh-CN"/>
              </w:rPr>
            </w:pPr>
            <w:r>
              <w:rPr>
                <w:bCs/>
                <w:szCs w:val="21"/>
                <w:lang w:val="zh-CN" w:eastAsia="en-US" w:bidi="zh-CN"/>
              </w:rPr>
              <w:t>评价结论</w:t>
            </w:r>
          </w:p>
        </w:tc>
        <w:tc>
          <w:tcPr>
            <w:tcW w:w="785" w:type="pct"/>
            <w:vAlign w:val="center"/>
          </w:tcPr>
          <w:p w14:paraId="4476C28A">
            <w:pPr>
              <w:autoSpaceDE w:val="0"/>
              <w:autoSpaceDN w:val="0"/>
              <w:adjustRightInd w:val="0"/>
              <w:snapToGrid w:val="0"/>
              <w:jc w:val="center"/>
              <w:rPr>
                <w:bCs/>
                <w:szCs w:val="21"/>
                <w:lang w:val="zh-CN" w:eastAsia="en-US" w:bidi="zh-CN"/>
              </w:rPr>
            </w:pPr>
            <w:r>
              <w:rPr>
                <w:bCs/>
                <w:szCs w:val="21"/>
                <w:lang w:val="zh-CN" w:eastAsia="en-US" w:bidi="zh-CN"/>
              </w:rPr>
              <w:t>环境影响</w:t>
            </w:r>
          </w:p>
        </w:tc>
        <w:tc>
          <w:tcPr>
            <w:tcW w:w="3658" w:type="pct"/>
            <w:gridSpan w:val="9"/>
            <w:vAlign w:val="center"/>
          </w:tcPr>
          <w:p w14:paraId="0A0567F4">
            <w:pPr>
              <w:tabs>
                <w:tab w:val="left" w:pos="1202"/>
              </w:tabs>
              <w:autoSpaceDE w:val="0"/>
              <w:autoSpaceDN w:val="0"/>
              <w:adjustRightInd w:val="0"/>
              <w:snapToGrid w:val="0"/>
              <w:jc w:val="center"/>
              <w:rPr>
                <w:bCs/>
                <w:szCs w:val="21"/>
                <w:lang w:val="zh-CN" w:eastAsia="en-US" w:bidi="zh-CN"/>
              </w:rPr>
            </w:pPr>
            <w:r>
              <w:rPr>
                <w:bCs/>
                <w:szCs w:val="21"/>
                <w:lang w:val="zh-CN" w:eastAsia="en-US" w:bidi="zh-CN"/>
              </w:rPr>
              <w:t>可行</w:t>
            </w:r>
            <w:r>
              <w:rPr>
                <w:bCs/>
                <w:szCs w:val="21"/>
              </w:rPr>
              <w:sym w:font="Wingdings 2" w:char="F052"/>
            </w:r>
            <w:r>
              <w:rPr>
                <w:bCs/>
                <w:szCs w:val="21"/>
                <w:lang w:val="zh-CN" w:eastAsia="en-US" w:bidi="zh-CN"/>
              </w:rPr>
              <w:t xml:space="preserve">        不可行□</w:t>
            </w:r>
          </w:p>
        </w:tc>
      </w:tr>
      <w:tr w14:paraId="5BF45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11"/>
            <w:vAlign w:val="center"/>
          </w:tcPr>
          <w:p w14:paraId="2B803B29">
            <w:pPr>
              <w:tabs>
                <w:tab w:val="left" w:pos="3079"/>
              </w:tabs>
              <w:autoSpaceDE w:val="0"/>
              <w:autoSpaceDN w:val="0"/>
              <w:adjustRightInd w:val="0"/>
              <w:snapToGrid w:val="0"/>
              <w:jc w:val="center"/>
              <w:rPr>
                <w:bCs/>
                <w:szCs w:val="21"/>
                <w:lang w:val="zh-CN" w:bidi="zh-CN"/>
              </w:rPr>
            </w:pPr>
            <w:r>
              <w:rPr>
                <w:bCs/>
                <w:szCs w:val="21"/>
                <w:lang w:val="zh-CN" w:bidi="zh-CN"/>
              </w:rPr>
              <w:t>注</w:t>
            </w:r>
            <w:r>
              <w:rPr>
                <w:bCs/>
                <w:spacing w:val="-92"/>
                <w:szCs w:val="21"/>
                <w:lang w:val="zh-CN" w:bidi="zh-CN"/>
              </w:rPr>
              <w:t>：</w:t>
            </w:r>
            <w:r>
              <w:rPr>
                <w:bCs/>
                <w:szCs w:val="21"/>
                <w:lang w:val="zh-CN" w:bidi="zh-CN"/>
              </w:rPr>
              <w:t>“□”</w:t>
            </w:r>
            <w:r>
              <w:rPr>
                <w:bCs/>
                <w:spacing w:val="1"/>
                <w:szCs w:val="21"/>
                <w:lang w:val="zh-CN" w:bidi="zh-CN"/>
              </w:rPr>
              <w:t xml:space="preserve"> </w:t>
            </w:r>
            <w:r>
              <w:rPr>
                <w:bCs/>
                <w:szCs w:val="21"/>
                <w:lang w:val="zh-CN" w:bidi="zh-CN"/>
              </w:rPr>
              <w:t>为勾选项</w:t>
            </w:r>
            <w:r>
              <w:rPr>
                <w:bCs/>
                <w:spacing w:val="1"/>
                <w:szCs w:val="21"/>
                <w:lang w:val="zh-CN" w:bidi="zh-CN"/>
              </w:rPr>
              <w:t xml:space="preserve"> </w:t>
            </w:r>
            <w:r>
              <w:rPr>
                <w:bCs/>
                <w:szCs w:val="21"/>
                <w:lang w:val="zh-CN" w:bidi="zh-CN"/>
              </w:rPr>
              <w:t>，可√</w:t>
            </w:r>
            <w:r>
              <w:rPr>
                <w:bCs/>
                <w:spacing w:val="1"/>
                <w:szCs w:val="21"/>
                <w:lang w:val="zh-CN" w:bidi="zh-CN"/>
              </w:rPr>
              <w:t xml:space="preserve"> </w:t>
            </w:r>
            <w:r>
              <w:rPr>
                <w:rFonts w:ascii="宋体" w:hAnsi="宋体"/>
                <w:bCs/>
                <w:spacing w:val="-92"/>
                <w:szCs w:val="21"/>
                <w:lang w:val="zh-CN" w:bidi="zh-CN"/>
              </w:rPr>
              <w:t>；“</w:t>
            </w:r>
            <w:r>
              <w:rPr>
                <w:rFonts w:ascii="宋体" w:hAnsi="宋体"/>
                <w:bCs/>
                <w:szCs w:val="21"/>
                <w:lang w:val="zh-CN" w:bidi="zh-CN"/>
              </w:rPr>
              <w:t xml:space="preserve">（ </w:t>
            </w:r>
            <w:r>
              <w:rPr>
                <w:rFonts w:ascii="宋体" w:hAnsi="宋体"/>
                <w:bCs/>
                <w:spacing w:val="-92"/>
                <w:szCs w:val="21"/>
                <w:lang w:val="zh-CN" w:bidi="zh-CN"/>
              </w:rPr>
              <w:t>）</w:t>
            </w:r>
            <w:r>
              <w:rPr>
                <w:rFonts w:ascii="宋体" w:hAnsi="宋体"/>
                <w:bCs/>
                <w:szCs w:val="21"/>
                <w:lang w:val="zh-CN" w:bidi="zh-CN"/>
              </w:rPr>
              <w:t>”</w:t>
            </w:r>
            <w:r>
              <w:rPr>
                <w:bCs/>
                <w:spacing w:val="1"/>
                <w:szCs w:val="21"/>
                <w:lang w:val="zh-CN" w:bidi="zh-CN"/>
              </w:rPr>
              <w:t xml:space="preserve"> </w:t>
            </w:r>
            <w:r>
              <w:rPr>
                <w:bCs/>
                <w:szCs w:val="21"/>
                <w:lang w:val="zh-CN" w:bidi="zh-CN"/>
              </w:rPr>
              <w:t>为内容填写项。</w:t>
            </w:r>
          </w:p>
        </w:tc>
      </w:tr>
    </w:tbl>
    <w:p w14:paraId="1705DC8F">
      <w:pPr>
        <w:outlineLvl w:val="0"/>
        <w:rPr>
          <w:rFonts w:eastAsia="黑体"/>
          <w:sz w:val="22"/>
          <w:szCs w:val="22"/>
        </w:rPr>
        <w:sectPr>
          <w:pgSz w:w="11906" w:h="16838"/>
          <w:pgMar w:top="1247" w:right="1588" w:bottom="1247" w:left="1588" w:header="680" w:footer="992" w:gutter="0"/>
          <w:cols w:space="720" w:num="1"/>
          <w:docGrid w:linePitch="312" w:charSpace="0"/>
        </w:sectPr>
      </w:pPr>
    </w:p>
    <w:p w14:paraId="691BF7E5">
      <w:pPr>
        <w:outlineLvl w:val="0"/>
        <w:rPr>
          <w:rFonts w:eastAsia="黑体"/>
          <w:sz w:val="22"/>
          <w:szCs w:val="22"/>
        </w:rPr>
      </w:pPr>
      <w:bookmarkStart w:id="310" w:name="_Toc21486"/>
      <w:r>
        <w:rPr>
          <w:rFonts w:eastAsia="黑体"/>
          <w:sz w:val="22"/>
          <w:szCs w:val="22"/>
        </w:rPr>
        <w:t>附表4 生态环境影响评价自查表</w:t>
      </w:r>
      <w:bookmarkEnd w:id="310"/>
    </w:p>
    <w:tbl>
      <w:tblPr>
        <w:tblStyle w:val="88"/>
        <w:tblW w:w="5000" w:type="pct"/>
        <w:tblInd w:w="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940"/>
        <w:gridCol w:w="1314"/>
        <w:gridCol w:w="6486"/>
      </w:tblGrid>
      <w:tr w14:paraId="3ECA195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90" w:type="pct"/>
            <w:gridSpan w:val="2"/>
            <w:vAlign w:val="center"/>
          </w:tcPr>
          <w:p w14:paraId="3A1DF2C9">
            <w:pPr>
              <w:adjustRightInd w:val="0"/>
              <w:snapToGrid w:val="0"/>
              <w:jc w:val="center"/>
              <w:rPr>
                <w:szCs w:val="21"/>
              </w:rPr>
            </w:pPr>
            <w:r>
              <w:rPr>
                <w:szCs w:val="21"/>
              </w:rPr>
              <w:t>工作内容</w:t>
            </w:r>
          </w:p>
        </w:tc>
        <w:tc>
          <w:tcPr>
            <w:tcW w:w="3710" w:type="pct"/>
            <w:vAlign w:val="center"/>
          </w:tcPr>
          <w:p w14:paraId="669F2B2C">
            <w:pPr>
              <w:adjustRightInd w:val="0"/>
              <w:snapToGrid w:val="0"/>
              <w:jc w:val="center"/>
              <w:rPr>
                <w:szCs w:val="21"/>
              </w:rPr>
            </w:pPr>
            <w:r>
              <w:rPr>
                <w:rFonts w:hint="eastAsia"/>
              </w:rPr>
              <w:t>潜江—韶关输气管道28号阀室新增下载点改扩建项目</w:t>
            </w:r>
          </w:p>
        </w:tc>
      </w:tr>
      <w:tr w14:paraId="74061C9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8" w:type="pct"/>
            <w:vMerge w:val="restart"/>
            <w:vAlign w:val="center"/>
          </w:tcPr>
          <w:p w14:paraId="283CCC99">
            <w:pPr>
              <w:adjustRightInd w:val="0"/>
              <w:snapToGrid w:val="0"/>
              <w:rPr>
                <w:szCs w:val="21"/>
              </w:rPr>
            </w:pPr>
            <w:r>
              <w:rPr>
                <w:szCs w:val="21"/>
              </w:rPr>
              <w:t>生态影响 识别</w:t>
            </w:r>
          </w:p>
        </w:tc>
        <w:tc>
          <w:tcPr>
            <w:tcW w:w="752" w:type="pct"/>
            <w:vAlign w:val="center"/>
          </w:tcPr>
          <w:p w14:paraId="0CDDBC8C">
            <w:pPr>
              <w:adjustRightInd w:val="0"/>
              <w:snapToGrid w:val="0"/>
              <w:jc w:val="center"/>
              <w:rPr>
                <w:szCs w:val="21"/>
              </w:rPr>
            </w:pPr>
            <w:r>
              <w:rPr>
                <w:szCs w:val="21"/>
              </w:rPr>
              <w:t>生态保护</w:t>
            </w:r>
          </w:p>
          <w:p w14:paraId="76C4BBF8">
            <w:pPr>
              <w:adjustRightInd w:val="0"/>
              <w:snapToGrid w:val="0"/>
              <w:jc w:val="center"/>
              <w:rPr>
                <w:szCs w:val="21"/>
              </w:rPr>
            </w:pPr>
            <w:r>
              <w:rPr>
                <w:szCs w:val="21"/>
              </w:rPr>
              <w:t>目标</w:t>
            </w:r>
          </w:p>
        </w:tc>
        <w:tc>
          <w:tcPr>
            <w:tcW w:w="3710" w:type="pct"/>
            <w:vAlign w:val="center"/>
          </w:tcPr>
          <w:p w14:paraId="3AC741EA">
            <w:pPr>
              <w:adjustRightInd w:val="0"/>
              <w:snapToGrid w:val="0"/>
              <w:rPr>
                <w:szCs w:val="21"/>
              </w:rPr>
            </w:pPr>
            <w:r>
              <w:rPr>
                <w:szCs w:val="21"/>
              </w:rPr>
              <w:t>重要物种□；国家公园□；自然保护区□；自然公园□；世界自然遗产□；</w:t>
            </w:r>
          </w:p>
          <w:p w14:paraId="55C039A2">
            <w:pPr>
              <w:adjustRightInd w:val="0"/>
              <w:snapToGrid w:val="0"/>
              <w:rPr>
                <w:szCs w:val="21"/>
              </w:rPr>
            </w:pPr>
            <w:r>
              <w:rPr>
                <w:szCs w:val="21"/>
              </w:rPr>
              <w:t>生态保护红线□；重要生境□；其他具有重要生态功能、对保护生物多样性具有重要意义的区域□；其他</w:t>
            </w:r>
            <w:r>
              <w:rPr>
                <w:szCs w:val="21"/>
              </w:rPr>
              <w:sym w:font="Wingdings 2" w:char="0052"/>
            </w:r>
          </w:p>
        </w:tc>
      </w:tr>
      <w:tr w14:paraId="4D0C02E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8" w:type="pct"/>
            <w:vMerge w:val="continue"/>
            <w:vAlign w:val="center"/>
          </w:tcPr>
          <w:p w14:paraId="2FAD7BA2">
            <w:pPr>
              <w:adjustRightInd w:val="0"/>
              <w:snapToGrid w:val="0"/>
              <w:rPr>
                <w:szCs w:val="21"/>
              </w:rPr>
            </w:pPr>
          </w:p>
        </w:tc>
        <w:tc>
          <w:tcPr>
            <w:tcW w:w="752" w:type="pct"/>
            <w:vAlign w:val="center"/>
          </w:tcPr>
          <w:p w14:paraId="399E895D">
            <w:pPr>
              <w:adjustRightInd w:val="0"/>
              <w:snapToGrid w:val="0"/>
              <w:jc w:val="center"/>
              <w:rPr>
                <w:szCs w:val="21"/>
              </w:rPr>
            </w:pPr>
            <w:r>
              <w:rPr>
                <w:szCs w:val="21"/>
              </w:rPr>
              <w:t>影响方式</w:t>
            </w:r>
          </w:p>
        </w:tc>
        <w:tc>
          <w:tcPr>
            <w:tcW w:w="3710" w:type="pct"/>
            <w:vAlign w:val="center"/>
          </w:tcPr>
          <w:p w14:paraId="62BEEC93">
            <w:pPr>
              <w:adjustRightInd w:val="0"/>
              <w:snapToGrid w:val="0"/>
              <w:rPr>
                <w:szCs w:val="21"/>
              </w:rPr>
            </w:pPr>
            <w:r>
              <w:rPr>
                <w:szCs w:val="21"/>
              </w:rPr>
              <w:t>工程占用</w:t>
            </w:r>
            <w:r>
              <w:rPr>
                <w:szCs w:val="21"/>
              </w:rPr>
              <w:sym w:font="Wingdings 2" w:char="0052"/>
            </w:r>
            <w:r>
              <w:rPr>
                <w:szCs w:val="21"/>
              </w:rPr>
              <w:t>；施工活动干扰</w:t>
            </w:r>
            <w:r>
              <w:rPr>
                <w:szCs w:val="21"/>
              </w:rPr>
              <w:sym w:font="Wingdings 2" w:char="0052"/>
            </w:r>
            <w:r>
              <w:rPr>
                <w:szCs w:val="21"/>
              </w:rPr>
              <w:t>；改变环境条件□；其他□</w:t>
            </w:r>
          </w:p>
        </w:tc>
      </w:tr>
      <w:tr w14:paraId="6D73C68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8" w:type="pct"/>
            <w:vMerge w:val="continue"/>
            <w:vAlign w:val="center"/>
          </w:tcPr>
          <w:p w14:paraId="4D211460">
            <w:pPr>
              <w:adjustRightInd w:val="0"/>
              <w:snapToGrid w:val="0"/>
              <w:rPr>
                <w:szCs w:val="21"/>
              </w:rPr>
            </w:pPr>
          </w:p>
        </w:tc>
        <w:tc>
          <w:tcPr>
            <w:tcW w:w="752" w:type="pct"/>
            <w:vAlign w:val="center"/>
          </w:tcPr>
          <w:p w14:paraId="76C8124E">
            <w:pPr>
              <w:adjustRightInd w:val="0"/>
              <w:snapToGrid w:val="0"/>
              <w:rPr>
                <w:szCs w:val="21"/>
              </w:rPr>
            </w:pPr>
            <w:r>
              <w:rPr>
                <w:szCs w:val="21"/>
              </w:rPr>
              <w:t>评价因子</w:t>
            </w:r>
          </w:p>
        </w:tc>
        <w:tc>
          <w:tcPr>
            <w:tcW w:w="3710" w:type="pct"/>
            <w:vAlign w:val="center"/>
          </w:tcPr>
          <w:p w14:paraId="45F7A539">
            <w:pPr>
              <w:adjustRightInd w:val="0"/>
              <w:snapToGrid w:val="0"/>
              <w:rPr>
                <w:szCs w:val="21"/>
              </w:rPr>
            </w:pPr>
            <w:r>
              <w:rPr>
                <w:szCs w:val="21"/>
              </w:rPr>
              <w:t>物种</w:t>
            </w:r>
            <w:r>
              <w:rPr>
                <w:szCs w:val="21"/>
              </w:rPr>
              <w:sym w:font="Wingdings 2" w:char="0052"/>
            </w:r>
            <w:r>
              <w:rPr>
                <w:szCs w:val="21"/>
              </w:rPr>
              <w:t xml:space="preserve"> (详见表2.4-3)</w:t>
            </w:r>
          </w:p>
          <w:p w14:paraId="11A8AA08">
            <w:pPr>
              <w:adjustRightInd w:val="0"/>
              <w:snapToGrid w:val="0"/>
              <w:rPr>
                <w:szCs w:val="21"/>
              </w:rPr>
            </w:pPr>
            <w:r>
              <w:rPr>
                <w:szCs w:val="21"/>
              </w:rPr>
              <w:t>生境</w:t>
            </w:r>
            <w:r>
              <w:rPr>
                <w:szCs w:val="21"/>
              </w:rPr>
              <w:sym w:font="Wingdings 2" w:char="0052"/>
            </w:r>
            <w:r>
              <w:rPr>
                <w:szCs w:val="21"/>
              </w:rPr>
              <w:t xml:space="preserve"> (详见表2.4-3)</w:t>
            </w:r>
          </w:p>
          <w:p w14:paraId="5E4FA4EC">
            <w:pPr>
              <w:adjustRightInd w:val="0"/>
              <w:snapToGrid w:val="0"/>
              <w:rPr>
                <w:szCs w:val="21"/>
              </w:rPr>
            </w:pPr>
            <w:r>
              <w:rPr>
                <w:szCs w:val="21"/>
              </w:rPr>
              <w:t>生物群落</w:t>
            </w:r>
            <w:r>
              <w:rPr>
                <w:szCs w:val="21"/>
              </w:rPr>
              <w:sym w:font="Wingdings 2" w:char="0052"/>
            </w:r>
            <w:r>
              <w:rPr>
                <w:szCs w:val="21"/>
              </w:rPr>
              <w:t xml:space="preserve"> (详见表2.4-3)</w:t>
            </w:r>
          </w:p>
          <w:p w14:paraId="0779A5EE">
            <w:pPr>
              <w:adjustRightInd w:val="0"/>
              <w:snapToGrid w:val="0"/>
              <w:rPr>
                <w:szCs w:val="21"/>
              </w:rPr>
            </w:pPr>
            <w:r>
              <w:rPr>
                <w:szCs w:val="21"/>
              </w:rPr>
              <w:t>生态系统</w:t>
            </w:r>
            <w:r>
              <w:rPr>
                <w:szCs w:val="21"/>
              </w:rPr>
              <w:sym w:font="Wingdings 2" w:char="0052"/>
            </w:r>
            <w:r>
              <w:rPr>
                <w:szCs w:val="21"/>
              </w:rPr>
              <w:t xml:space="preserve"> (详见表2.4-3)</w:t>
            </w:r>
          </w:p>
          <w:p w14:paraId="12271D68">
            <w:pPr>
              <w:adjustRightInd w:val="0"/>
              <w:snapToGrid w:val="0"/>
              <w:rPr>
                <w:szCs w:val="21"/>
              </w:rPr>
            </w:pPr>
            <w:r>
              <w:rPr>
                <w:szCs w:val="21"/>
              </w:rPr>
              <w:t>生物多样性</w:t>
            </w:r>
            <w:r>
              <w:rPr>
                <w:szCs w:val="21"/>
              </w:rPr>
              <w:sym w:font="Wingdings 2" w:char="0052"/>
            </w:r>
            <w:r>
              <w:rPr>
                <w:szCs w:val="21"/>
              </w:rPr>
              <w:t xml:space="preserve"> (详见表2.4-3)</w:t>
            </w:r>
          </w:p>
          <w:p w14:paraId="2DD654AA">
            <w:pPr>
              <w:adjustRightInd w:val="0"/>
              <w:snapToGrid w:val="0"/>
              <w:rPr>
                <w:szCs w:val="21"/>
              </w:rPr>
            </w:pPr>
            <w:r>
              <w:rPr>
                <w:szCs w:val="21"/>
              </w:rPr>
              <w:t>生态敏感区□ (    )</w:t>
            </w:r>
          </w:p>
          <w:p w14:paraId="034594A2">
            <w:pPr>
              <w:adjustRightInd w:val="0"/>
              <w:snapToGrid w:val="0"/>
              <w:rPr>
                <w:szCs w:val="21"/>
              </w:rPr>
            </w:pPr>
            <w:r>
              <w:rPr>
                <w:szCs w:val="21"/>
              </w:rPr>
              <w:t>自然景观</w:t>
            </w:r>
            <w:r>
              <w:rPr>
                <w:szCs w:val="21"/>
              </w:rPr>
              <w:sym w:font="Wingdings 2" w:char="0052"/>
            </w:r>
            <w:r>
              <w:rPr>
                <w:szCs w:val="21"/>
              </w:rPr>
              <w:t xml:space="preserve"> (详见表2.4-3  )</w:t>
            </w:r>
          </w:p>
          <w:p w14:paraId="1C7EF246">
            <w:pPr>
              <w:adjustRightInd w:val="0"/>
              <w:snapToGrid w:val="0"/>
              <w:rPr>
                <w:szCs w:val="21"/>
              </w:rPr>
            </w:pPr>
            <w:r>
              <w:rPr>
                <w:szCs w:val="21"/>
              </w:rPr>
              <w:t>自然遗迹□ (      )</w:t>
            </w:r>
          </w:p>
          <w:p w14:paraId="5511A465">
            <w:pPr>
              <w:adjustRightInd w:val="0"/>
              <w:snapToGrid w:val="0"/>
              <w:rPr>
                <w:szCs w:val="21"/>
              </w:rPr>
            </w:pPr>
            <w:r>
              <w:rPr>
                <w:szCs w:val="21"/>
              </w:rPr>
              <w:t>其他□ (          )</w:t>
            </w:r>
          </w:p>
        </w:tc>
      </w:tr>
      <w:tr w14:paraId="5DB81EF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90" w:type="pct"/>
            <w:gridSpan w:val="2"/>
            <w:vAlign w:val="center"/>
          </w:tcPr>
          <w:p w14:paraId="4C1867C0">
            <w:pPr>
              <w:adjustRightInd w:val="0"/>
              <w:snapToGrid w:val="0"/>
              <w:rPr>
                <w:szCs w:val="21"/>
              </w:rPr>
            </w:pPr>
            <w:r>
              <w:rPr>
                <w:szCs w:val="21"/>
              </w:rPr>
              <w:t>评价等级</w:t>
            </w:r>
          </w:p>
        </w:tc>
        <w:tc>
          <w:tcPr>
            <w:tcW w:w="3710" w:type="pct"/>
            <w:vAlign w:val="center"/>
          </w:tcPr>
          <w:p w14:paraId="638732F5">
            <w:pPr>
              <w:adjustRightInd w:val="0"/>
              <w:snapToGrid w:val="0"/>
              <w:rPr>
                <w:szCs w:val="21"/>
              </w:rPr>
            </w:pPr>
            <w:r>
              <w:rPr>
                <w:szCs w:val="21"/>
              </w:rPr>
              <w:t>一级□         二级</w:t>
            </w:r>
            <w:r>
              <w:rPr>
                <w:bCs/>
                <w:szCs w:val="21"/>
              </w:rPr>
              <w:sym w:font="Wingdings 2" w:char="00A3"/>
            </w:r>
            <w:r>
              <w:rPr>
                <w:szCs w:val="21"/>
              </w:rPr>
              <w:t xml:space="preserve">      </w:t>
            </w:r>
            <w:r>
              <w:rPr>
                <w:i/>
                <w:iCs/>
                <w:color w:val="auto"/>
                <w:szCs w:val="21"/>
                <w:u w:val="single"/>
              </w:rPr>
              <w:t xml:space="preserve"> 三级</w:t>
            </w:r>
            <w:r>
              <w:rPr>
                <w:i/>
                <w:iCs/>
                <w:color w:val="auto"/>
                <w:szCs w:val="21"/>
                <w:u w:val="single"/>
              </w:rPr>
              <w:sym w:font="Wingdings 2" w:char="0052"/>
            </w:r>
            <w:r>
              <w:rPr>
                <w:i/>
                <w:iCs/>
                <w:color w:val="auto"/>
                <w:szCs w:val="21"/>
                <w:u w:val="single"/>
              </w:rPr>
              <w:t xml:space="preserve">   </w:t>
            </w:r>
            <w:r>
              <w:rPr>
                <w:szCs w:val="21"/>
              </w:rPr>
              <w:t xml:space="preserve">    生态影响简单分析□</w:t>
            </w:r>
          </w:p>
        </w:tc>
      </w:tr>
      <w:tr w14:paraId="50AADB2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90" w:type="pct"/>
            <w:gridSpan w:val="2"/>
            <w:vAlign w:val="center"/>
          </w:tcPr>
          <w:p w14:paraId="06C3B51E">
            <w:pPr>
              <w:adjustRightInd w:val="0"/>
              <w:snapToGrid w:val="0"/>
              <w:rPr>
                <w:szCs w:val="21"/>
              </w:rPr>
            </w:pPr>
            <w:r>
              <w:rPr>
                <w:szCs w:val="21"/>
              </w:rPr>
              <w:t>评价范围</w:t>
            </w:r>
          </w:p>
        </w:tc>
        <w:tc>
          <w:tcPr>
            <w:tcW w:w="3710" w:type="pct"/>
            <w:vAlign w:val="center"/>
          </w:tcPr>
          <w:p w14:paraId="3FA5F031">
            <w:pPr>
              <w:adjustRightInd w:val="0"/>
              <w:snapToGrid w:val="0"/>
              <w:rPr>
                <w:szCs w:val="21"/>
              </w:rPr>
            </w:pPr>
            <w:r>
              <w:rPr>
                <w:szCs w:val="21"/>
              </w:rPr>
              <w:t>陆域面积：（</w:t>
            </w:r>
            <w:r>
              <w:rPr>
                <w:rFonts w:hint="eastAsia"/>
                <w:szCs w:val="21"/>
              </w:rPr>
              <w:t>0.8783</w:t>
            </w:r>
            <w:r>
              <w:rPr>
                <w:szCs w:val="21"/>
              </w:rPr>
              <w:t>）km</w:t>
            </w:r>
            <w:r>
              <w:rPr>
                <w:szCs w:val="21"/>
                <w:vertAlign w:val="superscript"/>
              </w:rPr>
              <w:t>2</w:t>
            </w:r>
            <w:r>
              <w:rPr>
                <w:szCs w:val="21"/>
              </w:rPr>
              <w:t>；</w:t>
            </w:r>
          </w:p>
        </w:tc>
      </w:tr>
      <w:tr w14:paraId="65052E5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8" w:type="pct"/>
            <w:vMerge w:val="restart"/>
            <w:vAlign w:val="center"/>
          </w:tcPr>
          <w:p w14:paraId="6E5A75DF">
            <w:pPr>
              <w:adjustRightInd w:val="0"/>
              <w:snapToGrid w:val="0"/>
              <w:rPr>
                <w:szCs w:val="21"/>
              </w:rPr>
            </w:pPr>
            <w:r>
              <w:rPr>
                <w:szCs w:val="21"/>
              </w:rPr>
              <w:t>生态现状</w:t>
            </w:r>
          </w:p>
          <w:p w14:paraId="0355FDEE">
            <w:pPr>
              <w:adjustRightInd w:val="0"/>
              <w:snapToGrid w:val="0"/>
              <w:rPr>
                <w:szCs w:val="21"/>
              </w:rPr>
            </w:pPr>
            <w:r>
              <w:rPr>
                <w:szCs w:val="21"/>
              </w:rPr>
              <w:t>调查与</w:t>
            </w:r>
          </w:p>
          <w:p w14:paraId="06D623E2">
            <w:pPr>
              <w:adjustRightInd w:val="0"/>
              <w:snapToGrid w:val="0"/>
              <w:rPr>
                <w:szCs w:val="21"/>
              </w:rPr>
            </w:pPr>
            <w:r>
              <w:rPr>
                <w:szCs w:val="21"/>
              </w:rPr>
              <w:t>评价</w:t>
            </w:r>
          </w:p>
        </w:tc>
        <w:tc>
          <w:tcPr>
            <w:tcW w:w="752" w:type="pct"/>
            <w:vAlign w:val="center"/>
          </w:tcPr>
          <w:p w14:paraId="054E45B9">
            <w:pPr>
              <w:adjustRightInd w:val="0"/>
              <w:snapToGrid w:val="0"/>
              <w:rPr>
                <w:szCs w:val="21"/>
              </w:rPr>
            </w:pPr>
            <w:r>
              <w:rPr>
                <w:szCs w:val="21"/>
              </w:rPr>
              <w:t>调查方法</w:t>
            </w:r>
          </w:p>
        </w:tc>
        <w:tc>
          <w:tcPr>
            <w:tcW w:w="3710" w:type="pct"/>
            <w:vAlign w:val="center"/>
          </w:tcPr>
          <w:p w14:paraId="00D947E4">
            <w:pPr>
              <w:adjustRightInd w:val="0"/>
              <w:snapToGrid w:val="0"/>
              <w:rPr>
                <w:szCs w:val="21"/>
              </w:rPr>
            </w:pPr>
            <w:r>
              <w:rPr>
                <w:szCs w:val="21"/>
              </w:rPr>
              <w:t>资料收集</w:t>
            </w:r>
            <w:r>
              <w:rPr>
                <w:szCs w:val="21"/>
              </w:rPr>
              <w:sym w:font="Wingdings 2" w:char="00A3"/>
            </w:r>
            <w:r>
              <w:rPr>
                <w:szCs w:val="21"/>
              </w:rPr>
              <w:t>；遥感调查</w:t>
            </w:r>
            <w:r>
              <w:rPr>
                <w:szCs w:val="21"/>
              </w:rPr>
              <w:sym w:font="Wingdings 2" w:char="0052"/>
            </w:r>
            <w:r>
              <w:rPr>
                <w:szCs w:val="21"/>
              </w:rPr>
              <w:t>；调查样方、样线</w:t>
            </w:r>
            <w:r>
              <w:rPr>
                <w:bCs/>
                <w:szCs w:val="21"/>
              </w:rPr>
              <w:sym w:font="Wingdings 2" w:char="00A3"/>
            </w:r>
            <w:r>
              <w:rPr>
                <w:szCs w:val="21"/>
              </w:rPr>
              <w:t>；调查点位、断面□；专家和公众咨询法</w:t>
            </w:r>
            <w:r>
              <w:rPr>
                <w:szCs w:val="21"/>
              </w:rPr>
              <w:sym w:font="Wingdings 2" w:char="0052"/>
            </w:r>
            <w:r>
              <w:rPr>
                <w:szCs w:val="21"/>
              </w:rPr>
              <w:t>；其他</w:t>
            </w:r>
            <w:r>
              <w:rPr>
                <w:szCs w:val="21"/>
              </w:rPr>
              <w:sym w:font="Wingdings 2" w:char="0052"/>
            </w:r>
          </w:p>
        </w:tc>
      </w:tr>
      <w:tr w14:paraId="3942FC5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8" w:type="pct"/>
            <w:vMerge w:val="continue"/>
            <w:vAlign w:val="center"/>
          </w:tcPr>
          <w:p w14:paraId="2E774ACE">
            <w:pPr>
              <w:adjustRightInd w:val="0"/>
              <w:snapToGrid w:val="0"/>
              <w:rPr>
                <w:szCs w:val="21"/>
              </w:rPr>
            </w:pPr>
          </w:p>
        </w:tc>
        <w:tc>
          <w:tcPr>
            <w:tcW w:w="752" w:type="pct"/>
            <w:vAlign w:val="center"/>
          </w:tcPr>
          <w:p w14:paraId="6E18AE9E">
            <w:pPr>
              <w:adjustRightInd w:val="0"/>
              <w:snapToGrid w:val="0"/>
              <w:rPr>
                <w:szCs w:val="21"/>
              </w:rPr>
            </w:pPr>
            <w:r>
              <w:rPr>
                <w:szCs w:val="21"/>
              </w:rPr>
              <w:t>调查时间</w:t>
            </w:r>
          </w:p>
        </w:tc>
        <w:tc>
          <w:tcPr>
            <w:tcW w:w="3710" w:type="pct"/>
            <w:vAlign w:val="center"/>
          </w:tcPr>
          <w:p w14:paraId="174DB474">
            <w:pPr>
              <w:adjustRightInd w:val="0"/>
              <w:snapToGrid w:val="0"/>
              <w:rPr>
                <w:szCs w:val="21"/>
              </w:rPr>
            </w:pPr>
            <w:r>
              <w:rPr>
                <w:szCs w:val="21"/>
              </w:rPr>
              <w:t>春季</w:t>
            </w:r>
            <w:r>
              <w:rPr>
                <w:szCs w:val="21"/>
              </w:rPr>
              <w:sym w:font="Wingdings 2" w:char="0052"/>
            </w:r>
            <w:r>
              <w:rPr>
                <w:szCs w:val="21"/>
              </w:rPr>
              <w:t>；夏季</w:t>
            </w:r>
            <w:r>
              <w:rPr>
                <w:szCs w:val="21"/>
              </w:rPr>
              <w:sym w:font="Wingdings 2" w:char="0052"/>
            </w:r>
            <w:r>
              <w:rPr>
                <w:szCs w:val="21"/>
              </w:rPr>
              <w:t>；秋季□；冬季□</w:t>
            </w:r>
          </w:p>
          <w:p w14:paraId="076B1746">
            <w:pPr>
              <w:adjustRightInd w:val="0"/>
              <w:snapToGrid w:val="0"/>
              <w:rPr>
                <w:szCs w:val="21"/>
              </w:rPr>
            </w:pPr>
            <w:r>
              <w:rPr>
                <w:szCs w:val="21"/>
              </w:rPr>
              <w:t>丰水期□；枯水期□；平水期□</w:t>
            </w:r>
          </w:p>
        </w:tc>
      </w:tr>
      <w:tr w14:paraId="328491C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8" w:type="pct"/>
            <w:vMerge w:val="continue"/>
            <w:vAlign w:val="center"/>
          </w:tcPr>
          <w:p w14:paraId="649AC01C">
            <w:pPr>
              <w:adjustRightInd w:val="0"/>
              <w:snapToGrid w:val="0"/>
              <w:rPr>
                <w:szCs w:val="21"/>
              </w:rPr>
            </w:pPr>
          </w:p>
        </w:tc>
        <w:tc>
          <w:tcPr>
            <w:tcW w:w="752" w:type="pct"/>
            <w:vAlign w:val="center"/>
          </w:tcPr>
          <w:p w14:paraId="5AB2E8EC">
            <w:pPr>
              <w:adjustRightInd w:val="0"/>
              <w:snapToGrid w:val="0"/>
              <w:rPr>
                <w:szCs w:val="21"/>
              </w:rPr>
            </w:pPr>
            <w:r>
              <w:rPr>
                <w:szCs w:val="21"/>
              </w:rPr>
              <w:t>所在区域的生态问题</w:t>
            </w:r>
          </w:p>
        </w:tc>
        <w:tc>
          <w:tcPr>
            <w:tcW w:w="3710" w:type="pct"/>
            <w:vAlign w:val="center"/>
          </w:tcPr>
          <w:p w14:paraId="0F644092">
            <w:pPr>
              <w:adjustRightInd w:val="0"/>
              <w:snapToGrid w:val="0"/>
              <w:rPr>
                <w:szCs w:val="21"/>
              </w:rPr>
            </w:pPr>
            <w:r>
              <w:rPr>
                <w:szCs w:val="21"/>
              </w:rPr>
              <w:t>水土流失□；沙漠化□；石漠化□；盐渍化□；生物入侵□；污染危害□；其他□</w:t>
            </w:r>
          </w:p>
        </w:tc>
      </w:tr>
      <w:tr w14:paraId="0F71388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8" w:type="pct"/>
            <w:vMerge w:val="continue"/>
            <w:vAlign w:val="center"/>
          </w:tcPr>
          <w:p w14:paraId="671BC29C">
            <w:pPr>
              <w:adjustRightInd w:val="0"/>
              <w:snapToGrid w:val="0"/>
              <w:rPr>
                <w:szCs w:val="21"/>
              </w:rPr>
            </w:pPr>
          </w:p>
        </w:tc>
        <w:tc>
          <w:tcPr>
            <w:tcW w:w="752" w:type="pct"/>
            <w:vAlign w:val="center"/>
          </w:tcPr>
          <w:p w14:paraId="37769732">
            <w:pPr>
              <w:adjustRightInd w:val="0"/>
              <w:snapToGrid w:val="0"/>
              <w:rPr>
                <w:szCs w:val="21"/>
              </w:rPr>
            </w:pPr>
            <w:r>
              <w:rPr>
                <w:szCs w:val="21"/>
              </w:rPr>
              <w:t>评价内容</w:t>
            </w:r>
          </w:p>
        </w:tc>
        <w:tc>
          <w:tcPr>
            <w:tcW w:w="3710" w:type="pct"/>
            <w:vAlign w:val="center"/>
          </w:tcPr>
          <w:p w14:paraId="58A06873">
            <w:pPr>
              <w:adjustRightInd w:val="0"/>
              <w:snapToGrid w:val="0"/>
              <w:rPr>
                <w:szCs w:val="21"/>
              </w:rPr>
            </w:pPr>
            <w:r>
              <w:rPr>
                <w:szCs w:val="21"/>
              </w:rPr>
              <w:t>植被/植物群落</w:t>
            </w:r>
            <w:r>
              <w:rPr>
                <w:szCs w:val="21"/>
              </w:rPr>
              <w:sym w:font="Wingdings 2" w:char="0052"/>
            </w:r>
            <w:r>
              <w:rPr>
                <w:szCs w:val="21"/>
              </w:rPr>
              <w:t>；土地利用</w:t>
            </w:r>
            <w:r>
              <w:rPr>
                <w:szCs w:val="21"/>
              </w:rPr>
              <w:sym w:font="Wingdings 2" w:char="0052"/>
            </w:r>
            <w:r>
              <w:rPr>
                <w:szCs w:val="21"/>
              </w:rPr>
              <w:t>；生态系统</w:t>
            </w:r>
            <w:r>
              <w:rPr>
                <w:szCs w:val="21"/>
              </w:rPr>
              <w:sym w:font="Wingdings 2" w:char="0052"/>
            </w:r>
            <w:r>
              <w:rPr>
                <w:szCs w:val="21"/>
              </w:rPr>
              <w:t>；生物多样性</w:t>
            </w:r>
            <w:r>
              <w:rPr>
                <w:szCs w:val="21"/>
              </w:rPr>
              <w:sym w:font="Wingdings 2" w:char="0052"/>
            </w:r>
            <w:r>
              <w:rPr>
                <w:szCs w:val="21"/>
              </w:rPr>
              <w:t>；重要物种□；生态敏感区□；其他□</w:t>
            </w:r>
          </w:p>
        </w:tc>
      </w:tr>
      <w:tr w14:paraId="19C0CCF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8" w:type="pct"/>
            <w:vMerge w:val="restart"/>
            <w:vAlign w:val="center"/>
          </w:tcPr>
          <w:p w14:paraId="5FE7E1E3">
            <w:pPr>
              <w:adjustRightInd w:val="0"/>
              <w:snapToGrid w:val="0"/>
              <w:rPr>
                <w:szCs w:val="21"/>
              </w:rPr>
            </w:pPr>
            <w:r>
              <w:rPr>
                <w:szCs w:val="21"/>
              </w:rPr>
              <w:t>生态影响</w:t>
            </w:r>
          </w:p>
          <w:p w14:paraId="09BAA105">
            <w:pPr>
              <w:adjustRightInd w:val="0"/>
              <w:snapToGrid w:val="0"/>
              <w:rPr>
                <w:szCs w:val="21"/>
              </w:rPr>
            </w:pPr>
            <w:r>
              <w:rPr>
                <w:szCs w:val="21"/>
              </w:rPr>
              <w:t>预测与</w:t>
            </w:r>
          </w:p>
          <w:p w14:paraId="797904F2">
            <w:pPr>
              <w:adjustRightInd w:val="0"/>
              <w:snapToGrid w:val="0"/>
              <w:rPr>
                <w:szCs w:val="21"/>
              </w:rPr>
            </w:pPr>
            <w:r>
              <w:rPr>
                <w:szCs w:val="21"/>
              </w:rPr>
              <w:t>评价</w:t>
            </w:r>
          </w:p>
        </w:tc>
        <w:tc>
          <w:tcPr>
            <w:tcW w:w="752" w:type="pct"/>
            <w:vAlign w:val="center"/>
          </w:tcPr>
          <w:p w14:paraId="0D4B8DB3">
            <w:pPr>
              <w:adjustRightInd w:val="0"/>
              <w:snapToGrid w:val="0"/>
              <w:rPr>
                <w:szCs w:val="21"/>
              </w:rPr>
            </w:pPr>
            <w:r>
              <w:rPr>
                <w:szCs w:val="21"/>
              </w:rPr>
              <w:t>评价方法</w:t>
            </w:r>
          </w:p>
        </w:tc>
        <w:tc>
          <w:tcPr>
            <w:tcW w:w="3710" w:type="pct"/>
            <w:vAlign w:val="center"/>
          </w:tcPr>
          <w:p w14:paraId="1187F80A">
            <w:pPr>
              <w:adjustRightInd w:val="0"/>
              <w:snapToGrid w:val="0"/>
              <w:rPr>
                <w:szCs w:val="21"/>
              </w:rPr>
            </w:pPr>
            <w:r>
              <w:rPr>
                <w:szCs w:val="21"/>
              </w:rPr>
              <w:t>定性□；定性和定量</w:t>
            </w:r>
            <w:r>
              <w:rPr>
                <w:szCs w:val="21"/>
              </w:rPr>
              <w:sym w:font="Wingdings 2" w:char="0052"/>
            </w:r>
          </w:p>
        </w:tc>
      </w:tr>
      <w:tr w14:paraId="026309B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8" w:type="pct"/>
            <w:vMerge w:val="continue"/>
            <w:vAlign w:val="center"/>
          </w:tcPr>
          <w:p w14:paraId="7872E9C7">
            <w:pPr>
              <w:adjustRightInd w:val="0"/>
              <w:snapToGrid w:val="0"/>
              <w:rPr>
                <w:szCs w:val="21"/>
              </w:rPr>
            </w:pPr>
          </w:p>
        </w:tc>
        <w:tc>
          <w:tcPr>
            <w:tcW w:w="752" w:type="pct"/>
            <w:vAlign w:val="center"/>
          </w:tcPr>
          <w:p w14:paraId="6EAD6820">
            <w:pPr>
              <w:adjustRightInd w:val="0"/>
              <w:snapToGrid w:val="0"/>
              <w:rPr>
                <w:szCs w:val="21"/>
              </w:rPr>
            </w:pPr>
            <w:r>
              <w:rPr>
                <w:szCs w:val="21"/>
              </w:rPr>
              <w:t>评价内容</w:t>
            </w:r>
          </w:p>
        </w:tc>
        <w:tc>
          <w:tcPr>
            <w:tcW w:w="3710" w:type="pct"/>
            <w:vAlign w:val="center"/>
          </w:tcPr>
          <w:p w14:paraId="3CB667AD">
            <w:pPr>
              <w:adjustRightInd w:val="0"/>
              <w:snapToGrid w:val="0"/>
              <w:rPr>
                <w:szCs w:val="21"/>
              </w:rPr>
            </w:pPr>
            <w:r>
              <w:rPr>
                <w:szCs w:val="21"/>
              </w:rPr>
              <w:t>植被/植物群落</w:t>
            </w:r>
            <w:r>
              <w:rPr>
                <w:szCs w:val="21"/>
              </w:rPr>
              <w:sym w:font="Wingdings 2" w:char="0052"/>
            </w:r>
            <w:r>
              <w:rPr>
                <w:szCs w:val="21"/>
              </w:rPr>
              <w:t>；土地利用</w:t>
            </w:r>
            <w:r>
              <w:rPr>
                <w:szCs w:val="21"/>
              </w:rPr>
              <w:sym w:font="Wingdings 2" w:char="0052"/>
            </w:r>
            <w:r>
              <w:rPr>
                <w:szCs w:val="21"/>
              </w:rPr>
              <w:t>；生态系统</w:t>
            </w:r>
            <w:r>
              <w:rPr>
                <w:szCs w:val="21"/>
              </w:rPr>
              <w:sym w:font="Wingdings 2" w:char="0052"/>
            </w:r>
            <w:r>
              <w:rPr>
                <w:szCs w:val="21"/>
              </w:rPr>
              <w:t>；生物多样性</w:t>
            </w:r>
            <w:r>
              <w:rPr>
                <w:szCs w:val="21"/>
              </w:rPr>
              <w:sym w:font="Wingdings 2" w:char="0052"/>
            </w:r>
            <w:r>
              <w:rPr>
                <w:szCs w:val="21"/>
              </w:rPr>
              <w:t>；重要物种□；生态敏感区□；生物入侵风险□；其他□</w:t>
            </w:r>
          </w:p>
        </w:tc>
      </w:tr>
      <w:tr w14:paraId="7F0E2C2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8" w:type="pct"/>
            <w:vMerge w:val="restart"/>
            <w:vAlign w:val="center"/>
          </w:tcPr>
          <w:p w14:paraId="11942965">
            <w:pPr>
              <w:adjustRightInd w:val="0"/>
              <w:snapToGrid w:val="0"/>
              <w:rPr>
                <w:szCs w:val="21"/>
              </w:rPr>
            </w:pPr>
            <w:r>
              <w:rPr>
                <w:szCs w:val="21"/>
              </w:rPr>
              <w:t>生态保护 对策措施</w:t>
            </w:r>
          </w:p>
        </w:tc>
        <w:tc>
          <w:tcPr>
            <w:tcW w:w="752" w:type="pct"/>
            <w:vAlign w:val="center"/>
          </w:tcPr>
          <w:p w14:paraId="780BCC2D">
            <w:pPr>
              <w:adjustRightInd w:val="0"/>
              <w:snapToGrid w:val="0"/>
              <w:rPr>
                <w:szCs w:val="21"/>
              </w:rPr>
            </w:pPr>
            <w:r>
              <w:rPr>
                <w:szCs w:val="21"/>
              </w:rPr>
              <w:t>对策措施</w:t>
            </w:r>
          </w:p>
        </w:tc>
        <w:tc>
          <w:tcPr>
            <w:tcW w:w="3710" w:type="pct"/>
            <w:vAlign w:val="center"/>
          </w:tcPr>
          <w:p w14:paraId="41488560">
            <w:pPr>
              <w:adjustRightInd w:val="0"/>
              <w:snapToGrid w:val="0"/>
              <w:rPr>
                <w:szCs w:val="21"/>
              </w:rPr>
            </w:pPr>
            <w:r>
              <w:rPr>
                <w:szCs w:val="21"/>
              </w:rPr>
              <w:t>避让</w:t>
            </w:r>
            <w:r>
              <w:rPr>
                <w:szCs w:val="21"/>
              </w:rPr>
              <w:sym w:font="Wingdings 2" w:char="0052"/>
            </w:r>
            <w:r>
              <w:rPr>
                <w:szCs w:val="21"/>
              </w:rPr>
              <w:t>；减缓</w:t>
            </w:r>
            <w:r>
              <w:rPr>
                <w:szCs w:val="21"/>
              </w:rPr>
              <w:sym w:font="Wingdings 2" w:char="0052"/>
            </w:r>
            <w:r>
              <w:rPr>
                <w:szCs w:val="21"/>
              </w:rPr>
              <w:t>；生态修复</w:t>
            </w:r>
            <w:r>
              <w:rPr>
                <w:szCs w:val="21"/>
              </w:rPr>
              <w:sym w:font="Wingdings 2" w:char="0052"/>
            </w:r>
            <w:r>
              <w:rPr>
                <w:szCs w:val="21"/>
              </w:rPr>
              <w:t>；生态补偿□；科研□；其他□</w:t>
            </w:r>
          </w:p>
        </w:tc>
      </w:tr>
      <w:tr w14:paraId="7B0458D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8" w:type="pct"/>
            <w:vMerge w:val="continue"/>
            <w:vAlign w:val="center"/>
          </w:tcPr>
          <w:p w14:paraId="7013923E">
            <w:pPr>
              <w:adjustRightInd w:val="0"/>
              <w:snapToGrid w:val="0"/>
              <w:rPr>
                <w:szCs w:val="21"/>
              </w:rPr>
            </w:pPr>
          </w:p>
        </w:tc>
        <w:tc>
          <w:tcPr>
            <w:tcW w:w="752" w:type="pct"/>
            <w:vAlign w:val="center"/>
          </w:tcPr>
          <w:p w14:paraId="63F69A29">
            <w:pPr>
              <w:adjustRightInd w:val="0"/>
              <w:snapToGrid w:val="0"/>
              <w:rPr>
                <w:szCs w:val="21"/>
              </w:rPr>
            </w:pPr>
            <w:r>
              <w:rPr>
                <w:szCs w:val="21"/>
              </w:rPr>
              <w:t>生态监测计划</w:t>
            </w:r>
          </w:p>
        </w:tc>
        <w:tc>
          <w:tcPr>
            <w:tcW w:w="3710" w:type="pct"/>
            <w:vAlign w:val="center"/>
          </w:tcPr>
          <w:p w14:paraId="011574EC">
            <w:pPr>
              <w:adjustRightInd w:val="0"/>
              <w:snapToGrid w:val="0"/>
              <w:rPr>
                <w:szCs w:val="21"/>
              </w:rPr>
            </w:pPr>
            <w:r>
              <w:rPr>
                <w:szCs w:val="21"/>
              </w:rPr>
              <w:t>全生命周期□；长期跟踪□；常规</w:t>
            </w:r>
            <w:r>
              <w:rPr>
                <w:szCs w:val="21"/>
              </w:rPr>
              <w:sym w:font="Wingdings 2" w:char="0052"/>
            </w:r>
            <w:r>
              <w:rPr>
                <w:szCs w:val="21"/>
              </w:rPr>
              <w:t>；无□</w:t>
            </w:r>
          </w:p>
        </w:tc>
      </w:tr>
      <w:tr w14:paraId="20BDF14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8" w:type="pct"/>
            <w:vMerge w:val="continue"/>
            <w:vAlign w:val="center"/>
          </w:tcPr>
          <w:p w14:paraId="22FAD0C0">
            <w:pPr>
              <w:adjustRightInd w:val="0"/>
              <w:snapToGrid w:val="0"/>
              <w:rPr>
                <w:szCs w:val="21"/>
              </w:rPr>
            </w:pPr>
          </w:p>
        </w:tc>
        <w:tc>
          <w:tcPr>
            <w:tcW w:w="752" w:type="pct"/>
            <w:vAlign w:val="center"/>
          </w:tcPr>
          <w:p w14:paraId="73462C29">
            <w:pPr>
              <w:adjustRightInd w:val="0"/>
              <w:snapToGrid w:val="0"/>
              <w:rPr>
                <w:szCs w:val="21"/>
              </w:rPr>
            </w:pPr>
            <w:r>
              <w:rPr>
                <w:szCs w:val="21"/>
              </w:rPr>
              <w:t>环境管理</w:t>
            </w:r>
          </w:p>
        </w:tc>
        <w:tc>
          <w:tcPr>
            <w:tcW w:w="3710" w:type="pct"/>
            <w:vAlign w:val="center"/>
          </w:tcPr>
          <w:p w14:paraId="293FDF5B">
            <w:pPr>
              <w:adjustRightInd w:val="0"/>
              <w:snapToGrid w:val="0"/>
              <w:rPr>
                <w:szCs w:val="21"/>
              </w:rPr>
            </w:pPr>
            <w:r>
              <w:rPr>
                <w:szCs w:val="21"/>
              </w:rPr>
              <w:t>环境监理</w:t>
            </w:r>
            <w:r>
              <w:rPr>
                <w:szCs w:val="21"/>
              </w:rPr>
              <w:sym w:font="Wingdings 2" w:char="0052"/>
            </w:r>
            <w:r>
              <w:rPr>
                <w:szCs w:val="21"/>
              </w:rPr>
              <w:t>；环境影响后评价</w:t>
            </w:r>
            <w:r>
              <w:rPr>
                <w:szCs w:val="21"/>
              </w:rPr>
              <w:sym w:font="Wingdings 2" w:char="00A3"/>
            </w:r>
            <w:r>
              <w:rPr>
                <w:szCs w:val="21"/>
              </w:rPr>
              <w:t>；其他</w:t>
            </w:r>
            <w:r>
              <w:rPr>
                <w:szCs w:val="21"/>
              </w:rPr>
              <w:sym w:font="Wingdings 2" w:char="00A3"/>
            </w:r>
          </w:p>
        </w:tc>
      </w:tr>
      <w:tr w14:paraId="5298746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8" w:type="pct"/>
            <w:vAlign w:val="center"/>
          </w:tcPr>
          <w:p w14:paraId="32BE54A9">
            <w:pPr>
              <w:adjustRightInd w:val="0"/>
              <w:snapToGrid w:val="0"/>
              <w:rPr>
                <w:szCs w:val="21"/>
              </w:rPr>
            </w:pPr>
            <w:r>
              <w:rPr>
                <w:szCs w:val="21"/>
              </w:rPr>
              <w:t>评价结论</w:t>
            </w:r>
          </w:p>
        </w:tc>
        <w:tc>
          <w:tcPr>
            <w:tcW w:w="752" w:type="pct"/>
            <w:vAlign w:val="center"/>
          </w:tcPr>
          <w:p w14:paraId="29E3311E">
            <w:pPr>
              <w:adjustRightInd w:val="0"/>
              <w:snapToGrid w:val="0"/>
              <w:rPr>
                <w:szCs w:val="21"/>
              </w:rPr>
            </w:pPr>
            <w:r>
              <w:rPr>
                <w:szCs w:val="21"/>
              </w:rPr>
              <w:t>生态影响</w:t>
            </w:r>
          </w:p>
        </w:tc>
        <w:tc>
          <w:tcPr>
            <w:tcW w:w="3710" w:type="pct"/>
            <w:vAlign w:val="center"/>
          </w:tcPr>
          <w:p w14:paraId="4CF1E76C">
            <w:pPr>
              <w:adjustRightInd w:val="0"/>
              <w:snapToGrid w:val="0"/>
              <w:rPr>
                <w:szCs w:val="21"/>
              </w:rPr>
            </w:pPr>
            <w:r>
              <w:rPr>
                <w:szCs w:val="21"/>
              </w:rPr>
              <w:t>可行</w:t>
            </w:r>
            <w:r>
              <w:rPr>
                <w:szCs w:val="21"/>
              </w:rPr>
              <w:sym w:font="Wingdings 2" w:char="0052"/>
            </w:r>
            <w:r>
              <w:rPr>
                <w:szCs w:val="21"/>
              </w:rPr>
              <w:t>；不可行□</w:t>
            </w:r>
          </w:p>
        </w:tc>
      </w:tr>
      <w:tr w14:paraId="3499862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000" w:type="pct"/>
            <w:gridSpan w:val="3"/>
            <w:vAlign w:val="center"/>
          </w:tcPr>
          <w:p w14:paraId="2C738A6E">
            <w:pPr>
              <w:adjustRightInd w:val="0"/>
              <w:snapToGrid w:val="0"/>
              <w:rPr>
                <w:szCs w:val="21"/>
              </w:rPr>
            </w:pPr>
            <w:r>
              <w:rPr>
                <w:szCs w:val="21"/>
              </w:rPr>
              <w:t>注：   “□” 为勾选项 ，可 √ ；“(   )”  为内容填写项。</w:t>
            </w:r>
          </w:p>
        </w:tc>
      </w:tr>
    </w:tbl>
    <w:p w14:paraId="0E79E228">
      <w:pPr>
        <w:outlineLvl w:val="0"/>
        <w:rPr>
          <w:rFonts w:eastAsia="黑体"/>
        </w:rPr>
        <w:sectPr>
          <w:pgSz w:w="11906" w:h="16838"/>
          <w:pgMar w:top="1247" w:right="1588" w:bottom="1247" w:left="1588" w:header="680" w:footer="992" w:gutter="0"/>
          <w:cols w:space="720" w:num="1"/>
          <w:docGrid w:linePitch="312" w:charSpace="0"/>
        </w:sectPr>
      </w:pPr>
    </w:p>
    <w:p w14:paraId="0FF580DB">
      <w:pPr>
        <w:outlineLvl w:val="0"/>
        <w:rPr>
          <w:rFonts w:eastAsia="黑体"/>
        </w:rPr>
      </w:pPr>
      <w:bookmarkStart w:id="311" w:name="_Toc24936"/>
      <w:r>
        <w:rPr>
          <w:rFonts w:eastAsia="黑体"/>
        </w:rPr>
        <w:t>附表5 环境风险评价自查表</w:t>
      </w:r>
      <w:bookmarkEnd w:id="307"/>
      <w:bookmarkEnd w:id="308"/>
      <w:bookmarkEnd w:id="311"/>
    </w:p>
    <w:tbl>
      <w:tblPr>
        <w:tblStyle w:val="88"/>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20"/>
        <w:gridCol w:w="854"/>
        <w:gridCol w:w="1599"/>
        <w:gridCol w:w="283"/>
        <w:gridCol w:w="318"/>
        <w:gridCol w:w="1132"/>
        <w:gridCol w:w="626"/>
        <w:gridCol w:w="693"/>
        <w:gridCol w:w="266"/>
        <w:gridCol w:w="800"/>
        <w:gridCol w:w="219"/>
        <w:gridCol w:w="1539"/>
      </w:tblGrid>
      <w:tr w14:paraId="54064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728" w:type="pct"/>
            <w:gridSpan w:val="2"/>
            <w:vAlign w:val="center"/>
          </w:tcPr>
          <w:p w14:paraId="15C81873">
            <w:pPr>
              <w:pStyle w:val="1018"/>
              <w:kinsoku w:val="0"/>
              <w:overflowPunct w:val="0"/>
              <w:snapToGrid w:val="0"/>
              <w:spacing w:line="260" w:lineRule="exact"/>
              <w:jc w:val="center"/>
              <w:rPr>
                <w:sz w:val="21"/>
                <w:szCs w:val="21"/>
              </w:rPr>
            </w:pPr>
            <w:r>
              <w:rPr>
                <w:sz w:val="21"/>
                <w:szCs w:val="21"/>
              </w:rPr>
              <w:t>工作内容</w:t>
            </w:r>
          </w:p>
        </w:tc>
        <w:tc>
          <w:tcPr>
            <w:tcW w:w="4271" w:type="pct"/>
            <w:gridSpan w:val="10"/>
            <w:vAlign w:val="center"/>
          </w:tcPr>
          <w:p w14:paraId="6C6AA52C">
            <w:pPr>
              <w:pStyle w:val="1018"/>
              <w:kinsoku w:val="0"/>
              <w:overflowPunct w:val="0"/>
              <w:snapToGrid w:val="0"/>
              <w:spacing w:line="260" w:lineRule="exact"/>
              <w:jc w:val="center"/>
              <w:rPr>
                <w:sz w:val="21"/>
                <w:szCs w:val="21"/>
              </w:rPr>
            </w:pPr>
            <w:r>
              <w:rPr>
                <w:rFonts w:hint="eastAsia"/>
                <w:sz w:val="21"/>
                <w:szCs w:val="21"/>
              </w:rPr>
              <w:t>潜江—韶关输气管道28号阀室新增下载点改扩建项目</w:t>
            </w:r>
          </w:p>
        </w:tc>
      </w:tr>
      <w:tr w14:paraId="4A983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restart"/>
            <w:vAlign w:val="center"/>
          </w:tcPr>
          <w:p w14:paraId="332A10AD">
            <w:pPr>
              <w:pStyle w:val="1018"/>
              <w:kinsoku w:val="0"/>
              <w:overflowPunct w:val="0"/>
              <w:snapToGrid w:val="0"/>
              <w:spacing w:line="260" w:lineRule="exact"/>
              <w:jc w:val="center"/>
              <w:rPr>
                <w:sz w:val="21"/>
                <w:szCs w:val="21"/>
              </w:rPr>
            </w:pPr>
            <w:r>
              <w:rPr>
                <w:sz w:val="21"/>
                <w:szCs w:val="21"/>
              </w:rPr>
              <w:t>风险调查</w:t>
            </w:r>
          </w:p>
        </w:tc>
        <w:tc>
          <w:tcPr>
            <w:tcW w:w="487" w:type="pct"/>
            <w:vMerge w:val="restart"/>
            <w:vAlign w:val="center"/>
          </w:tcPr>
          <w:p w14:paraId="212222E8">
            <w:pPr>
              <w:pStyle w:val="1018"/>
              <w:kinsoku w:val="0"/>
              <w:overflowPunct w:val="0"/>
              <w:snapToGrid w:val="0"/>
              <w:spacing w:line="260" w:lineRule="exact"/>
              <w:jc w:val="center"/>
              <w:rPr>
                <w:sz w:val="21"/>
                <w:szCs w:val="21"/>
              </w:rPr>
            </w:pPr>
            <w:r>
              <w:rPr>
                <w:sz w:val="21"/>
                <w:szCs w:val="21"/>
              </w:rPr>
              <w:t>危险物质</w:t>
            </w:r>
          </w:p>
        </w:tc>
        <w:tc>
          <w:tcPr>
            <w:tcW w:w="914" w:type="pct"/>
            <w:vAlign w:val="center"/>
          </w:tcPr>
          <w:p w14:paraId="548DF176">
            <w:pPr>
              <w:pStyle w:val="1018"/>
              <w:kinsoku w:val="0"/>
              <w:overflowPunct w:val="0"/>
              <w:snapToGrid w:val="0"/>
              <w:spacing w:line="260" w:lineRule="exact"/>
              <w:jc w:val="center"/>
              <w:rPr>
                <w:sz w:val="21"/>
                <w:szCs w:val="21"/>
              </w:rPr>
            </w:pPr>
            <w:r>
              <w:rPr>
                <w:sz w:val="21"/>
                <w:szCs w:val="21"/>
              </w:rPr>
              <w:t>名称</w:t>
            </w:r>
          </w:p>
        </w:tc>
        <w:tc>
          <w:tcPr>
            <w:tcW w:w="990" w:type="pct"/>
            <w:gridSpan w:val="3"/>
            <w:vAlign w:val="center"/>
          </w:tcPr>
          <w:p w14:paraId="3FC8D83E">
            <w:pPr>
              <w:adjustRightInd w:val="0"/>
              <w:snapToGrid w:val="0"/>
              <w:spacing w:line="260" w:lineRule="exact"/>
              <w:jc w:val="center"/>
              <w:rPr>
                <w:szCs w:val="21"/>
              </w:rPr>
            </w:pPr>
            <w:r>
              <w:rPr>
                <w:szCs w:val="21"/>
              </w:rPr>
              <w:t>天然气(甲烷)</w:t>
            </w:r>
          </w:p>
        </w:tc>
        <w:tc>
          <w:tcPr>
            <w:tcW w:w="754" w:type="pct"/>
            <w:gridSpan w:val="2"/>
            <w:vAlign w:val="center"/>
          </w:tcPr>
          <w:p w14:paraId="4C5C619A">
            <w:pPr>
              <w:adjustRightInd w:val="0"/>
              <w:snapToGrid w:val="0"/>
              <w:spacing w:line="260" w:lineRule="exact"/>
              <w:jc w:val="center"/>
              <w:rPr>
                <w:szCs w:val="21"/>
              </w:rPr>
            </w:pPr>
            <w:r>
              <w:rPr>
                <w:rFonts w:hint="eastAsia"/>
                <w:szCs w:val="21"/>
              </w:rPr>
              <w:t>柴油</w:t>
            </w:r>
          </w:p>
        </w:tc>
        <w:tc>
          <w:tcPr>
            <w:tcW w:w="734" w:type="pct"/>
            <w:gridSpan w:val="3"/>
            <w:vAlign w:val="center"/>
          </w:tcPr>
          <w:p w14:paraId="2F91D176">
            <w:pPr>
              <w:adjustRightInd w:val="0"/>
              <w:snapToGrid w:val="0"/>
              <w:spacing w:line="260" w:lineRule="exact"/>
              <w:jc w:val="center"/>
              <w:rPr>
                <w:szCs w:val="21"/>
              </w:rPr>
            </w:pPr>
          </w:p>
        </w:tc>
        <w:tc>
          <w:tcPr>
            <w:tcW w:w="877" w:type="pct"/>
            <w:vAlign w:val="center"/>
          </w:tcPr>
          <w:p w14:paraId="20999B12">
            <w:pPr>
              <w:adjustRightInd w:val="0"/>
              <w:snapToGrid w:val="0"/>
              <w:spacing w:line="260" w:lineRule="exact"/>
              <w:jc w:val="center"/>
              <w:rPr>
                <w:szCs w:val="21"/>
              </w:rPr>
            </w:pPr>
          </w:p>
        </w:tc>
      </w:tr>
      <w:tr w14:paraId="7FB02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continue"/>
            <w:vAlign w:val="center"/>
          </w:tcPr>
          <w:p w14:paraId="5070E816">
            <w:pPr>
              <w:pStyle w:val="1018"/>
              <w:kinsoku w:val="0"/>
              <w:overflowPunct w:val="0"/>
              <w:snapToGrid w:val="0"/>
              <w:spacing w:line="260" w:lineRule="exact"/>
              <w:jc w:val="center"/>
              <w:rPr>
                <w:sz w:val="21"/>
                <w:szCs w:val="21"/>
              </w:rPr>
            </w:pPr>
          </w:p>
        </w:tc>
        <w:tc>
          <w:tcPr>
            <w:tcW w:w="487" w:type="pct"/>
            <w:vMerge w:val="continue"/>
            <w:vAlign w:val="center"/>
          </w:tcPr>
          <w:p w14:paraId="6BD8ACA5">
            <w:pPr>
              <w:pStyle w:val="1018"/>
              <w:kinsoku w:val="0"/>
              <w:overflowPunct w:val="0"/>
              <w:snapToGrid w:val="0"/>
              <w:spacing w:line="260" w:lineRule="exact"/>
              <w:jc w:val="center"/>
              <w:rPr>
                <w:sz w:val="21"/>
                <w:szCs w:val="21"/>
              </w:rPr>
            </w:pPr>
          </w:p>
        </w:tc>
        <w:tc>
          <w:tcPr>
            <w:tcW w:w="914" w:type="pct"/>
            <w:vAlign w:val="center"/>
          </w:tcPr>
          <w:p w14:paraId="6D248D69">
            <w:pPr>
              <w:pStyle w:val="1018"/>
              <w:kinsoku w:val="0"/>
              <w:overflowPunct w:val="0"/>
              <w:snapToGrid w:val="0"/>
              <w:spacing w:line="260" w:lineRule="exact"/>
              <w:jc w:val="center"/>
              <w:rPr>
                <w:sz w:val="21"/>
                <w:szCs w:val="21"/>
              </w:rPr>
            </w:pPr>
            <w:r>
              <w:rPr>
                <w:rFonts w:hint="eastAsia"/>
                <w:sz w:val="21"/>
                <w:szCs w:val="21"/>
              </w:rPr>
              <w:t>管道存在量/t</w:t>
            </w:r>
          </w:p>
        </w:tc>
        <w:tc>
          <w:tcPr>
            <w:tcW w:w="990" w:type="pct"/>
            <w:gridSpan w:val="3"/>
            <w:vAlign w:val="center"/>
          </w:tcPr>
          <w:p w14:paraId="32F73918">
            <w:pPr>
              <w:adjustRightInd w:val="0"/>
              <w:snapToGrid w:val="0"/>
              <w:spacing w:line="260" w:lineRule="exact"/>
              <w:jc w:val="center"/>
              <w:rPr>
                <w:rFonts w:hint="eastAsia" w:eastAsia="宋体"/>
                <w:szCs w:val="21"/>
                <w:lang w:eastAsia="zh-CN"/>
              </w:rPr>
            </w:pPr>
            <w:r>
              <w:rPr>
                <w:rFonts w:hint="eastAsia"/>
                <w:color w:val="auto"/>
                <w:szCs w:val="21"/>
              </w:rPr>
              <w:t>3.4</w:t>
            </w:r>
            <w:r>
              <w:rPr>
                <w:rFonts w:hint="eastAsia"/>
                <w:color w:val="auto"/>
                <w:szCs w:val="21"/>
                <w:lang w:val="en-US" w:eastAsia="zh-CN"/>
              </w:rPr>
              <w:t>4</w:t>
            </w:r>
          </w:p>
        </w:tc>
        <w:tc>
          <w:tcPr>
            <w:tcW w:w="754" w:type="pct"/>
            <w:gridSpan w:val="2"/>
            <w:vAlign w:val="center"/>
          </w:tcPr>
          <w:p w14:paraId="4F4DF643">
            <w:pPr>
              <w:adjustRightInd w:val="0"/>
              <w:snapToGrid w:val="0"/>
              <w:spacing w:line="260" w:lineRule="exact"/>
              <w:jc w:val="center"/>
              <w:rPr>
                <w:szCs w:val="21"/>
              </w:rPr>
            </w:pPr>
          </w:p>
        </w:tc>
        <w:tc>
          <w:tcPr>
            <w:tcW w:w="734" w:type="pct"/>
            <w:gridSpan w:val="3"/>
            <w:vAlign w:val="center"/>
          </w:tcPr>
          <w:p w14:paraId="37A9A574">
            <w:pPr>
              <w:adjustRightInd w:val="0"/>
              <w:snapToGrid w:val="0"/>
              <w:spacing w:line="260" w:lineRule="exact"/>
              <w:jc w:val="center"/>
              <w:rPr>
                <w:szCs w:val="21"/>
              </w:rPr>
            </w:pPr>
          </w:p>
        </w:tc>
        <w:tc>
          <w:tcPr>
            <w:tcW w:w="877" w:type="pct"/>
            <w:vAlign w:val="center"/>
          </w:tcPr>
          <w:p w14:paraId="3575F3B6">
            <w:pPr>
              <w:adjustRightInd w:val="0"/>
              <w:snapToGrid w:val="0"/>
              <w:spacing w:line="260" w:lineRule="exact"/>
              <w:jc w:val="center"/>
              <w:rPr>
                <w:szCs w:val="21"/>
              </w:rPr>
            </w:pPr>
          </w:p>
        </w:tc>
      </w:tr>
      <w:tr w14:paraId="602C2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continue"/>
            <w:vAlign w:val="center"/>
          </w:tcPr>
          <w:p w14:paraId="7FD2D625">
            <w:pPr>
              <w:adjustRightInd w:val="0"/>
              <w:snapToGrid w:val="0"/>
              <w:spacing w:line="260" w:lineRule="exact"/>
              <w:jc w:val="center"/>
              <w:rPr>
                <w:szCs w:val="21"/>
              </w:rPr>
            </w:pPr>
          </w:p>
        </w:tc>
        <w:tc>
          <w:tcPr>
            <w:tcW w:w="487" w:type="pct"/>
            <w:vMerge w:val="continue"/>
            <w:vAlign w:val="center"/>
          </w:tcPr>
          <w:p w14:paraId="47429F9D">
            <w:pPr>
              <w:adjustRightInd w:val="0"/>
              <w:snapToGrid w:val="0"/>
              <w:spacing w:line="260" w:lineRule="exact"/>
              <w:jc w:val="center"/>
              <w:rPr>
                <w:szCs w:val="21"/>
              </w:rPr>
            </w:pPr>
          </w:p>
        </w:tc>
        <w:tc>
          <w:tcPr>
            <w:tcW w:w="914" w:type="pct"/>
            <w:vAlign w:val="center"/>
          </w:tcPr>
          <w:p w14:paraId="765CBF4D">
            <w:pPr>
              <w:pStyle w:val="1018"/>
              <w:kinsoku w:val="0"/>
              <w:overflowPunct w:val="0"/>
              <w:snapToGrid w:val="0"/>
              <w:spacing w:line="260" w:lineRule="exact"/>
              <w:jc w:val="center"/>
              <w:rPr>
                <w:sz w:val="21"/>
                <w:szCs w:val="21"/>
              </w:rPr>
            </w:pPr>
            <w:r>
              <w:rPr>
                <w:rFonts w:hint="eastAsia"/>
                <w:sz w:val="21"/>
                <w:szCs w:val="21"/>
              </w:rPr>
              <w:t>站场</w:t>
            </w:r>
            <w:r>
              <w:rPr>
                <w:sz w:val="21"/>
                <w:szCs w:val="21"/>
              </w:rPr>
              <w:t>存在量/t</w:t>
            </w:r>
          </w:p>
        </w:tc>
        <w:tc>
          <w:tcPr>
            <w:tcW w:w="990" w:type="pct"/>
            <w:gridSpan w:val="3"/>
            <w:vAlign w:val="center"/>
          </w:tcPr>
          <w:p w14:paraId="10B6AD33">
            <w:pPr>
              <w:adjustRightInd w:val="0"/>
              <w:snapToGrid w:val="0"/>
              <w:spacing w:line="260" w:lineRule="exact"/>
              <w:jc w:val="center"/>
              <w:rPr>
                <w:szCs w:val="21"/>
              </w:rPr>
            </w:pPr>
            <w:r>
              <w:rPr>
                <w:rFonts w:hint="eastAsia"/>
                <w:szCs w:val="21"/>
              </w:rPr>
              <w:t>1.72</w:t>
            </w:r>
          </w:p>
        </w:tc>
        <w:tc>
          <w:tcPr>
            <w:tcW w:w="754" w:type="pct"/>
            <w:gridSpan w:val="2"/>
            <w:vAlign w:val="center"/>
          </w:tcPr>
          <w:p w14:paraId="2E9309CE">
            <w:pPr>
              <w:adjustRightInd w:val="0"/>
              <w:snapToGrid w:val="0"/>
              <w:spacing w:line="260" w:lineRule="exact"/>
              <w:jc w:val="center"/>
              <w:rPr>
                <w:szCs w:val="21"/>
              </w:rPr>
            </w:pPr>
            <w:r>
              <w:rPr>
                <w:rFonts w:hint="eastAsia"/>
                <w:szCs w:val="21"/>
              </w:rPr>
              <w:t>0.12</w:t>
            </w:r>
          </w:p>
        </w:tc>
        <w:tc>
          <w:tcPr>
            <w:tcW w:w="734" w:type="pct"/>
            <w:gridSpan w:val="3"/>
            <w:vAlign w:val="center"/>
          </w:tcPr>
          <w:p w14:paraId="2C031F71">
            <w:pPr>
              <w:adjustRightInd w:val="0"/>
              <w:snapToGrid w:val="0"/>
              <w:spacing w:line="260" w:lineRule="exact"/>
              <w:jc w:val="center"/>
              <w:rPr>
                <w:szCs w:val="21"/>
              </w:rPr>
            </w:pPr>
          </w:p>
        </w:tc>
        <w:tc>
          <w:tcPr>
            <w:tcW w:w="877" w:type="pct"/>
            <w:vAlign w:val="center"/>
          </w:tcPr>
          <w:p w14:paraId="3910A480">
            <w:pPr>
              <w:adjustRightInd w:val="0"/>
              <w:snapToGrid w:val="0"/>
              <w:spacing w:line="260" w:lineRule="exact"/>
              <w:jc w:val="center"/>
              <w:rPr>
                <w:szCs w:val="21"/>
              </w:rPr>
            </w:pPr>
          </w:p>
        </w:tc>
      </w:tr>
      <w:tr w14:paraId="296B5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continue"/>
            <w:vAlign w:val="center"/>
          </w:tcPr>
          <w:p w14:paraId="2448A5FE">
            <w:pPr>
              <w:adjustRightInd w:val="0"/>
              <w:snapToGrid w:val="0"/>
              <w:spacing w:line="260" w:lineRule="exact"/>
              <w:jc w:val="center"/>
              <w:rPr>
                <w:szCs w:val="21"/>
              </w:rPr>
            </w:pPr>
          </w:p>
        </w:tc>
        <w:tc>
          <w:tcPr>
            <w:tcW w:w="487" w:type="pct"/>
            <w:vMerge w:val="restart"/>
            <w:vAlign w:val="center"/>
          </w:tcPr>
          <w:p w14:paraId="36A15B38">
            <w:pPr>
              <w:pStyle w:val="1018"/>
              <w:kinsoku w:val="0"/>
              <w:overflowPunct w:val="0"/>
              <w:snapToGrid w:val="0"/>
              <w:spacing w:line="260" w:lineRule="exact"/>
              <w:jc w:val="center"/>
              <w:rPr>
                <w:sz w:val="21"/>
                <w:szCs w:val="21"/>
              </w:rPr>
            </w:pPr>
            <w:r>
              <w:rPr>
                <w:sz w:val="21"/>
                <w:szCs w:val="21"/>
              </w:rPr>
              <w:t>环境</w:t>
            </w:r>
          </w:p>
          <w:p w14:paraId="6913807C">
            <w:pPr>
              <w:pStyle w:val="1018"/>
              <w:kinsoku w:val="0"/>
              <w:overflowPunct w:val="0"/>
              <w:snapToGrid w:val="0"/>
              <w:spacing w:line="260" w:lineRule="exact"/>
              <w:jc w:val="center"/>
              <w:rPr>
                <w:sz w:val="21"/>
                <w:szCs w:val="21"/>
              </w:rPr>
            </w:pPr>
            <w:r>
              <w:rPr>
                <w:sz w:val="21"/>
                <w:szCs w:val="21"/>
              </w:rPr>
              <w:t>敏感性</w:t>
            </w:r>
          </w:p>
        </w:tc>
        <w:tc>
          <w:tcPr>
            <w:tcW w:w="914" w:type="pct"/>
            <w:vMerge w:val="restart"/>
            <w:vAlign w:val="center"/>
          </w:tcPr>
          <w:p w14:paraId="5BB6BBD7">
            <w:pPr>
              <w:pStyle w:val="1018"/>
              <w:kinsoku w:val="0"/>
              <w:overflowPunct w:val="0"/>
              <w:snapToGrid w:val="0"/>
              <w:spacing w:line="260" w:lineRule="exact"/>
              <w:jc w:val="center"/>
              <w:rPr>
                <w:sz w:val="21"/>
                <w:szCs w:val="21"/>
              </w:rPr>
            </w:pPr>
            <w:r>
              <w:rPr>
                <w:sz w:val="21"/>
                <w:szCs w:val="21"/>
              </w:rPr>
              <w:t>大气</w:t>
            </w:r>
          </w:p>
        </w:tc>
        <w:tc>
          <w:tcPr>
            <w:tcW w:w="1744" w:type="pct"/>
            <w:gridSpan w:val="5"/>
            <w:vAlign w:val="center"/>
          </w:tcPr>
          <w:p w14:paraId="5510AAB2">
            <w:pPr>
              <w:pStyle w:val="1018"/>
              <w:tabs>
                <w:tab w:val="left" w:pos="2611"/>
              </w:tabs>
              <w:kinsoku w:val="0"/>
              <w:overflowPunct w:val="0"/>
              <w:snapToGrid w:val="0"/>
              <w:spacing w:line="260" w:lineRule="exact"/>
              <w:rPr>
                <w:sz w:val="21"/>
                <w:szCs w:val="21"/>
              </w:rPr>
            </w:pPr>
            <w:r>
              <w:rPr>
                <w:sz w:val="21"/>
                <w:szCs w:val="21"/>
              </w:rPr>
              <w:t>500 m</w:t>
            </w:r>
            <w:r>
              <w:rPr>
                <w:spacing w:val="-2"/>
                <w:sz w:val="21"/>
                <w:szCs w:val="21"/>
              </w:rPr>
              <w:t xml:space="preserve"> </w:t>
            </w:r>
            <w:r>
              <w:rPr>
                <w:sz w:val="21"/>
                <w:szCs w:val="21"/>
              </w:rPr>
              <w:t>范围内人口数/人</w:t>
            </w:r>
          </w:p>
        </w:tc>
        <w:tc>
          <w:tcPr>
            <w:tcW w:w="1611" w:type="pct"/>
            <w:gridSpan w:val="4"/>
            <w:vAlign w:val="center"/>
          </w:tcPr>
          <w:p w14:paraId="49D86E23">
            <w:pPr>
              <w:pStyle w:val="1018"/>
              <w:tabs>
                <w:tab w:val="left" w:pos="2603"/>
              </w:tabs>
              <w:kinsoku w:val="0"/>
              <w:overflowPunct w:val="0"/>
              <w:snapToGrid w:val="0"/>
              <w:spacing w:line="260" w:lineRule="exact"/>
              <w:rPr>
                <w:sz w:val="21"/>
                <w:szCs w:val="21"/>
              </w:rPr>
            </w:pPr>
            <w:r>
              <w:rPr>
                <w:sz w:val="21"/>
                <w:szCs w:val="21"/>
              </w:rPr>
              <w:t>5 km</w:t>
            </w:r>
            <w:r>
              <w:rPr>
                <w:spacing w:val="-2"/>
                <w:sz w:val="21"/>
                <w:szCs w:val="21"/>
              </w:rPr>
              <w:t xml:space="preserve"> </w:t>
            </w:r>
            <w:r>
              <w:rPr>
                <w:sz w:val="21"/>
                <w:szCs w:val="21"/>
              </w:rPr>
              <w:t>范围内人口数</w:t>
            </w:r>
            <w:r>
              <w:rPr>
                <w:rFonts w:hint="eastAsia"/>
                <w:sz w:val="21"/>
                <w:szCs w:val="21"/>
              </w:rPr>
              <w:t>/</w:t>
            </w:r>
            <w:r>
              <w:rPr>
                <w:sz w:val="21"/>
                <w:szCs w:val="21"/>
              </w:rPr>
              <w:t>人</w:t>
            </w:r>
          </w:p>
        </w:tc>
      </w:tr>
      <w:tr w14:paraId="2A46F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continue"/>
            <w:vAlign w:val="center"/>
          </w:tcPr>
          <w:p w14:paraId="59308A46">
            <w:pPr>
              <w:pStyle w:val="1018"/>
              <w:tabs>
                <w:tab w:val="left" w:pos="2603"/>
              </w:tabs>
              <w:kinsoku w:val="0"/>
              <w:overflowPunct w:val="0"/>
              <w:snapToGrid w:val="0"/>
              <w:spacing w:line="260" w:lineRule="exact"/>
              <w:rPr>
                <w:sz w:val="21"/>
                <w:szCs w:val="21"/>
              </w:rPr>
            </w:pPr>
          </w:p>
        </w:tc>
        <w:tc>
          <w:tcPr>
            <w:tcW w:w="487" w:type="pct"/>
            <w:vMerge w:val="continue"/>
            <w:vAlign w:val="center"/>
          </w:tcPr>
          <w:p w14:paraId="71DCB974">
            <w:pPr>
              <w:pStyle w:val="1018"/>
              <w:tabs>
                <w:tab w:val="left" w:pos="2603"/>
              </w:tabs>
              <w:kinsoku w:val="0"/>
              <w:overflowPunct w:val="0"/>
              <w:snapToGrid w:val="0"/>
              <w:spacing w:line="260" w:lineRule="exact"/>
              <w:rPr>
                <w:sz w:val="21"/>
                <w:szCs w:val="21"/>
              </w:rPr>
            </w:pPr>
          </w:p>
        </w:tc>
        <w:tc>
          <w:tcPr>
            <w:tcW w:w="914" w:type="pct"/>
            <w:vMerge w:val="continue"/>
            <w:vAlign w:val="center"/>
          </w:tcPr>
          <w:p w14:paraId="256DFF31">
            <w:pPr>
              <w:pStyle w:val="1018"/>
              <w:tabs>
                <w:tab w:val="left" w:pos="2603"/>
              </w:tabs>
              <w:kinsoku w:val="0"/>
              <w:overflowPunct w:val="0"/>
              <w:snapToGrid w:val="0"/>
              <w:spacing w:line="260" w:lineRule="exact"/>
              <w:jc w:val="center"/>
              <w:rPr>
                <w:sz w:val="21"/>
                <w:szCs w:val="21"/>
              </w:rPr>
            </w:pPr>
          </w:p>
        </w:tc>
        <w:tc>
          <w:tcPr>
            <w:tcW w:w="2479" w:type="pct"/>
            <w:gridSpan w:val="8"/>
            <w:vAlign w:val="center"/>
          </w:tcPr>
          <w:p w14:paraId="61D95D5F">
            <w:pPr>
              <w:pStyle w:val="1018"/>
              <w:kinsoku w:val="0"/>
              <w:overflowPunct w:val="0"/>
              <w:snapToGrid w:val="0"/>
              <w:spacing w:line="260" w:lineRule="exact"/>
              <w:jc w:val="center"/>
              <w:rPr>
                <w:sz w:val="21"/>
                <w:szCs w:val="21"/>
              </w:rPr>
            </w:pPr>
            <w:r>
              <w:rPr>
                <w:sz w:val="21"/>
                <w:szCs w:val="21"/>
              </w:rPr>
              <w:t>每公里管段周边200m 范围内人口数(最大)</w:t>
            </w:r>
          </w:p>
        </w:tc>
        <w:tc>
          <w:tcPr>
            <w:tcW w:w="877" w:type="pct"/>
            <w:vAlign w:val="center"/>
          </w:tcPr>
          <w:p w14:paraId="582900A9">
            <w:pPr>
              <w:pStyle w:val="1018"/>
              <w:tabs>
                <w:tab w:val="left" w:pos="1070"/>
              </w:tabs>
              <w:kinsoku w:val="0"/>
              <w:overflowPunct w:val="0"/>
              <w:snapToGrid w:val="0"/>
              <w:spacing w:line="260" w:lineRule="exact"/>
              <w:rPr>
                <w:sz w:val="21"/>
                <w:szCs w:val="21"/>
              </w:rPr>
            </w:pPr>
            <w:r>
              <w:rPr>
                <w:rFonts w:hint="eastAsia"/>
                <w:sz w:val="21"/>
                <w:szCs w:val="21"/>
              </w:rPr>
              <w:t>79/</w:t>
            </w:r>
            <w:r>
              <w:rPr>
                <w:sz w:val="21"/>
                <w:szCs w:val="21"/>
              </w:rPr>
              <w:t>人</w:t>
            </w:r>
          </w:p>
        </w:tc>
      </w:tr>
      <w:tr w14:paraId="6A6BA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continue"/>
            <w:vAlign w:val="center"/>
          </w:tcPr>
          <w:p w14:paraId="6CF10435">
            <w:pPr>
              <w:pStyle w:val="1018"/>
              <w:tabs>
                <w:tab w:val="left" w:pos="1070"/>
              </w:tabs>
              <w:kinsoku w:val="0"/>
              <w:overflowPunct w:val="0"/>
              <w:snapToGrid w:val="0"/>
              <w:spacing w:line="260" w:lineRule="exact"/>
              <w:rPr>
                <w:sz w:val="21"/>
                <w:szCs w:val="21"/>
              </w:rPr>
            </w:pPr>
          </w:p>
        </w:tc>
        <w:tc>
          <w:tcPr>
            <w:tcW w:w="487" w:type="pct"/>
            <w:vMerge w:val="continue"/>
            <w:vAlign w:val="center"/>
          </w:tcPr>
          <w:p w14:paraId="39E7A4EE">
            <w:pPr>
              <w:pStyle w:val="1018"/>
              <w:tabs>
                <w:tab w:val="left" w:pos="1070"/>
              </w:tabs>
              <w:kinsoku w:val="0"/>
              <w:overflowPunct w:val="0"/>
              <w:snapToGrid w:val="0"/>
              <w:spacing w:line="260" w:lineRule="exact"/>
              <w:rPr>
                <w:sz w:val="21"/>
                <w:szCs w:val="21"/>
              </w:rPr>
            </w:pPr>
          </w:p>
        </w:tc>
        <w:tc>
          <w:tcPr>
            <w:tcW w:w="914" w:type="pct"/>
            <w:vMerge w:val="restart"/>
            <w:vAlign w:val="center"/>
          </w:tcPr>
          <w:p w14:paraId="2341660B">
            <w:pPr>
              <w:pStyle w:val="1018"/>
              <w:kinsoku w:val="0"/>
              <w:overflowPunct w:val="0"/>
              <w:snapToGrid w:val="0"/>
              <w:spacing w:line="260" w:lineRule="exact"/>
              <w:jc w:val="center"/>
              <w:rPr>
                <w:sz w:val="21"/>
                <w:szCs w:val="21"/>
              </w:rPr>
            </w:pPr>
            <w:r>
              <w:rPr>
                <w:sz w:val="21"/>
                <w:szCs w:val="21"/>
              </w:rPr>
              <w:t>地表水</w:t>
            </w:r>
          </w:p>
        </w:tc>
        <w:tc>
          <w:tcPr>
            <w:tcW w:w="990" w:type="pct"/>
            <w:gridSpan w:val="3"/>
            <w:vAlign w:val="center"/>
          </w:tcPr>
          <w:p w14:paraId="22D808AC">
            <w:pPr>
              <w:pStyle w:val="1018"/>
              <w:kinsoku w:val="0"/>
              <w:overflowPunct w:val="0"/>
              <w:snapToGrid w:val="0"/>
              <w:spacing w:line="260" w:lineRule="exact"/>
              <w:jc w:val="both"/>
              <w:rPr>
                <w:sz w:val="21"/>
                <w:szCs w:val="21"/>
              </w:rPr>
            </w:pPr>
            <w:r>
              <w:rPr>
                <w:sz w:val="21"/>
                <w:szCs w:val="21"/>
              </w:rPr>
              <w:t>地表水功能敏感性</w:t>
            </w:r>
          </w:p>
        </w:tc>
        <w:tc>
          <w:tcPr>
            <w:tcW w:w="754" w:type="pct"/>
            <w:gridSpan w:val="2"/>
            <w:vAlign w:val="center"/>
          </w:tcPr>
          <w:p w14:paraId="61770394">
            <w:pPr>
              <w:pStyle w:val="1018"/>
              <w:kinsoku w:val="0"/>
              <w:overflowPunct w:val="0"/>
              <w:snapToGrid w:val="0"/>
              <w:spacing w:line="260" w:lineRule="exact"/>
              <w:jc w:val="center"/>
              <w:rPr>
                <w:sz w:val="21"/>
                <w:szCs w:val="21"/>
              </w:rPr>
            </w:pPr>
            <w:r>
              <w:rPr>
                <w:sz w:val="21"/>
                <w:szCs w:val="21"/>
              </w:rPr>
              <w:t>F1 □</w:t>
            </w:r>
          </w:p>
        </w:tc>
        <w:tc>
          <w:tcPr>
            <w:tcW w:w="734" w:type="pct"/>
            <w:gridSpan w:val="3"/>
            <w:vAlign w:val="center"/>
          </w:tcPr>
          <w:p w14:paraId="37DABD9D">
            <w:pPr>
              <w:pStyle w:val="1018"/>
              <w:kinsoku w:val="0"/>
              <w:overflowPunct w:val="0"/>
              <w:snapToGrid w:val="0"/>
              <w:spacing w:line="260" w:lineRule="exact"/>
              <w:jc w:val="center"/>
              <w:rPr>
                <w:sz w:val="21"/>
                <w:szCs w:val="21"/>
              </w:rPr>
            </w:pPr>
            <w:r>
              <w:rPr>
                <w:sz w:val="21"/>
                <w:szCs w:val="21"/>
              </w:rPr>
              <w:t>F2 □</w:t>
            </w:r>
          </w:p>
        </w:tc>
        <w:tc>
          <w:tcPr>
            <w:tcW w:w="877" w:type="pct"/>
            <w:vAlign w:val="center"/>
          </w:tcPr>
          <w:p w14:paraId="0AE53007">
            <w:pPr>
              <w:pStyle w:val="1018"/>
              <w:kinsoku w:val="0"/>
              <w:overflowPunct w:val="0"/>
              <w:snapToGrid w:val="0"/>
              <w:spacing w:line="260" w:lineRule="exact"/>
              <w:jc w:val="center"/>
              <w:rPr>
                <w:sz w:val="21"/>
                <w:szCs w:val="21"/>
              </w:rPr>
            </w:pPr>
            <w:r>
              <w:rPr>
                <w:sz w:val="21"/>
                <w:szCs w:val="21"/>
              </w:rPr>
              <w:t>F3 □</w:t>
            </w:r>
          </w:p>
        </w:tc>
      </w:tr>
      <w:tr w14:paraId="3966E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continue"/>
            <w:vAlign w:val="center"/>
          </w:tcPr>
          <w:p w14:paraId="4F1C8754">
            <w:pPr>
              <w:pStyle w:val="1018"/>
              <w:kinsoku w:val="0"/>
              <w:overflowPunct w:val="0"/>
              <w:snapToGrid w:val="0"/>
              <w:spacing w:line="260" w:lineRule="exact"/>
              <w:rPr>
                <w:sz w:val="21"/>
                <w:szCs w:val="21"/>
              </w:rPr>
            </w:pPr>
          </w:p>
        </w:tc>
        <w:tc>
          <w:tcPr>
            <w:tcW w:w="487" w:type="pct"/>
            <w:vMerge w:val="continue"/>
            <w:vAlign w:val="center"/>
          </w:tcPr>
          <w:p w14:paraId="77F643BB">
            <w:pPr>
              <w:pStyle w:val="1018"/>
              <w:kinsoku w:val="0"/>
              <w:overflowPunct w:val="0"/>
              <w:snapToGrid w:val="0"/>
              <w:spacing w:line="260" w:lineRule="exact"/>
              <w:rPr>
                <w:sz w:val="21"/>
                <w:szCs w:val="21"/>
              </w:rPr>
            </w:pPr>
          </w:p>
        </w:tc>
        <w:tc>
          <w:tcPr>
            <w:tcW w:w="914" w:type="pct"/>
            <w:vMerge w:val="continue"/>
            <w:vAlign w:val="center"/>
          </w:tcPr>
          <w:p w14:paraId="2DF2B2D3">
            <w:pPr>
              <w:pStyle w:val="1018"/>
              <w:kinsoku w:val="0"/>
              <w:overflowPunct w:val="0"/>
              <w:snapToGrid w:val="0"/>
              <w:spacing w:line="260" w:lineRule="exact"/>
              <w:jc w:val="center"/>
              <w:rPr>
                <w:sz w:val="21"/>
                <w:szCs w:val="21"/>
              </w:rPr>
            </w:pPr>
          </w:p>
        </w:tc>
        <w:tc>
          <w:tcPr>
            <w:tcW w:w="990" w:type="pct"/>
            <w:gridSpan w:val="3"/>
            <w:vAlign w:val="center"/>
          </w:tcPr>
          <w:p w14:paraId="6A3BC955">
            <w:pPr>
              <w:pStyle w:val="1018"/>
              <w:kinsoku w:val="0"/>
              <w:overflowPunct w:val="0"/>
              <w:snapToGrid w:val="0"/>
              <w:spacing w:line="260" w:lineRule="exact"/>
              <w:jc w:val="both"/>
              <w:rPr>
                <w:sz w:val="21"/>
                <w:szCs w:val="21"/>
              </w:rPr>
            </w:pPr>
            <w:r>
              <w:rPr>
                <w:sz w:val="21"/>
                <w:szCs w:val="21"/>
              </w:rPr>
              <w:t>环境敏感目标分级</w:t>
            </w:r>
          </w:p>
        </w:tc>
        <w:tc>
          <w:tcPr>
            <w:tcW w:w="754" w:type="pct"/>
            <w:gridSpan w:val="2"/>
            <w:vAlign w:val="center"/>
          </w:tcPr>
          <w:p w14:paraId="3DB98A97">
            <w:pPr>
              <w:pStyle w:val="1018"/>
              <w:kinsoku w:val="0"/>
              <w:overflowPunct w:val="0"/>
              <w:snapToGrid w:val="0"/>
              <w:spacing w:line="260" w:lineRule="exact"/>
              <w:jc w:val="center"/>
              <w:rPr>
                <w:sz w:val="21"/>
                <w:szCs w:val="21"/>
              </w:rPr>
            </w:pPr>
            <w:r>
              <w:rPr>
                <w:sz w:val="21"/>
                <w:szCs w:val="21"/>
              </w:rPr>
              <w:t>S1 □</w:t>
            </w:r>
          </w:p>
        </w:tc>
        <w:tc>
          <w:tcPr>
            <w:tcW w:w="734" w:type="pct"/>
            <w:gridSpan w:val="3"/>
            <w:vAlign w:val="center"/>
          </w:tcPr>
          <w:p w14:paraId="794B3EE1">
            <w:pPr>
              <w:pStyle w:val="1018"/>
              <w:kinsoku w:val="0"/>
              <w:overflowPunct w:val="0"/>
              <w:snapToGrid w:val="0"/>
              <w:spacing w:line="260" w:lineRule="exact"/>
              <w:jc w:val="center"/>
              <w:rPr>
                <w:sz w:val="21"/>
                <w:szCs w:val="21"/>
              </w:rPr>
            </w:pPr>
            <w:r>
              <w:rPr>
                <w:sz w:val="21"/>
                <w:szCs w:val="21"/>
              </w:rPr>
              <w:t>S2 □</w:t>
            </w:r>
          </w:p>
        </w:tc>
        <w:tc>
          <w:tcPr>
            <w:tcW w:w="877" w:type="pct"/>
            <w:vAlign w:val="center"/>
          </w:tcPr>
          <w:p w14:paraId="499C009B">
            <w:pPr>
              <w:pStyle w:val="1018"/>
              <w:kinsoku w:val="0"/>
              <w:overflowPunct w:val="0"/>
              <w:snapToGrid w:val="0"/>
              <w:spacing w:line="260" w:lineRule="exact"/>
              <w:jc w:val="center"/>
              <w:rPr>
                <w:sz w:val="21"/>
                <w:szCs w:val="21"/>
              </w:rPr>
            </w:pPr>
            <w:r>
              <w:rPr>
                <w:sz w:val="21"/>
                <w:szCs w:val="21"/>
              </w:rPr>
              <w:t>S3 □</w:t>
            </w:r>
          </w:p>
        </w:tc>
      </w:tr>
      <w:tr w14:paraId="7D92C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continue"/>
            <w:vAlign w:val="center"/>
          </w:tcPr>
          <w:p w14:paraId="2DD0FDDA">
            <w:pPr>
              <w:pStyle w:val="1018"/>
              <w:kinsoku w:val="0"/>
              <w:overflowPunct w:val="0"/>
              <w:snapToGrid w:val="0"/>
              <w:spacing w:line="260" w:lineRule="exact"/>
              <w:rPr>
                <w:sz w:val="21"/>
                <w:szCs w:val="21"/>
              </w:rPr>
            </w:pPr>
          </w:p>
        </w:tc>
        <w:tc>
          <w:tcPr>
            <w:tcW w:w="487" w:type="pct"/>
            <w:vMerge w:val="continue"/>
            <w:vAlign w:val="center"/>
          </w:tcPr>
          <w:p w14:paraId="1A1F5639">
            <w:pPr>
              <w:pStyle w:val="1018"/>
              <w:kinsoku w:val="0"/>
              <w:overflowPunct w:val="0"/>
              <w:snapToGrid w:val="0"/>
              <w:spacing w:line="260" w:lineRule="exact"/>
              <w:rPr>
                <w:sz w:val="21"/>
                <w:szCs w:val="21"/>
              </w:rPr>
            </w:pPr>
          </w:p>
        </w:tc>
        <w:tc>
          <w:tcPr>
            <w:tcW w:w="914" w:type="pct"/>
            <w:vMerge w:val="restart"/>
            <w:vAlign w:val="center"/>
          </w:tcPr>
          <w:p w14:paraId="54D679CA">
            <w:pPr>
              <w:pStyle w:val="1018"/>
              <w:kinsoku w:val="0"/>
              <w:overflowPunct w:val="0"/>
              <w:snapToGrid w:val="0"/>
              <w:spacing w:line="260" w:lineRule="exact"/>
              <w:jc w:val="center"/>
              <w:rPr>
                <w:sz w:val="21"/>
                <w:szCs w:val="21"/>
              </w:rPr>
            </w:pPr>
            <w:r>
              <w:rPr>
                <w:sz w:val="21"/>
                <w:szCs w:val="21"/>
              </w:rPr>
              <w:t>地下水</w:t>
            </w:r>
          </w:p>
        </w:tc>
        <w:tc>
          <w:tcPr>
            <w:tcW w:w="990" w:type="pct"/>
            <w:gridSpan w:val="3"/>
            <w:vAlign w:val="center"/>
          </w:tcPr>
          <w:p w14:paraId="53B86D2F">
            <w:pPr>
              <w:pStyle w:val="1018"/>
              <w:kinsoku w:val="0"/>
              <w:overflowPunct w:val="0"/>
              <w:snapToGrid w:val="0"/>
              <w:spacing w:line="260" w:lineRule="exact"/>
              <w:jc w:val="both"/>
              <w:rPr>
                <w:sz w:val="21"/>
                <w:szCs w:val="21"/>
              </w:rPr>
            </w:pPr>
            <w:r>
              <w:rPr>
                <w:sz w:val="21"/>
                <w:szCs w:val="21"/>
              </w:rPr>
              <w:t>地下水功能敏感性</w:t>
            </w:r>
          </w:p>
        </w:tc>
        <w:tc>
          <w:tcPr>
            <w:tcW w:w="754" w:type="pct"/>
            <w:gridSpan w:val="2"/>
            <w:vAlign w:val="center"/>
          </w:tcPr>
          <w:p w14:paraId="4DA065E9">
            <w:pPr>
              <w:pStyle w:val="1018"/>
              <w:kinsoku w:val="0"/>
              <w:overflowPunct w:val="0"/>
              <w:snapToGrid w:val="0"/>
              <w:spacing w:line="260" w:lineRule="exact"/>
              <w:jc w:val="center"/>
              <w:rPr>
                <w:sz w:val="21"/>
                <w:szCs w:val="21"/>
              </w:rPr>
            </w:pPr>
            <w:r>
              <w:rPr>
                <w:sz w:val="21"/>
                <w:szCs w:val="21"/>
              </w:rPr>
              <w:t>G1 □</w:t>
            </w:r>
          </w:p>
        </w:tc>
        <w:tc>
          <w:tcPr>
            <w:tcW w:w="734" w:type="pct"/>
            <w:gridSpan w:val="3"/>
            <w:vAlign w:val="center"/>
          </w:tcPr>
          <w:p w14:paraId="593364B1">
            <w:pPr>
              <w:pStyle w:val="1018"/>
              <w:kinsoku w:val="0"/>
              <w:overflowPunct w:val="0"/>
              <w:snapToGrid w:val="0"/>
              <w:spacing w:line="260" w:lineRule="exact"/>
              <w:jc w:val="center"/>
              <w:rPr>
                <w:sz w:val="21"/>
                <w:szCs w:val="21"/>
              </w:rPr>
            </w:pPr>
            <w:r>
              <w:rPr>
                <w:sz w:val="21"/>
                <w:szCs w:val="21"/>
              </w:rPr>
              <w:t>G2 □</w:t>
            </w:r>
          </w:p>
        </w:tc>
        <w:tc>
          <w:tcPr>
            <w:tcW w:w="877" w:type="pct"/>
            <w:vAlign w:val="center"/>
          </w:tcPr>
          <w:p w14:paraId="38A6EC59">
            <w:pPr>
              <w:pStyle w:val="1018"/>
              <w:kinsoku w:val="0"/>
              <w:overflowPunct w:val="0"/>
              <w:snapToGrid w:val="0"/>
              <w:spacing w:line="260" w:lineRule="exact"/>
              <w:jc w:val="center"/>
              <w:rPr>
                <w:sz w:val="21"/>
                <w:szCs w:val="21"/>
              </w:rPr>
            </w:pPr>
            <w:r>
              <w:rPr>
                <w:sz w:val="21"/>
                <w:szCs w:val="21"/>
              </w:rPr>
              <w:t>G3 □</w:t>
            </w:r>
          </w:p>
        </w:tc>
      </w:tr>
      <w:tr w14:paraId="0BB0F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continue"/>
            <w:vAlign w:val="center"/>
          </w:tcPr>
          <w:p w14:paraId="207383B8">
            <w:pPr>
              <w:pStyle w:val="1018"/>
              <w:kinsoku w:val="0"/>
              <w:overflowPunct w:val="0"/>
              <w:snapToGrid w:val="0"/>
              <w:spacing w:line="260" w:lineRule="exact"/>
              <w:rPr>
                <w:sz w:val="21"/>
                <w:szCs w:val="21"/>
              </w:rPr>
            </w:pPr>
          </w:p>
        </w:tc>
        <w:tc>
          <w:tcPr>
            <w:tcW w:w="487" w:type="pct"/>
            <w:vMerge w:val="continue"/>
            <w:vAlign w:val="center"/>
          </w:tcPr>
          <w:p w14:paraId="31A3F756">
            <w:pPr>
              <w:pStyle w:val="1018"/>
              <w:kinsoku w:val="0"/>
              <w:overflowPunct w:val="0"/>
              <w:snapToGrid w:val="0"/>
              <w:spacing w:line="260" w:lineRule="exact"/>
              <w:rPr>
                <w:sz w:val="21"/>
                <w:szCs w:val="21"/>
              </w:rPr>
            </w:pPr>
          </w:p>
        </w:tc>
        <w:tc>
          <w:tcPr>
            <w:tcW w:w="914" w:type="pct"/>
            <w:vMerge w:val="continue"/>
            <w:vAlign w:val="center"/>
          </w:tcPr>
          <w:p w14:paraId="00DF77D9">
            <w:pPr>
              <w:pStyle w:val="1018"/>
              <w:kinsoku w:val="0"/>
              <w:overflowPunct w:val="0"/>
              <w:snapToGrid w:val="0"/>
              <w:spacing w:line="260" w:lineRule="exact"/>
              <w:jc w:val="center"/>
              <w:rPr>
                <w:sz w:val="21"/>
                <w:szCs w:val="21"/>
              </w:rPr>
            </w:pPr>
          </w:p>
        </w:tc>
        <w:tc>
          <w:tcPr>
            <w:tcW w:w="990" w:type="pct"/>
            <w:gridSpan w:val="3"/>
            <w:vAlign w:val="center"/>
          </w:tcPr>
          <w:p w14:paraId="03AE0BA5">
            <w:pPr>
              <w:pStyle w:val="1018"/>
              <w:kinsoku w:val="0"/>
              <w:overflowPunct w:val="0"/>
              <w:snapToGrid w:val="0"/>
              <w:spacing w:line="260" w:lineRule="exact"/>
              <w:jc w:val="both"/>
              <w:rPr>
                <w:sz w:val="21"/>
                <w:szCs w:val="21"/>
              </w:rPr>
            </w:pPr>
            <w:r>
              <w:rPr>
                <w:sz w:val="21"/>
                <w:szCs w:val="21"/>
              </w:rPr>
              <w:t>包气带防污性能</w:t>
            </w:r>
          </w:p>
        </w:tc>
        <w:tc>
          <w:tcPr>
            <w:tcW w:w="754" w:type="pct"/>
            <w:gridSpan w:val="2"/>
            <w:vAlign w:val="center"/>
          </w:tcPr>
          <w:p w14:paraId="569D8508">
            <w:pPr>
              <w:pStyle w:val="1018"/>
              <w:kinsoku w:val="0"/>
              <w:overflowPunct w:val="0"/>
              <w:snapToGrid w:val="0"/>
              <w:spacing w:line="260" w:lineRule="exact"/>
              <w:jc w:val="center"/>
              <w:rPr>
                <w:sz w:val="21"/>
                <w:szCs w:val="21"/>
              </w:rPr>
            </w:pPr>
            <w:r>
              <w:rPr>
                <w:sz w:val="21"/>
                <w:szCs w:val="21"/>
              </w:rPr>
              <w:t>D1 □</w:t>
            </w:r>
          </w:p>
        </w:tc>
        <w:tc>
          <w:tcPr>
            <w:tcW w:w="734" w:type="pct"/>
            <w:gridSpan w:val="3"/>
            <w:vAlign w:val="center"/>
          </w:tcPr>
          <w:p w14:paraId="2C111672">
            <w:pPr>
              <w:pStyle w:val="1018"/>
              <w:kinsoku w:val="0"/>
              <w:overflowPunct w:val="0"/>
              <w:snapToGrid w:val="0"/>
              <w:spacing w:line="260" w:lineRule="exact"/>
              <w:jc w:val="center"/>
              <w:rPr>
                <w:sz w:val="21"/>
                <w:szCs w:val="21"/>
              </w:rPr>
            </w:pPr>
            <w:r>
              <w:rPr>
                <w:sz w:val="21"/>
                <w:szCs w:val="21"/>
              </w:rPr>
              <w:t>D2 □</w:t>
            </w:r>
          </w:p>
        </w:tc>
        <w:tc>
          <w:tcPr>
            <w:tcW w:w="877" w:type="pct"/>
            <w:vAlign w:val="center"/>
          </w:tcPr>
          <w:p w14:paraId="12903038">
            <w:pPr>
              <w:pStyle w:val="1018"/>
              <w:kinsoku w:val="0"/>
              <w:overflowPunct w:val="0"/>
              <w:snapToGrid w:val="0"/>
              <w:spacing w:line="260" w:lineRule="exact"/>
              <w:jc w:val="center"/>
              <w:rPr>
                <w:sz w:val="21"/>
                <w:szCs w:val="21"/>
              </w:rPr>
            </w:pPr>
            <w:r>
              <w:rPr>
                <w:sz w:val="21"/>
                <w:szCs w:val="21"/>
              </w:rPr>
              <w:t>D3 □</w:t>
            </w:r>
          </w:p>
        </w:tc>
      </w:tr>
      <w:tr w14:paraId="7B7A6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728" w:type="pct"/>
            <w:gridSpan w:val="2"/>
            <w:vMerge w:val="restart"/>
            <w:vAlign w:val="center"/>
          </w:tcPr>
          <w:p w14:paraId="69B23F96">
            <w:pPr>
              <w:pStyle w:val="1018"/>
              <w:kinsoku w:val="0"/>
              <w:overflowPunct w:val="0"/>
              <w:snapToGrid w:val="0"/>
              <w:spacing w:line="260" w:lineRule="exact"/>
              <w:jc w:val="center"/>
              <w:rPr>
                <w:sz w:val="21"/>
                <w:szCs w:val="21"/>
              </w:rPr>
            </w:pPr>
            <w:r>
              <w:rPr>
                <w:sz w:val="21"/>
                <w:szCs w:val="21"/>
              </w:rPr>
              <w:t>物质及工艺</w:t>
            </w:r>
          </w:p>
          <w:p w14:paraId="555EAA6C">
            <w:pPr>
              <w:pStyle w:val="1018"/>
              <w:kinsoku w:val="0"/>
              <w:overflowPunct w:val="0"/>
              <w:snapToGrid w:val="0"/>
              <w:spacing w:line="260" w:lineRule="exact"/>
              <w:jc w:val="center"/>
              <w:rPr>
                <w:sz w:val="21"/>
                <w:szCs w:val="21"/>
              </w:rPr>
            </w:pPr>
            <w:r>
              <w:rPr>
                <w:sz w:val="21"/>
                <w:szCs w:val="21"/>
              </w:rPr>
              <w:t>系统危险性</w:t>
            </w:r>
          </w:p>
        </w:tc>
        <w:tc>
          <w:tcPr>
            <w:tcW w:w="914" w:type="pct"/>
            <w:vAlign w:val="center"/>
          </w:tcPr>
          <w:p w14:paraId="726E737A">
            <w:pPr>
              <w:pStyle w:val="1018"/>
              <w:kinsoku w:val="0"/>
              <w:overflowPunct w:val="0"/>
              <w:snapToGrid w:val="0"/>
              <w:spacing w:line="260" w:lineRule="exact"/>
              <w:jc w:val="center"/>
              <w:rPr>
                <w:sz w:val="21"/>
                <w:szCs w:val="21"/>
              </w:rPr>
            </w:pPr>
            <w:r>
              <w:rPr>
                <w:iCs/>
                <w:sz w:val="21"/>
                <w:szCs w:val="21"/>
              </w:rPr>
              <w:t xml:space="preserve">Q </w:t>
            </w:r>
            <w:r>
              <w:rPr>
                <w:sz w:val="21"/>
                <w:szCs w:val="21"/>
              </w:rPr>
              <w:t>值</w:t>
            </w:r>
          </w:p>
        </w:tc>
        <w:tc>
          <w:tcPr>
            <w:tcW w:w="990" w:type="pct"/>
            <w:gridSpan w:val="3"/>
            <w:vAlign w:val="center"/>
          </w:tcPr>
          <w:p w14:paraId="18E5AB8F">
            <w:pPr>
              <w:pStyle w:val="1018"/>
              <w:kinsoku w:val="0"/>
              <w:overflowPunct w:val="0"/>
              <w:snapToGrid w:val="0"/>
              <w:spacing w:line="260" w:lineRule="exact"/>
              <w:jc w:val="center"/>
              <w:rPr>
                <w:sz w:val="21"/>
                <w:szCs w:val="21"/>
              </w:rPr>
            </w:pPr>
            <w:r>
              <w:rPr>
                <w:iCs/>
                <w:sz w:val="21"/>
                <w:szCs w:val="21"/>
              </w:rPr>
              <w:t>Q</w:t>
            </w:r>
            <w:r>
              <w:rPr>
                <w:sz w:val="21"/>
                <w:szCs w:val="21"/>
              </w:rPr>
              <w:t xml:space="preserve">＜1 </w:t>
            </w:r>
            <w:r>
              <w:rPr>
                <w:bCs/>
                <w:szCs w:val="21"/>
              </w:rPr>
              <w:sym w:font="Wingdings 2" w:char="F052"/>
            </w:r>
          </w:p>
        </w:tc>
        <w:tc>
          <w:tcPr>
            <w:tcW w:w="754" w:type="pct"/>
            <w:gridSpan w:val="2"/>
            <w:vAlign w:val="center"/>
          </w:tcPr>
          <w:p w14:paraId="326D77CC">
            <w:pPr>
              <w:pStyle w:val="1018"/>
              <w:kinsoku w:val="0"/>
              <w:overflowPunct w:val="0"/>
              <w:snapToGrid w:val="0"/>
              <w:spacing w:line="260" w:lineRule="exact"/>
              <w:jc w:val="center"/>
              <w:rPr>
                <w:sz w:val="21"/>
                <w:szCs w:val="21"/>
              </w:rPr>
            </w:pPr>
            <w:r>
              <w:rPr>
                <w:sz w:val="21"/>
                <w:szCs w:val="21"/>
              </w:rPr>
              <w:t>1≤</w:t>
            </w:r>
            <w:r>
              <w:rPr>
                <w:iCs/>
                <w:sz w:val="21"/>
                <w:szCs w:val="21"/>
              </w:rPr>
              <w:t>Q</w:t>
            </w:r>
            <w:r>
              <w:rPr>
                <w:sz w:val="21"/>
                <w:szCs w:val="21"/>
              </w:rPr>
              <w:t>＜10 □</w:t>
            </w:r>
          </w:p>
        </w:tc>
        <w:tc>
          <w:tcPr>
            <w:tcW w:w="734" w:type="pct"/>
            <w:gridSpan w:val="3"/>
            <w:vAlign w:val="center"/>
          </w:tcPr>
          <w:p w14:paraId="688A092A">
            <w:pPr>
              <w:pStyle w:val="1018"/>
              <w:kinsoku w:val="0"/>
              <w:overflowPunct w:val="0"/>
              <w:snapToGrid w:val="0"/>
              <w:spacing w:line="260" w:lineRule="exact"/>
              <w:jc w:val="center"/>
              <w:rPr>
                <w:sz w:val="21"/>
                <w:szCs w:val="21"/>
              </w:rPr>
            </w:pPr>
            <w:r>
              <w:rPr>
                <w:sz w:val="21"/>
                <w:szCs w:val="21"/>
              </w:rPr>
              <w:t>10≤</w:t>
            </w:r>
            <w:r>
              <w:rPr>
                <w:iCs/>
                <w:sz w:val="21"/>
                <w:szCs w:val="21"/>
              </w:rPr>
              <w:t>Q</w:t>
            </w:r>
            <w:r>
              <w:rPr>
                <w:sz w:val="21"/>
                <w:szCs w:val="21"/>
              </w:rPr>
              <w:t>＜100□</w:t>
            </w:r>
          </w:p>
        </w:tc>
        <w:tc>
          <w:tcPr>
            <w:tcW w:w="877" w:type="pct"/>
            <w:vAlign w:val="center"/>
          </w:tcPr>
          <w:p w14:paraId="427822BE">
            <w:pPr>
              <w:pStyle w:val="1018"/>
              <w:kinsoku w:val="0"/>
              <w:overflowPunct w:val="0"/>
              <w:snapToGrid w:val="0"/>
              <w:spacing w:line="260" w:lineRule="exact"/>
              <w:jc w:val="center"/>
              <w:rPr>
                <w:sz w:val="21"/>
                <w:szCs w:val="21"/>
              </w:rPr>
            </w:pPr>
            <w:r>
              <w:rPr>
                <w:iCs/>
                <w:sz w:val="21"/>
                <w:szCs w:val="21"/>
              </w:rPr>
              <w:t>Q</w:t>
            </w:r>
            <w:r>
              <w:rPr>
                <w:sz w:val="21"/>
                <w:szCs w:val="21"/>
              </w:rPr>
              <w:t>＞100□</w:t>
            </w:r>
          </w:p>
        </w:tc>
      </w:tr>
      <w:tr w14:paraId="7FD29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728" w:type="pct"/>
            <w:gridSpan w:val="2"/>
            <w:vMerge w:val="continue"/>
            <w:vAlign w:val="center"/>
          </w:tcPr>
          <w:p w14:paraId="5B363410">
            <w:pPr>
              <w:pStyle w:val="1018"/>
              <w:kinsoku w:val="0"/>
              <w:overflowPunct w:val="0"/>
              <w:snapToGrid w:val="0"/>
              <w:spacing w:line="260" w:lineRule="exact"/>
              <w:jc w:val="center"/>
              <w:rPr>
                <w:sz w:val="21"/>
                <w:szCs w:val="21"/>
              </w:rPr>
            </w:pPr>
          </w:p>
        </w:tc>
        <w:tc>
          <w:tcPr>
            <w:tcW w:w="914" w:type="pct"/>
            <w:vAlign w:val="center"/>
          </w:tcPr>
          <w:p w14:paraId="4B429913">
            <w:pPr>
              <w:pStyle w:val="1018"/>
              <w:kinsoku w:val="0"/>
              <w:overflowPunct w:val="0"/>
              <w:snapToGrid w:val="0"/>
              <w:spacing w:line="260" w:lineRule="exact"/>
              <w:jc w:val="center"/>
              <w:rPr>
                <w:sz w:val="21"/>
                <w:szCs w:val="21"/>
              </w:rPr>
            </w:pPr>
            <w:r>
              <w:rPr>
                <w:sz w:val="21"/>
                <w:szCs w:val="21"/>
              </w:rPr>
              <w:t>M 值</w:t>
            </w:r>
          </w:p>
        </w:tc>
        <w:tc>
          <w:tcPr>
            <w:tcW w:w="990" w:type="pct"/>
            <w:gridSpan w:val="3"/>
            <w:vAlign w:val="center"/>
          </w:tcPr>
          <w:p w14:paraId="37E1BD07">
            <w:pPr>
              <w:pStyle w:val="1018"/>
              <w:kinsoku w:val="0"/>
              <w:overflowPunct w:val="0"/>
              <w:snapToGrid w:val="0"/>
              <w:spacing w:line="260" w:lineRule="exact"/>
              <w:jc w:val="center"/>
              <w:rPr>
                <w:sz w:val="21"/>
                <w:szCs w:val="21"/>
              </w:rPr>
            </w:pPr>
            <w:r>
              <w:rPr>
                <w:sz w:val="21"/>
                <w:szCs w:val="21"/>
              </w:rPr>
              <w:t>M1 □</w:t>
            </w:r>
          </w:p>
        </w:tc>
        <w:tc>
          <w:tcPr>
            <w:tcW w:w="754" w:type="pct"/>
            <w:gridSpan w:val="2"/>
            <w:vAlign w:val="center"/>
          </w:tcPr>
          <w:p w14:paraId="6C7C6571">
            <w:pPr>
              <w:pStyle w:val="1018"/>
              <w:kinsoku w:val="0"/>
              <w:overflowPunct w:val="0"/>
              <w:snapToGrid w:val="0"/>
              <w:spacing w:line="260" w:lineRule="exact"/>
              <w:jc w:val="center"/>
              <w:rPr>
                <w:sz w:val="21"/>
                <w:szCs w:val="21"/>
              </w:rPr>
            </w:pPr>
            <w:r>
              <w:rPr>
                <w:sz w:val="21"/>
                <w:szCs w:val="21"/>
              </w:rPr>
              <w:t>M2 □</w:t>
            </w:r>
          </w:p>
        </w:tc>
        <w:tc>
          <w:tcPr>
            <w:tcW w:w="734" w:type="pct"/>
            <w:gridSpan w:val="3"/>
            <w:vAlign w:val="center"/>
          </w:tcPr>
          <w:p w14:paraId="47FB9176">
            <w:pPr>
              <w:pStyle w:val="1018"/>
              <w:kinsoku w:val="0"/>
              <w:overflowPunct w:val="0"/>
              <w:snapToGrid w:val="0"/>
              <w:spacing w:line="260" w:lineRule="exact"/>
              <w:jc w:val="center"/>
              <w:rPr>
                <w:sz w:val="21"/>
                <w:szCs w:val="21"/>
              </w:rPr>
            </w:pPr>
            <w:r>
              <w:rPr>
                <w:sz w:val="21"/>
                <w:szCs w:val="21"/>
              </w:rPr>
              <w:t>M3 □</w:t>
            </w:r>
          </w:p>
        </w:tc>
        <w:tc>
          <w:tcPr>
            <w:tcW w:w="877" w:type="pct"/>
            <w:vAlign w:val="center"/>
          </w:tcPr>
          <w:p w14:paraId="5104BCDC">
            <w:pPr>
              <w:pStyle w:val="1018"/>
              <w:kinsoku w:val="0"/>
              <w:overflowPunct w:val="0"/>
              <w:snapToGrid w:val="0"/>
              <w:spacing w:line="260" w:lineRule="exact"/>
              <w:jc w:val="center"/>
              <w:rPr>
                <w:sz w:val="21"/>
                <w:szCs w:val="21"/>
              </w:rPr>
            </w:pPr>
            <w:r>
              <w:rPr>
                <w:sz w:val="21"/>
                <w:szCs w:val="21"/>
              </w:rPr>
              <w:t>M4 □</w:t>
            </w:r>
          </w:p>
        </w:tc>
      </w:tr>
      <w:tr w14:paraId="5BEA1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728" w:type="pct"/>
            <w:gridSpan w:val="2"/>
            <w:vMerge w:val="continue"/>
            <w:vAlign w:val="center"/>
          </w:tcPr>
          <w:p w14:paraId="7F1C32AC">
            <w:pPr>
              <w:pStyle w:val="1018"/>
              <w:kinsoku w:val="0"/>
              <w:overflowPunct w:val="0"/>
              <w:snapToGrid w:val="0"/>
              <w:spacing w:line="260" w:lineRule="exact"/>
              <w:jc w:val="center"/>
              <w:rPr>
                <w:sz w:val="21"/>
                <w:szCs w:val="21"/>
              </w:rPr>
            </w:pPr>
          </w:p>
        </w:tc>
        <w:tc>
          <w:tcPr>
            <w:tcW w:w="914" w:type="pct"/>
            <w:vAlign w:val="center"/>
          </w:tcPr>
          <w:p w14:paraId="56DF20A6">
            <w:pPr>
              <w:pStyle w:val="1018"/>
              <w:kinsoku w:val="0"/>
              <w:overflowPunct w:val="0"/>
              <w:snapToGrid w:val="0"/>
              <w:spacing w:line="260" w:lineRule="exact"/>
              <w:jc w:val="center"/>
              <w:rPr>
                <w:sz w:val="21"/>
                <w:szCs w:val="21"/>
              </w:rPr>
            </w:pPr>
            <w:r>
              <w:rPr>
                <w:sz w:val="21"/>
                <w:szCs w:val="21"/>
              </w:rPr>
              <w:t>P 值</w:t>
            </w:r>
          </w:p>
        </w:tc>
        <w:tc>
          <w:tcPr>
            <w:tcW w:w="990" w:type="pct"/>
            <w:gridSpan w:val="3"/>
            <w:vAlign w:val="center"/>
          </w:tcPr>
          <w:p w14:paraId="5B1A5187">
            <w:pPr>
              <w:pStyle w:val="1018"/>
              <w:kinsoku w:val="0"/>
              <w:overflowPunct w:val="0"/>
              <w:snapToGrid w:val="0"/>
              <w:spacing w:line="260" w:lineRule="exact"/>
              <w:jc w:val="center"/>
              <w:rPr>
                <w:sz w:val="21"/>
                <w:szCs w:val="21"/>
              </w:rPr>
            </w:pPr>
            <w:r>
              <w:rPr>
                <w:sz w:val="21"/>
                <w:szCs w:val="21"/>
              </w:rPr>
              <w:t>P1 □</w:t>
            </w:r>
          </w:p>
        </w:tc>
        <w:tc>
          <w:tcPr>
            <w:tcW w:w="754" w:type="pct"/>
            <w:gridSpan w:val="2"/>
            <w:vAlign w:val="center"/>
          </w:tcPr>
          <w:p w14:paraId="76A411DF">
            <w:pPr>
              <w:pStyle w:val="1018"/>
              <w:kinsoku w:val="0"/>
              <w:overflowPunct w:val="0"/>
              <w:snapToGrid w:val="0"/>
              <w:spacing w:line="260" w:lineRule="exact"/>
              <w:jc w:val="center"/>
              <w:rPr>
                <w:sz w:val="21"/>
                <w:szCs w:val="21"/>
              </w:rPr>
            </w:pPr>
            <w:r>
              <w:rPr>
                <w:sz w:val="21"/>
                <w:szCs w:val="21"/>
              </w:rPr>
              <w:t>P2 □</w:t>
            </w:r>
          </w:p>
        </w:tc>
        <w:tc>
          <w:tcPr>
            <w:tcW w:w="734" w:type="pct"/>
            <w:gridSpan w:val="3"/>
            <w:vAlign w:val="center"/>
          </w:tcPr>
          <w:p w14:paraId="3823AFE9">
            <w:pPr>
              <w:pStyle w:val="1018"/>
              <w:kinsoku w:val="0"/>
              <w:overflowPunct w:val="0"/>
              <w:snapToGrid w:val="0"/>
              <w:spacing w:line="260" w:lineRule="exact"/>
              <w:jc w:val="center"/>
              <w:rPr>
                <w:sz w:val="21"/>
                <w:szCs w:val="21"/>
              </w:rPr>
            </w:pPr>
            <w:r>
              <w:rPr>
                <w:sz w:val="21"/>
                <w:szCs w:val="21"/>
              </w:rPr>
              <w:t>P3□</w:t>
            </w:r>
          </w:p>
        </w:tc>
        <w:tc>
          <w:tcPr>
            <w:tcW w:w="877" w:type="pct"/>
            <w:vAlign w:val="center"/>
          </w:tcPr>
          <w:p w14:paraId="687D1E35">
            <w:pPr>
              <w:pStyle w:val="1018"/>
              <w:kinsoku w:val="0"/>
              <w:overflowPunct w:val="0"/>
              <w:snapToGrid w:val="0"/>
              <w:spacing w:line="260" w:lineRule="exact"/>
              <w:jc w:val="center"/>
              <w:rPr>
                <w:sz w:val="21"/>
                <w:szCs w:val="21"/>
              </w:rPr>
            </w:pPr>
            <w:r>
              <w:rPr>
                <w:sz w:val="21"/>
                <w:szCs w:val="21"/>
              </w:rPr>
              <w:t>P4 □</w:t>
            </w:r>
          </w:p>
        </w:tc>
      </w:tr>
      <w:tr w14:paraId="26E16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728" w:type="pct"/>
            <w:gridSpan w:val="2"/>
            <w:vMerge w:val="restart"/>
            <w:vAlign w:val="center"/>
          </w:tcPr>
          <w:p w14:paraId="49780DE1">
            <w:pPr>
              <w:pStyle w:val="1018"/>
              <w:kinsoku w:val="0"/>
              <w:overflowPunct w:val="0"/>
              <w:snapToGrid w:val="0"/>
              <w:spacing w:line="260" w:lineRule="exact"/>
              <w:jc w:val="center"/>
              <w:rPr>
                <w:sz w:val="21"/>
                <w:szCs w:val="21"/>
              </w:rPr>
            </w:pPr>
            <w:r>
              <w:rPr>
                <w:sz w:val="21"/>
                <w:szCs w:val="21"/>
              </w:rPr>
              <w:t>环境敏感程度</w:t>
            </w:r>
          </w:p>
        </w:tc>
        <w:tc>
          <w:tcPr>
            <w:tcW w:w="914" w:type="pct"/>
            <w:vAlign w:val="center"/>
          </w:tcPr>
          <w:p w14:paraId="0669C6E2">
            <w:pPr>
              <w:pStyle w:val="1018"/>
              <w:kinsoku w:val="0"/>
              <w:overflowPunct w:val="0"/>
              <w:snapToGrid w:val="0"/>
              <w:spacing w:line="260" w:lineRule="exact"/>
              <w:jc w:val="center"/>
              <w:rPr>
                <w:sz w:val="21"/>
                <w:szCs w:val="21"/>
              </w:rPr>
            </w:pPr>
            <w:r>
              <w:rPr>
                <w:sz w:val="21"/>
                <w:szCs w:val="21"/>
              </w:rPr>
              <w:t>大气</w:t>
            </w:r>
          </w:p>
        </w:tc>
        <w:tc>
          <w:tcPr>
            <w:tcW w:w="990" w:type="pct"/>
            <w:gridSpan w:val="3"/>
            <w:vAlign w:val="center"/>
          </w:tcPr>
          <w:p w14:paraId="77640781">
            <w:pPr>
              <w:pStyle w:val="1018"/>
              <w:kinsoku w:val="0"/>
              <w:overflowPunct w:val="0"/>
              <w:snapToGrid w:val="0"/>
              <w:spacing w:line="260" w:lineRule="exact"/>
              <w:jc w:val="center"/>
              <w:rPr>
                <w:sz w:val="21"/>
                <w:szCs w:val="21"/>
              </w:rPr>
            </w:pPr>
            <w:r>
              <w:rPr>
                <w:sz w:val="21"/>
                <w:szCs w:val="21"/>
              </w:rPr>
              <w:t>E1□</w:t>
            </w:r>
          </w:p>
        </w:tc>
        <w:tc>
          <w:tcPr>
            <w:tcW w:w="906" w:type="pct"/>
            <w:gridSpan w:val="3"/>
            <w:vAlign w:val="center"/>
          </w:tcPr>
          <w:p w14:paraId="6B9FBECE">
            <w:pPr>
              <w:pStyle w:val="1018"/>
              <w:kinsoku w:val="0"/>
              <w:overflowPunct w:val="0"/>
              <w:snapToGrid w:val="0"/>
              <w:spacing w:line="260" w:lineRule="exact"/>
              <w:jc w:val="center"/>
              <w:rPr>
                <w:sz w:val="21"/>
                <w:szCs w:val="21"/>
              </w:rPr>
            </w:pPr>
            <w:r>
              <w:rPr>
                <w:sz w:val="21"/>
                <w:szCs w:val="21"/>
              </w:rPr>
              <w:t xml:space="preserve">E2 □ </w:t>
            </w:r>
          </w:p>
        </w:tc>
        <w:tc>
          <w:tcPr>
            <w:tcW w:w="1459" w:type="pct"/>
            <w:gridSpan w:val="3"/>
            <w:vAlign w:val="center"/>
          </w:tcPr>
          <w:p w14:paraId="10D10B3C">
            <w:pPr>
              <w:pStyle w:val="1018"/>
              <w:kinsoku w:val="0"/>
              <w:overflowPunct w:val="0"/>
              <w:snapToGrid w:val="0"/>
              <w:spacing w:line="260" w:lineRule="exact"/>
              <w:jc w:val="center"/>
              <w:rPr>
                <w:sz w:val="21"/>
                <w:szCs w:val="21"/>
              </w:rPr>
            </w:pPr>
            <w:r>
              <w:rPr>
                <w:sz w:val="21"/>
                <w:szCs w:val="21"/>
              </w:rPr>
              <w:t>E3 □</w:t>
            </w:r>
          </w:p>
        </w:tc>
      </w:tr>
      <w:tr w14:paraId="0C13D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728" w:type="pct"/>
            <w:gridSpan w:val="2"/>
            <w:vMerge w:val="continue"/>
            <w:vAlign w:val="center"/>
          </w:tcPr>
          <w:p w14:paraId="44730752">
            <w:pPr>
              <w:pStyle w:val="1018"/>
              <w:kinsoku w:val="0"/>
              <w:overflowPunct w:val="0"/>
              <w:snapToGrid w:val="0"/>
              <w:spacing w:line="260" w:lineRule="exact"/>
              <w:jc w:val="center"/>
              <w:rPr>
                <w:sz w:val="21"/>
                <w:szCs w:val="21"/>
              </w:rPr>
            </w:pPr>
          </w:p>
        </w:tc>
        <w:tc>
          <w:tcPr>
            <w:tcW w:w="914" w:type="pct"/>
            <w:vAlign w:val="center"/>
          </w:tcPr>
          <w:p w14:paraId="5609DBAD">
            <w:pPr>
              <w:pStyle w:val="1018"/>
              <w:kinsoku w:val="0"/>
              <w:overflowPunct w:val="0"/>
              <w:snapToGrid w:val="0"/>
              <w:spacing w:line="260" w:lineRule="exact"/>
              <w:jc w:val="center"/>
              <w:rPr>
                <w:sz w:val="21"/>
                <w:szCs w:val="21"/>
              </w:rPr>
            </w:pPr>
            <w:r>
              <w:rPr>
                <w:sz w:val="21"/>
                <w:szCs w:val="21"/>
              </w:rPr>
              <w:t>地表水</w:t>
            </w:r>
          </w:p>
        </w:tc>
        <w:tc>
          <w:tcPr>
            <w:tcW w:w="990" w:type="pct"/>
            <w:gridSpan w:val="3"/>
            <w:vAlign w:val="center"/>
          </w:tcPr>
          <w:p w14:paraId="1B1FA990">
            <w:pPr>
              <w:pStyle w:val="1018"/>
              <w:kinsoku w:val="0"/>
              <w:overflowPunct w:val="0"/>
              <w:snapToGrid w:val="0"/>
              <w:spacing w:line="260" w:lineRule="exact"/>
              <w:jc w:val="center"/>
              <w:rPr>
                <w:sz w:val="21"/>
                <w:szCs w:val="21"/>
              </w:rPr>
            </w:pPr>
            <w:r>
              <w:rPr>
                <w:sz w:val="21"/>
                <w:szCs w:val="21"/>
              </w:rPr>
              <w:t>E1 □</w:t>
            </w:r>
          </w:p>
        </w:tc>
        <w:tc>
          <w:tcPr>
            <w:tcW w:w="906" w:type="pct"/>
            <w:gridSpan w:val="3"/>
            <w:vAlign w:val="center"/>
          </w:tcPr>
          <w:p w14:paraId="603EE2F8">
            <w:pPr>
              <w:pStyle w:val="1018"/>
              <w:kinsoku w:val="0"/>
              <w:overflowPunct w:val="0"/>
              <w:snapToGrid w:val="0"/>
              <w:spacing w:line="260" w:lineRule="exact"/>
              <w:jc w:val="center"/>
              <w:rPr>
                <w:sz w:val="21"/>
                <w:szCs w:val="21"/>
              </w:rPr>
            </w:pPr>
            <w:r>
              <w:rPr>
                <w:sz w:val="21"/>
                <w:szCs w:val="21"/>
              </w:rPr>
              <w:t>E2 □</w:t>
            </w:r>
          </w:p>
        </w:tc>
        <w:tc>
          <w:tcPr>
            <w:tcW w:w="1459" w:type="pct"/>
            <w:gridSpan w:val="3"/>
            <w:vAlign w:val="center"/>
          </w:tcPr>
          <w:p w14:paraId="0A9BDE01">
            <w:pPr>
              <w:pStyle w:val="1018"/>
              <w:kinsoku w:val="0"/>
              <w:overflowPunct w:val="0"/>
              <w:snapToGrid w:val="0"/>
              <w:spacing w:line="260" w:lineRule="exact"/>
              <w:jc w:val="center"/>
              <w:rPr>
                <w:sz w:val="21"/>
                <w:szCs w:val="21"/>
              </w:rPr>
            </w:pPr>
            <w:r>
              <w:rPr>
                <w:sz w:val="21"/>
                <w:szCs w:val="21"/>
              </w:rPr>
              <w:t>E3 □</w:t>
            </w:r>
          </w:p>
        </w:tc>
      </w:tr>
      <w:tr w14:paraId="337ED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728" w:type="pct"/>
            <w:gridSpan w:val="2"/>
            <w:vMerge w:val="continue"/>
            <w:vAlign w:val="center"/>
          </w:tcPr>
          <w:p w14:paraId="599672EE">
            <w:pPr>
              <w:pStyle w:val="1018"/>
              <w:kinsoku w:val="0"/>
              <w:overflowPunct w:val="0"/>
              <w:snapToGrid w:val="0"/>
              <w:spacing w:line="260" w:lineRule="exact"/>
              <w:jc w:val="center"/>
              <w:rPr>
                <w:sz w:val="21"/>
                <w:szCs w:val="21"/>
              </w:rPr>
            </w:pPr>
          </w:p>
        </w:tc>
        <w:tc>
          <w:tcPr>
            <w:tcW w:w="914" w:type="pct"/>
            <w:vAlign w:val="center"/>
          </w:tcPr>
          <w:p w14:paraId="6113B227">
            <w:pPr>
              <w:pStyle w:val="1018"/>
              <w:kinsoku w:val="0"/>
              <w:overflowPunct w:val="0"/>
              <w:snapToGrid w:val="0"/>
              <w:spacing w:line="260" w:lineRule="exact"/>
              <w:jc w:val="center"/>
              <w:rPr>
                <w:sz w:val="21"/>
                <w:szCs w:val="21"/>
              </w:rPr>
            </w:pPr>
            <w:r>
              <w:rPr>
                <w:sz w:val="21"/>
                <w:szCs w:val="21"/>
              </w:rPr>
              <w:t>地下水</w:t>
            </w:r>
          </w:p>
        </w:tc>
        <w:tc>
          <w:tcPr>
            <w:tcW w:w="990" w:type="pct"/>
            <w:gridSpan w:val="3"/>
            <w:vAlign w:val="center"/>
          </w:tcPr>
          <w:p w14:paraId="25CCC5FF">
            <w:pPr>
              <w:pStyle w:val="1018"/>
              <w:kinsoku w:val="0"/>
              <w:overflowPunct w:val="0"/>
              <w:snapToGrid w:val="0"/>
              <w:spacing w:line="260" w:lineRule="exact"/>
              <w:jc w:val="center"/>
              <w:rPr>
                <w:sz w:val="21"/>
                <w:szCs w:val="21"/>
              </w:rPr>
            </w:pPr>
            <w:r>
              <w:rPr>
                <w:sz w:val="21"/>
                <w:szCs w:val="21"/>
              </w:rPr>
              <w:t>E1 □</w:t>
            </w:r>
          </w:p>
        </w:tc>
        <w:tc>
          <w:tcPr>
            <w:tcW w:w="906" w:type="pct"/>
            <w:gridSpan w:val="3"/>
            <w:vAlign w:val="center"/>
          </w:tcPr>
          <w:p w14:paraId="6CF8652C">
            <w:pPr>
              <w:pStyle w:val="1018"/>
              <w:kinsoku w:val="0"/>
              <w:overflowPunct w:val="0"/>
              <w:snapToGrid w:val="0"/>
              <w:spacing w:line="260" w:lineRule="exact"/>
              <w:jc w:val="center"/>
              <w:rPr>
                <w:sz w:val="21"/>
                <w:szCs w:val="21"/>
              </w:rPr>
            </w:pPr>
            <w:r>
              <w:rPr>
                <w:sz w:val="21"/>
                <w:szCs w:val="21"/>
              </w:rPr>
              <w:t>E2 □</w:t>
            </w:r>
          </w:p>
        </w:tc>
        <w:tc>
          <w:tcPr>
            <w:tcW w:w="1459" w:type="pct"/>
            <w:gridSpan w:val="3"/>
            <w:vAlign w:val="center"/>
          </w:tcPr>
          <w:p w14:paraId="2F3F9E84">
            <w:pPr>
              <w:pStyle w:val="1018"/>
              <w:kinsoku w:val="0"/>
              <w:overflowPunct w:val="0"/>
              <w:snapToGrid w:val="0"/>
              <w:spacing w:line="260" w:lineRule="exact"/>
              <w:jc w:val="center"/>
              <w:rPr>
                <w:sz w:val="21"/>
                <w:szCs w:val="21"/>
              </w:rPr>
            </w:pPr>
            <w:r>
              <w:rPr>
                <w:sz w:val="21"/>
                <w:szCs w:val="21"/>
              </w:rPr>
              <w:t>E3 □</w:t>
            </w:r>
          </w:p>
        </w:tc>
      </w:tr>
      <w:tr w14:paraId="59855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728" w:type="pct"/>
            <w:gridSpan w:val="2"/>
            <w:vAlign w:val="center"/>
          </w:tcPr>
          <w:p w14:paraId="7E39BA76">
            <w:pPr>
              <w:pStyle w:val="1018"/>
              <w:kinsoku w:val="0"/>
              <w:overflowPunct w:val="0"/>
              <w:snapToGrid w:val="0"/>
              <w:spacing w:line="260" w:lineRule="exact"/>
              <w:jc w:val="center"/>
              <w:rPr>
                <w:sz w:val="21"/>
                <w:szCs w:val="21"/>
              </w:rPr>
            </w:pPr>
            <w:r>
              <w:rPr>
                <w:sz w:val="21"/>
                <w:szCs w:val="21"/>
              </w:rPr>
              <w:t>环境风险潜势</w:t>
            </w:r>
          </w:p>
        </w:tc>
        <w:tc>
          <w:tcPr>
            <w:tcW w:w="1076" w:type="pct"/>
            <w:gridSpan w:val="2"/>
            <w:vAlign w:val="center"/>
          </w:tcPr>
          <w:p w14:paraId="7EDE259F">
            <w:pPr>
              <w:pStyle w:val="1018"/>
              <w:kinsoku w:val="0"/>
              <w:overflowPunct w:val="0"/>
              <w:snapToGrid w:val="0"/>
              <w:spacing w:line="260" w:lineRule="exact"/>
              <w:jc w:val="center"/>
              <w:rPr>
                <w:sz w:val="21"/>
                <w:szCs w:val="21"/>
              </w:rPr>
            </w:pPr>
            <w:r>
              <w:rPr>
                <w:sz w:val="21"/>
                <w:szCs w:val="21"/>
              </w:rPr>
              <w:t>Ⅳ</w:t>
            </w:r>
            <w:r>
              <w:rPr>
                <w:position w:val="8"/>
                <w:sz w:val="21"/>
                <w:szCs w:val="21"/>
              </w:rPr>
              <w:t xml:space="preserve">+ </w:t>
            </w:r>
            <w:r>
              <w:rPr>
                <w:sz w:val="21"/>
                <w:szCs w:val="21"/>
              </w:rPr>
              <w:t>□</w:t>
            </w:r>
          </w:p>
        </w:tc>
        <w:tc>
          <w:tcPr>
            <w:tcW w:w="828" w:type="pct"/>
            <w:gridSpan w:val="2"/>
            <w:vAlign w:val="center"/>
          </w:tcPr>
          <w:p w14:paraId="5024DC84">
            <w:pPr>
              <w:pStyle w:val="1018"/>
              <w:kinsoku w:val="0"/>
              <w:overflowPunct w:val="0"/>
              <w:snapToGrid w:val="0"/>
              <w:spacing w:line="260" w:lineRule="exact"/>
              <w:jc w:val="center"/>
              <w:rPr>
                <w:sz w:val="21"/>
                <w:szCs w:val="21"/>
              </w:rPr>
            </w:pPr>
            <w:r>
              <w:rPr>
                <w:sz w:val="21"/>
                <w:szCs w:val="21"/>
              </w:rPr>
              <w:t>Ⅳ□</w:t>
            </w:r>
          </w:p>
        </w:tc>
        <w:tc>
          <w:tcPr>
            <w:tcW w:w="754" w:type="pct"/>
            <w:gridSpan w:val="2"/>
            <w:vAlign w:val="center"/>
          </w:tcPr>
          <w:p w14:paraId="6A21EC91">
            <w:pPr>
              <w:pStyle w:val="1018"/>
              <w:kinsoku w:val="0"/>
              <w:overflowPunct w:val="0"/>
              <w:snapToGrid w:val="0"/>
              <w:spacing w:line="260" w:lineRule="exact"/>
              <w:jc w:val="center"/>
              <w:rPr>
                <w:sz w:val="21"/>
                <w:szCs w:val="21"/>
              </w:rPr>
            </w:pPr>
            <w:r>
              <w:rPr>
                <w:sz w:val="21"/>
                <w:szCs w:val="21"/>
              </w:rPr>
              <w:t>Ⅲ□</w:t>
            </w:r>
          </w:p>
        </w:tc>
        <w:tc>
          <w:tcPr>
            <w:tcW w:w="734" w:type="pct"/>
            <w:gridSpan w:val="3"/>
            <w:vAlign w:val="center"/>
          </w:tcPr>
          <w:p w14:paraId="5DD9B15B">
            <w:pPr>
              <w:pStyle w:val="1018"/>
              <w:kinsoku w:val="0"/>
              <w:overflowPunct w:val="0"/>
              <w:snapToGrid w:val="0"/>
              <w:spacing w:line="260" w:lineRule="exact"/>
              <w:jc w:val="center"/>
              <w:rPr>
                <w:sz w:val="21"/>
                <w:szCs w:val="21"/>
              </w:rPr>
            </w:pPr>
            <w:r>
              <w:rPr>
                <w:sz w:val="21"/>
                <w:szCs w:val="21"/>
              </w:rPr>
              <w:t>Ⅱ□</w:t>
            </w:r>
          </w:p>
        </w:tc>
        <w:tc>
          <w:tcPr>
            <w:tcW w:w="877" w:type="pct"/>
            <w:vAlign w:val="center"/>
          </w:tcPr>
          <w:p w14:paraId="17E95BBF">
            <w:pPr>
              <w:pStyle w:val="1018"/>
              <w:kinsoku w:val="0"/>
              <w:overflowPunct w:val="0"/>
              <w:snapToGrid w:val="0"/>
              <w:spacing w:line="260" w:lineRule="exact"/>
              <w:jc w:val="center"/>
              <w:rPr>
                <w:sz w:val="21"/>
                <w:szCs w:val="21"/>
              </w:rPr>
            </w:pPr>
            <w:r>
              <w:rPr>
                <w:sz w:val="21"/>
                <w:szCs w:val="21"/>
              </w:rPr>
              <w:t xml:space="preserve">I </w:t>
            </w:r>
            <w:r>
              <w:rPr>
                <w:bCs/>
                <w:szCs w:val="21"/>
              </w:rPr>
              <w:sym w:font="Wingdings 2" w:char="F052"/>
            </w:r>
          </w:p>
        </w:tc>
      </w:tr>
      <w:tr w14:paraId="7F6FC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728" w:type="pct"/>
            <w:gridSpan w:val="2"/>
            <w:vAlign w:val="center"/>
          </w:tcPr>
          <w:p w14:paraId="686DD401">
            <w:pPr>
              <w:pStyle w:val="1018"/>
              <w:kinsoku w:val="0"/>
              <w:overflowPunct w:val="0"/>
              <w:snapToGrid w:val="0"/>
              <w:spacing w:line="260" w:lineRule="exact"/>
              <w:jc w:val="center"/>
              <w:rPr>
                <w:sz w:val="21"/>
                <w:szCs w:val="21"/>
              </w:rPr>
            </w:pPr>
            <w:r>
              <w:rPr>
                <w:sz w:val="21"/>
                <w:szCs w:val="21"/>
              </w:rPr>
              <w:t>评价等级</w:t>
            </w:r>
          </w:p>
        </w:tc>
        <w:tc>
          <w:tcPr>
            <w:tcW w:w="1258" w:type="pct"/>
            <w:gridSpan w:val="3"/>
            <w:vAlign w:val="center"/>
          </w:tcPr>
          <w:p w14:paraId="7BCCB9C9">
            <w:pPr>
              <w:pStyle w:val="1018"/>
              <w:kinsoku w:val="0"/>
              <w:overflowPunct w:val="0"/>
              <w:snapToGrid w:val="0"/>
              <w:spacing w:line="260" w:lineRule="exact"/>
              <w:jc w:val="center"/>
              <w:rPr>
                <w:sz w:val="21"/>
                <w:szCs w:val="21"/>
              </w:rPr>
            </w:pPr>
            <w:r>
              <w:rPr>
                <w:sz w:val="21"/>
                <w:szCs w:val="21"/>
              </w:rPr>
              <w:t>一级□</w:t>
            </w:r>
          </w:p>
        </w:tc>
        <w:tc>
          <w:tcPr>
            <w:tcW w:w="1005" w:type="pct"/>
            <w:gridSpan w:val="2"/>
            <w:vAlign w:val="center"/>
          </w:tcPr>
          <w:p w14:paraId="488B34A3">
            <w:pPr>
              <w:pStyle w:val="1018"/>
              <w:kinsoku w:val="0"/>
              <w:overflowPunct w:val="0"/>
              <w:snapToGrid w:val="0"/>
              <w:spacing w:line="260" w:lineRule="exact"/>
              <w:jc w:val="center"/>
              <w:rPr>
                <w:sz w:val="21"/>
                <w:szCs w:val="21"/>
              </w:rPr>
            </w:pPr>
            <w:r>
              <w:rPr>
                <w:sz w:val="21"/>
                <w:szCs w:val="21"/>
              </w:rPr>
              <w:t>二级□</w:t>
            </w:r>
          </w:p>
        </w:tc>
        <w:tc>
          <w:tcPr>
            <w:tcW w:w="1005" w:type="pct"/>
            <w:gridSpan w:val="3"/>
            <w:vAlign w:val="center"/>
          </w:tcPr>
          <w:p w14:paraId="1AC3B6E9">
            <w:pPr>
              <w:pStyle w:val="1018"/>
              <w:kinsoku w:val="0"/>
              <w:overflowPunct w:val="0"/>
              <w:snapToGrid w:val="0"/>
              <w:spacing w:line="260" w:lineRule="exact"/>
              <w:jc w:val="center"/>
              <w:rPr>
                <w:sz w:val="21"/>
                <w:szCs w:val="21"/>
              </w:rPr>
            </w:pPr>
            <w:r>
              <w:rPr>
                <w:sz w:val="21"/>
                <w:szCs w:val="21"/>
              </w:rPr>
              <w:t>三级□</w:t>
            </w:r>
          </w:p>
        </w:tc>
        <w:tc>
          <w:tcPr>
            <w:tcW w:w="1002" w:type="pct"/>
            <w:gridSpan w:val="2"/>
            <w:vAlign w:val="center"/>
          </w:tcPr>
          <w:p w14:paraId="35B222DC">
            <w:pPr>
              <w:pStyle w:val="1018"/>
              <w:kinsoku w:val="0"/>
              <w:overflowPunct w:val="0"/>
              <w:snapToGrid w:val="0"/>
              <w:spacing w:line="260" w:lineRule="exact"/>
              <w:jc w:val="center"/>
              <w:rPr>
                <w:sz w:val="21"/>
                <w:szCs w:val="21"/>
              </w:rPr>
            </w:pPr>
            <w:r>
              <w:rPr>
                <w:sz w:val="21"/>
                <w:szCs w:val="21"/>
              </w:rPr>
              <w:t>简单分析</w:t>
            </w:r>
            <w:r>
              <w:rPr>
                <w:bCs/>
                <w:szCs w:val="21"/>
              </w:rPr>
              <w:sym w:font="Wingdings 2" w:char="F052"/>
            </w:r>
          </w:p>
        </w:tc>
      </w:tr>
      <w:tr w14:paraId="33928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restart"/>
            <w:vAlign w:val="center"/>
          </w:tcPr>
          <w:p w14:paraId="4D544204">
            <w:pPr>
              <w:pStyle w:val="1018"/>
              <w:kinsoku w:val="0"/>
              <w:overflowPunct w:val="0"/>
              <w:snapToGrid w:val="0"/>
              <w:spacing w:line="260" w:lineRule="exact"/>
              <w:jc w:val="center"/>
              <w:rPr>
                <w:sz w:val="21"/>
                <w:szCs w:val="21"/>
              </w:rPr>
            </w:pPr>
            <w:r>
              <w:rPr>
                <w:sz w:val="21"/>
                <w:szCs w:val="21"/>
              </w:rPr>
              <w:t>风险识别</w:t>
            </w:r>
          </w:p>
        </w:tc>
        <w:tc>
          <w:tcPr>
            <w:tcW w:w="487" w:type="pct"/>
            <w:vAlign w:val="center"/>
          </w:tcPr>
          <w:p w14:paraId="5340CED9">
            <w:pPr>
              <w:pStyle w:val="1018"/>
              <w:kinsoku w:val="0"/>
              <w:overflowPunct w:val="0"/>
              <w:snapToGrid w:val="0"/>
              <w:spacing w:line="260" w:lineRule="exact"/>
              <w:jc w:val="center"/>
              <w:rPr>
                <w:sz w:val="21"/>
                <w:szCs w:val="21"/>
              </w:rPr>
            </w:pPr>
            <w:r>
              <w:rPr>
                <w:sz w:val="21"/>
                <w:szCs w:val="21"/>
              </w:rPr>
              <w:t>物质危险性</w:t>
            </w:r>
          </w:p>
        </w:tc>
        <w:tc>
          <w:tcPr>
            <w:tcW w:w="2263" w:type="pct"/>
            <w:gridSpan w:val="5"/>
            <w:vAlign w:val="center"/>
          </w:tcPr>
          <w:p w14:paraId="449807AE">
            <w:pPr>
              <w:pStyle w:val="1018"/>
              <w:kinsoku w:val="0"/>
              <w:overflowPunct w:val="0"/>
              <w:snapToGrid w:val="0"/>
              <w:spacing w:line="260" w:lineRule="exact"/>
              <w:jc w:val="center"/>
              <w:rPr>
                <w:sz w:val="21"/>
                <w:szCs w:val="21"/>
              </w:rPr>
            </w:pPr>
            <w:r>
              <w:rPr>
                <w:sz w:val="21"/>
                <w:szCs w:val="21"/>
              </w:rPr>
              <w:t>有毒有害</w:t>
            </w:r>
            <w:r>
              <w:rPr>
                <w:bCs/>
                <w:szCs w:val="21"/>
              </w:rPr>
              <w:sym w:font="Wingdings 2" w:char="F052"/>
            </w:r>
          </w:p>
        </w:tc>
        <w:tc>
          <w:tcPr>
            <w:tcW w:w="2007" w:type="pct"/>
            <w:gridSpan w:val="5"/>
            <w:vAlign w:val="center"/>
          </w:tcPr>
          <w:p w14:paraId="1F187A92">
            <w:pPr>
              <w:pStyle w:val="1018"/>
              <w:kinsoku w:val="0"/>
              <w:overflowPunct w:val="0"/>
              <w:snapToGrid w:val="0"/>
              <w:spacing w:line="260" w:lineRule="exact"/>
              <w:jc w:val="center"/>
              <w:rPr>
                <w:sz w:val="21"/>
                <w:szCs w:val="21"/>
              </w:rPr>
            </w:pPr>
            <w:r>
              <w:rPr>
                <w:sz w:val="21"/>
                <w:szCs w:val="21"/>
              </w:rPr>
              <w:t>易燃易爆</w:t>
            </w:r>
            <w:r>
              <w:rPr>
                <w:bCs/>
                <w:szCs w:val="21"/>
              </w:rPr>
              <w:sym w:font="Wingdings 2" w:char="F052"/>
            </w:r>
          </w:p>
        </w:tc>
      </w:tr>
      <w:tr w14:paraId="30260053">
        <w:tblPrEx>
          <w:tblCellMar>
            <w:top w:w="0" w:type="dxa"/>
            <w:left w:w="0" w:type="dxa"/>
            <w:bottom w:w="0" w:type="dxa"/>
            <w:right w:w="0" w:type="dxa"/>
          </w:tblCellMar>
        </w:tblPrEx>
        <w:trPr>
          <w:trHeight w:val="283" w:hRule="atLeast"/>
          <w:jc w:val="center"/>
        </w:trPr>
        <w:tc>
          <w:tcPr>
            <w:tcW w:w="240" w:type="pct"/>
            <w:vMerge w:val="continue"/>
            <w:vAlign w:val="center"/>
          </w:tcPr>
          <w:p w14:paraId="162D07CA">
            <w:pPr>
              <w:pStyle w:val="1018"/>
              <w:kinsoku w:val="0"/>
              <w:overflowPunct w:val="0"/>
              <w:snapToGrid w:val="0"/>
              <w:spacing w:line="260" w:lineRule="exact"/>
              <w:jc w:val="center"/>
              <w:rPr>
                <w:sz w:val="21"/>
                <w:szCs w:val="21"/>
              </w:rPr>
            </w:pPr>
          </w:p>
        </w:tc>
        <w:tc>
          <w:tcPr>
            <w:tcW w:w="487" w:type="pct"/>
            <w:vAlign w:val="center"/>
          </w:tcPr>
          <w:p w14:paraId="5B192257">
            <w:pPr>
              <w:pStyle w:val="1018"/>
              <w:kinsoku w:val="0"/>
              <w:overflowPunct w:val="0"/>
              <w:snapToGrid w:val="0"/>
              <w:spacing w:line="260" w:lineRule="exact"/>
              <w:jc w:val="center"/>
              <w:rPr>
                <w:sz w:val="21"/>
                <w:szCs w:val="21"/>
              </w:rPr>
            </w:pPr>
            <w:r>
              <w:rPr>
                <w:sz w:val="21"/>
                <w:szCs w:val="21"/>
              </w:rPr>
              <w:t>环境风险类型</w:t>
            </w:r>
          </w:p>
        </w:tc>
        <w:tc>
          <w:tcPr>
            <w:tcW w:w="1905" w:type="pct"/>
            <w:gridSpan w:val="4"/>
            <w:vAlign w:val="center"/>
          </w:tcPr>
          <w:p w14:paraId="28B6DDB8">
            <w:pPr>
              <w:pStyle w:val="1018"/>
              <w:kinsoku w:val="0"/>
              <w:overflowPunct w:val="0"/>
              <w:snapToGrid w:val="0"/>
              <w:spacing w:line="260" w:lineRule="exact"/>
              <w:jc w:val="center"/>
              <w:rPr>
                <w:sz w:val="21"/>
                <w:szCs w:val="21"/>
              </w:rPr>
            </w:pPr>
            <w:r>
              <w:rPr>
                <w:sz w:val="21"/>
                <w:szCs w:val="21"/>
              </w:rPr>
              <w:t>泄漏</w:t>
            </w:r>
            <w:r>
              <w:rPr>
                <w:bCs/>
                <w:szCs w:val="21"/>
              </w:rPr>
              <w:sym w:font="Wingdings 2" w:char="F052"/>
            </w:r>
          </w:p>
        </w:tc>
        <w:tc>
          <w:tcPr>
            <w:tcW w:w="2365" w:type="pct"/>
            <w:gridSpan w:val="6"/>
            <w:vAlign w:val="center"/>
          </w:tcPr>
          <w:p w14:paraId="08BE9FF4">
            <w:pPr>
              <w:pStyle w:val="1018"/>
              <w:kinsoku w:val="0"/>
              <w:overflowPunct w:val="0"/>
              <w:snapToGrid w:val="0"/>
              <w:spacing w:line="260" w:lineRule="exact"/>
              <w:jc w:val="center"/>
              <w:rPr>
                <w:sz w:val="21"/>
                <w:szCs w:val="21"/>
              </w:rPr>
            </w:pPr>
            <w:r>
              <w:rPr>
                <w:sz w:val="21"/>
                <w:szCs w:val="21"/>
              </w:rPr>
              <w:t>火灾、爆炸引发伴生/次生污染物排放</w:t>
            </w:r>
            <w:r>
              <w:rPr>
                <w:bCs/>
                <w:szCs w:val="21"/>
              </w:rPr>
              <w:sym w:font="Wingdings 2" w:char="F052"/>
            </w:r>
          </w:p>
        </w:tc>
      </w:tr>
      <w:tr w14:paraId="14F8A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continue"/>
            <w:vAlign w:val="center"/>
          </w:tcPr>
          <w:p w14:paraId="1DBA103E">
            <w:pPr>
              <w:pStyle w:val="1018"/>
              <w:kinsoku w:val="0"/>
              <w:overflowPunct w:val="0"/>
              <w:snapToGrid w:val="0"/>
              <w:spacing w:line="260" w:lineRule="exact"/>
              <w:jc w:val="center"/>
              <w:rPr>
                <w:sz w:val="21"/>
                <w:szCs w:val="21"/>
              </w:rPr>
            </w:pPr>
          </w:p>
        </w:tc>
        <w:tc>
          <w:tcPr>
            <w:tcW w:w="487" w:type="pct"/>
            <w:vAlign w:val="center"/>
          </w:tcPr>
          <w:p w14:paraId="6A218EAB">
            <w:pPr>
              <w:pStyle w:val="1018"/>
              <w:kinsoku w:val="0"/>
              <w:overflowPunct w:val="0"/>
              <w:snapToGrid w:val="0"/>
              <w:spacing w:line="260" w:lineRule="exact"/>
              <w:jc w:val="center"/>
              <w:rPr>
                <w:sz w:val="21"/>
                <w:szCs w:val="21"/>
              </w:rPr>
            </w:pPr>
            <w:r>
              <w:rPr>
                <w:sz w:val="21"/>
                <w:szCs w:val="21"/>
              </w:rPr>
              <w:t>影响途径</w:t>
            </w:r>
          </w:p>
        </w:tc>
        <w:tc>
          <w:tcPr>
            <w:tcW w:w="1905" w:type="pct"/>
            <w:gridSpan w:val="4"/>
            <w:vAlign w:val="center"/>
          </w:tcPr>
          <w:p w14:paraId="5C8BE80D">
            <w:pPr>
              <w:pStyle w:val="1018"/>
              <w:kinsoku w:val="0"/>
              <w:overflowPunct w:val="0"/>
              <w:snapToGrid w:val="0"/>
              <w:spacing w:line="260" w:lineRule="exact"/>
              <w:jc w:val="center"/>
              <w:rPr>
                <w:sz w:val="21"/>
                <w:szCs w:val="21"/>
              </w:rPr>
            </w:pPr>
            <w:r>
              <w:rPr>
                <w:sz w:val="21"/>
                <w:szCs w:val="21"/>
              </w:rPr>
              <w:t>大气</w:t>
            </w:r>
            <w:r>
              <w:rPr>
                <w:bCs/>
                <w:szCs w:val="21"/>
              </w:rPr>
              <w:sym w:font="Wingdings 2" w:char="F052"/>
            </w:r>
          </w:p>
        </w:tc>
        <w:tc>
          <w:tcPr>
            <w:tcW w:w="906" w:type="pct"/>
            <w:gridSpan w:val="3"/>
            <w:vAlign w:val="center"/>
          </w:tcPr>
          <w:p w14:paraId="26734346">
            <w:pPr>
              <w:pStyle w:val="1018"/>
              <w:kinsoku w:val="0"/>
              <w:overflowPunct w:val="0"/>
              <w:snapToGrid w:val="0"/>
              <w:spacing w:line="260" w:lineRule="exact"/>
              <w:jc w:val="center"/>
              <w:rPr>
                <w:sz w:val="21"/>
                <w:szCs w:val="21"/>
              </w:rPr>
            </w:pPr>
            <w:r>
              <w:rPr>
                <w:sz w:val="21"/>
                <w:szCs w:val="21"/>
              </w:rPr>
              <w:t>地表水□</w:t>
            </w:r>
          </w:p>
        </w:tc>
        <w:tc>
          <w:tcPr>
            <w:tcW w:w="1459" w:type="pct"/>
            <w:gridSpan w:val="3"/>
            <w:vAlign w:val="center"/>
          </w:tcPr>
          <w:p w14:paraId="4F21794C">
            <w:pPr>
              <w:pStyle w:val="1018"/>
              <w:kinsoku w:val="0"/>
              <w:overflowPunct w:val="0"/>
              <w:snapToGrid w:val="0"/>
              <w:spacing w:line="260" w:lineRule="exact"/>
              <w:jc w:val="center"/>
              <w:rPr>
                <w:sz w:val="21"/>
                <w:szCs w:val="21"/>
              </w:rPr>
            </w:pPr>
            <w:r>
              <w:rPr>
                <w:sz w:val="21"/>
                <w:szCs w:val="21"/>
              </w:rPr>
              <w:t>地下水□</w:t>
            </w:r>
          </w:p>
        </w:tc>
      </w:tr>
      <w:tr w14:paraId="1B34C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728" w:type="pct"/>
            <w:gridSpan w:val="2"/>
            <w:vAlign w:val="center"/>
          </w:tcPr>
          <w:p w14:paraId="55373E18">
            <w:pPr>
              <w:pStyle w:val="1018"/>
              <w:kinsoku w:val="0"/>
              <w:overflowPunct w:val="0"/>
              <w:snapToGrid w:val="0"/>
              <w:spacing w:line="260" w:lineRule="exact"/>
              <w:jc w:val="center"/>
              <w:rPr>
                <w:sz w:val="21"/>
                <w:szCs w:val="21"/>
              </w:rPr>
            </w:pPr>
            <w:r>
              <w:rPr>
                <w:sz w:val="21"/>
                <w:szCs w:val="21"/>
              </w:rPr>
              <w:t>事故情形分析</w:t>
            </w:r>
          </w:p>
        </w:tc>
        <w:tc>
          <w:tcPr>
            <w:tcW w:w="1076" w:type="pct"/>
            <w:gridSpan w:val="2"/>
            <w:vAlign w:val="center"/>
          </w:tcPr>
          <w:p w14:paraId="7E750B00">
            <w:pPr>
              <w:pStyle w:val="1018"/>
              <w:kinsoku w:val="0"/>
              <w:overflowPunct w:val="0"/>
              <w:snapToGrid w:val="0"/>
              <w:spacing w:line="260" w:lineRule="exact"/>
              <w:jc w:val="center"/>
              <w:rPr>
                <w:sz w:val="21"/>
                <w:szCs w:val="21"/>
              </w:rPr>
            </w:pPr>
            <w:r>
              <w:rPr>
                <w:sz w:val="21"/>
                <w:szCs w:val="21"/>
              </w:rPr>
              <w:t>源强设定方法</w:t>
            </w:r>
          </w:p>
        </w:tc>
        <w:tc>
          <w:tcPr>
            <w:tcW w:w="828" w:type="pct"/>
            <w:gridSpan w:val="2"/>
            <w:vAlign w:val="center"/>
          </w:tcPr>
          <w:p w14:paraId="71EAA898">
            <w:pPr>
              <w:pStyle w:val="1018"/>
              <w:kinsoku w:val="0"/>
              <w:overflowPunct w:val="0"/>
              <w:snapToGrid w:val="0"/>
              <w:spacing w:line="260" w:lineRule="exact"/>
              <w:jc w:val="center"/>
              <w:rPr>
                <w:sz w:val="21"/>
                <w:szCs w:val="21"/>
              </w:rPr>
            </w:pPr>
            <w:r>
              <w:rPr>
                <w:sz w:val="21"/>
                <w:szCs w:val="21"/>
              </w:rPr>
              <w:t>计算法□</w:t>
            </w:r>
          </w:p>
        </w:tc>
        <w:tc>
          <w:tcPr>
            <w:tcW w:w="906" w:type="pct"/>
            <w:gridSpan w:val="3"/>
            <w:vAlign w:val="center"/>
          </w:tcPr>
          <w:p w14:paraId="16627B5A">
            <w:pPr>
              <w:pStyle w:val="1018"/>
              <w:kinsoku w:val="0"/>
              <w:overflowPunct w:val="0"/>
              <w:snapToGrid w:val="0"/>
              <w:spacing w:line="260" w:lineRule="exact"/>
              <w:jc w:val="center"/>
              <w:rPr>
                <w:sz w:val="21"/>
                <w:szCs w:val="21"/>
              </w:rPr>
            </w:pPr>
            <w:r>
              <w:rPr>
                <w:sz w:val="21"/>
                <w:szCs w:val="21"/>
              </w:rPr>
              <w:t>经验估算法□</w:t>
            </w:r>
          </w:p>
        </w:tc>
        <w:tc>
          <w:tcPr>
            <w:tcW w:w="1459" w:type="pct"/>
            <w:gridSpan w:val="3"/>
            <w:vAlign w:val="center"/>
          </w:tcPr>
          <w:p w14:paraId="50B124E9">
            <w:pPr>
              <w:pStyle w:val="1018"/>
              <w:kinsoku w:val="0"/>
              <w:overflowPunct w:val="0"/>
              <w:snapToGrid w:val="0"/>
              <w:spacing w:line="260" w:lineRule="exact"/>
              <w:jc w:val="center"/>
              <w:rPr>
                <w:sz w:val="21"/>
                <w:szCs w:val="21"/>
              </w:rPr>
            </w:pPr>
            <w:r>
              <w:rPr>
                <w:sz w:val="21"/>
                <w:szCs w:val="21"/>
              </w:rPr>
              <w:t>其他估算法□</w:t>
            </w:r>
          </w:p>
        </w:tc>
      </w:tr>
      <w:tr w14:paraId="0C960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restart"/>
            <w:vAlign w:val="center"/>
          </w:tcPr>
          <w:p w14:paraId="5B1EEDD4">
            <w:pPr>
              <w:pStyle w:val="1018"/>
              <w:kinsoku w:val="0"/>
              <w:overflowPunct w:val="0"/>
              <w:snapToGrid w:val="0"/>
              <w:spacing w:line="260" w:lineRule="exact"/>
              <w:jc w:val="center"/>
              <w:rPr>
                <w:sz w:val="21"/>
                <w:szCs w:val="21"/>
              </w:rPr>
            </w:pPr>
            <w:r>
              <w:rPr>
                <w:sz w:val="21"/>
                <w:szCs w:val="21"/>
              </w:rPr>
              <w:t>风险预测与评价</w:t>
            </w:r>
          </w:p>
        </w:tc>
        <w:tc>
          <w:tcPr>
            <w:tcW w:w="487" w:type="pct"/>
            <w:vMerge w:val="restart"/>
            <w:vAlign w:val="center"/>
          </w:tcPr>
          <w:p w14:paraId="5169FE8E">
            <w:pPr>
              <w:pStyle w:val="1018"/>
              <w:kinsoku w:val="0"/>
              <w:overflowPunct w:val="0"/>
              <w:snapToGrid w:val="0"/>
              <w:spacing w:line="260" w:lineRule="exact"/>
              <w:jc w:val="center"/>
              <w:rPr>
                <w:sz w:val="21"/>
                <w:szCs w:val="21"/>
              </w:rPr>
            </w:pPr>
            <w:r>
              <w:rPr>
                <w:sz w:val="21"/>
                <w:szCs w:val="21"/>
              </w:rPr>
              <w:t>大气</w:t>
            </w:r>
          </w:p>
        </w:tc>
        <w:tc>
          <w:tcPr>
            <w:tcW w:w="1076" w:type="pct"/>
            <w:gridSpan w:val="2"/>
            <w:vAlign w:val="center"/>
          </w:tcPr>
          <w:p w14:paraId="7572B425">
            <w:pPr>
              <w:pStyle w:val="1018"/>
              <w:kinsoku w:val="0"/>
              <w:overflowPunct w:val="0"/>
              <w:snapToGrid w:val="0"/>
              <w:spacing w:line="260" w:lineRule="exact"/>
              <w:jc w:val="center"/>
              <w:rPr>
                <w:sz w:val="21"/>
                <w:szCs w:val="21"/>
              </w:rPr>
            </w:pPr>
            <w:r>
              <w:rPr>
                <w:sz w:val="21"/>
                <w:szCs w:val="21"/>
              </w:rPr>
              <w:t>预测模型</w:t>
            </w:r>
          </w:p>
        </w:tc>
        <w:tc>
          <w:tcPr>
            <w:tcW w:w="828" w:type="pct"/>
            <w:gridSpan w:val="2"/>
            <w:vAlign w:val="center"/>
          </w:tcPr>
          <w:p w14:paraId="202900B9">
            <w:pPr>
              <w:pStyle w:val="1018"/>
              <w:kinsoku w:val="0"/>
              <w:overflowPunct w:val="0"/>
              <w:snapToGrid w:val="0"/>
              <w:spacing w:line="260" w:lineRule="exact"/>
              <w:jc w:val="center"/>
              <w:rPr>
                <w:sz w:val="21"/>
                <w:szCs w:val="21"/>
              </w:rPr>
            </w:pPr>
            <w:r>
              <w:rPr>
                <w:sz w:val="21"/>
                <w:szCs w:val="21"/>
              </w:rPr>
              <w:t>SLAB □</w:t>
            </w:r>
          </w:p>
        </w:tc>
        <w:tc>
          <w:tcPr>
            <w:tcW w:w="906" w:type="pct"/>
            <w:gridSpan w:val="3"/>
            <w:vAlign w:val="center"/>
          </w:tcPr>
          <w:p w14:paraId="6B051BD1">
            <w:pPr>
              <w:pStyle w:val="1018"/>
              <w:kinsoku w:val="0"/>
              <w:overflowPunct w:val="0"/>
              <w:snapToGrid w:val="0"/>
              <w:spacing w:line="260" w:lineRule="exact"/>
              <w:jc w:val="center"/>
              <w:rPr>
                <w:sz w:val="21"/>
                <w:szCs w:val="21"/>
              </w:rPr>
            </w:pPr>
            <w:r>
              <w:rPr>
                <w:sz w:val="21"/>
                <w:szCs w:val="21"/>
              </w:rPr>
              <w:t>AFTOX□</w:t>
            </w:r>
          </w:p>
        </w:tc>
        <w:tc>
          <w:tcPr>
            <w:tcW w:w="1459" w:type="pct"/>
            <w:gridSpan w:val="3"/>
            <w:vAlign w:val="center"/>
          </w:tcPr>
          <w:p w14:paraId="433DA1CA">
            <w:pPr>
              <w:pStyle w:val="1018"/>
              <w:kinsoku w:val="0"/>
              <w:overflowPunct w:val="0"/>
              <w:snapToGrid w:val="0"/>
              <w:spacing w:line="260" w:lineRule="exact"/>
              <w:jc w:val="center"/>
              <w:rPr>
                <w:sz w:val="21"/>
                <w:szCs w:val="21"/>
              </w:rPr>
            </w:pPr>
            <w:r>
              <w:rPr>
                <w:sz w:val="21"/>
                <w:szCs w:val="21"/>
              </w:rPr>
              <w:t>其他□</w:t>
            </w:r>
          </w:p>
        </w:tc>
      </w:tr>
      <w:tr w14:paraId="33E29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continue"/>
            <w:vAlign w:val="center"/>
          </w:tcPr>
          <w:p w14:paraId="75B5DF71">
            <w:pPr>
              <w:pStyle w:val="1018"/>
              <w:kinsoku w:val="0"/>
              <w:overflowPunct w:val="0"/>
              <w:snapToGrid w:val="0"/>
              <w:spacing w:line="260" w:lineRule="exact"/>
              <w:jc w:val="center"/>
              <w:rPr>
                <w:sz w:val="21"/>
                <w:szCs w:val="21"/>
              </w:rPr>
            </w:pPr>
          </w:p>
        </w:tc>
        <w:tc>
          <w:tcPr>
            <w:tcW w:w="487" w:type="pct"/>
            <w:vMerge w:val="continue"/>
            <w:vAlign w:val="center"/>
          </w:tcPr>
          <w:p w14:paraId="1FBF15F0">
            <w:pPr>
              <w:pStyle w:val="1018"/>
              <w:kinsoku w:val="0"/>
              <w:overflowPunct w:val="0"/>
              <w:snapToGrid w:val="0"/>
              <w:spacing w:line="260" w:lineRule="exact"/>
              <w:jc w:val="center"/>
              <w:rPr>
                <w:sz w:val="21"/>
                <w:szCs w:val="21"/>
              </w:rPr>
            </w:pPr>
          </w:p>
        </w:tc>
        <w:tc>
          <w:tcPr>
            <w:tcW w:w="1076" w:type="pct"/>
            <w:gridSpan w:val="2"/>
            <w:vMerge w:val="restart"/>
            <w:vAlign w:val="center"/>
          </w:tcPr>
          <w:p w14:paraId="7E6C8837">
            <w:pPr>
              <w:pStyle w:val="1018"/>
              <w:kinsoku w:val="0"/>
              <w:overflowPunct w:val="0"/>
              <w:snapToGrid w:val="0"/>
              <w:spacing w:line="260" w:lineRule="exact"/>
              <w:jc w:val="center"/>
              <w:rPr>
                <w:sz w:val="21"/>
                <w:szCs w:val="21"/>
              </w:rPr>
            </w:pPr>
            <w:r>
              <w:rPr>
                <w:sz w:val="21"/>
                <w:szCs w:val="21"/>
              </w:rPr>
              <w:t>预测结果</w:t>
            </w:r>
          </w:p>
        </w:tc>
        <w:tc>
          <w:tcPr>
            <w:tcW w:w="3194" w:type="pct"/>
            <w:gridSpan w:val="8"/>
            <w:vAlign w:val="center"/>
          </w:tcPr>
          <w:p w14:paraId="74BAA5DA">
            <w:pPr>
              <w:pStyle w:val="1018"/>
              <w:tabs>
                <w:tab w:val="left" w:pos="4612"/>
              </w:tabs>
              <w:kinsoku w:val="0"/>
              <w:overflowPunct w:val="0"/>
              <w:snapToGrid w:val="0"/>
              <w:spacing w:line="260" w:lineRule="exact"/>
              <w:rPr>
                <w:sz w:val="21"/>
                <w:szCs w:val="21"/>
              </w:rPr>
            </w:pPr>
            <w:r>
              <w:rPr>
                <w:sz w:val="21"/>
                <w:szCs w:val="21"/>
              </w:rPr>
              <w:t>甲烷大气毒性终点浓度-1  最大影响范围 /   m</w:t>
            </w:r>
          </w:p>
        </w:tc>
      </w:tr>
      <w:tr w14:paraId="2FA44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continue"/>
            <w:vAlign w:val="center"/>
          </w:tcPr>
          <w:p w14:paraId="36F3DD96">
            <w:pPr>
              <w:pStyle w:val="1018"/>
              <w:tabs>
                <w:tab w:val="left" w:pos="4612"/>
              </w:tabs>
              <w:kinsoku w:val="0"/>
              <w:overflowPunct w:val="0"/>
              <w:snapToGrid w:val="0"/>
              <w:spacing w:line="260" w:lineRule="exact"/>
              <w:jc w:val="center"/>
              <w:rPr>
                <w:sz w:val="21"/>
                <w:szCs w:val="21"/>
              </w:rPr>
            </w:pPr>
          </w:p>
        </w:tc>
        <w:tc>
          <w:tcPr>
            <w:tcW w:w="487" w:type="pct"/>
            <w:vMerge w:val="continue"/>
            <w:vAlign w:val="center"/>
          </w:tcPr>
          <w:p w14:paraId="2A13E387">
            <w:pPr>
              <w:pStyle w:val="1018"/>
              <w:tabs>
                <w:tab w:val="left" w:pos="4612"/>
              </w:tabs>
              <w:kinsoku w:val="0"/>
              <w:overflowPunct w:val="0"/>
              <w:snapToGrid w:val="0"/>
              <w:spacing w:line="260" w:lineRule="exact"/>
              <w:jc w:val="center"/>
              <w:rPr>
                <w:sz w:val="21"/>
                <w:szCs w:val="21"/>
              </w:rPr>
            </w:pPr>
          </w:p>
        </w:tc>
        <w:tc>
          <w:tcPr>
            <w:tcW w:w="1076" w:type="pct"/>
            <w:gridSpan w:val="2"/>
            <w:vMerge w:val="continue"/>
            <w:vAlign w:val="center"/>
          </w:tcPr>
          <w:p w14:paraId="58F7D4D5">
            <w:pPr>
              <w:pStyle w:val="1018"/>
              <w:tabs>
                <w:tab w:val="left" w:pos="4612"/>
              </w:tabs>
              <w:kinsoku w:val="0"/>
              <w:overflowPunct w:val="0"/>
              <w:snapToGrid w:val="0"/>
              <w:spacing w:line="260" w:lineRule="exact"/>
              <w:rPr>
                <w:sz w:val="21"/>
                <w:szCs w:val="21"/>
              </w:rPr>
            </w:pPr>
          </w:p>
        </w:tc>
        <w:tc>
          <w:tcPr>
            <w:tcW w:w="3194" w:type="pct"/>
            <w:gridSpan w:val="8"/>
            <w:vAlign w:val="center"/>
          </w:tcPr>
          <w:p w14:paraId="690949E3">
            <w:pPr>
              <w:pStyle w:val="1018"/>
              <w:tabs>
                <w:tab w:val="left" w:pos="4612"/>
              </w:tabs>
              <w:kinsoku w:val="0"/>
              <w:overflowPunct w:val="0"/>
              <w:snapToGrid w:val="0"/>
              <w:spacing w:line="260" w:lineRule="exact"/>
              <w:rPr>
                <w:sz w:val="21"/>
                <w:szCs w:val="21"/>
              </w:rPr>
            </w:pPr>
            <w:r>
              <w:rPr>
                <w:sz w:val="21"/>
                <w:szCs w:val="21"/>
              </w:rPr>
              <w:t xml:space="preserve">甲烷大气毒性终点浓度-2  最大影响范围 </w:t>
            </w:r>
            <w:r>
              <w:rPr>
                <w:rFonts w:hint="eastAsia"/>
                <w:sz w:val="21"/>
                <w:szCs w:val="21"/>
              </w:rPr>
              <w:t xml:space="preserve">/  </w:t>
            </w:r>
            <w:r>
              <w:rPr>
                <w:sz w:val="21"/>
                <w:szCs w:val="21"/>
              </w:rPr>
              <w:t xml:space="preserve"> m</w:t>
            </w:r>
          </w:p>
        </w:tc>
      </w:tr>
      <w:tr w14:paraId="0515F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continue"/>
            <w:vAlign w:val="center"/>
          </w:tcPr>
          <w:p w14:paraId="6EC01BFE">
            <w:pPr>
              <w:pStyle w:val="1018"/>
              <w:tabs>
                <w:tab w:val="left" w:pos="4612"/>
              </w:tabs>
              <w:kinsoku w:val="0"/>
              <w:overflowPunct w:val="0"/>
              <w:snapToGrid w:val="0"/>
              <w:spacing w:line="260" w:lineRule="exact"/>
              <w:jc w:val="center"/>
              <w:rPr>
                <w:sz w:val="21"/>
                <w:szCs w:val="21"/>
              </w:rPr>
            </w:pPr>
          </w:p>
        </w:tc>
        <w:tc>
          <w:tcPr>
            <w:tcW w:w="487" w:type="pct"/>
            <w:vMerge w:val="continue"/>
            <w:vAlign w:val="center"/>
          </w:tcPr>
          <w:p w14:paraId="26B1FFD9">
            <w:pPr>
              <w:pStyle w:val="1018"/>
              <w:tabs>
                <w:tab w:val="left" w:pos="4612"/>
              </w:tabs>
              <w:kinsoku w:val="0"/>
              <w:overflowPunct w:val="0"/>
              <w:snapToGrid w:val="0"/>
              <w:spacing w:line="260" w:lineRule="exact"/>
              <w:jc w:val="center"/>
              <w:rPr>
                <w:sz w:val="21"/>
                <w:szCs w:val="21"/>
              </w:rPr>
            </w:pPr>
          </w:p>
        </w:tc>
        <w:tc>
          <w:tcPr>
            <w:tcW w:w="1076" w:type="pct"/>
            <w:gridSpan w:val="2"/>
            <w:vMerge w:val="continue"/>
            <w:vAlign w:val="center"/>
          </w:tcPr>
          <w:p w14:paraId="606D0E2F">
            <w:pPr>
              <w:pStyle w:val="1018"/>
              <w:tabs>
                <w:tab w:val="left" w:pos="4612"/>
              </w:tabs>
              <w:kinsoku w:val="0"/>
              <w:overflowPunct w:val="0"/>
              <w:snapToGrid w:val="0"/>
              <w:spacing w:line="260" w:lineRule="exact"/>
              <w:rPr>
                <w:sz w:val="21"/>
                <w:szCs w:val="21"/>
              </w:rPr>
            </w:pPr>
          </w:p>
        </w:tc>
        <w:tc>
          <w:tcPr>
            <w:tcW w:w="3194" w:type="pct"/>
            <w:gridSpan w:val="8"/>
            <w:vAlign w:val="center"/>
          </w:tcPr>
          <w:p w14:paraId="3565CAFF">
            <w:pPr>
              <w:pStyle w:val="1018"/>
              <w:tabs>
                <w:tab w:val="left" w:pos="4612"/>
              </w:tabs>
              <w:kinsoku w:val="0"/>
              <w:overflowPunct w:val="0"/>
              <w:snapToGrid w:val="0"/>
              <w:spacing w:line="260" w:lineRule="exact"/>
              <w:rPr>
                <w:sz w:val="21"/>
                <w:szCs w:val="21"/>
              </w:rPr>
            </w:pPr>
            <w:r>
              <w:rPr>
                <w:sz w:val="21"/>
                <w:szCs w:val="21"/>
              </w:rPr>
              <w:t xml:space="preserve">CO大气毒性终点浓度-1  最大影响范围 / </w:t>
            </w:r>
            <w:r>
              <w:rPr>
                <w:rFonts w:hint="eastAsia"/>
                <w:sz w:val="21"/>
                <w:szCs w:val="21"/>
              </w:rPr>
              <w:t xml:space="preserve"> </w:t>
            </w:r>
            <w:r>
              <w:rPr>
                <w:sz w:val="21"/>
                <w:szCs w:val="21"/>
              </w:rPr>
              <w:t xml:space="preserve"> m</w:t>
            </w:r>
          </w:p>
        </w:tc>
      </w:tr>
      <w:tr w14:paraId="6DE0E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continue"/>
            <w:vAlign w:val="center"/>
          </w:tcPr>
          <w:p w14:paraId="72556040">
            <w:pPr>
              <w:pStyle w:val="1018"/>
              <w:tabs>
                <w:tab w:val="left" w:pos="4612"/>
              </w:tabs>
              <w:kinsoku w:val="0"/>
              <w:overflowPunct w:val="0"/>
              <w:snapToGrid w:val="0"/>
              <w:spacing w:line="260" w:lineRule="exact"/>
              <w:jc w:val="center"/>
              <w:rPr>
                <w:sz w:val="21"/>
                <w:szCs w:val="21"/>
              </w:rPr>
            </w:pPr>
          </w:p>
        </w:tc>
        <w:tc>
          <w:tcPr>
            <w:tcW w:w="487" w:type="pct"/>
            <w:vMerge w:val="continue"/>
            <w:vAlign w:val="center"/>
          </w:tcPr>
          <w:p w14:paraId="074102C3">
            <w:pPr>
              <w:pStyle w:val="1018"/>
              <w:tabs>
                <w:tab w:val="left" w:pos="4612"/>
              </w:tabs>
              <w:kinsoku w:val="0"/>
              <w:overflowPunct w:val="0"/>
              <w:snapToGrid w:val="0"/>
              <w:spacing w:line="260" w:lineRule="exact"/>
              <w:jc w:val="center"/>
              <w:rPr>
                <w:sz w:val="21"/>
                <w:szCs w:val="21"/>
              </w:rPr>
            </w:pPr>
          </w:p>
        </w:tc>
        <w:tc>
          <w:tcPr>
            <w:tcW w:w="1076" w:type="pct"/>
            <w:gridSpan w:val="2"/>
            <w:vMerge w:val="continue"/>
            <w:vAlign w:val="center"/>
          </w:tcPr>
          <w:p w14:paraId="3EB921FD">
            <w:pPr>
              <w:pStyle w:val="1018"/>
              <w:tabs>
                <w:tab w:val="left" w:pos="4612"/>
              </w:tabs>
              <w:kinsoku w:val="0"/>
              <w:overflowPunct w:val="0"/>
              <w:snapToGrid w:val="0"/>
              <w:spacing w:line="260" w:lineRule="exact"/>
              <w:rPr>
                <w:sz w:val="21"/>
                <w:szCs w:val="21"/>
              </w:rPr>
            </w:pPr>
          </w:p>
        </w:tc>
        <w:tc>
          <w:tcPr>
            <w:tcW w:w="3194" w:type="pct"/>
            <w:gridSpan w:val="8"/>
            <w:vAlign w:val="center"/>
          </w:tcPr>
          <w:p w14:paraId="7EB88129">
            <w:pPr>
              <w:pStyle w:val="1018"/>
              <w:tabs>
                <w:tab w:val="left" w:pos="4612"/>
              </w:tabs>
              <w:kinsoku w:val="0"/>
              <w:overflowPunct w:val="0"/>
              <w:snapToGrid w:val="0"/>
              <w:spacing w:line="260" w:lineRule="exact"/>
              <w:rPr>
                <w:sz w:val="21"/>
                <w:szCs w:val="21"/>
              </w:rPr>
            </w:pPr>
            <w:r>
              <w:rPr>
                <w:sz w:val="21"/>
                <w:szCs w:val="21"/>
              </w:rPr>
              <w:t xml:space="preserve">CO大气毒性终点浓度-2  最大影响范围 / </w:t>
            </w:r>
            <w:r>
              <w:rPr>
                <w:rFonts w:hint="eastAsia"/>
                <w:sz w:val="21"/>
                <w:szCs w:val="21"/>
              </w:rPr>
              <w:t xml:space="preserve"> </w:t>
            </w:r>
            <w:r>
              <w:rPr>
                <w:sz w:val="21"/>
                <w:szCs w:val="21"/>
              </w:rPr>
              <w:t xml:space="preserve"> m</w:t>
            </w:r>
          </w:p>
        </w:tc>
      </w:tr>
      <w:tr w14:paraId="4A200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continue"/>
            <w:vAlign w:val="center"/>
          </w:tcPr>
          <w:p w14:paraId="49A1D08D">
            <w:pPr>
              <w:pStyle w:val="1018"/>
              <w:tabs>
                <w:tab w:val="left" w:pos="4612"/>
              </w:tabs>
              <w:kinsoku w:val="0"/>
              <w:overflowPunct w:val="0"/>
              <w:snapToGrid w:val="0"/>
              <w:spacing w:line="260" w:lineRule="exact"/>
              <w:jc w:val="center"/>
              <w:rPr>
                <w:sz w:val="21"/>
                <w:szCs w:val="21"/>
              </w:rPr>
            </w:pPr>
          </w:p>
        </w:tc>
        <w:tc>
          <w:tcPr>
            <w:tcW w:w="487" w:type="pct"/>
            <w:vAlign w:val="center"/>
          </w:tcPr>
          <w:p w14:paraId="1091445C">
            <w:pPr>
              <w:pStyle w:val="1018"/>
              <w:kinsoku w:val="0"/>
              <w:overflowPunct w:val="0"/>
              <w:snapToGrid w:val="0"/>
              <w:spacing w:line="260" w:lineRule="exact"/>
              <w:jc w:val="center"/>
              <w:rPr>
                <w:sz w:val="21"/>
                <w:szCs w:val="21"/>
              </w:rPr>
            </w:pPr>
            <w:r>
              <w:rPr>
                <w:sz w:val="21"/>
                <w:szCs w:val="21"/>
              </w:rPr>
              <w:t>地表水</w:t>
            </w:r>
          </w:p>
        </w:tc>
        <w:tc>
          <w:tcPr>
            <w:tcW w:w="4271" w:type="pct"/>
            <w:gridSpan w:val="10"/>
            <w:vAlign w:val="center"/>
          </w:tcPr>
          <w:p w14:paraId="2AF90676">
            <w:pPr>
              <w:pStyle w:val="1018"/>
              <w:tabs>
                <w:tab w:val="left" w:pos="4168"/>
                <w:tab w:val="left" w:pos="5518"/>
              </w:tabs>
              <w:kinsoku w:val="0"/>
              <w:overflowPunct w:val="0"/>
              <w:snapToGrid w:val="0"/>
              <w:spacing w:line="260" w:lineRule="exact"/>
              <w:rPr>
                <w:sz w:val="21"/>
                <w:szCs w:val="21"/>
              </w:rPr>
            </w:pPr>
            <w:r>
              <w:rPr>
                <w:sz w:val="21"/>
                <w:szCs w:val="21"/>
              </w:rPr>
              <w:t>最近环境敏感目标</w:t>
            </w:r>
            <w:r>
              <w:rPr>
                <w:sz w:val="21"/>
                <w:szCs w:val="21"/>
              </w:rPr>
              <w:tab/>
            </w:r>
            <w:r>
              <w:rPr>
                <w:sz w:val="21"/>
                <w:szCs w:val="21"/>
              </w:rPr>
              <w:t xml:space="preserve">，到达时间 </w:t>
            </w:r>
            <w:r>
              <w:rPr>
                <w:sz w:val="21"/>
                <w:szCs w:val="21"/>
              </w:rPr>
              <w:tab/>
            </w:r>
            <w:r>
              <w:rPr>
                <w:sz w:val="21"/>
                <w:szCs w:val="21"/>
              </w:rPr>
              <w:t>h</w:t>
            </w:r>
          </w:p>
        </w:tc>
      </w:tr>
      <w:tr w14:paraId="19A7B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continue"/>
            <w:vAlign w:val="center"/>
          </w:tcPr>
          <w:p w14:paraId="467FD86C">
            <w:pPr>
              <w:pStyle w:val="1018"/>
              <w:tabs>
                <w:tab w:val="left" w:pos="4168"/>
                <w:tab w:val="left" w:pos="5518"/>
              </w:tabs>
              <w:kinsoku w:val="0"/>
              <w:overflowPunct w:val="0"/>
              <w:snapToGrid w:val="0"/>
              <w:spacing w:line="260" w:lineRule="exact"/>
              <w:jc w:val="center"/>
              <w:rPr>
                <w:sz w:val="21"/>
                <w:szCs w:val="21"/>
              </w:rPr>
            </w:pPr>
          </w:p>
        </w:tc>
        <w:tc>
          <w:tcPr>
            <w:tcW w:w="487" w:type="pct"/>
            <w:vMerge w:val="restart"/>
            <w:vAlign w:val="center"/>
          </w:tcPr>
          <w:p w14:paraId="5C022C8F">
            <w:pPr>
              <w:pStyle w:val="1018"/>
              <w:kinsoku w:val="0"/>
              <w:overflowPunct w:val="0"/>
              <w:snapToGrid w:val="0"/>
              <w:spacing w:line="260" w:lineRule="exact"/>
              <w:jc w:val="center"/>
              <w:rPr>
                <w:sz w:val="21"/>
                <w:szCs w:val="21"/>
              </w:rPr>
            </w:pPr>
            <w:r>
              <w:rPr>
                <w:sz w:val="21"/>
                <w:szCs w:val="21"/>
              </w:rPr>
              <w:t>地下水</w:t>
            </w:r>
          </w:p>
        </w:tc>
        <w:tc>
          <w:tcPr>
            <w:tcW w:w="4271" w:type="pct"/>
            <w:gridSpan w:val="10"/>
            <w:vAlign w:val="center"/>
          </w:tcPr>
          <w:p w14:paraId="0932769E">
            <w:pPr>
              <w:pStyle w:val="1018"/>
              <w:tabs>
                <w:tab w:val="left" w:pos="2254"/>
              </w:tabs>
              <w:kinsoku w:val="0"/>
              <w:overflowPunct w:val="0"/>
              <w:snapToGrid w:val="0"/>
              <w:spacing w:line="260" w:lineRule="exact"/>
              <w:rPr>
                <w:sz w:val="21"/>
                <w:szCs w:val="21"/>
              </w:rPr>
            </w:pPr>
            <w:r>
              <w:rPr>
                <w:sz w:val="21"/>
                <w:szCs w:val="21"/>
              </w:rPr>
              <w:t xml:space="preserve">下游厂区边界到达时间 </w:t>
            </w:r>
            <w:r>
              <w:rPr>
                <w:sz w:val="21"/>
                <w:szCs w:val="21"/>
              </w:rPr>
              <w:tab/>
            </w:r>
            <w:r>
              <w:rPr>
                <w:sz w:val="21"/>
                <w:szCs w:val="21"/>
              </w:rPr>
              <w:t>d</w:t>
            </w:r>
          </w:p>
        </w:tc>
      </w:tr>
      <w:tr w14:paraId="34FDB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0" w:type="pct"/>
            <w:vMerge w:val="continue"/>
            <w:vAlign w:val="center"/>
          </w:tcPr>
          <w:p w14:paraId="47CE8B1B">
            <w:pPr>
              <w:pStyle w:val="1018"/>
              <w:tabs>
                <w:tab w:val="left" w:pos="2254"/>
              </w:tabs>
              <w:kinsoku w:val="0"/>
              <w:overflowPunct w:val="0"/>
              <w:snapToGrid w:val="0"/>
              <w:spacing w:line="260" w:lineRule="exact"/>
              <w:rPr>
                <w:sz w:val="21"/>
                <w:szCs w:val="21"/>
              </w:rPr>
            </w:pPr>
          </w:p>
        </w:tc>
        <w:tc>
          <w:tcPr>
            <w:tcW w:w="487" w:type="pct"/>
            <w:vMerge w:val="continue"/>
            <w:vAlign w:val="center"/>
          </w:tcPr>
          <w:p w14:paraId="6F4CF2BA">
            <w:pPr>
              <w:pStyle w:val="1018"/>
              <w:tabs>
                <w:tab w:val="left" w:pos="2254"/>
              </w:tabs>
              <w:kinsoku w:val="0"/>
              <w:overflowPunct w:val="0"/>
              <w:snapToGrid w:val="0"/>
              <w:spacing w:line="260" w:lineRule="exact"/>
              <w:rPr>
                <w:sz w:val="21"/>
                <w:szCs w:val="21"/>
              </w:rPr>
            </w:pPr>
          </w:p>
        </w:tc>
        <w:tc>
          <w:tcPr>
            <w:tcW w:w="4271" w:type="pct"/>
            <w:gridSpan w:val="10"/>
            <w:vAlign w:val="center"/>
          </w:tcPr>
          <w:p w14:paraId="3422D200">
            <w:pPr>
              <w:pStyle w:val="1018"/>
              <w:tabs>
                <w:tab w:val="left" w:pos="4168"/>
                <w:tab w:val="left" w:pos="5518"/>
              </w:tabs>
              <w:kinsoku w:val="0"/>
              <w:overflowPunct w:val="0"/>
              <w:snapToGrid w:val="0"/>
              <w:spacing w:line="260" w:lineRule="exact"/>
              <w:rPr>
                <w:sz w:val="21"/>
                <w:szCs w:val="21"/>
              </w:rPr>
            </w:pPr>
            <w:r>
              <w:rPr>
                <w:sz w:val="21"/>
                <w:szCs w:val="21"/>
              </w:rPr>
              <w:t xml:space="preserve">最近环境敏感目标 </w:t>
            </w:r>
            <w:r>
              <w:rPr>
                <w:sz w:val="21"/>
                <w:szCs w:val="21"/>
              </w:rPr>
              <w:tab/>
            </w:r>
            <w:r>
              <w:rPr>
                <w:sz w:val="21"/>
                <w:szCs w:val="21"/>
              </w:rPr>
              <w:t xml:space="preserve">，到达时间 </w:t>
            </w:r>
            <w:r>
              <w:rPr>
                <w:sz w:val="21"/>
                <w:szCs w:val="21"/>
              </w:rPr>
              <w:tab/>
            </w:r>
            <w:r>
              <w:rPr>
                <w:sz w:val="21"/>
                <w:szCs w:val="21"/>
              </w:rPr>
              <w:t>d</w:t>
            </w:r>
          </w:p>
        </w:tc>
      </w:tr>
      <w:tr w14:paraId="64EDA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728" w:type="pct"/>
            <w:gridSpan w:val="2"/>
            <w:vAlign w:val="center"/>
          </w:tcPr>
          <w:p w14:paraId="1352FE2C">
            <w:pPr>
              <w:pStyle w:val="1018"/>
              <w:kinsoku w:val="0"/>
              <w:overflowPunct w:val="0"/>
              <w:snapToGrid w:val="0"/>
              <w:spacing w:line="260" w:lineRule="exact"/>
              <w:jc w:val="center"/>
              <w:rPr>
                <w:sz w:val="21"/>
                <w:szCs w:val="21"/>
              </w:rPr>
            </w:pPr>
            <w:r>
              <w:rPr>
                <w:sz w:val="21"/>
                <w:szCs w:val="21"/>
              </w:rPr>
              <w:t>重点风险防范措施</w:t>
            </w:r>
          </w:p>
        </w:tc>
        <w:tc>
          <w:tcPr>
            <w:tcW w:w="4271" w:type="pct"/>
            <w:gridSpan w:val="10"/>
            <w:vAlign w:val="center"/>
          </w:tcPr>
          <w:p w14:paraId="6B6C5FBB">
            <w:pPr>
              <w:pStyle w:val="234"/>
              <w:spacing w:before="48" w:after="48" w:line="240" w:lineRule="auto"/>
              <w:ind w:firstLine="0" w:firstLineChars="0"/>
              <w:rPr>
                <w:sz w:val="21"/>
                <w:szCs w:val="21"/>
              </w:rPr>
            </w:pPr>
            <w:r>
              <w:rPr>
                <w:rFonts w:hint="eastAsia"/>
                <w:sz w:val="21"/>
                <w:szCs w:val="21"/>
              </w:rPr>
              <w:t>设有SCADA系统，并在耒阳分输站设置RTU系统；</w:t>
            </w:r>
            <w:r>
              <w:rPr>
                <w:sz w:val="21"/>
                <w:szCs w:val="21"/>
              </w:rPr>
              <w:t>采用三层PE防腐和阴极保护联合保护的方案对管道进行保护；定期清管，排除管内的积水和污物，以减轻管道内腐蚀；每3年进行管道壁厚的测量，对严重管壁减薄的管段，及时维修更换，避免爆管事故发生。每半年检查管道安全保护系统，使管道在超压时能够得到安全处理，使危害影响范围降低到最低程度；在管道中心线两侧各5m范围内禁止种植深根植物；加大巡线频率，提高巡线的有效性；定期对职工开展环境风险和以及环境应急管理宣传和培训；制定</w:t>
            </w:r>
            <w:r>
              <w:rPr>
                <w:rFonts w:hint="eastAsia"/>
                <w:sz w:val="21"/>
                <w:szCs w:val="21"/>
              </w:rPr>
              <w:t>突发环境事件应急预案</w:t>
            </w:r>
            <w:r>
              <w:rPr>
                <w:sz w:val="21"/>
                <w:szCs w:val="21"/>
              </w:rPr>
              <w:t>，定期组织员工进行专题性培训和应急演练；建立健全监测制度，各段定期对管道腐蚀情况、部件老化情况等进行监测，对易引发重大突发事件的危险源、危险区域进行调查、登记、风险评估；对管道附近的居民加强教育，制定宣教方案，合理安排宣教频次，宣传贯彻落实《中华人民共和国石油天然气管道保护法》。</w:t>
            </w:r>
          </w:p>
        </w:tc>
      </w:tr>
      <w:tr w14:paraId="34FD5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728" w:type="pct"/>
            <w:gridSpan w:val="2"/>
            <w:vAlign w:val="center"/>
          </w:tcPr>
          <w:p w14:paraId="33E7BB60">
            <w:pPr>
              <w:pStyle w:val="1018"/>
              <w:kinsoku w:val="0"/>
              <w:overflowPunct w:val="0"/>
              <w:snapToGrid w:val="0"/>
              <w:spacing w:line="260" w:lineRule="exact"/>
              <w:jc w:val="center"/>
              <w:rPr>
                <w:sz w:val="21"/>
                <w:szCs w:val="21"/>
              </w:rPr>
            </w:pPr>
            <w:r>
              <w:rPr>
                <w:sz w:val="21"/>
                <w:szCs w:val="21"/>
              </w:rPr>
              <w:t>评价结论与建议</w:t>
            </w:r>
          </w:p>
        </w:tc>
        <w:tc>
          <w:tcPr>
            <w:tcW w:w="4271" w:type="pct"/>
            <w:gridSpan w:val="10"/>
            <w:vAlign w:val="center"/>
          </w:tcPr>
          <w:p w14:paraId="7622C8FA">
            <w:pPr>
              <w:adjustRightInd w:val="0"/>
              <w:snapToGrid w:val="0"/>
              <w:spacing w:line="260" w:lineRule="exact"/>
              <w:rPr>
                <w:szCs w:val="21"/>
              </w:rPr>
            </w:pPr>
            <w:r>
              <w:rPr>
                <w:szCs w:val="21"/>
              </w:rPr>
              <w:t>本工程营运期通过采取的环境风险防范、应急措施和环境风险应急预案，在环境风险事故后通过及时按照事故应急措施和应急预案进行处理，其影响可以得到有效控制，本工程营运期环境风险事故可以控制在可接受水平。</w:t>
            </w:r>
          </w:p>
        </w:tc>
      </w:tr>
      <w:tr w14:paraId="702F491F">
        <w:tblPrEx>
          <w:tblCellMar>
            <w:top w:w="0" w:type="dxa"/>
            <w:left w:w="0" w:type="dxa"/>
            <w:bottom w:w="0" w:type="dxa"/>
            <w:right w:w="0" w:type="dxa"/>
          </w:tblCellMar>
        </w:tblPrEx>
        <w:trPr>
          <w:trHeight w:val="283" w:hRule="atLeast"/>
          <w:jc w:val="center"/>
        </w:trPr>
        <w:tc>
          <w:tcPr>
            <w:tcW w:w="5000" w:type="pct"/>
            <w:gridSpan w:val="12"/>
            <w:vAlign w:val="center"/>
          </w:tcPr>
          <w:p w14:paraId="172008BB">
            <w:pPr>
              <w:pStyle w:val="1018"/>
              <w:tabs>
                <w:tab w:val="left" w:pos="2348"/>
              </w:tabs>
              <w:kinsoku w:val="0"/>
              <w:overflowPunct w:val="0"/>
              <w:snapToGrid w:val="0"/>
              <w:spacing w:line="260" w:lineRule="exact"/>
              <w:rPr>
                <w:sz w:val="21"/>
                <w:szCs w:val="21"/>
              </w:rPr>
            </w:pPr>
            <w:r>
              <w:rPr>
                <w:sz w:val="21"/>
                <w:szCs w:val="21"/>
              </w:rPr>
              <w:t>注：“□”为勾选项，“   ”为填写项。</w:t>
            </w:r>
          </w:p>
        </w:tc>
      </w:tr>
    </w:tbl>
    <w:p w14:paraId="6BD2E7D1">
      <w:pPr>
        <w:pStyle w:val="35"/>
      </w:pPr>
    </w:p>
    <w:sectPr>
      <w:pgSz w:w="11906" w:h="16838"/>
      <w:pgMar w:top="1247" w:right="1588" w:bottom="1247" w:left="1588" w:header="680" w:footer="992"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00" w:usb3="00000000" w:csb0="00040000" w:csb1="00000000"/>
  </w:font>
  <w:font w:name="CG Times">
    <w:altName w:val="Times New Roman"/>
    <w:panose1 w:val="00000000000000000000"/>
    <w:charset w:val="00"/>
    <w:family w:val="roman"/>
    <w:pitch w:val="default"/>
    <w:sig w:usb0="00000000" w:usb1="00000000" w:usb2="00000000" w:usb3="00000000" w:csb0="00000001" w:csb1="00000000"/>
  </w:font>
  <w:font w:name="Cambria">
    <w:panose1 w:val="02040503050406030204"/>
    <w:charset w:val="00"/>
    <w:family w:val="roman"/>
    <w:pitch w:val="default"/>
    <w:sig w:usb0="E00006FF" w:usb1="420024FF" w:usb2="02000000" w:usb3="00000000" w:csb0="2000019F" w:csb1="00000000"/>
  </w:font>
  <w:font w:name="Arial Unicode MS">
    <w:panose1 w:val="020B0604020202020204"/>
    <w:charset w:val="86"/>
    <w:family w:val="swiss"/>
    <w:pitch w:val="default"/>
    <w:sig w:usb0="FFFFFFFF" w:usb1="E9FFFFFF" w:usb2="0000003F" w:usb3="00000000" w:csb0="603F01FF" w:csb1="FFFF0000"/>
  </w:font>
  <w:font w:name="仿宋体">
    <w:altName w:val="宋体"/>
    <w:panose1 w:val="00000000000000000000"/>
    <w:charset w:val="86"/>
    <w:family w:val="auto"/>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Tms Rmn">
    <w:altName w:val="Segoe Print"/>
    <w:panose1 w:val="02020603040505020304"/>
    <w:charset w:val="00"/>
    <w:family w:val="roman"/>
    <w:pitch w:val="default"/>
    <w:sig w:usb0="00000000" w:usb1="00000000" w:usb2="00000000" w:usb3="00000000" w:csb0="00000001" w:csb1="00000000"/>
  </w:font>
  <w:font w:name="Plotter">
    <w:altName w:val="Arial"/>
    <w:panose1 w:val="00000000000000000000"/>
    <w:charset w:val="00"/>
    <w:family w:val="roman"/>
    <w:pitch w:val="default"/>
    <w:sig w:usb0="00000000" w:usb1="00000000" w:usb2="00000000" w:usb3="00000000" w:csb0="00000001" w:csb1="00000000"/>
  </w:font>
  <w:font w:name="DFKai-SB">
    <w:altName w:val="Microsoft JhengHei Light"/>
    <w:panose1 w:val="00000000000000000000"/>
    <w:charset w:val="88"/>
    <w:family w:val="script"/>
    <w:pitch w:val="default"/>
    <w:sig w:usb0="00000000" w:usb1="00000000" w:usb2="00000016" w:usb3="00000000" w:csb0="00100001" w:csb1="00000000"/>
  </w:font>
  <w:font w:name="文鼎CS中宋">
    <w:altName w:val="宋体"/>
    <w:panose1 w:val="00000000000000000000"/>
    <w:charset w:val="86"/>
    <w:family w:val="moder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文鼎粗行楷简">
    <w:altName w:val="宋体"/>
    <w:panose1 w:val="00000000000000000000"/>
    <w:charset w:val="86"/>
    <w:family w:val="roman"/>
    <w:pitch w:val="default"/>
    <w:sig w:usb0="00000000" w:usb1="00000000" w:usb2="00000010" w:usb3="00000000" w:csb0="00040000" w:csb1="00000000"/>
  </w:font>
  <w:font w:name="方正宋黑简体">
    <w:altName w:val="宋体"/>
    <w:panose1 w:val="00000000000000000000"/>
    <w:charset w:val="86"/>
    <w:family w:val="auto"/>
    <w:pitch w:val="default"/>
    <w:sig w:usb0="00000000" w:usb1="00000000" w:usb2="00000010" w:usb3="00000000" w:csb0="00040000" w:csb1="00000000"/>
  </w:font>
  <w:font w:name="幼圆">
    <w:panose1 w:val="02010509060101010101"/>
    <w:charset w:val="86"/>
    <w:family w:val="modern"/>
    <w:pitch w:val="default"/>
    <w:sig w:usb0="00000001" w:usb1="080E0000" w:usb2="00000000" w:usb3="00000000" w:csb0="00040000" w:csb1="00000000"/>
  </w:font>
  <w:font w:name="Arial Narrow">
    <w:panose1 w:val="020B0606020202030204"/>
    <w:charset w:val="00"/>
    <w:family w:val="swiss"/>
    <w:pitch w:val="default"/>
    <w:sig w:usb0="00000287" w:usb1="00000800" w:usb2="00000000" w:usb3="00000000" w:csb0="2000009F" w:csb1="DFD70000"/>
  </w:font>
  <w:font w:name="Helvetica">
    <w:altName w:val="Arial"/>
    <w:panose1 w:val="020B0604020202020204"/>
    <w:charset w:val="00"/>
    <w:family w:val="swiss"/>
    <w:pitch w:val="default"/>
    <w:sig w:usb0="00000000" w:usb1="00000000" w:usb2="00000000" w:usb3="00000000" w:csb0="00000001" w:csb1="00000000"/>
  </w:font>
  <w:font w:name="Verdana">
    <w:panose1 w:val="020B0604030504040204"/>
    <w:charset w:val="00"/>
    <w:family w:val="swiss"/>
    <w:pitch w:val="default"/>
    <w:sig w:usb0="A00006FF" w:usb1="4000205B" w:usb2="00000010" w:usb3="00000000" w:csb0="2000019F" w:csb1="00000000"/>
  </w:font>
  <w:font w:name="MingLiU">
    <w:altName w:val="PMingLiU-ExtB"/>
    <w:panose1 w:val="02010609000101010101"/>
    <w:charset w:val="88"/>
    <w:family w:val="modern"/>
    <w:pitch w:val="default"/>
    <w:sig w:usb0="00000000" w:usb1="00000000" w:usb2="00000016" w:usb3="00000000" w:csb0="00100001" w:csb1="00000000"/>
  </w:font>
  <w:font w:name="Arial Rounded MT Bold">
    <w:panose1 w:val="020F0704030504030204"/>
    <w:charset w:val="00"/>
    <w:family w:val="swiss"/>
    <w:pitch w:val="default"/>
    <w:sig w:usb0="00000003" w:usb1="00000000" w:usb2="00000000" w:usb3="00000000" w:csb0="20000001" w:csb1="00000000"/>
  </w:font>
  <w:font w:name="方正书宋简体">
    <w:altName w:val="微软雅黑"/>
    <w:panose1 w:val="00000000000000000000"/>
    <w:charset w:val="86"/>
    <w:family w:val="script"/>
    <w:pitch w:val="default"/>
    <w:sig w:usb0="00000000" w:usb1="00000000" w:usb2="00000010" w:usb3="00000000" w:csb0="00040000" w:csb1="00000000"/>
  </w:font>
  <w:font w:name="方正仿宋简体">
    <w:altName w:val="Arial Unicode MS"/>
    <w:panose1 w:val="00000000000000000000"/>
    <w:charset w:val="86"/>
    <w:family w:val="script"/>
    <w:pitch w:val="default"/>
    <w:sig w:usb0="00000000" w:usb1="00000000" w:usb2="00000000" w:usb3="00000000" w:csb0="00040000" w:csb1="00000000"/>
  </w:font>
  <w:font w:name="MS Gothic">
    <w:panose1 w:val="020B0609070205080204"/>
    <w:charset w:val="80"/>
    <w:family w:val="modern"/>
    <w:pitch w:val="default"/>
    <w:sig w:usb0="E00002FF" w:usb1="6AC7FDFB" w:usb2="08000012" w:usb3="00000000" w:csb0="4002009F" w:csb1="DFD70000"/>
  </w:font>
  <w:font w:name="Candara">
    <w:panose1 w:val="020E0502030303020204"/>
    <w:charset w:val="00"/>
    <w:family w:val="swiss"/>
    <w:pitch w:val="default"/>
    <w:sig w:usb0="A00002EF" w:usb1="4000A44B" w:usb2="00000000" w:usb3="00000000" w:csb0="2000019F" w:csb1="00000000"/>
  </w:font>
  <w:font w:name="Sylfaen">
    <w:panose1 w:val="010A0502050306030303"/>
    <w:charset w:val="00"/>
    <w:family w:val="roman"/>
    <w:pitch w:val="default"/>
    <w:sig w:usb0="04000687" w:usb1="00000000" w:usb2="00000000" w:usb3="00000000" w:csb0="2000009F" w:csb1="00000000"/>
  </w:font>
  <w:font w:name="文鼎大标宋简">
    <w:altName w:val="宋体"/>
    <w:panose1 w:val="00000000000000000000"/>
    <w:charset w:val="86"/>
    <w:family w:val="modern"/>
    <w:pitch w:val="default"/>
    <w:sig w:usb0="00000000" w:usb1="00000000" w:usb2="00000010" w:usb3="00000000" w:csb0="00040000" w:csb1="00000000"/>
  </w:font>
  <w:font w:name="新宋体">
    <w:panose1 w:val="02010609030101010101"/>
    <w:charset w:val="86"/>
    <w:family w:val="modern"/>
    <w:pitch w:val="default"/>
    <w:sig w:usb0="00000283" w:usb1="288F0000" w:usb2="00000006" w:usb3="00000000" w:csb0="00040001" w:csb1="00000000"/>
  </w:font>
  <w:font w:name="华文中宋">
    <w:panose1 w:val="02010600040101010101"/>
    <w:charset w:val="86"/>
    <w:family w:val="auto"/>
    <w:pitch w:val="default"/>
    <w:sig w:usb0="00000287" w:usb1="080F0000" w:usb2="00000000" w:usb3="00000000" w:csb0="0004009F" w:csb1="DFD70000"/>
  </w:font>
  <w:font w:name="Swis721 BT">
    <w:altName w:val="Yu Gothic UI"/>
    <w:panose1 w:val="020B0504020202020204"/>
    <w:charset w:val="00"/>
    <w:family w:val="swiss"/>
    <w:pitch w:val="default"/>
    <w:sig w:usb0="00000000" w:usb1="00000000" w:usb2="00000000" w:usb3="00000000" w:csb0="00000000" w:csb1="00000000"/>
  </w:font>
  <w:font w:name="Swis721 Lt BT">
    <w:altName w:val="Segoe Print"/>
    <w:panose1 w:val="020B0403020202020204"/>
    <w:charset w:val="00"/>
    <w:family w:val="swiss"/>
    <w:pitch w:val="default"/>
    <w:sig w:usb0="00000000" w:usb1="00000000" w:usb2="00000000" w:usb3="00000000" w:csb0="0000001B" w:csb1="00000000"/>
  </w:font>
  <w:font w:name="方正细黑一简体">
    <w:altName w:val="黑体"/>
    <w:panose1 w:val="00000000000000000000"/>
    <w:charset w:val="86"/>
    <w:family w:val="auto"/>
    <w:pitch w:val="default"/>
    <w:sig w:usb0="00000000" w:usb1="00000000" w:usb2="00000010" w:usb3="00000000" w:csb0="00040000" w:csb1="00000000"/>
  </w:font>
  <w:font w:name="方正黑体简体">
    <w:altName w:val="微软雅黑"/>
    <w:panose1 w:val="00000000000000000000"/>
    <w:charset w:val="86"/>
    <w:family w:val="auto"/>
    <w:pitch w:val="default"/>
    <w:sig w:usb0="00000000" w:usb1="00000000" w:usb2="00000000" w:usb3="00000000" w:csb0="00040000" w:csb1="00000000"/>
  </w:font>
  <w:font w:name="ˎ̥">
    <w:altName w:val="宋体"/>
    <w:panose1 w:val="00000000000000000000"/>
    <w:charset w:val="00"/>
    <w:family w:val="roman"/>
    <w:pitch w:val="default"/>
    <w:sig w:usb0="00000000" w:usb1="00000000" w:usb2="00000000" w:usb3="00000000" w:csb0="00040001" w:csb1="00000000"/>
  </w:font>
  <w:font w:name="CG Times (W1)">
    <w:altName w:val="Times New Roman"/>
    <w:panose1 w:val="00000000000000000000"/>
    <w:charset w:val="00"/>
    <w:family w:val="roman"/>
    <w:pitch w:val="default"/>
    <w:sig w:usb0="00000000" w:usb1="00000000" w:usb2="00000000" w:usb3="00000000" w:csb0="00000001" w:csb1="00000000"/>
  </w:font>
  <w:font w:name="RomanD">
    <w:altName w:val="Segoe Print"/>
    <w:panose1 w:val="00000400000000000000"/>
    <w:charset w:val="00"/>
    <w:family w:val="auto"/>
    <w:pitch w:val="default"/>
    <w:sig w:usb0="00000000" w:usb1="00000000" w:usb2="00000000" w:usb3="00000000" w:csb0="000001FF" w:csb1="00000000"/>
  </w:font>
  <w:font w:name="BatangChe">
    <w:altName w:val="Malgun Gothic"/>
    <w:panose1 w:val="00000000000000000000"/>
    <w:charset w:val="81"/>
    <w:family w:val="modern"/>
    <w:pitch w:val="default"/>
    <w:sig w:usb0="00000000" w:usb1="00000000" w:usb2="00000030" w:usb3="00000000" w:csb0="0008009F" w:csb1="00000000"/>
  </w:font>
  <w:font w:name="华文楷体">
    <w:panose1 w:val="02010600040101010101"/>
    <w:charset w:val="86"/>
    <w:family w:val="auto"/>
    <w:pitch w:val="default"/>
    <w:sig w:usb0="00000287" w:usb1="080F0000" w:usb2="00000000" w:usb3="00000000" w:csb0="0004009F" w:csb1="DFD70000"/>
  </w:font>
  <w:font w:name="Impact">
    <w:panose1 w:val="020B0806030902050204"/>
    <w:charset w:val="00"/>
    <w:family w:val="swiss"/>
    <w:pitch w:val="default"/>
    <w:sig w:usb0="00000287" w:usb1="00000000" w:usb2="00000000" w:usb3="00000000" w:csb0="2000009F" w:csb1="DFD70000"/>
  </w:font>
  <w:font w:name="隶书">
    <w:panose1 w:val="02010509060101010101"/>
    <w:charset w:val="86"/>
    <w:family w:val="modern"/>
    <w:pitch w:val="default"/>
    <w:sig w:usb0="00000001" w:usb1="080E0000" w:usb2="00000000" w:usb3="00000000" w:csb0="00040000" w:csb1="00000000"/>
  </w:font>
  <w:font w:name="方正大标宋_GBK">
    <w:altName w:val="黑体"/>
    <w:panose1 w:val="00000000000000000000"/>
    <w:charset w:val="86"/>
    <w:family w:val="script"/>
    <w:pitch w:val="default"/>
    <w:sig w:usb0="00000000" w:usb1="00000000" w:usb2="00000010" w:usb3="00000000" w:csb0="00040000" w:csb1="00000000"/>
  </w:font>
  <w:font w:name="Trebuchet MS">
    <w:panose1 w:val="020B0603020202020204"/>
    <w:charset w:val="00"/>
    <w:family w:val="swiss"/>
    <w:pitch w:val="default"/>
    <w:sig w:usb0="00000687" w:usb1="00000000" w:usb2="00000000" w:usb3="00000000" w:csb0="2000009F" w:csb1="00000000"/>
  </w:font>
  <w:font w:name="MS Sans Serif">
    <w:altName w:val="Arial"/>
    <w:panose1 w:val="00000000000000000000"/>
    <w:charset w:val="00"/>
    <w:family w:val="swiss"/>
    <w:pitch w:val="default"/>
    <w:sig w:usb0="00000000" w:usb1="00000000" w:usb2="00000000" w:usb3="00000000" w:csb0="00000001" w:csb1="00000000"/>
  </w:font>
  <w:font w:name="PMingLiU">
    <w:altName w:val="Microsoft JhengHei UI"/>
    <w:panose1 w:val="02010601000101010101"/>
    <w:charset w:val="88"/>
    <w:family w:val="roman"/>
    <w:pitch w:val="default"/>
    <w:sig w:usb0="00000000" w:usb1="00000000" w:usb2="00000016" w:usb3="00000000" w:csb0="00100001" w:csb1="00000000"/>
  </w:font>
  <w:font w:name="方正大标宋简体">
    <w:altName w:val="微软雅黑"/>
    <w:panose1 w:val="00000000000000000000"/>
    <w:charset w:val="86"/>
    <w:family w:val="auto"/>
    <w:pitch w:val="default"/>
    <w:sig w:usb0="00000000" w:usb1="00000000" w:usb2="00000010" w:usb3="00000000" w:csb0="00040000" w:csb1="00000000"/>
  </w:font>
  <w:font w:name="Century Gothic">
    <w:panose1 w:val="020B0502020202020204"/>
    <w:charset w:val="00"/>
    <w:family w:val="swiss"/>
    <w:pitch w:val="default"/>
    <w:sig w:usb0="00000287" w:usb1="00000000" w:usb2="00000000" w:usb3="00000000" w:csb0="2000009F" w:csb1="DFD70000"/>
  </w:font>
  <w:font w:name="Garamond">
    <w:panose1 w:val="02020404030301010803"/>
    <w:charset w:val="00"/>
    <w:family w:val="roman"/>
    <w:pitch w:val="default"/>
    <w:sig w:usb0="00000287" w:usb1="00000000" w:usb2="00000000" w:usb3="00000000" w:csb0="0000009F" w:csb1="DFD70000"/>
  </w:font>
  <w:font w:name="Bookman Old Style">
    <w:panose1 w:val="02050604050505020204"/>
    <w:charset w:val="00"/>
    <w:family w:val="roman"/>
    <w:pitch w:val="default"/>
    <w:sig w:usb0="00000287" w:usb1="00000000" w:usb2="00000000" w:usb3="00000000" w:csb0="2000009F" w:csb1="DFD70000"/>
  </w:font>
  <w:font w:name="华文细黑">
    <w:panose1 w:val="02010600040101010101"/>
    <w:charset w:val="86"/>
    <w:family w:val="auto"/>
    <w:pitch w:val="default"/>
    <w:sig w:usb0="00000287" w:usb1="080F0000" w:usb2="00000000" w:usb3="00000000" w:csb0="0004009F" w:csb1="DFD70000"/>
  </w:font>
  <w:font w:name="隶书体">
    <w:altName w:val="宋体"/>
    <w:panose1 w:val="00000000000000000000"/>
    <w:charset w:val="86"/>
    <w:family w:val="swiss"/>
    <w:pitch w:val="default"/>
    <w:sig w:usb0="00000000" w:usb1="00000000" w:usb2="00000010" w:usb3="00000000" w:csb0="00040000" w:csb1="00000000"/>
  </w:font>
  <w:font w:name="Univers">
    <w:altName w:val="Segoe Print"/>
    <w:panose1 w:val="00000000000000000000"/>
    <w:charset w:val="00"/>
    <w:family w:val="swiss"/>
    <w:pitch w:val="default"/>
    <w:sig w:usb0="00000000" w:usb1="00000000" w:usb2="00000000" w:usb3="00000000" w:csb0="0000000F" w:csb1="00000000"/>
  </w:font>
  <w:font w:name="等线">
    <w:panose1 w:val="02010600030101010101"/>
    <w:charset w:val="86"/>
    <w:family w:val="auto"/>
    <w:pitch w:val="default"/>
    <w:sig w:usb0="A00002BF" w:usb1="38CF7CFA" w:usb2="00000016" w:usb3="00000000" w:csb0="0004000F" w:csb1="00000000"/>
  </w:font>
  <w:font w:name="TimesNewRomanPSMT">
    <w:altName w:val="等线"/>
    <w:panose1 w:val="00000000000000000000"/>
    <w:charset w:val="86"/>
    <w:family w:val="auto"/>
    <w:pitch w:val="default"/>
    <w:sig w:usb0="00000000" w:usb1="00000000" w:usb2="00000010" w:usb3="00000000" w:csb0="00040000" w:csb1="00000000"/>
  </w:font>
  <w:font w:name="Cambria Math">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8AEE20">
    <w:pPr>
      <w:pStyle w:val="56"/>
      <w:pBdr>
        <w:top w:val="single" w:color="auto" w:sz="4" w:space="1"/>
      </w:pBdr>
      <w:rPr>
        <w:rFonts w:hint="eastAsia" w:ascii="楷体" w:hAnsi="楷体" w:eastAsia="楷体"/>
      </w:rPr>
    </w:pPr>
    <w:r>
      <w:rPr>
        <w:rFonts w:hint="eastAsia" w:ascii="楷体" w:hAnsi="楷体" w:eastAsia="楷体"/>
      </w:rPr>
      <w:t xml:space="preserve">山东海纳环境工程有限公司 </w:t>
    </w:r>
    <w:r>
      <w:rPr>
        <w:rFonts w:ascii="楷体" w:hAnsi="楷体" w:eastAsia="楷体"/>
      </w:rPr>
      <w:t xml:space="preserve">                             </w:t>
    </w:r>
    <w:r>
      <w:rPr>
        <w:rFonts w:ascii="楷体" w:hAnsi="楷体" w:eastAsia="楷体"/>
      </w:rPr>
      <w:fldChar w:fldCharType="begin"/>
    </w:r>
    <w:r>
      <w:rPr>
        <w:rFonts w:ascii="楷体" w:hAnsi="楷体" w:eastAsia="楷体"/>
      </w:rPr>
      <w:instrText xml:space="preserve">PAGE   \* MERGEFORMAT</w:instrText>
    </w:r>
    <w:r>
      <w:rPr>
        <w:rFonts w:ascii="楷体" w:hAnsi="楷体" w:eastAsia="楷体"/>
      </w:rPr>
      <w:fldChar w:fldCharType="separate"/>
    </w:r>
    <w:r>
      <w:rPr>
        <w:rFonts w:ascii="楷体" w:hAnsi="楷体" w:eastAsia="楷体"/>
        <w:lang w:val="zh-CN"/>
      </w:rPr>
      <w:t>1</w:t>
    </w:r>
    <w:r>
      <w:rPr>
        <w:rFonts w:ascii="楷体" w:hAnsi="楷体" w:eastAsia="楷体"/>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620E83">
    <w:pPr>
      <w:pStyle w:val="56"/>
      <w:framePr w:wrap="around" w:vAnchor="text" w:hAnchor="margin" w:xAlign="center" w:y="1"/>
      <w:rPr>
        <w:rStyle w:val="98"/>
      </w:rPr>
    </w:pPr>
    <w:r>
      <w:fldChar w:fldCharType="begin"/>
    </w:r>
    <w:r>
      <w:rPr>
        <w:rStyle w:val="98"/>
      </w:rPr>
      <w:instrText xml:space="preserve">PAGE  </w:instrText>
    </w:r>
    <w:r>
      <w:fldChar w:fldCharType="separate"/>
    </w:r>
    <w:r>
      <w:rPr>
        <w:rStyle w:val="98"/>
      </w:rPr>
      <w:t>1</w:t>
    </w:r>
    <w:r>
      <w:fldChar w:fldCharType="end"/>
    </w:r>
  </w:p>
  <w:p w14:paraId="7726DB35">
    <w:pPr>
      <w:pStyle w:val="5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4AC760">
    <w:pPr>
      <w:pStyle w:val="56"/>
      <w:pBdr>
        <w:top w:val="single" w:color="auto" w:sz="4" w:space="1"/>
      </w:pBdr>
      <w:rPr>
        <w:rFonts w:hint="eastAsia" w:ascii="楷体" w:hAnsi="楷体" w:eastAsia="楷体"/>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4E0A6">
    <w:pPr>
      <w:pStyle w:val="5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83EAC2">
    <w:pPr>
      <w:pStyle w:val="56"/>
      <w:pBdr>
        <w:top w:val="single" w:color="auto" w:sz="4" w:space="1"/>
      </w:pBdr>
      <w:rPr>
        <w:rFonts w:hint="eastAsia" w:ascii="楷体" w:hAnsi="楷体" w:eastAsia="楷体"/>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409571">
    <w:pPr>
      <w:pStyle w:val="5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2887C7">
    <w:pPr>
      <w:pStyle w:val="56"/>
      <w:pBdr>
        <w:top w:val="single" w:color="auto" w:sz="4" w:space="1"/>
      </w:pBdr>
      <w:rPr>
        <w:rFonts w:hint="eastAsia" w:ascii="楷体" w:hAnsi="楷体" w:eastAsia="楷体"/>
      </w:rPr>
    </w:pPr>
    <w:r>
      <w:rPr>
        <w:rFonts w:hint="eastAsia" w:ascii="楷体" w:hAnsi="楷体" w:eastAsia="楷体"/>
      </w:rPr>
      <w:t xml:space="preserve">山东海纳环境工程有限公司 </w:t>
    </w:r>
    <w:r>
      <w:rPr>
        <w:rFonts w:ascii="楷体" w:hAnsi="楷体" w:eastAsia="楷体"/>
      </w:rPr>
      <w:t xml:space="preserve">                             </w:t>
    </w:r>
    <w:r>
      <w:rPr>
        <w:rFonts w:ascii="楷体" w:hAnsi="楷体" w:eastAsia="楷体"/>
      </w:rPr>
      <w:fldChar w:fldCharType="begin"/>
    </w:r>
    <w:r>
      <w:rPr>
        <w:rFonts w:ascii="楷体" w:hAnsi="楷体" w:eastAsia="楷体"/>
      </w:rPr>
      <w:instrText xml:space="preserve">PAGE   \* MERGEFORMAT</w:instrText>
    </w:r>
    <w:r>
      <w:rPr>
        <w:rFonts w:ascii="楷体" w:hAnsi="楷体" w:eastAsia="楷体"/>
      </w:rPr>
      <w:fldChar w:fldCharType="separate"/>
    </w:r>
    <w:r>
      <w:rPr>
        <w:rFonts w:ascii="楷体" w:hAnsi="楷体" w:eastAsia="楷体"/>
        <w:lang w:val="zh-CN"/>
      </w:rPr>
      <w:t>1</w:t>
    </w:r>
    <w:r>
      <w:rPr>
        <w:rFonts w:ascii="楷体" w:hAnsi="楷体" w:eastAsia="楷体"/>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CD44E0">
    <w:pPr>
      <w:pStyle w:val="58"/>
      <w:pBdr>
        <w:bottom w:val="none" w:color="auto" w:sz="0" w:space="0"/>
      </w:pBd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0B3EB5">
    <w:pPr>
      <w:pStyle w:val="58"/>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D04E86">
    <w:pPr>
      <w:pStyle w:val="58"/>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E3E0C4">
    <w:pPr>
      <w:pStyle w:val="58"/>
      <w:pBdr>
        <w:bottom w:val="single" w:color="auto" w:sz="6" w:space="0"/>
      </w:pBdr>
    </w:pPr>
    <w:bookmarkStart w:id="312" w:name="_Hlk119845851"/>
    <w:bookmarkStart w:id="313" w:name="_Hlk119845852"/>
    <w:bookmarkStart w:id="314" w:name="_Hlk119845850"/>
    <w:bookmarkStart w:id="315" w:name="_Hlk119845849"/>
    <w:r>
      <w:rPr>
        <w:rFonts w:hint="eastAsia"/>
      </w:rPr>
      <w:t>潜江－韶关输气管道28号阀室新增下载点改扩建项目环境影响报告书</w:t>
    </w:r>
    <w:bookmarkEnd w:id="312"/>
    <w:bookmarkEnd w:id="313"/>
    <w:bookmarkEnd w:id="314"/>
    <w:bookmarkEnd w:id="315"/>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AE9EC6">
    <w:pPr>
      <w:pStyle w:val="58"/>
    </w:pPr>
    <w:r>
      <w:rPr>
        <w:rFonts w:hint="eastAsia"/>
      </w:rPr>
      <w:t>潜江—韶关输气管道28号阀室新增下载点改扩建项目环境影响报告书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7B984C"/>
    <w:multiLevelType w:val="singleLevel"/>
    <w:tmpl w:val="8A7B984C"/>
    <w:lvl w:ilvl="0" w:tentative="0">
      <w:start w:val="1"/>
      <w:numFmt w:val="decimal"/>
      <w:suff w:val="nothing"/>
      <w:lvlText w:val="%1）"/>
      <w:lvlJc w:val="left"/>
    </w:lvl>
  </w:abstractNum>
  <w:abstractNum w:abstractNumId="1">
    <w:nsid w:val="8F47EEFB"/>
    <w:multiLevelType w:val="singleLevel"/>
    <w:tmpl w:val="8F47EEFB"/>
    <w:lvl w:ilvl="0" w:tentative="0">
      <w:start w:val="1"/>
      <w:numFmt w:val="decimal"/>
      <w:suff w:val="nothing"/>
      <w:lvlText w:val="%1）"/>
      <w:lvlJc w:val="left"/>
    </w:lvl>
  </w:abstractNum>
  <w:abstractNum w:abstractNumId="2">
    <w:nsid w:val="C78DBC40"/>
    <w:multiLevelType w:val="singleLevel"/>
    <w:tmpl w:val="C78DBC40"/>
    <w:lvl w:ilvl="0" w:tentative="0">
      <w:start w:val="1"/>
      <w:numFmt w:val="decimal"/>
      <w:suff w:val="nothing"/>
      <w:lvlText w:val="（%1）"/>
      <w:lvlJc w:val="left"/>
    </w:lvl>
  </w:abstractNum>
  <w:abstractNum w:abstractNumId="3">
    <w:nsid w:val="DB9215FD"/>
    <w:multiLevelType w:val="multilevel"/>
    <w:tmpl w:val="DB9215FD"/>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FCA5AC7E"/>
    <w:multiLevelType w:val="singleLevel"/>
    <w:tmpl w:val="FCA5AC7E"/>
    <w:lvl w:ilvl="0" w:tentative="0">
      <w:start w:val="1"/>
      <w:numFmt w:val="decimal"/>
      <w:suff w:val="nothing"/>
      <w:lvlText w:val="%1）"/>
      <w:lvlJc w:val="left"/>
    </w:lvl>
  </w:abstractNum>
  <w:abstractNum w:abstractNumId="5">
    <w:nsid w:val="FFFFFF88"/>
    <w:multiLevelType w:val="singleLevel"/>
    <w:tmpl w:val="FFFFFF88"/>
    <w:lvl w:ilvl="0" w:tentative="0">
      <w:start w:val="1"/>
      <w:numFmt w:val="decimal"/>
      <w:pStyle w:val="740"/>
      <w:lvlText w:val="%1."/>
      <w:lvlJc w:val="left"/>
      <w:pPr>
        <w:tabs>
          <w:tab w:val="left" w:pos="1495"/>
        </w:tabs>
        <w:ind w:left="1495" w:hanging="360" w:hangingChars="200"/>
      </w:pPr>
    </w:lvl>
  </w:abstractNum>
  <w:abstractNum w:abstractNumId="6">
    <w:nsid w:val="FFFFFFFB"/>
    <w:multiLevelType w:val="multilevel"/>
    <w:tmpl w:val="FFFFFFFB"/>
    <w:lvl w:ilvl="0" w:tentative="0">
      <w:start w:val="1"/>
      <w:numFmt w:val="decimal"/>
      <w:pStyle w:val="138"/>
      <w:lvlText w:val="%1."/>
      <w:lvlJc w:val="left"/>
      <w:pPr>
        <w:tabs>
          <w:tab w:val="left" w:pos="0"/>
        </w:tabs>
        <w:ind w:left="0" w:firstLine="0"/>
      </w:pPr>
      <w:rPr>
        <w:rFonts w:hint="eastAsia"/>
      </w:rPr>
    </w:lvl>
    <w:lvl w:ilvl="1" w:tentative="0">
      <w:start w:val="1"/>
      <w:numFmt w:val="decimal"/>
      <w:lvlText w:val="%1.%2"/>
      <w:lvlJc w:val="left"/>
      <w:pPr>
        <w:tabs>
          <w:tab w:val="left" w:pos="0"/>
        </w:tabs>
        <w:ind w:left="0" w:firstLine="0"/>
      </w:pPr>
      <w:rPr>
        <w:rFonts w:hint="eastAsia"/>
      </w:rPr>
    </w:lvl>
    <w:lvl w:ilvl="2" w:tentative="0">
      <w:start w:val="1"/>
      <w:numFmt w:val="decimal"/>
      <w:pStyle w:val="120"/>
      <w:lvlText w:val="%1.%2.%3"/>
      <w:lvlJc w:val="left"/>
      <w:pPr>
        <w:tabs>
          <w:tab w:val="left" w:pos="0"/>
        </w:tabs>
        <w:ind w:left="0" w:firstLine="0"/>
      </w:pPr>
      <w:rPr>
        <w:rFonts w:hint="eastAsia"/>
      </w:rPr>
    </w:lvl>
    <w:lvl w:ilvl="3" w:tentative="0">
      <w:start w:val="1"/>
      <w:numFmt w:val="decimal"/>
      <w:lvlText w:val="%1.%2.%3.%4"/>
      <w:lvlJc w:val="left"/>
      <w:pPr>
        <w:tabs>
          <w:tab w:val="left" w:pos="0"/>
        </w:tabs>
        <w:ind w:left="0" w:firstLine="0"/>
      </w:pPr>
      <w:rPr>
        <w:rFonts w:hint="eastAsia"/>
        <w:color w:val="auto"/>
      </w:rPr>
    </w:lvl>
    <w:lvl w:ilvl="4" w:tentative="0">
      <w:start w:val="1"/>
      <w:numFmt w:val="decimal"/>
      <w:lvlText w:val="%1.%2.%3.%4.%5"/>
      <w:lvlJc w:val="left"/>
      <w:pPr>
        <w:tabs>
          <w:tab w:val="left" w:pos="0"/>
        </w:tabs>
        <w:ind w:left="0" w:firstLine="0"/>
      </w:pPr>
      <w:rPr>
        <w:rFonts w:hint="eastAsia"/>
      </w:rPr>
    </w:lvl>
    <w:lvl w:ilvl="5" w:tentative="0">
      <w:start w:val="1"/>
      <w:numFmt w:val="upperLetter"/>
      <w:lvlText w:val="%6."/>
      <w:lvlJc w:val="left"/>
      <w:pPr>
        <w:tabs>
          <w:tab w:val="left" w:pos="927"/>
        </w:tabs>
        <w:ind w:left="0" w:firstLine="567"/>
      </w:pPr>
      <w:rPr>
        <w:rFonts w:hint="eastAsia"/>
        <w:b w:val="0"/>
        <w:i w:val="0"/>
        <w:sz w:val="28"/>
      </w:rPr>
    </w:lvl>
    <w:lvl w:ilvl="6" w:tentative="0">
      <w:start w:val="1"/>
      <w:numFmt w:val="decimal"/>
      <w:lvlText w:val="%1.%2.%3.%4.%5.%6.%7"/>
      <w:lvlJc w:val="left"/>
      <w:pPr>
        <w:tabs>
          <w:tab w:val="left" w:pos="0"/>
        </w:tabs>
        <w:ind w:left="0" w:firstLine="0"/>
      </w:pPr>
      <w:rPr>
        <w:rFonts w:hint="eastAsia"/>
      </w:rPr>
    </w:lvl>
    <w:lvl w:ilvl="7" w:tentative="0">
      <w:start w:val="1"/>
      <w:numFmt w:val="decimal"/>
      <w:lvlText w:val="%1.%2.%3.%4.%5.%6.%7.%8"/>
      <w:lvlJc w:val="left"/>
      <w:pPr>
        <w:tabs>
          <w:tab w:val="left" w:pos="0"/>
        </w:tabs>
        <w:ind w:left="0" w:firstLine="0"/>
      </w:pPr>
      <w:rPr>
        <w:rFonts w:hint="eastAsia"/>
      </w:rPr>
    </w:lvl>
    <w:lvl w:ilvl="8" w:tentative="0">
      <w:start w:val="1"/>
      <w:numFmt w:val="decimal"/>
      <w:lvlText w:val="%1.%2.%3.%4.%5.%6.%7.%8.%9"/>
      <w:lvlJc w:val="left"/>
      <w:pPr>
        <w:tabs>
          <w:tab w:val="left" w:pos="0"/>
        </w:tabs>
        <w:ind w:left="0" w:firstLine="0"/>
      </w:pPr>
      <w:rPr>
        <w:rFonts w:hint="eastAsia"/>
      </w:rPr>
    </w:lvl>
  </w:abstractNum>
  <w:abstractNum w:abstractNumId="7">
    <w:nsid w:val="04543313"/>
    <w:multiLevelType w:val="multilevel"/>
    <w:tmpl w:val="04543313"/>
    <w:lvl w:ilvl="0" w:tentative="0">
      <w:start w:val="1"/>
      <w:numFmt w:val="decimal"/>
      <w:pStyle w:val="244"/>
      <w:lvlText w:val="%1"/>
      <w:lvlJc w:val="left"/>
      <w:pPr>
        <w:ind w:left="425" w:hanging="425"/>
      </w:pPr>
      <w:rPr>
        <w:rFonts w:hint="eastAsia"/>
      </w:r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rPr>
        <w:rFonts w:hint="default" w:ascii="Times New Roman" w:hAnsi="Times New Roman" w:cs="Times New Roman"/>
        <w:b w:val="0"/>
        <w:bCs w:val="0"/>
        <w:i w:val="0"/>
        <w:iCs w:val="0"/>
        <w:caps w:val="0"/>
        <w:smallCaps w:val="0"/>
        <w:strike w:val="0"/>
        <w:dstrike w:val="0"/>
        <w:vanish w:val="0"/>
        <w:color w:val="000000"/>
        <w:spacing w:val="0"/>
        <w:position w:val="0"/>
        <w:u w:val="none"/>
        <w:vertAlign w:val="baseline"/>
      </w:r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8">
    <w:nsid w:val="06120F39"/>
    <w:multiLevelType w:val="multilevel"/>
    <w:tmpl w:val="06120F39"/>
    <w:lvl w:ilvl="0" w:tentative="0">
      <w:start w:val="1"/>
      <w:numFmt w:val="decimal"/>
      <w:lvlText w:val="%1"/>
      <w:lvlJc w:val="left"/>
      <w:pPr>
        <w:ind w:left="425" w:hanging="425"/>
      </w:pPr>
      <w:rPr>
        <w:rFonts w:hint="eastAsia"/>
      </w:rPr>
    </w:lvl>
    <w:lvl w:ilvl="1" w:tentative="0">
      <w:start w:val="1"/>
      <w:numFmt w:val="decimal"/>
      <w:pStyle w:val="1188"/>
      <w:lvlText w:val="%1.%2"/>
      <w:lvlJc w:val="left"/>
      <w:pPr>
        <w:ind w:left="425" w:hanging="425"/>
      </w:pPr>
      <w:rPr>
        <w:rFonts w:ascii="Times New Roman" w:hAnsi="Times New Roman" w:cs="Times New Roman"/>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9">
    <w:nsid w:val="08F70E43"/>
    <w:multiLevelType w:val="multilevel"/>
    <w:tmpl w:val="08F70E43"/>
    <w:lvl w:ilvl="0" w:tentative="0">
      <w:start w:val="1"/>
      <w:numFmt w:val="decimal"/>
      <w:pStyle w:val="1976"/>
      <w:lvlText w:val="（%1）"/>
      <w:lvlJc w:val="left"/>
      <w:pPr>
        <w:tabs>
          <w:tab w:val="left" w:pos="980"/>
        </w:tabs>
        <w:ind w:left="980" w:hanging="420"/>
      </w:pPr>
      <w:rPr>
        <w:rFonts w:hint="default"/>
      </w:rPr>
    </w:lvl>
    <w:lvl w:ilvl="1" w:tentative="0">
      <w:start w:val="1"/>
      <w:numFmt w:val="bullet"/>
      <w:lvlText w:val=""/>
      <w:lvlJc w:val="left"/>
      <w:pPr>
        <w:tabs>
          <w:tab w:val="left" w:pos="1400"/>
        </w:tabs>
        <w:ind w:left="1400" w:hanging="420"/>
      </w:pPr>
      <w:rPr>
        <w:rFonts w:hint="default" w:ascii="Wingdings" w:hAnsi="Wingdings"/>
      </w:rPr>
    </w:lvl>
    <w:lvl w:ilvl="2" w:tentative="0">
      <w:start w:val="1"/>
      <w:numFmt w:val="bullet"/>
      <w:lvlText w:val=""/>
      <w:lvlJc w:val="left"/>
      <w:pPr>
        <w:tabs>
          <w:tab w:val="left" w:pos="1820"/>
        </w:tabs>
        <w:ind w:left="1820" w:hanging="420"/>
      </w:pPr>
      <w:rPr>
        <w:rFonts w:hint="default" w:ascii="Wingdings" w:hAnsi="Wingdings"/>
      </w:rPr>
    </w:lvl>
    <w:lvl w:ilvl="3" w:tentative="0">
      <w:start w:val="1"/>
      <w:numFmt w:val="bullet"/>
      <w:lvlText w:val=""/>
      <w:lvlJc w:val="left"/>
      <w:pPr>
        <w:tabs>
          <w:tab w:val="left" w:pos="2240"/>
        </w:tabs>
        <w:ind w:left="2240" w:hanging="420"/>
      </w:pPr>
      <w:rPr>
        <w:rFonts w:hint="default" w:ascii="Wingdings" w:hAnsi="Wingdings"/>
      </w:rPr>
    </w:lvl>
    <w:lvl w:ilvl="4" w:tentative="0">
      <w:start w:val="1"/>
      <w:numFmt w:val="bullet"/>
      <w:lvlText w:val=""/>
      <w:lvlJc w:val="left"/>
      <w:pPr>
        <w:tabs>
          <w:tab w:val="left" w:pos="2660"/>
        </w:tabs>
        <w:ind w:left="2660" w:hanging="420"/>
      </w:pPr>
      <w:rPr>
        <w:rFonts w:hint="default" w:ascii="Wingdings" w:hAnsi="Wingdings"/>
      </w:rPr>
    </w:lvl>
    <w:lvl w:ilvl="5" w:tentative="0">
      <w:start w:val="1"/>
      <w:numFmt w:val="bullet"/>
      <w:lvlText w:val=""/>
      <w:lvlJc w:val="left"/>
      <w:pPr>
        <w:tabs>
          <w:tab w:val="left" w:pos="3080"/>
        </w:tabs>
        <w:ind w:left="3080" w:hanging="420"/>
      </w:pPr>
      <w:rPr>
        <w:rFonts w:hint="default" w:ascii="Wingdings" w:hAnsi="Wingdings"/>
      </w:rPr>
    </w:lvl>
    <w:lvl w:ilvl="6" w:tentative="0">
      <w:start w:val="1"/>
      <w:numFmt w:val="bullet"/>
      <w:lvlText w:val=""/>
      <w:lvlJc w:val="left"/>
      <w:pPr>
        <w:tabs>
          <w:tab w:val="left" w:pos="3500"/>
        </w:tabs>
        <w:ind w:left="3500" w:hanging="420"/>
      </w:pPr>
      <w:rPr>
        <w:rFonts w:hint="default" w:ascii="Wingdings" w:hAnsi="Wingdings"/>
      </w:rPr>
    </w:lvl>
    <w:lvl w:ilvl="7" w:tentative="0">
      <w:start w:val="1"/>
      <w:numFmt w:val="bullet"/>
      <w:lvlText w:val=""/>
      <w:lvlJc w:val="left"/>
      <w:pPr>
        <w:tabs>
          <w:tab w:val="left" w:pos="3920"/>
        </w:tabs>
        <w:ind w:left="3920" w:hanging="420"/>
      </w:pPr>
      <w:rPr>
        <w:rFonts w:hint="default" w:ascii="Wingdings" w:hAnsi="Wingdings"/>
      </w:rPr>
    </w:lvl>
    <w:lvl w:ilvl="8" w:tentative="0">
      <w:start w:val="1"/>
      <w:numFmt w:val="bullet"/>
      <w:lvlText w:val=""/>
      <w:lvlJc w:val="left"/>
      <w:pPr>
        <w:tabs>
          <w:tab w:val="left" w:pos="4340"/>
        </w:tabs>
        <w:ind w:left="4340" w:hanging="420"/>
      </w:pPr>
      <w:rPr>
        <w:rFonts w:hint="default" w:ascii="Wingdings" w:hAnsi="Wingdings"/>
      </w:rPr>
    </w:lvl>
  </w:abstractNum>
  <w:abstractNum w:abstractNumId="10">
    <w:nsid w:val="121A1FE3"/>
    <w:multiLevelType w:val="multilevel"/>
    <w:tmpl w:val="121A1FE3"/>
    <w:lvl w:ilvl="0" w:tentative="0">
      <w:start w:val="1"/>
      <w:numFmt w:val="decimal"/>
      <w:pStyle w:val="954"/>
      <w:lvlText w:val="(%1)."/>
      <w:lvlJc w:val="left"/>
      <w:pPr>
        <w:ind w:left="900" w:hanging="420"/>
      </w:pPr>
      <w:rPr>
        <w:rFonts w:ascii="Times New Roman" w:hAnsi="Times New Roman" w:cs="Times New Roman"/>
        <w:b w:val="0"/>
        <w:bCs w:val="0"/>
        <w:i w:val="0"/>
        <w:iCs w:val="0"/>
        <w:caps w:val="0"/>
        <w:smallCaps w:val="0"/>
        <w:strike w:val="0"/>
        <w:dstrike w:val="0"/>
        <w:vanish w:val="0"/>
        <w:color w:val="000000"/>
        <w:spacing w:val="0"/>
        <w:position w:val="0"/>
        <w:u w:val="none"/>
        <w:vertAlign w:val="baseli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238C5E86"/>
    <w:multiLevelType w:val="multilevel"/>
    <w:tmpl w:val="238C5E86"/>
    <w:lvl w:ilvl="0" w:tentative="0">
      <w:start w:val="1"/>
      <w:numFmt w:val="decimal"/>
      <w:pStyle w:val="3"/>
      <w:lvlText w:val="%1"/>
      <w:lvlJc w:val="left"/>
      <w:rPr>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decimal"/>
      <w:pStyle w:val="4"/>
      <w:lvlText w:val="%1.%2"/>
      <w:lvlJc w:val="left"/>
      <w:pPr>
        <w:ind w:left="718" w:hanging="576"/>
      </w:pPr>
      <w:rPr>
        <w:b/>
        <w:bCs/>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2" w:tentative="0">
      <w:start w:val="1"/>
      <w:numFmt w:val="decimal"/>
      <w:pStyle w:val="5"/>
      <w:lvlText w:val="%1.%2.%3"/>
      <w:lvlJc w:val="left"/>
      <w:rPr>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pStyle w:val="7"/>
      <w:lvlText w:val="%1.%2.%3.%4"/>
      <w:lvlJc w:val="left"/>
      <w:rPr>
        <w:b w:val="0"/>
        <w:bCs w:val="0"/>
        <w:i w:val="0"/>
        <w:iCs w:val="0"/>
        <w:caps w:val="0"/>
        <w:smallCaps w:val="0"/>
        <w:strike w:val="0"/>
        <w:dstrike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4" w:tentative="0">
      <w:start w:val="1"/>
      <w:numFmt w:val="decimal"/>
      <w:pStyle w:val="8"/>
      <w:lvlText w:val="%1.%2.%3.%4.%5"/>
      <w:lvlJc w:val="left"/>
      <w:pPr>
        <w:ind w:left="3133" w:hanging="1008"/>
      </w:pPr>
    </w:lvl>
    <w:lvl w:ilvl="5" w:tentative="0">
      <w:start w:val="1"/>
      <w:numFmt w:val="decimal"/>
      <w:pStyle w:val="9"/>
      <w:lvlText w:val="%1.%2.%3.%4.%5.%6"/>
      <w:lvlJc w:val="left"/>
      <w:pPr>
        <w:ind w:left="3277" w:hanging="1152"/>
      </w:pPr>
    </w:lvl>
    <w:lvl w:ilvl="6" w:tentative="0">
      <w:start w:val="1"/>
      <w:numFmt w:val="decimal"/>
      <w:pStyle w:val="10"/>
      <w:lvlText w:val="%1.%2.%3.%4.%5.%6.%7"/>
      <w:lvlJc w:val="left"/>
      <w:pPr>
        <w:ind w:left="3421" w:hanging="1296"/>
      </w:pPr>
    </w:lvl>
    <w:lvl w:ilvl="7" w:tentative="0">
      <w:start w:val="1"/>
      <w:numFmt w:val="decimal"/>
      <w:pStyle w:val="11"/>
      <w:lvlText w:val="%1.%2.%3.%4.%5.%6.%7.%8"/>
      <w:lvlJc w:val="left"/>
      <w:pPr>
        <w:ind w:left="3565" w:hanging="1440"/>
      </w:pPr>
    </w:lvl>
    <w:lvl w:ilvl="8" w:tentative="0">
      <w:start w:val="1"/>
      <w:numFmt w:val="decimal"/>
      <w:pStyle w:val="12"/>
      <w:lvlText w:val="%1.%2.%3.%4.%5.%6.%7.%8.%9"/>
      <w:lvlJc w:val="left"/>
      <w:pPr>
        <w:ind w:left="3709" w:hanging="1584"/>
      </w:pPr>
    </w:lvl>
  </w:abstractNum>
  <w:abstractNum w:abstractNumId="12">
    <w:nsid w:val="23AE7D81"/>
    <w:multiLevelType w:val="multilevel"/>
    <w:tmpl w:val="23AE7D81"/>
    <w:lvl w:ilvl="0" w:tentative="0">
      <w:start w:val="1"/>
      <w:numFmt w:val="decimal"/>
      <w:pStyle w:val="866"/>
      <w:suff w:val="space"/>
      <w:lvlText w:val="表6-%1"/>
      <w:lvlJc w:val="left"/>
      <w:pPr>
        <w:ind w:left="0" w:firstLine="0"/>
      </w:pPr>
      <w:rPr>
        <w:rFonts w:hint="eastAsia"/>
        <w:b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330F06D8"/>
    <w:multiLevelType w:val="multilevel"/>
    <w:tmpl w:val="330F06D8"/>
    <w:lvl w:ilvl="0" w:tentative="0">
      <w:start w:val="1"/>
      <w:numFmt w:val="decimal"/>
      <w:pStyle w:val="1225"/>
      <w:lvlText w:val="%1"/>
      <w:lvlJc w:val="left"/>
      <w:pPr>
        <w:tabs>
          <w:tab w:val="left" w:pos="425"/>
        </w:tabs>
        <w:ind w:left="425" w:hanging="425"/>
      </w:pPr>
    </w:lvl>
    <w:lvl w:ilvl="1" w:tentative="0">
      <w:start w:val="1"/>
      <w:numFmt w:val="decimal"/>
      <w:lvlText w:val="%1.%2"/>
      <w:lvlJc w:val="left"/>
      <w:pPr>
        <w:tabs>
          <w:tab w:val="left" w:pos="992"/>
        </w:tabs>
        <w:ind w:left="992" w:hanging="567"/>
      </w:pPr>
    </w:lvl>
    <w:lvl w:ilvl="2" w:tentative="0">
      <w:start w:val="1"/>
      <w:numFmt w:val="decimal"/>
      <w:pStyle w:val="2780"/>
      <w:lvlText w:val="%1.%2.%3"/>
      <w:lvlJc w:val="left"/>
      <w:pPr>
        <w:tabs>
          <w:tab w:val="left" w:pos="1571"/>
        </w:tabs>
        <w:ind w:left="1418" w:hanging="567"/>
      </w:pPr>
    </w:lvl>
    <w:lvl w:ilvl="3" w:tentative="0">
      <w:start w:val="1"/>
      <w:numFmt w:val="decimal"/>
      <w:pStyle w:val="2866"/>
      <w:lvlText w:val="%1.%2.%3.%4"/>
      <w:lvlJc w:val="left"/>
      <w:pPr>
        <w:tabs>
          <w:tab w:val="left" w:pos="2356"/>
        </w:tabs>
        <w:ind w:left="1984" w:hanging="708"/>
      </w:pPr>
    </w:lvl>
    <w:lvl w:ilvl="4" w:tentative="0">
      <w:start w:val="1"/>
      <w:numFmt w:val="decimal"/>
      <w:lvlText w:val="%1.%2.%3.%4.%5"/>
      <w:lvlJc w:val="left"/>
      <w:pPr>
        <w:tabs>
          <w:tab w:val="left" w:pos="3141"/>
        </w:tabs>
        <w:ind w:left="2551" w:hanging="850"/>
      </w:pPr>
    </w:lvl>
    <w:lvl w:ilvl="5" w:tentative="0">
      <w:start w:val="1"/>
      <w:numFmt w:val="decimal"/>
      <w:lvlText w:val="%1.%2.%3.%4.%5.%6"/>
      <w:lvlJc w:val="left"/>
      <w:pPr>
        <w:tabs>
          <w:tab w:val="left" w:pos="3926"/>
        </w:tabs>
        <w:ind w:left="3260" w:hanging="1134"/>
      </w:pPr>
    </w:lvl>
    <w:lvl w:ilvl="6" w:tentative="0">
      <w:start w:val="1"/>
      <w:numFmt w:val="decimal"/>
      <w:lvlText w:val="%1.%2.%3.%4.%5.%6.%7"/>
      <w:lvlJc w:val="left"/>
      <w:pPr>
        <w:tabs>
          <w:tab w:val="left" w:pos="4711"/>
        </w:tabs>
        <w:ind w:left="3827" w:hanging="1276"/>
      </w:pPr>
    </w:lvl>
    <w:lvl w:ilvl="7" w:tentative="0">
      <w:start w:val="1"/>
      <w:numFmt w:val="decimal"/>
      <w:lvlText w:val="%1.%2.%3.%4.%5.%6.%7.%8"/>
      <w:lvlJc w:val="left"/>
      <w:pPr>
        <w:tabs>
          <w:tab w:val="left" w:pos="5136"/>
        </w:tabs>
        <w:ind w:left="4394" w:hanging="1418"/>
      </w:pPr>
    </w:lvl>
    <w:lvl w:ilvl="8" w:tentative="0">
      <w:start w:val="1"/>
      <w:numFmt w:val="decimal"/>
      <w:lvlText w:val="%1.%2.%3.%4.%5.%6.%7.%8.%9"/>
      <w:lvlJc w:val="left"/>
      <w:pPr>
        <w:tabs>
          <w:tab w:val="left" w:pos="5922"/>
        </w:tabs>
        <w:ind w:left="5102" w:hanging="1700"/>
      </w:pPr>
    </w:lvl>
  </w:abstractNum>
  <w:abstractNum w:abstractNumId="14">
    <w:nsid w:val="37660A18"/>
    <w:multiLevelType w:val="multilevel"/>
    <w:tmpl w:val="37660A18"/>
    <w:lvl w:ilvl="0" w:tentative="0">
      <w:start w:val="1"/>
      <w:numFmt w:val="decimal"/>
      <w:lvlText w:val="%1"/>
      <w:lvlJc w:val="left"/>
      <w:pPr>
        <w:ind w:left="425" w:hanging="425"/>
      </w:pPr>
      <w:rPr>
        <w:rFonts w:hint="default" w:ascii="Times New Roman" w:hAnsi="Times New Roman" w:cs="Times New Roman"/>
      </w:r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pStyle w:val="985"/>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5">
    <w:nsid w:val="3F09CAC8"/>
    <w:multiLevelType w:val="multilevel"/>
    <w:tmpl w:val="3F09CAC8"/>
    <w:lvl w:ilvl="0" w:tentative="0">
      <w:start w:val="1"/>
      <w:numFmt w:val="decimal"/>
      <w:suff w:val="nothing"/>
      <w:lvlText w:val="（%1）"/>
      <w:lvlJc w:val="left"/>
      <w:pPr>
        <w:ind w:left="0" w:firstLine="0"/>
      </w:pPr>
      <w:rPr>
        <w:rFonts w:hint="default"/>
      </w:rPr>
    </w:lvl>
    <w:lvl w:ilvl="1" w:tentative="0">
      <w:start w:val="1"/>
      <w:numFmt w:val="decimal"/>
      <w:suff w:val="nothing"/>
      <w:lvlText w:val="（%1.%2）"/>
      <w:lvlJc w:val="left"/>
      <w:pPr>
        <w:ind w:left="0" w:firstLine="0"/>
      </w:pPr>
      <w:rPr>
        <w:rFonts w:hint="default"/>
      </w:rPr>
    </w:lvl>
    <w:lvl w:ilvl="2" w:tentative="0">
      <w:start w:val="1"/>
      <w:numFmt w:val="decimal"/>
      <w:suff w:val="nothing"/>
      <w:lvlText w:val="（%1.%2.%3）"/>
      <w:lvlJc w:val="left"/>
      <w:pPr>
        <w:ind w:left="0" w:firstLine="0"/>
      </w:pPr>
      <w:rPr>
        <w:rFonts w:hint="default"/>
      </w:rPr>
    </w:lvl>
    <w:lvl w:ilvl="3" w:tentative="0">
      <w:start w:val="1"/>
      <w:numFmt w:val="decimal"/>
      <w:suff w:val="nothing"/>
      <w:lvlText w:val="（%1.%2.%3.%4）"/>
      <w:lvlJc w:val="left"/>
      <w:pPr>
        <w:ind w:left="0" w:firstLine="0"/>
      </w:pPr>
      <w:rPr>
        <w:rFonts w:hint="default"/>
      </w:rPr>
    </w:lvl>
    <w:lvl w:ilvl="4" w:tentative="0">
      <w:start w:val="1"/>
      <w:numFmt w:val="decimal"/>
      <w:suff w:val="nothing"/>
      <w:lvlText w:val="（%1.%2.%3.%4.%5）"/>
      <w:lvlJc w:val="left"/>
      <w:pPr>
        <w:ind w:left="0" w:firstLine="0"/>
      </w:pPr>
      <w:rPr>
        <w:rFonts w:hint="default"/>
      </w:rPr>
    </w:lvl>
    <w:lvl w:ilvl="5" w:tentative="0">
      <w:start w:val="1"/>
      <w:numFmt w:val="decimal"/>
      <w:suff w:val="nothing"/>
      <w:lvlText w:val="（%1.%2.%3.%4.%5.%6）"/>
      <w:lvlJc w:val="left"/>
      <w:pPr>
        <w:ind w:left="0" w:firstLine="0"/>
      </w:pPr>
      <w:rPr>
        <w:rFonts w:hint="default"/>
      </w:rPr>
    </w:lvl>
    <w:lvl w:ilvl="6" w:tentative="0">
      <w:start w:val="1"/>
      <w:numFmt w:val="decimal"/>
      <w:suff w:val="nothing"/>
      <w:lvlText w:val="（%1.%2.%3.%4.%5.%6.%7）"/>
      <w:lvlJc w:val="left"/>
      <w:pPr>
        <w:ind w:left="0" w:firstLine="0"/>
      </w:pPr>
      <w:rPr>
        <w:rFonts w:hint="default"/>
      </w:rPr>
    </w:lvl>
    <w:lvl w:ilvl="7" w:tentative="0">
      <w:start w:val="1"/>
      <w:numFmt w:val="decimal"/>
      <w:suff w:val="nothing"/>
      <w:lvlText w:val="（%1.%2.%3.%4.%5.%6.%7.%8）"/>
      <w:lvlJc w:val="left"/>
      <w:pPr>
        <w:ind w:left="0" w:firstLine="0"/>
      </w:pPr>
      <w:rPr>
        <w:rFonts w:hint="default"/>
      </w:rPr>
    </w:lvl>
    <w:lvl w:ilvl="8" w:tentative="0">
      <w:start w:val="1"/>
      <w:numFmt w:val="decimal"/>
      <w:suff w:val="nothing"/>
      <w:lvlText w:val="（%1.%2.%3.%4.%5.%6.%7.%8.%9）"/>
      <w:lvlJc w:val="left"/>
      <w:pPr>
        <w:ind w:left="0" w:firstLine="0"/>
      </w:pPr>
      <w:rPr>
        <w:rFonts w:hint="default"/>
      </w:rPr>
    </w:lvl>
  </w:abstractNum>
  <w:abstractNum w:abstractNumId="16">
    <w:nsid w:val="45E35C20"/>
    <w:multiLevelType w:val="multilevel"/>
    <w:tmpl w:val="45E35C20"/>
    <w:lvl w:ilvl="0" w:tentative="0">
      <w:start w:val="1"/>
      <w:numFmt w:val="decimal"/>
      <w:pStyle w:val="907"/>
      <w:lvlText w:val="（%1）"/>
      <w:lvlJc w:val="left"/>
      <w:pPr>
        <w:ind w:left="846" w:hanging="420"/>
      </w:pPr>
      <w:rPr>
        <w:rFonts w:hint="default" w:ascii="Times New Roman" w:hAnsi="Times New Roman" w:cs="Times New Roman"/>
        <w:b w:val="0"/>
        <w:sz w:val="24"/>
        <w:szCs w:val="24"/>
        <w:lang w:val="en-US"/>
      </w:rPr>
    </w:lvl>
    <w:lvl w:ilvl="1" w:tentative="0">
      <w:start w:val="2"/>
      <w:numFmt w:val="decimalEnclosedCircle"/>
      <w:lvlText w:val="%2"/>
      <w:lvlJc w:val="left"/>
      <w:pPr>
        <w:ind w:left="5601" w:hanging="360"/>
      </w:pPr>
      <w:rPr>
        <w:rFonts w:hint="default" w:ascii="宋体" w:hAnsi="宋体" w:cs="宋体"/>
      </w:rPr>
    </w:lvl>
    <w:lvl w:ilvl="2" w:tentative="0">
      <w:start w:val="1"/>
      <w:numFmt w:val="lowerRoman"/>
      <w:lvlText w:val="%3."/>
      <w:lvlJc w:val="right"/>
      <w:pPr>
        <w:ind w:left="6081" w:hanging="420"/>
      </w:pPr>
    </w:lvl>
    <w:lvl w:ilvl="3" w:tentative="0">
      <w:start w:val="1"/>
      <w:numFmt w:val="decimal"/>
      <w:lvlText w:val="%4."/>
      <w:lvlJc w:val="left"/>
      <w:pPr>
        <w:ind w:left="6501" w:hanging="420"/>
      </w:pPr>
    </w:lvl>
    <w:lvl w:ilvl="4" w:tentative="0">
      <w:start w:val="1"/>
      <w:numFmt w:val="lowerLetter"/>
      <w:lvlText w:val="%5)"/>
      <w:lvlJc w:val="left"/>
      <w:pPr>
        <w:ind w:left="6921" w:hanging="420"/>
      </w:pPr>
    </w:lvl>
    <w:lvl w:ilvl="5" w:tentative="0">
      <w:start w:val="1"/>
      <w:numFmt w:val="lowerRoman"/>
      <w:lvlText w:val="%6."/>
      <w:lvlJc w:val="right"/>
      <w:pPr>
        <w:ind w:left="7341" w:hanging="420"/>
      </w:pPr>
    </w:lvl>
    <w:lvl w:ilvl="6" w:tentative="0">
      <w:start w:val="1"/>
      <w:numFmt w:val="decimal"/>
      <w:lvlText w:val="%7."/>
      <w:lvlJc w:val="left"/>
      <w:pPr>
        <w:ind w:left="7761" w:hanging="420"/>
      </w:pPr>
    </w:lvl>
    <w:lvl w:ilvl="7" w:tentative="0">
      <w:start w:val="1"/>
      <w:numFmt w:val="lowerLetter"/>
      <w:lvlText w:val="%8)"/>
      <w:lvlJc w:val="left"/>
      <w:pPr>
        <w:ind w:left="8181" w:hanging="420"/>
      </w:pPr>
    </w:lvl>
    <w:lvl w:ilvl="8" w:tentative="0">
      <w:start w:val="1"/>
      <w:numFmt w:val="lowerRoman"/>
      <w:lvlText w:val="%9."/>
      <w:lvlJc w:val="right"/>
      <w:pPr>
        <w:ind w:left="8601" w:hanging="420"/>
      </w:pPr>
    </w:lvl>
  </w:abstractNum>
  <w:abstractNum w:abstractNumId="17">
    <w:nsid w:val="46B43B1E"/>
    <w:multiLevelType w:val="multilevel"/>
    <w:tmpl w:val="46B43B1E"/>
    <w:lvl w:ilvl="0" w:tentative="0">
      <w:start w:val="1"/>
      <w:numFmt w:val="decimal"/>
      <w:pStyle w:val="939"/>
      <w:lvlText w:val="(%1)"/>
      <w:lvlJc w:val="left"/>
      <w:pPr>
        <w:ind w:left="900" w:hanging="420"/>
      </w:pPr>
      <w:rPr>
        <w:rFonts w:hint="default" w:ascii="Times New Roman" w:hAnsi="Times New Roman" w:eastAsia="宋体" w:cs="Times New Roman"/>
        <w:b w:val="0"/>
        <w:i w:val="0"/>
        <w:color w:val="000000"/>
        <w:sz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8">
    <w:nsid w:val="591C4F8C"/>
    <w:multiLevelType w:val="multilevel"/>
    <w:tmpl w:val="591C4F8C"/>
    <w:lvl w:ilvl="0" w:tentative="0">
      <w:start w:val="1"/>
      <w:numFmt w:val="decimal"/>
      <w:lvlText w:val="%1"/>
      <w:lvlJc w:val="left"/>
      <w:pPr>
        <w:ind w:left="425" w:hanging="425"/>
      </w:pPr>
    </w:lvl>
    <w:lvl w:ilvl="1" w:tentative="0">
      <w:start w:val="1"/>
      <w:numFmt w:val="decimal"/>
      <w:lvlText w:val="%1.%2"/>
      <w:lvlJc w:val="left"/>
      <w:pPr>
        <w:ind w:left="992" w:hanging="567"/>
      </w:pPr>
    </w:lvl>
    <w:lvl w:ilvl="2" w:tentative="0">
      <w:start w:val="1"/>
      <w:numFmt w:val="decimal"/>
      <w:pStyle w:val="928"/>
      <w:lvlText w:val="%1.%2.%3"/>
      <w:lvlJc w:val="left"/>
      <w:pPr>
        <w:ind w:left="567" w:hanging="567"/>
      </w:pPr>
      <w:rPr>
        <w:b w:val="0"/>
        <w:bCs w:val="0"/>
        <w:i w:val="0"/>
        <w:iCs w:val="0"/>
        <w:caps w:val="0"/>
        <w:smallCaps w:val="0"/>
        <w:strike w:val="0"/>
        <w:dstrike w:val="0"/>
        <w:vanish w:val="0"/>
        <w:color w:val="000000"/>
        <w:spacing w:val="0"/>
        <w:position w:val="0"/>
        <w:u w:val="none"/>
        <w:vertAlign w:val="baseline"/>
      </w:r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9">
    <w:nsid w:val="64CE9248"/>
    <w:multiLevelType w:val="singleLevel"/>
    <w:tmpl w:val="64CE9248"/>
    <w:lvl w:ilvl="0" w:tentative="0">
      <w:start w:val="1"/>
      <w:numFmt w:val="decimal"/>
      <w:suff w:val="nothing"/>
      <w:lvlText w:val="%1）"/>
      <w:lvlJc w:val="left"/>
    </w:lvl>
  </w:abstractNum>
  <w:abstractNum w:abstractNumId="20">
    <w:nsid w:val="6543162C"/>
    <w:multiLevelType w:val="multilevel"/>
    <w:tmpl w:val="6543162C"/>
    <w:lvl w:ilvl="0" w:tentative="0">
      <w:start w:val="1"/>
      <w:numFmt w:val="decimal"/>
      <w:pStyle w:val="864"/>
      <w:suff w:val="space"/>
      <w:lvlText w:val="表3-%1"/>
      <w:lvlJc w:val="left"/>
      <w:pPr>
        <w:ind w:left="144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1">
    <w:nsid w:val="69175251"/>
    <w:multiLevelType w:val="multilevel"/>
    <w:tmpl w:val="69175251"/>
    <w:lvl w:ilvl="0" w:tentative="0">
      <w:start w:val="1"/>
      <w:numFmt w:val="upperLetter"/>
      <w:pStyle w:val="1119"/>
      <w:suff w:val="nothing"/>
      <w:lvlText w:val="附录%1"/>
      <w:lvlJc w:val="left"/>
      <w:pPr>
        <w:ind w:left="108" w:firstLine="0"/>
      </w:pPr>
      <w:rPr>
        <w:rFonts w:hint="eastAsia" w:ascii="黑体" w:hAnsi="Times New Roman" w:eastAsia="黑体"/>
        <w:b w:val="0"/>
        <w:i w:val="0"/>
        <w:sz w:val="24"/>
      </w:rPr>
    </w:lvl>
    <w:lvl w:ilvl="1" w:tentative="0">
      <w:start w:val="1"/>
      <w:numFmt w:val="decimal"/>
      <w:suff w:val="nothing"/>
      <w:lvlText w:val="%1%2　"/>
      <w:lvlJc w:val="left"/>
      <w:pPr>
        <w:ind w:left="108" w:firstLine="0"/>
      </w:pPr>
      <w:rPr>
        <w:rFonts w:hint="eastAsia" w:eastAsia="黑体"/>
        <w:b w:val="0"/>
        <w:i w:val="0"/>
        <w:spacing w:val="0"/>
        <w:position w:val="0"/>
        <w:sz w:val="24"/>
      </w:rPr>
    </w:lvl>
    <w:lvl w:ilvl="2" w:tentative="0">
      <w:start w:val="1"/>
      <w:numFmt w:val="decimal"/>
      <w:suff w:val="nothing"/>
      <w:lvlText w:val="%1%2.%3　"/>
      <w:lvlJc w:val="left"/>
      <w:pPr>
        <w:ind w:left="108" w:firstLine="0"/>
      </w:pPr>
      <w:rPr>
        <w:rFonts w:hint="eastAsia" w:ascii="宋体" w:hAnsi="Times New Roman" w:eastAsia="宋体"/>
        <w:b w:val="0"/>
        <w:i w:val="0"/>
        <w:sz w:val="24"/>
      </w:rPr>
    </w:lvl>
    <w:lvl w:ilvl="3" w:tentative="0">
      <w:start w:val="1"/>
      <w:numFmt w:val="decimal"/>
      <w:suff w:val="nothing"/>
      <w:lvlText w:val="%1%2.%3.%4　"/>
      <w:lvlJc w:val="left"/>
      <w:pPr>
        <w:ind w:left="108" w:firstLine="0"/>
      </w:pPr>
      <w:rPr>
        <w:rFonts w:hint="eastAsia" w:ascii="宋体" w:hAnsi="Times New Roman" w:eastAsia="宋体"/>
        <w:b w:val="0"/>
        <w:i w:val="0"/>
        <w:sz w:val="24"/>
      </w:rPr>
    </w:lvl>
    <w:lvl w:ilvl="4" w:tentative="0">
      <w:start w:val="1"/>
      <w:numFmt w:val="decimal"/>
      <w:suff w:val="nothing"/>
      <w:lvlText w:val="%1%2.%3.%4.%5　"/>
      <w:lvlJc w:val="left"/>
      <w:pPr>
        <w:ind w:left="108" w:firstLine="0"/>
      </w:pPr>
      <w:rPr>
        <w:rFonts w:hint="eastAsia" w:ascii="宋体" w:hAnsi="Times New Roman" w:eastAsia="宋体"/>
        <w:b w:val="0"/>
        <w:i w:val="0"/>
        <w:spacing w:val="0"/>
        <w:position w:val="0"/>
        <w:sz w:val="24"/>
      </w:rPr>
    </w:lvl>
    <w:lvl w:ilvl="5" w:tentative="0">
      <w:start w:val="1"/>
      <w:numFmt w:val="decimal"/>
      <w:suff w:val="nothing"/>
      <w:lvlText w:val="%1%2.%3.%4.%5.%6　"/>
      <w:lvlJc w:val="left"/>
      <w:pPr>
        <w:ind w:left="108" w:firstLine="0"/>
      </w:pPr>
      <w:rPr>
        <w:rFonts w:hint="eastAsia" w:ascii="宋体" w:hAnsi="Times New Roman" w:eastAsia="宋体"/>
        <w:b w:val="0"/>
        <w:i w:val="0"/>
        <w:sz w:val="24"/>
      </w:rPr>
    </w:lvl>
    <w:lvl w:ilvl="6" w:tentative="0">
      <w:start w:val="1"/>
      <w:numFmt w:val="none"/>
      <w:suff w:val="nothing"/>
      <w:lvlText w:val=""/>
      <w:lvlJc w:val="left"/>
      <w:pPr>
        <w:ind w:left="488" w:firstLine="0"/>
      </w:pPr>
      <w:rPr>
        <w:rFonts w:hint="eastAsia" w:ascii="宋体" w:hAnsi="Times New Roman" w:eastAsia="宋体"/>
        <w:b w:val="0"/>
        <w:i w:val="0"/>
        <w:sz w:val="24"/>
      </w:rPr>
    </w:lvl>
    <w:lvl w:ilvl="7" w:tentative="0">
      <w:start w:val="1"/>
      <w:numFmt w:val="none"/>
      <w:suff w:val="nothing"/>
      <w:lvlText w:val=""/>
      <w:lvlJc w:val="left"/>
      <w:pPr>
        <w:ind w:left="488" w:firstLine="0"/>
      </w:pPr>
      <w:rPr>
        <w:rFonts w:hint="eastAsia" w:ascii="宋体" w:eastAsia="宋体"/>
        <w:b w:val="0"/>
        <w:i w:val="0"/>
        <w:spacing w:val="0"/>
        <w:position w:val="0"/>
        <w:sz w:val="24"/>
      </w:rPr>
    </w:lvl>
    <w:lvl w:ilvl="8" w:tentative="0">
      <w:start w:val="1"/>
      <w:numFmt w:val="none"/>
      <w:suff w:val="nothing"/>
      <w:lvlText w:val=""/>
      <w:lvlJc w:val="left"/>
      <w:pPr>
        <w:ind w:left="1270" w:hanging="482"/>
      </w:pPr>
      <w:rPr>
        <w:rFonts w:hint="eastAsia" w:ascii="宋体" w:eastAsia="宋体"/>
        <w:b w:val="0"/>
        <w:i w:val="0"/>
        <w:spacing w:val="0"/>
        <w:position w:val="0"/>
        <w:sz w:val="24"/>
      </w:rPr>
    </w:lvl>
  </w:abstractNum>
  <w:abstractNum w:abstractNumId="22">
    <w:nsid w:val="6C8A3257"/>
    <w:multiLevelType w:val="multilevel"/>
    <w:tmpl w:val="6C8A3257"/>
    <w:lvl w:ilvl="0" w:tentative="0">
      <w:start w:val="1"/>
      <w:numFmt w:val="decimal"/>
      <w:pStyle w:val="1656"/>
      <w:lvlText w:val="(%1)"/>
      <w:lvlJc w:val="left"/>
      <w:pPr>
        <w:tabs>
          <w:tab w:val="left" w:pos="431"/>
        </w:tabs>
        <w:ind w:left="431" w:hanging="431"/>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3">
    <w:nsid w:val="6CEA2025"/>
    <w:multiLevelType w:val="multilevel"/>
    <w:tmpl w:val="6CEA2025"/>
    <w:lvl w:ilvl="0" w:tentative="0">
      <w:start w:val="1"/>
      <w:numFmt w:val="none"/>
      <w:pStyle w:val="1118"/>
      <w:suff w:val="nothing"/>
      <w:lvlText w:val="%1"/>
      <w:lvlJc w:val="left"/>
      <w:pPr>
        <w:ind w:left="0" w:firstLine="0"/>
      </w:pPr>
      <w:rPr>
        <w:rFonts w:hint="default" w:ascii="Times New Roman" w:hAnsi="Times New Roman"/>
        <w:b/>
        <w:i w:val="0"/>
        <w:sz w:val="21"/>
      </w:rPr>
    </w:lvl>
    <w:lvl w:ilvl="1" w:tentative="0">
      <w:start w:val="1"/>
      <w:numFmt w:val="decimal"/>
      <w:suff w:val="nothing"/>
      <w:lvlText w:val="%1%2　"/>
      <w:lvlJc w:val="left"/>
      <w:pPr>
        <w:ind w:left="0" w:firstLine="0"/>
      </w:pPr>
      <w:rPr>
        <w:rFonts w:hint="eastAsia" w:ascii="黑体" w:hAnsi="Times New Roman" w:eastAsia="黑体"/>
        <w:b w:val="0"/>
        <w:i w:val="0"/>
        <w:sz w:val="21"/>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4">
    <w:nsid w:val="72C0733A"/>
    <w:multiLevelType w:val="multilevel"/>
    <w:tmpl w:val="72C0733A"/>
    <w:lvl w:ilvl="0" w:tentative="0">
      <w:start w:val="1"/>
      <w:numFmt w:val="decimal"/>
      <w:lvlText w:val="(%1)"/>
      <w:lvlJc w:val="left"/>
      <w:pPr>
        <w:ind w:left="900" w:hanging="420"/>
      </w:pPr>
      <w:rPr>
        <w:rFonts w:hint="eastAsia"/>
      </w:rPr>
    </w:lvl>
    <w:lvl w:ilvl="1" w:tentative="0">
      <w:start w:val="1"/>
      <w:numFmt w:val="decimal"/>
      <w:pStyle w:val="2134"/>
      <w:lvlText w:val="(%2)"/>
      <w:lvlJc w:val="left"/>
      <w:pPr>
        <w:tabs>
          <w:tab w:val="left" w:pos="420"/>
        </w:tabs>
        <w:ind w:left="840" w:hanging="420"/>
      </w:pPr>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74B9347C"/>
    <w:multiLevelType w:val="singleLevel"/>
    <w:tmpl w:val="74B9347C"/>
    <w:lvl w:ilvl="0" w:tentative="0">
      <w:start w:val="1"/>
      <w:numFmt w:val="decimal"/>
      <w:pStyle w:val="824"/>
      <w:lvlText w:val="%1)"/>
      <w:lvlJc w:val="left"/>
      <w:pPr>
        <w:tabs>
          <w:tab w:val="left" w:pos="1077"/>
        </w:tabs>
        <w:ind w:left="1077" w:hanging="567"/>
      </w:pPr>
    </w:lvl>
  </w:abstractNum>
  <w:abstractNum w:abstractNumId="26">
    <w:nsid w:val="74E41493"/>
    <w:multiLevelType w:val="multilevel"/>
    <w:tmpl w:val="74E41493"/>
    <w:lvl w:ilvl="0" w:tentative="0">
      <w:start w:val="1"/>
      <w:numFmt w:val="decimal"/>
      <w:pStyle w:val="111"/>
      <w:lvlText w:val="%1"/>
      <w:lvlJc w:val="left"/>
      <w:pPr>
        <w:ind w:left="432" w:hanging="432"/>
      </w:pPr>
      <w:rPr>
        <w:b/>
      </w:rPr>
    </w:lvl>
    <w:lvl w:ilvl="1" w:tentative="0">
      <w:start w:val="1"/>
      <w:numFmt w:val="decimal"/>
      <w:pStyle w:val="119"/>
      <w:lvlText w:val="%1.%2"/>
      <w:lvlJc w:val="left"/>
      <w:pPr>
        <w:ind w:left="576" w:hanging="576"/>
      </w:pPr>
      <w:rPr>
        <w:b/>
      </w:rPr>
    </w:lvl>
    <w:lvl w:ilvl="2" w:tentative="0">
      <w:start w:val="1"/>
      <w:numFmt w:val="decimal"/>
      <w:pStyle w:val="116"/>
      <w:lvlText w:val="%1.%2.%3"/>
      <w:lvlJc w:val="left"/>
      <w:pPr>
        <w:ind w:left="5256" w:hanging="720"/>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lang w:val="zh-CN" w:eastAsia="zh-CN" w:bidi="zh-CN"/>
        <w14:shadow w14:blurRad="0" w14:dist="0" w14:dir="0" w14:sx="0" w14:sy="0" w14:kx="0" w14:ky="0" w14:algn="none">
          <w14:srgbClr w14:val="000000"/>
        </w14:shadow>
      </w:rPr>
    </w:lvl>
    <w:lvl w:ilvl="3" w:tentative="0">
      <w:start w:val="1"/>
      <w:numFmt w:val="decimal"/>
      <w:pStyle w:val="123"/>
      <w:lvlText w:val="%1.%2.%3.%4"/>
      <w:lvlJc w:val="left"/>
      <w:pPr>
        <w:ind w:left="864" w:hanging="864"/>
      </w:pPr>
    </w:lvl>
    <w:lvl w:ilvl="4" w:tentative="0">
      <w:start w:val="1"/>
      <w:numFmt w:val="decimal"/>
      <w:lvlText w:val="%1.%2.%3.%4.%5"/>
      <w:lvlJc w:val="left"/>
      <w:pPr>
        <w:ind w:left="1008" w:hanging="1008"/>
      </w:pPr>
    </w:lvl>
    <w:lvl w:ilvl="5" w:tentative="0">
      <w:start w:val="1"/>
      <w:numFmt w:val="decimal"/>
      <w:lvlText w:val="%1.%2.%3.%4.%5.%6"/>
      <w:lvlJc w:val="left"/>
      <w:pPr>
        <w:ind w:left="1152" w:hanging="1152"/>
      </w:pPr>
    </w:lvl>
    <w:lvl w:ilvl="6" w:tentative="0">
      <w:start w:val="1"/>
      <w:numFmt w:val="decimal"/>
      <w:lvlText w:val="%1.%2.%3.%4.%5.%6.%7"/>
      <w:lvlJc w:val="left"/>
      <w:pPr>
        <w:ind w:left="1296" w:hanging="1296"/>
      </w:p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27">
    <w:nsid w:val="76E50C48"/>
    <w:multiLevelType w:val="multilevel"/>
    <w:tmpl w:val="76E50C48"/>
    <w:lvl w:ilvl="0" w:tentative="0">
      <w:start w:val="1"/>
      <w:numFmt w:val="decimal"/>
      <w:pStyle w:val="935"/>
      <w:lvlText w:val="(%1)."/>
      <w:lvlJc w:val="left"/>
      <w:pPr>
        <w:ind w:left="900" w:hanging="420"/>
      </w:pPr>
      <w:rPr>
        <w:rFonts w:hint="default" w:ascii="Times New Roman" w:hAnsi="Times New Roman" w:eastAsia="宋体"/>
        <w:b w:val="0"/>
        <w:i w:val="0"/>
        <w:sz w:val="24"/>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11"/>
  </w:num>
  <w:num w:numId="2">
    <w:abstractNumId w:val="26"/>
  </w:num>
  <w:num w:numId="3">
    <w:abstractNumId w:val="6"/>
  </w:num>
  <w:num w:numId="4">
    <w:abstractNumId w:val="7"/>
  </w:num>
  <w:num w:numId="5">
    <w:abstractNumId w:val="5"/>
  </w:num>
  <w:num w:numId="6">
    <w:abstractNumId w:val="25"/>
  </w:num>
  <w:num w:numId="7">
    <w:abstractNumId w:val="20"/>
  </w:num>
  <w:num w:numId="8">
    <w:abstractNumId w:val="12"/>
  </w:num>
  <w:num w:numId="9">
    <w:abstractNumId w:val="16"/>
  </w:num>
  <w:num w:numId="10">
    <w:abstractNumId w:val="18"/>
  </w:num>
  <w:num w:numId="11">
    <w:abstractNumId w:val="27"/>
  </w:num>
  <w:num w:numId="12">
    <w:abstractNumId w:val="17"/>
  </w:num>
  <w:num w:numId="13">
    <w:abstractNumId w:val="10"/>
  </w:num>
  <w:num w:numId="14">
    <w:abstractNumId w:val="14"/>
  </w:num>
  <w:num w:numId="15">
    <w:abstractNumId w:val="23"/>
  </w:num>
  <w:num w:numId="16">
    <w:abstractNumId w:val="21"/>
  </w:num>
  <w:num w:numId="17">
    <w:abstractNumId w:val="8"/>
  </w:num>
  <w:num w:numId="18">
    <w:abstractNumId w:val="13"/>
  </w:num>
  <w:num w:numId="19">
    <w:abstractNumId w:val="22"/>
  </w:num>
  <w:num w:numId="20">
    <w:abstractNumId w:val="9"/>
  </w:num>
  <w:num w:numId="21">
    <w:abstractNumId w:val="24"/>
  </w:num>
  <w:num w:numId="22">
    <w:abstractNumId w:val="2"/>
  </w:num>
  <w:num w:numId="23">
    <w:abstractNumId w:val="16"/>
    <w:lvlOverride w:ilvl="0">
      <w:startOverride w:val="1"/>
    </w:lvlOverride>
  </w:num>
  <w:num w:numId="24">
    <w:abstractNumId w:val="3"/>
  </w:num>
  <w:num w:numId="25">
    <w:abstractNumId w:val="0"/>
  </w:num>
  <w:num w:numId="26">
    <w:abstractNumId w:val="19"/>
  </w:num>
  <w:num w:numId="27">
    <w:abstractNumId w:val="1"/>
  </w:num>
  <w:num w:numId="28">
    <w:abstractNumId w:val="4"/>
  </w:num>
  <w:num w:numId="2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hideSpellingErrors/>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ocumentProtection w:enforcement="0"/>
  <w:defaultTabStop w:val="0"/>
  <w:noPunctuationKerning w:val="1"/>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c5MTNmOTdiMDgyMTg4Yjc4YTUyMGFlMjM5ZmQwYmYifQ=="/>
  </w:docVars>
  <w:rsids>
    <w:rsidRoot w:val="00BE38B6"/>
    <w:rsid w:val="00000242"/>
    <w:rsid w:val="0000030F"/>
    <w:rsid w:val="00000536"/>
    <w:rsid w:val="0000056F"/>
    <w:rsid w:val="0000068B"/>
    <w:rsid w:val="0000085C"/>
    <w:rsid w:val="0000093C"/>
    <w:rsid w:val="00000986"/>
    <w:rsid w:val="000009CE"/>
    <w:rsid w:val="00001056"/>
    <w:rsid w:val="0000119C"/>
    <w:rsid w:val="0000120F"/>
    <w:rsid w:val="0000148B"/>
    <w:rsid w:val="0000154F"/>
    <w:rsid w:val="00001645"/>
    <w:rsid w:val="00001657"/>
    <w:rsid w:val="000016DD"/>
    <w:rsid w:val="00001741"/>
    <w:rsid w:val="00001773"/>
    <w:rsid w:val="000017A9"/>
    <w:rsid w:val="000018E8"/>
    <w:rsid w:val="00001A62"/>
    <w:rsid w:val="00001A73"/>
    <w:rsid w:val="00001B65"/>
    <w:rsid w:val="00001D12"/>
    <w:rsid w:val="00001E12"/>
    <w:rsid w:val="000020B2"/>
    <w:rsid w:val="00002297"/>
    <w:rsid w:val="000022F4"/>
    <w:rsid w:val="00002309"/>
    <w:rsid w:val="00002672"/>
    <w:rsid w:val="00002880"/>
    <w:rsid w:val="00002C57"/>
    <w:rsid w:val="00002DFA"/>
    <w:rsid w:val="00003444"/>
    <w:rsid w:val="00003530"/>
    <w:rsid w:val="0000382D"/>
    <w:rsid w:val="000038AA"/>
    <w:rsid w:val="00003924"/>
    <w:rsid w:val="000039A7"/>
    <w:rsid w:val="00003CD8"/>
    <w:rsid w:val="00003D24"/>
    <w:rsid w:val="00003D78"/>
    <w:rsid w:val="000040EA"/>
    <w:rsid w:val="0000415C"/>
    <w:rsid w:val="000041AF"/>
    <w:rsid w:val="000041BA"/>
    <w:rsid w:val="0000429F"/>
    <w:rsid w:val="0000444B"/>
    <w:rsid w:val="000044ED"/>
    <w:rsid w:val="000045BD"/>
    <w:rsid w:val="0000463D"/>
    <w:rsid w:val="00004743"/>
    <w:rsid w:val="00004954"/>
    <w:rsid w:val="00004A63"/>
    <w:rsid w:val="00004E0B"/>
    <w:rsid w:val="000051BD"/>
    <w:rsid w:val="0000551E"/>
    <w:rsid w:val="00005680"/>
    <w:rsid w:val="000056FA"/>
    <w:rsid w:val="0000577A"/>
    <w:rsid w:val="000059C8"/>
    <w:rsid w:val="00005AFC"/>
    <w:rsid w:val="00005C79"/>
    <w:rsid w:val="00005E2E"/>
    <w:rsid w:val="00005F9C"/>
    <w:rsid w:val="000060A5"/>
    <w:rsid w:val="000061D9"/>
    <w:rsid w:val="00006238"/>
    <w:rsid w:val="0000645E"/>
    <w:rsid w:val="000064B3"/>
    <w:rsid w:val="0000663D"/>
    <w:rsid w:val="000068C8"/>
    <w:rsid w:val="00006A5B"/>
    <w:rsid w:val="00006A9D"/>
    <w:rsid w:val="00006B53"/>
    <w:rsid w:val="00006BEF"/>
    <w:rsid w:val="00006C31"/>
    <w:rsid w:val="00006CAE"/>
    <w:rsid w:val="00006CEE"/>
    <w:rsid w:val="00006DEC"/>
    <w:rsid w:val="00007043"/>
    <w:rsid w:val="000072C2"/>
    <w:rsid w:val="00007355"/>
    <w:rsid w:val="0000737B"/>
    <w:rsid w:val="00007406"/>
    <w:rsid w:val="000075B3"/>
    <w:rsid w:val="00007C73"/>
    <w:rsid w:val="00010229"/>
    <w:rsid w:val="00010247"/>
    <w:rsid w:val="00010256"/>
    <w:rsid w:val="0001044A"/>
    <w:rsid w:val="00010463"/>
    <w:rsid w:val="000104CE"/>
    <w:rsid w:val="0001053F"/>
    <w:rsid w:val="00010563"/>
    <w:rsid w:val="00010708"/>
    <w:rsid w:val="000107C4"/>
    <w:rsid w:val="000107CD"/>
    <w:rsid w:val="00010883"/>
    <w:rsid w:val="00010976"/>
    <w:rsid w:val="00010B84"/>
    <w:rsid w:val="00010BFB"/>
    <w:rsid w:val="00010EE5"/>
    <w:rsid w:val="00011014"/>
    <w:rsid w:val="0001105F"/>
    <w:rsid w:val="00011234"/>
    <w:rsid w:val="000113B9"/>
    <w:rsid w:val="00011791"/>
    <w:rsid w:val="00011858"/>
    <w:rsid w:val="00011A02"/>
    <w:rsid w:val="00011A59"/>
    <w:rsid w:val="00011B5D"/>
    <w:rsid w:val="00011BC1"/>
    <w:rsid w:val="00011ED1"/>
    <w:rsid w:val="00011FDC"/>
    <w:rsid w:val="00012193"/>
    <w:rsid w:val="000121C1"/>
    <w:rsid w:val="00012457"/>
    <w:rsid w:val="00012468"/>
    <w:rsid w:val="000124F3"/>
    <w:rsid w:val="0001253E"/>
    <w:rsid w:val="00012618"/>
    <w:rsid w:val="0001263D"/>
    <w:rsid w:val="00012793"/>
    <w:rsid w:val="00012C16"/>
    <w:rsid w:val="00012C2F"/>
    <w:rsid w:val="00012EE9"/>
    <w:rsid w:val="00012FB7"/>
    <w:rsid w:val="000130AA"/>
    <w:rsid w:val="000131B7"/>
    <w:rsid w:val="00013204"/>
    <w:rsid w:val="000132E1"/>
    <w:rsid w:val="00013318"/>
    <w:rsid w:val="000138C5"/>
    <w:rsid w:val="0001394D"/>
    <w:rsid w:val="00013AE4"/>
    <w:rsid w:val="00013DA2"/>
    <w:rsid w:val="00014222"/>
    <w:rsid w:val="0001426A"/>
    <w:rsid w:val="000143A0"/>
    <w:rsid w:val="0001455C"/>
    <w:rsid w:val="0001457D"/>
    <w:rsid w:val="0001458C"/>
    <w:rsid w:val="0001474D"/>
    <w:rsid w:val="00014807"/>
    <w:rsid w:val="00014A99"/>
    <w:rsid w:val="00014B1C"/>
    <w:rsid w:val="00014B3F"/>
    <w:rsid w:val="00014B76"/>
    <w:rsid w:val="00014F14"/>
    <w:rsid w:val="0001591B"/>
    <w:rsid w:val="00015962"/>
    <w:rsid w:val="00015AE3"/>
    <w:rsid w:val="00015AF3"/>
    <w:rsid w:val="00015CE0"/>
    <w:rsid w:val="00015D12"/>
    <w:rsid w:val="00015D9E"/>
    <w:rsid w:val="00015DAE"/>
    <w:rsid w:val="00015E24"/>
    <w:rsid w:val="00015E74"/>
    <w:rsid w:val="00015F32"/>
    <w:rsid w:val="00016619"/>
    <w:rsid w:val="00016698"/>
    <w:rsid w:val="00016BE6"/>
    <w:rsid w:val="00017353"/>
    <w:rsid w:val="00017354"/>
    <w:rsid w:val="00017451"/>
    <w:rsid w:val="00017667"/>
    <w:rsid w:val="000178E7"/>
    <w:rsid w:val="000178EA"/>
    <w:rsid w:val="00017B09"/>
    <w:rsid w:val="00020193"/>
    <w:rsid w:val="00020236"/>
    <w:rsid w:val="00020285"/>
    <w:rsid w:val="000204F6"/>
    <w:rsid w:val="00020654"/>
    <w:rsid w:val="00020800"/>
    <w:rsid w:val="00020AEC"/>
    <w:rsid w:val="00020F7C"/>
    <w:rsid w:val="00021038"/>
    <w:rsid w:val="000214B8"/>
    <w:rsid w:val="00021596"/>
    <w:rsid w:val="000216AC"/>
    <w:rsid w:val="00021A03"/>
    <w:rsid w:val="00021A42"/>
    <w:rsid w:val="00021BDC"/>
    <w:rsid w:val="00021CAB"/>
    <w:rsid w:val="00021D13"/>
    <w:rsid w:val="00021D72"/>
    <w:rsid w:val="00021DD5"/>
    <w:rsid w:val="00021F07"/>
    <w:rsid w:val="00021F9B"/>
    <w:rsid w:val="0002227C"/>
    <w:rsid w:val="00022321"/>
    <w:rsid w:val="00022473"/>
    <w:rsid w:val="0002272E"/>
    <w:rsid w:val="00022839"/>
    <w:rsid w:val="00022C16"/>
    <w:rsid w:val="00022E29"/>
    <w:rsid w:val="00022E8A"/>
    <w:rsid w:val="00022F4F"/>
    <w:rsid w:val="00022FF2"/>
    <w:rsid w:val="00023113"/>
    <w:rsid w:val="00023300"/>
    <w:rsid w:val="000233AB"/>
    <w:rsid w:val="000234B3"/>
    <w:rsid w:val="00023658"/>
    <w:rsid w:val="00023662"/>
    <w:rsid w:val="000238DC"/>
    <w:rsid w:val="00023B7B"/>
    <w:rsid w:val="00023BEA"/>
    <w:rsid w:val="00023CA7"/>
    <w:rsid w:val="00023CAF"/>
    <w:rsid w:val="00023EC7"/>
    <w:rsid w:val="00024144"/>
    <w:rsid w:val="00024148"/>
    <w:rsid w:val="000241B3"/>
    <w:rsid w:val="000245EB"/>
    <w:rsid w:val="000247E0"/>
    <w:rsid w:val="0002482A"/>
    <w:rsid w:val="00024832"/>
    <w:rsid w:val="000248D7"/>
    <w:rsid w:val="000248E9"/>
    <w:rsid w:val="00024C8B"/>
    <w:rsid w:val="00024E43"/>
    <w:rsid w:val="00024F6C"/>
    <w:rsid w:val="00024F88"/>
    <w:rsid w:val="000251D4"/>
    <w:rsid w:val="0002536E"/>
    <w:rsid w:val="000254A0"/>
    <w:rsid w:val="000254E4"/>
    <w:rsid w:val="0002576C"/>
    <w:rsid w:val="000259EF"/>
    <w:rsid w:val="00025A58"/>
    <w:rsid w:val="00025BD6"/>
    <w:rsid w:val="00025CBD"/>
    <w:rsid w:val="00025DF7"/>
    <w:rsid w:val="00025F97"/>
    <w:rsid w:val="00026193"/>
    <w:rsid w:val="00026232"/>
    <w:rsid w:val="000262C0"/>
    <w:rsid w:val="00026309"/>
    <w:rsid w:val="0002645A"/>
    <w:rsid w:val="00026581"/>
    <w:rsid w:val="000266BB"/>
    <w:rsid w:val="000268C3"/>
    <w:rsid w:val="00026A30"/>
    <w:rsid w:val="00027032"/>
    <w:rsid w:val="000273B7"/>
    <w:rsid w:val="00027547"/>
    <w:rsid w:val="00027602"/>
    <w:rsid w:val="00027676"/>
    <w:rsid w:val="000276FA"/>
    <w:rsid w:val="0002780F"/>
    <w:rsid w:val="00030153"/>
    <w:rsid w:val="000301A6"/>
    <w:rsid w:val="000304A6"/>
    <w:rsid w:val="000305BE"/>
    <w:rsid w:val="000305C7"/>
    <w:rsid w:val="0003074C"/>
    <w:rsid w:val="0003075D"/>
    <w:rsid w:val="00030C89"/>
    <w:rsid w:val="00031178"/>
    <w:rsid w:val="00031372"/>
    <w:rsid w:val="00031CEB"/>
    <w:rsid w:val="00031DBF"/>
    <w:rsid w:val="00031FF6"/>
    <w:rsid w:val="0003200B"/>
    <w:rsid w:val="0003206C"/>
    <w:rsid w:val="000321B8"/>
    <w:rsid w:val="000321DF"/>
    <w:rsid w:val="00032500"/>
    <w:rsid w:val="00032514"/>
    <w:rsid w:val="0003269B"/>
    <w:rsid w:val="00032729"/>
    <w:rsid w:val="00032746"/>
    <w:rsid w:val="000327EB"/>
    <w:rsid w:val="000328D8"/>
    <w:rsid w:val="0003290E"/>
    <w:rsid w:val="00032940"/>
    <w:rsid w:val="00032A88"/>
    <w:rsid w:val="00032AA9"/>
    <w:rsid w:val="00032AEB"/>
    <w:rsid w:val="00032B2C"/>
    <w:rsid w:val="00032D6E"/>
    <w:rsid w:val="00032E7E"/>
    <w:rsid w:val="00032E91"/>
    <w:rsid w:val="0003311B"/>
    <w:rsid w:val="0003316B"/>
    <w:rsid w:val="0003333C"/>
    <w:rsid w:val="00033425"/>
    <w:rsid w:val="00033493"/>
    <w:rsid w:val="00033502"/>
    <w:rsid w:val="00033696"/>
    <w:rsid w:val="0003373F"/>
    <w:rsid w:val="0003378A"/>
    <w:rsid w:val="000337DD"/>
    <w:rsid w:val="00033ADE"/>
    <w:rsid w:val="00033AE5"/>
    <w:rsid w:val="00033D5A"/>
    <w:rsid w:val="00033D73"/>
    <w:rsid w:val="000345A4"/>
    <w:rsid w:val="0003469D"/>
    <w:rsid w:val="000347A0"/>
    <w:rsid w:val="000349BA"/>
    <w:rsid w:val="00034A30"/>
    <w:rsid w:val="00034A44"/>
    <w:rsid w:val="00034C29"/>
    <w:rsid w:val="00034C68"/>
    <w:rsid w:val="00034C89"/>
    <w:rsid w:val="00034D76"/>
    <w:rsid w:val="00034DE3"/>
    <w:rsid w:val="00034EFC"/>
    <w:rsid w:val="00034F20"/>
    <w:rsid w:val="0003572D"/>
    <w:rsid w:val="00035A60"/>
    <w:rsid w:val="00035A77"/>
    <w:rsid w:val="00035A9F"/>
    <w:rsid w:val="00035BA9"/>
    <w:rsid w:val="00035BEC"/>
    <w:rsid w:val="00035CBE"/>
    <w:rsid w:val="00035D11"/>
    <w:rsid w:val="00035D4B"/>
    <w:rsid w:val="00035F1C"/>
    <w:rsid w:val="00035F34"/>
    <w:rsid w:val="0003611F"/>
    <w:rsid w:val="0003621E"/>
    <w:rsid w:val="00036310"/>
    <w:rsid w:val="0003639B"/>
    <w:rsid w:val="00036575"/>
    <w:rsid w:val="000367DA"/>
    <w:rsid w:val="000369BF"/>
    <w:rsid w:val="00036A61"/>
    <w:rsid w:val="00036ACF"/>
    <w:rsid w:val="00036C56"/>
    <w:rsid w:val="00036CBE"/>
    <w:rsid w:val="00036E6F"/>
    <w:rsid w:val="00036E98"/>
    <w:rsid w:val="00036FA2"/>
    <w:rsid w:val="000370A0"/>
    <w:rsid w:val="00037331"/>
    <w:rsid w:val="0003746B"/>
    <w:rsid w:val="000375A9"/>
    <w:rsid w:val="000377F4"/>
    <w:rsid w:val="00037818"/>
    <w:rsid w:val="00037AF9"/>
    <w:rsid w:val="00037C84"/>
    <w:rsid w:val="00037C9F"/>
    <w:rsid w:val="00037CB8"/>
    <w:rsid w:val="00037D4A"/>
    <w:rsid w:val="00037D52"/>
    <w:rsid w:val="00037E72"/>
    <w:rsid w:val="00040003"/>
    <w:rsid w:val="00040146"/>
    <w:rsid w:val="00040246"/>
    <w:rsid w:val="00040253"/>
    <w:rsid w:val="00040422"/>
    <w:rsid w:val="00040494"/>
    <w:rsid w:val="000404EE"/>
    <w:rsid w:val="000406EA"/>
    <w:rsid w:val="00040755"/>
    <w:rsid w:val="00040A39"/>
    <w:rsid w:val="00040B7E"/>
    <w:rsid w:val="00040BE6"/>
    <w:rsid w:val="00040FB0"/>
    <w:rsid w:val="00040FFD"/>
    <w:rsid w:val="0004140A"/>
    <w:rsid w:val="0004147F"/>
    <w:rsid w:val="000414B0"/>
    <w:rsid w:val="000414D8"/>
    <w:rsid w:val="0004199A"/>
    <w:rsid w:val="00041D80"/>
    <w:rsid w:val="00041F42"/>
    <w:rsid w:val="00041F9E"/>
    <w:rsid w:val="00042198"/>
    <w:rsid w:val="00042416"/>
    <w:rsid w:val="0004261D"/>
    <w:rsid w:val="000427F2"/>
    <w:rsid w:val="0004281B"/>
    <w:rsid w:val="00042923"/>
    <w:rsid w:val="000429A6"/>
    <w:rsid w:val="000429EE"/>
    <w:rsid w:val="00042BC2"/>
    <w:rsid w:val="00042CA8"/>
    <w:rsid w:val="00042E88"/>
    <w:rsid w:val="00042F11"/>
    <w:rsid w:val="000431F0"/>
    <w:rsid w:val="00043256"/>
    <w:rsid w:val="0004325A"/>
    <w:rsid w:val="0004327C"/>
    <w:rsid w:val="0004330A"/>
    <w:rsid w:val="000433A0"/>
    <w:rsid w:val="0004350E"/>
    <w:rsid w:val="00043529"/>
    <w:rsid w:val="0004371B"/>
    <w:rsid w:val="00043A61"/>
    <w:rsid w:val="00043BBA"/>
    <w:rsid w:val="00043E83"/>
    <w:rsid w:val="0004403E"/>
    <w:rsid w:val="0004407E"/>
    <w:rsid w:val="000440DF"/>
    <w:rsid w:val="00044412"/>
    <w:rsid w:val="00044499"/>
    <w:rsid w:val="0004451C"/>
    <w:rsid w:val="00044B1C"/>
    <w:rsid w:val="00044B3F"/>
    <w:rsid w:val="00044DAE"/>
    <w:rsid w:val="00044DC8"/>
    <w:rsid w:val="00044F30"/>
    <w:rsid w:val="00044F40"/>
    <w:rsid w:val="0004507C"/>
    <w:rsid w:val="00045198"/>
    <w:rsid w:val="00045415"/>
    <w:rsid w:val="000458DE"/>
    <w:rsid w:val="000459D1"/>
    <w:rsid w:val="00045D13"/>
    <w:rsid w:val="00045ED7"/>
    <w:rsid w:val="000460A1"/>
    <w:rsid w:val="00046516"/>
    <w:rsid w:val="00046A69"/>
    <w:rsid w:val="00046B17"/>
    <w:rsid w:val="00046C3A"/>
    <w:rsid w:val="00046D72"/>
    <w:rsid w:val="00046FC0"/>
    <w:rsid w:val="00046FD6"/>
    <w:rsid w:val="00047136"/>
    <w:rsid w:val="000471BB"/>
    <w:rsid w:val="000473F5"/>
    <w:rsid w:val="0004748F"/>
    <w:rsid w:val="000474C2"/>
    <w:rsid w:val="000474EB"/>
    <w:rsid w:val="0004756F"/>
    <w:rsid w:val="00047910"/>
    <w:rsid w:val="00047AD3"/>
    <w:rsid w:val="00047B5D"/>
    <w:rsid w:val="00047BB6"/>
    <w:rsid w:val="00047CE7"/>
    <w:rsid w:val="00047F84"/>
    <w:rsid w:val="00047FD7"/>
    <w:rsid w:val="00047FEA"/>
    <w:rsid w:val="0005001A"/>
    <w:rsid w:val="00050311"/>
    <w:rsid w:val="00050335"/>
    <w:rsid w:val="00050337"/>
    <w:rsid w:val="0005062A"/>
    <w:rsid w:val="0005087D"/>
    <w:rsid w:val="000508B2"/>
    <w:rsid w:val="00050CCE"/>
    <w:rsid w:val="00050D6C"/>
    <w:rsid w:val="0005102A"/>
    <w:rsid w:val="0005105D"/>
    <w:rsid w:val="00051398"/>
    <w:rsid w:val="00051529"/>
    <w:rsid w:val="0005180C"/>
    <w:rsid w:val="00051AC9"/>
    <w:rsid w:val="00051C58"/>
    <w:rsid w:val="00051D92"/>
    <w:rsid w:val="00051E38"/>
    <w:rsid w:val="0005222B"/>
    <w:rsid w:val="000522BE"/>
    <w:rsid w:val="00052345"/>
    <w:rsid w:val="000523A5"/>
    <w:rsid w:val="000524FF"/>
    <w:rsid w:val="0005292B"/>
    <w:rsid w:val="00052EE5"/>
    <w:rsid w:val="00052FD9"/>
    <w:rsid w:val="0005302C"/>
    <w:rsid w:val="0005304F"/>
    <w:rsid w:val="00053096"/>
    <w:rsid w:val="00053141"/>
    <w:rsid w:val="00053161"/>
    <w:rsid w:val="0005326E"/>
    <w:rsid w:val="000533D9"/>
    <w:rsid w:val="0005341B"/>
    <w:rsid w:val="000534E3"/>
    <w:rsid w:val="000535DE"/>
    <w:rsid w:val="00053643"/>
    <w:rsid w:val="00053646"/>
    <w:rsid w:val="00053944"/>
    <w:rsid w:val="00053A04"/>
    <w:rsid w:val="00053F81"/>
    <w:rsid w:val="0005416E"/>
    <w:rsid w:val="0005449C"/>
    <w:rsid w:val="000545BC"/>
    <w:rsid w:val="00054724"/>
    <w:rsid w:val="00054879"/>
    <w:rsid w:val="00054925"/>
    <w:rsid w:val="00054A8C"/>
    <w:rsid w:val="00054B03"/>
    <w:rsid w:val="00054E16"/>
    <w:rsid w:val="00054E36"/>
    <w:rsid w:val="00054E3D"/>
    <w:rsid w:val="00054F56"/>
    <w:rsid w:val="0005562E"/>
    <w:rsid w:val="000557B1"/>
    <w:rsid w:val="00055887"/>
    <w:rsid w:val="0005588F"/>
    <w:rsid w:val="00055AF1"/>
    <w:rsid w:val="00055B4A"/>
    <w:rsid w:val="00055CAD"/>
    <w:rsid w:val="00055CE8"/>
    <w:rsid w:val="00055D3D"/>
    <w:rsid w:val="00055DE6"/>
    <w:rsid w:val="000560BF"/>
    <w:rsid w:val="000564AB"/>
    <w:rsid w:val="000564B4"/>
    <w:rsid w:val="0005682E"/>
    <w:rsid w:val="0005687D"/>
    <w:rsid w:val="000569E3"/>
    <w:rsid w:val="00056A0C"/>
    <w:rsid w:val="00056A4F"/>
    <w:rsid w:val="00056AA4"/>
    <w:rsid w:val="00056AD7"/>
    <w:rsid w:val="00056B0D"/>
    <w:rsid w:val="00056CD5"/>
    <w:rsid w:val="00056EAC"/>
    <w:rsid w:val="00056F91"/>
    <w:rsid w:val="000571E3"/>
    <w:rsid w:val="00057407"/>
    <w:rsid w:val="0005751B"/>
    <w:rsid w:val="000576DC"/>
    <w:rsid w:val="000578CF"/>
    <w:rsid w:val="000579E0"/>
    <w:rsid w:val="00057A50"/>
    <w:rsid w:val="00057B47"/>
    <w:rsid w:val="00057C9A"/>
    <w:rsid w:val="00057D41"/>
    <w:rsid w:val="00060286"/>
    <w:rsid w:val="000602C3"/>
    <w:rsid w:val="000603E7"/>
    <w:rsid w:val="00060422"/>
    <w:rsid w:val="0006069C"/>
    <w:rsid w:val="00060706"/>
    <w:rsid w:val="000608BE"/>
    <w:rsid w:val="000608EE"/>
    <w:rsid w:val="00060A4D"/>
    <w:rsid w:val="00060A7E"/>
    <w:rsid w:val="00060C23"/>
    <w:rsid w:val="00060D09"/>
    <w:rsid w:val="00060DB9"/>
    <w:rsid w:val="00060EAC"/>
    <w:rsid w:val="00060F26"/>
    <w:rsid w:val="0006105C"/>
    <w:rsid w:val="000614CD"/>
    <w:rsid w:val="0006159C"/>
    <w:rsid w:val="00061650"/>
    <w:rsid w:val="00061757"/>
    <w:rsid w:val="000619A3"/>
    <w:rsid w:val="00061ABC"/>
    <w:rsid w:val="00061ACB"/>
    <w:rsid w:val="00061F3E"/>
    <w:rsid w:val="00061F74"/>
    <w:rsid w:val="0006221A"/>
    <w:rsid w:val="000624C3"/>
    <w:rsid w:val="00062629"/>
    <w:rsid w:val="000626D7"/>
    <w:rsid w:val="000628A7"/>
    <w:rsid w:val="0006292B"/>
    <w:rsid w:val="000629DF"/>
    <w:rsid w:val="00062B14"/>
    <w:rsid w:val="00062B66"/>
    <w:rsid w:val="00062DF1"/>
    <w:rsid w:val="00062F86"/>
    <w:rsid w:val="00062F8A"/>
    <w:rsid w:val="0006322E"/>
    <w:rsid w:val="00063353"/>
    <w:rsid w:val="00063430"/>
    <w:rsid w:val="0006364A"/>
    <w:rsid w:val="000638C4"/>
    <w:rsid w:val="00063E3A"/>
    <w:rsid w:val="00063F5D"/>
    <w:rsid w:val="000641F4"/>
    <w:rsid w:val="0006425F"/>
    <w:rsid w:val="00064526"/>
    <w:rsid w:val="00064527"/>
    <w:rsid w:val="00064677"/>
    <w:rsid w:val="0006475A"/>
    <w:rsid w:val="00064778"/>
    <w:rsid w:val="0006481D"/>
    <w:rsid w:val="000648EB"/>
    <w:rsid w:val="00064924"/>
    <w:rsid w:val="00064D60"/>
    <w:rsid w:val="00064E74"/>
    <w:rsid w:val="000650E1"/>
    <w:rsid w:val="00065483"/>
    <w:rsid w:val="00065777"/>
    <w:rsid w:val="00065984"/>
    <w:rsid w:val="000659D2"/>
    <w:rsid w:val="00065A85"/>
    <w:rsid w:val="00065E40"/>
    <w:rsid w:val="00065F28"/>
    <w:rsid w:val="00066248"/>
    <w:rsid w:val="00066371"/>
    <w:rsid w:val="00066433"/>
    <w:rsid w:val="00066505"/>
    <w:rsid w:val="0006650E"/>
    <w:rsid w:val="000667EF"/>
    <w:rsid w:val="000668B0"/>
    <w:rsid w:val="000668BA"/>
    <w:rsid w:val="00066AFC"/>
    <w:rsid w:val="00066B8E"/>
    <w:rsid w:val="00066BC1"/>
    <w:rsid w:val="00066BD3"/>
    <w:rsid w:val="00066C25"/>
    <w:rsid w:val="00066CAB"/>
    <w:rsid w:val="00066CFF"/>
    <w:rsid w:val="00066F93"/>
    <w:rsid w:val="00067079"/>
    <w:rsid w:val="000670A8"/>
    <w:rsid w:val="00067132"/>
    <w:rsid w:val="000674CD"/>
    <w:rsid w:val="0006777E"/>
    <w:rsid w:val="00067857"/>
    <w:rsid w:val="00067AA6"/>
    <w:rsid w:val="00067C6B"/>
    <w:rsid w:val="00067CCE"/>
    <w:rsid w:val="00067DAA"/>
    <w:rsid w:val="00067E5E"/>
    <w:rsid w:val="00067F57"/>
    <w:rsid w:val="00067F87"/>
    <w:rsid w:val="00067F8F"/>
    <w:rsid w:val="00067FF9"/>
    <w:rsid w:val="0007024E"/>
    <w:rsid w:val="000702A3"/>
    <w:rsid w:val="00070309"/>
    <w:rsid w:val="00070740"/>
    <w:rsid w:val="000707FA"/>
    <w:rsid w:val="0007086B"/>
    <w:rsid w:val="000709D4"/>
    <w:rsid w:val="00070A0B"/>
    <w:rsid w:val="00070B62"/>
    <w:rsid w:val="00070D6D"/>
    <w:rsid w:val="00070E66"/>
    <w:rsid w:val="00070E8D"/>
    <w:rsid w:val="00070F58"/>
    <w:rsid w:val="0007125D"/>
    <w:rsid w:val="0007145B"/>
    <w:rsid w:val="00071735"/>
    <w:rsid w:val="00071760"/>
    <w:rsid w:val="0007179E"/>
    <w:rsid w:val="000717B9"/>
    <w:rsid w:val="00071AA5"/>
    <w:rsid w:val="00071AED"/>
    <w:rsid w:val="00071C6F"/>
    <w:rsid w:val="00071C9C"/>
    <w:rsid w:val="00071EE8"/>
    <w:rsid w:val="00071F81"/>
    <w:rsid w:val="00072034"/>
    <w:rsid w:val="0007220F"/>
    <w:rsid w:val="000723A9"/>
    <w:rsid w:val="00072491"/>
    <w:rsid w:val="000724FA"/>
    <w:rsid w:val="00072526"/>
    <w:rsid w:val="0007269E"/>
    <w:rsid w:val="00072729"/>
    <w:rsid w:val="00072933"/>
    <w:rsid w:val="00072A48"/>
    <w:rsid w:val="00072B40"/>
    <w:rsid w:val="00072C41"/>
    <w:rsid w:val="00072C60"/>
    <w:rsid w:val="000730A1"/>
    <w:rsid w:val="00073130"/>
    <w:rsid w:val="00073169"/>
    <w:rsid w:val="00073223"/>
    <w:rsid w:val="000732AC"/>
    <w:rsid w:val="000734CB"/>
    <w:rsid w:val="000735C5"/>
    <w:rsid w:val="0007372A"/>
    <w:rsid w:val="0007373F"/>
    <w:rsid w:val="000737BE"/>
    <w:rsid w:val="000738ED"/>
    <w:rsid w:val="000739D8"/>
    <w:rsid w:val="00073A02"/>
    <w:rsid w:val="00073A10"/>
    <w:rsid w:val="00073A65"/>
    <w:rsid w:val="00073C76"/>
    <w:rsid w:val="00073CB8"/>
    <w:rsid w:val="00073DBA"/>
    <w:rsid w:val="00073E0A"/>
    <w:rsid w:val="00073E66"/>
    <w:rsid w:val="00073E81"/>
    <w:rsid w:val="00073EBF"/>
    <w:rsid w:val="00074050"/>
    <w:rsid w:val="000740D7"/>
    <w:rsid w:val="000741BB"/>
    <w:rsid w:val="000741DE"/>
    <w:rsid w:val="000742E9"/>
    <w:rsid w:val="00074306"/>
    <w:rsid w:val="00074415"/>
    <w:rsid w:val="00074488"/>
    <w:rsid w:val="00074906"/>
    <w:rsid w:val="00074A3C"/>
    <w:rsid w:val="00074CF0"/>
    <w:rsid w:val="00074CFA"/>
    <w:rsid w:val="00074D55"/>
    <w:rsid w:val="00074FC7"/>
    <w:rsid w:val="0007580F"/>
    <w:rsid w:val="0007593E"/>
    <w:rsid w:val="0007597C"/>
    <w:rsid w:val="00075B55"/>
    <w:rsid w:val="00075B94"/>
    <w:rsid w:val="00075C08"/>
    <w:rsid w:val="00075D07"/>
    <w:rsid w:val="0007628B"/>
    <w:rsid w:val="00076374"/>
    <w:rsid w:val="000766C6"/>
    <w:rsid w:val="000769B8"/>
    <w:rsid w:val="00076C4F"/>
    <w:rsid w:val="00076CBD"/>
    <w:rsid w:val="00076CE5"/>
    <w:rsid w:val="00077037"/>
    <w:rsid w:val="00077108"/>
    <w:rsid w:val="0007756C"/>
    <w:rsid w:val="000777D8"/>
    <w:rsid w:val="00077C8A"/>
    <w:rsid w:val="00077E12"/>
    <w:rsid w:val="00077EE6"/>
    <w:rsid w:val="00077FB1"/>
    <w:rsid w:val="000800E3"/>
    <w:rsid w:val="00080100"/>
    <w:rsid w:val="0008015A"/>
    <w:rsid w:val="000802CE"/>
    <w:rsid w:val="00080540"/>
    <w:rsid w:val="000805CC"/>
    <w:rsid w:val="000807AC"/>
    <w:rsid w:val="0008082A"/>
    <w:rsid w:val="00080835"/>
    <w:rsid w:val="00080922"/>
    <w:rsid w:val="00080D05"/>
    <w:rsid w:val="00080F85"/>
    <w:rsid w:val="000810AA"/>
    <w:rsid w:val="000814B0"/>
    <w:rsid w:val="000814B8"/>
    <w:rsid w:val="0008153D"/>
    <w:rsid w:val="00081578"/>
    <w:rsid w:val="000815E9"/>
    <w:rsid w:val="00081630"/>
    <w:rsid w:val="0008165B"/>
    <w:rsid w:val="000816D3"/>
    <w:rsid w:val="0008182C"/>
    <w:rsid w:val="0008185C"/>
    <w:rsid w:val="000818D0"/>
    <w:rsid w:val="00081994"/>
    <w:rsid w:val="00081F8D"/>
    <w:rsid w:val="00081FFD"/>
    <w:rsid w:val="00082151"/>
    <w:rsid w:val="000821E3"/>
    <w:rsid w:val="000823A3"/>
    <w:rsid w:val="000823C2"/>
    <w:rsid w:val="00082554"/>
    <w:rsid w:val="00082878"/>
    <w:rsid w:val="000829F5"/>
    <w:rsid w:val="00082B5F"/>
    <w:rsid w:val="00082B7B"/>
    <w:rsid w:val="000831A4"/>
    <w:rsid w:val="00083234"/>
    <w:rsid w:val="00083328"/>
    <w:rsid w:val="00083333"/>
    <w:rsid w:val="00083383"/>
    <w:rsid w:val="00083A77"/>
    <w:rsid w:val="00083AB0"/>
    <w:rsid w:val="00083B8C"/>
    <w:rsid w:val="00083BD4"/>
    <w:rsid w:val="00083C30"/>
    <w:rsid w:val="00083C55"/>
    <w:rsid w:val="00083DF3"/>
    <w:rsid w:val="00083E05"/>
    <w:rsid w:val="00083E27"/>
    <w:rsid w:val="00083E98"/>
    <w:rsid w:val="00083F72"/>
    <w:rsid w:val="00083FFD"/>
    <w:rsid w:val="00084027"/>
    <w:rsid w:val="000840B9"/>
    <w:rsid w:val="000842F1"/>
    <w:rsid w:val="000844FF"/>
    <w:rsid w:val="00084501"/>
    <w:rsid w:val="00084801"/>
    <w:rsid w:val="00084869"/>
    <w:rsid w:val="00084B2F"/>
    <w:rsid w:val="00084B5F"/>
    <w:rsid w:val="00084C1C"/>
    <w:rsid w:val="0008508A"/>
    <w:rsid w:val="000850AE"/>
    <w:rsid w:val="0008531F"/>
    <w:rsid w:val="000855B7"/>
    <w:rsid w:val="0008575E"/>
    <w:rsid w:val="0008586B"/>
    <w:rsid w:val="00085ADC"/>
    <w:rsid w:val="00085C27"/>
    <w:rsid w:val="00085CD3"/>
    <w:rsid w:val="00086125"/>
    <w:rsid w:val="000862D6"/>
    <w:rsid w:val="000865E1"/>
    <w:rsid w:val="00086AFE"/>
    <w:rsid w:val="00086DBC"/>
    <w:rsid w:val="00086E2F"/>
    <w:rsid w:val="000870D2"/>
    <w:rsid w:val="00087635"/>
    <w:rsid w:val="0008766D"/>
    <w:rsid w:val="000876F9"/>
    <w:rsid w:val="0008776F"/>
    <w:rsid w:val="000878CB"/>
    <w:rsid w:val="00087A16"/>
    <w:rsid w:val="00087E0B"/>
    <w:rsid w:val="000900FF"/>
    <w:rsid w:val="00090215"/>
    <w:rsid w:val="00090397"/>
    <w:rsid w:val="00090922"/>
    <w:rsid w:val="000909B0"/>
    <w:rsid w:val="00090AE0"/>
    <w:rsid w:val="00090BD2"/>
    <w:rsid w:val="00090D03"/>
    <w:rsid w:val="00090D9A"/>
    <w:rsid w:val="000910AF"/>
    <w:rsid w:val="000912CE"/>
    <w:rsid w:val="00091566"/>
    <w:rsid w:val="00091A07"/>
    <w:rsid w:val="00091A2C"/>
    <w:rsid w:val="00091AFB"/>
    <w:rsid w:val="00091C18"/>
    <w:rsid w:val="00091D34"/>
    <w:rsid w:val="00091E4D"/>
    <w:rsid w:val="0009214C"/>
    <w:rsid w:val="00092240"/>
    <w:rsid w:val="000922E3"/>
    <w:rsid w:val="00092348"/>
    <w:rsid w:val="00092428"/>
    <w:rsid w:val="00092514"/>
    <w:rsid w:val="00092698"/>
    <w:rsid w:val="00092958"/>
    <w:rsid w:val="000929A9"/>
    <w:rsid w:val="00092AAD"/>
    <w:rsid w:val="00092E40"/>
    <w:rsid w:val="00092ECB"/>
    <w:rsid w:val="00093006"/>
    <w:rsid w:val="0009303F"/>
    <w:rsid w:val="000932C2"/>
    <w:rsid w:val="00093506"/>
    <w:rsid w:val="0009367F"/>
    <w:rsid w:val="00093692"/>
    <w:rsid w:val="000938C5"/>
    <w:rsid w:val="0009393E"/>
    <w:rsid w:val="00093978"/>
    <w:rsid w:val="00093992"/>
    <w:rsid w:val="00093B67"/>
    <w:rsid w:val="00093C75"/>
    <w:rsid w:val="00093CDB"/>
    <w:rsid w:val="00093F8A"/>
    <w:rsid w:val="0009401E"/>
    <w:rsid w:val="000941DC"/>
    <w:rsid w:val="0009444F"/>
    <w:rsid w:val="000944A9"/>
    <w:rsid w:val="0009464B"/>
    <w:rsid w:val="000946AE"/>
    <w:rsid w:val="00094725"/>
    <w:rsid w:val="0009480B"/>
    <w:rsid w:val="000948DB"/>
    <w:rsid w:val="00094A28"/>
    <w:rsid w:val="00094C0D"/>
    <w:rsid w:val="00094D51"/>
    <w:rsid w:val="00094E1E"/>
    <w:rsid w:val="00094F2A"/>
    <w:rsid w:val="00095093"/>
    <w:rsid w:val="00095240"/>
    <w:rsid w:val="000952AF"/>
    <w:rsid w:val="00095370"/>
    <w:rsid w:val="000955F3"/>
    <w:rsid w:val="00095641"/>
    <w:rsid w:val="000957BD"/>
    <w:rsid w:val="00095864"/>
    <w:rsid w:val="00095C3F"/>
    <w:rsid w:val="00095C52"/>
    <w:rsid w:val="00095E1C"/>
    <w:rsid w:val="00095E8D"/>
    <w:rsid w:val="000960DA"/>
    <w:rsid w:val="000962FA"/>
    <w:rsid w:val="000966A5"/>
    <w:rsid w:val="00096773"/>
    <w:rsid w:val="000967C9"/>
    <w:rsid w:val="00096890"/>
    <w:rsid w:val="00096BD0"/>
    <w:rsid w:val="00096D53"/>
    <w:rsid w:val="000970B5"/>
    <w:rsid w:val="000970C1"/>
    <w:rsid w:val="000972B4"/>
    <w:rsid w:val="00097395"/>
    <w:rsid w:val="000973E4"/>
    <w:rsid w:val="0009755D"/>
    <w:rsid w:val="00097565"/>
    <w:rsid w:val="000976EE"/>
    <w:rsid w:val="00097958"/>
    <w:rsid w:val="00097A20"/>
    <w:rsid w:val="00097A24"/>
    <w:rsid w:val="00097D57"/>
    <w:rsid w:val="000A0051"/>
    <w:rsid w:val="000A0070"/>
    <w:rsid w:val="000A01E1"/>
    <w:rsid w:val="000A0257"/>
    <w:rsid w:val="000A025A"/>
    <w:rsid w:val="000A02C6"/>
    <w:rsid w:val="000A04BF"/>
    <w:rsid w:val="000A04D7"/>
    <w:rsid w:val="000A0693"/>
    <w:rsid w:val="000A071E"/>
    <w:rsid w:val="000A07D2"/>
    <w:rsid w:val="000A0900"/>
    <w:rsid w:val="000A0A07"/>
    <w:rsid w:val="000A0BA5"/>
    <w:rsid w:val="000A0C0F"/>
    <w:rsid w:val="000A0E8E"/>
    <w:rsid w:val="000A1122"/>
    <w:rsid w:val="000A1126"/>
    <w:rsid w:val="000A127C"/>
    <w:rsid w:val="000A13DB"/>
    <w:rsid w:val="000A13F2"/>
    <w:rsid w:val="000A153E"/>
    <w:rsid w:val="000A161A"/>
    <w:rsid w:val="000A1675"/>
    <w:rsid w:val="000A17C0"/>
    <w:rsid w:val="000A18D6"/>
    <w:rsid w:val="000A1CBB"/>
    <w:rsid w:val="000A1CE2"/>
    <w:rsid w:val="000A1D6A"/>
    <w:rsid w:val="000A1E56"/>
    <w:rsid w:val="000A1EA5"/>
    <w:rsid w:val="000A20DD"/>
    <w:rsid w:val="000A225D"/>
    <w:rsid w:val="000A22FA"/>
    <w:rsid w:val="000A23D3"/>
    <w:rsid w:val="000A242C"/>
    <w:rsid w:val="000A25D0"/>
    <w:rsid w:val="000A2C54"/>
    <w:rsid w:val="000A2C5F"/>
    <w:rsid w:val="000A32B8"/>
    <w:rsid w:val="000A34B4"/>
    <w:rsid w:val="000A34F2"/>
    <w:rsid w:val="000A372B"/>
    <w:rsid w:val="000A384E"/>
    <w:rsid w:val="000A3944"/>
    <w:rsid w:val="000A39A4"/>
    <w:rsid w:val="000A3A62"/>
    <w:rsid w:val="000A3B52"/>
    <w:rsid w:val="000A3DA4"/>
    <w:rsid w:val="000A3DE4"/>
    <w:rsid w:val="000A3F3C"/>
    <w:rsid w:val="000A3FDA"/>
    <w:rsid w:val="000A3FE2"/>
    <w:rsid w:val="000A4052"/>
    <w:rsid w:val="000A40EB"/>
    <w:rsid w:val="000A4134"/>
    <w:rsid w:val="000A415F"/>
    <w:rsid w:val="000A4316"/>
    <w:rsid w:val="000A43D9"/>
    <w:rsid w:val="000A446F"/>
    <w:rsid w:val="000A45BB"/>
    <w:rsid w:val="000A4886"/>
    <w:rsid w:val="000A48E9"/>
    <w:rsid w:val="000A4915"/>
    <w:rsid w:val="000A4B6A"/>
    <w:rsid w:val="000A4D25"/>
    <w:rsid w:val="000A4D36"/>
    <w:rsid w:val="000A4D58"/>
    <w:rsid w:val="000A4DE0"/>
    <w:rsid w:val="000A4ED7"/>
    <w:rsid w:val="000A5147"/>
    <w:rsid w:val="000A5149"/>
    <w:rsid w:val="000A53D3"/>
    <w:rsid w:val="000A53E9"/>
    <w:rsid w:val="000A53F9"/>
    <w:rsid w:val="000A5533"/>
    <w:rsid w:val="000A55DC"/>
    <w:rsid w:val="000A5636"/>
    <w:rsid w:val="000A57A4"/>
    <w:rsid w:val="000A5B3F"/>
    <w:rsid w:val="000A5EAB"/>
    <w:rsid w:val="000A5F10"/>
    <w:rsid w:val="000A6124"/>
    <w:rsid w:val="000A61BD"/>
    <w:rsid w:val="000A63FB"/>
    <w:rsid w:val="000A64B3"/>
    <w:rsid w:val="000A6565"/>
    <w:rsid w:val="000A68A7"/>
    <w:rsid w:val="000A694E"/>
    <w:rsid w:val="000A695D"/>
    <w:rsid w:val="000A6998"/>
    <w:rsid w:val="000A729D"/>
    <w:rsid w:val="000A73F7"/>
    <w:rsid w:val="000A752A"/>
    <w:rsid w:val="000A7657"/>
    <w:rsid w:val="000A77B7"/>
    <w:rsid w:val="000A794F"/>
    <w:rsid w:val="000A7A21"/>
    <w:rsid w:val="000A7BEF"/>
    <w:rsid w:val="000A7CBC"/>
    <w:rsid w:val="000A7EAF"/>
    <w:rsid w:val="000B0171"/>
    <w:rsid w:val="000B01DA"/>
    <w:rsid w:val="000B0225"/>
    <w:rsid w:val="000B028F"/>
    <w:rsid w:val="000B0406"/>
    <w:rsid w:val="000B06AC"/>
    <w:rsid w:val="000B0822"/>
    <w:rsid w:val="000B0B7D"/>
    <w:rsid w:val="000B0E0A"/>
    <w:rsid w:val="000B0F16"/>
    <w:rsid w:val="000B0F7B"/>
    <w:rsid w:val="000B11BD"/>
    <w:rsid w:val="000B12E2"/>
    <w:rsid w:val="000B12EF"/>
    <w:rsid w:val="000B13D2"/>
    <w:rsid w:val="000B143D"/>
    <w:rsid w:val="000B1A72"/>
    <w:rsid w:val="000B1BCE"/>
    <w:rsid w:val="000B1C0D"/>
    <w:rsid w:val="000B1D6B"/>
    <w:rsid w:val="000B1D72"/>
    <w:rsid w:val="000B1DCD"/>
    <w:rsid w:val="000B1E92"/>
    <w:rsid w:val="000B1FB8"/>
    <w:rsid w:val="000B1FC3"/>
    <w:rsid w:val="000B2117"/>
    <w:rsid w:val="000B21E8"/>
    <w:rsid w:val="000B258D"/>
    <w:rsid w:val="000B26AE"/>
    <w:rsid w:val="000B2771"/>
    <w:rsid w:val="000B27ED"/>
    <w:rsid w:val="000B2862"/>
    <w:rsid w:val="000B28A9"/>
    <w:rsid w:val="000B28E1"/>
    <w:rsid w:val="000B29EB"/>
    <w:rsid w:val="000B2B69"/>
    <w:rsid w:val="000B2B72"/>
    <w:rsid w:val="000B2B7C"/>
    <w:rsid w:val="000B2BA0"/>
    <w:rsid w:val="000B2C32"/>
    <w:rsid w:val="000B2D2C"/>
    <w:rsid w:val="000B2E1C"/>
    <w:rsid w:val="000B2ECA"/>
    <w:rsid w:val="000B2FDE"/>
    <w:rsid w:val="000B3036"/>
    <w:rsid w:val="000B34EE"/>
    <w:rsid w:val="000B367B"/>
    <w:rsid w:val="000B370F"/>
    <w:rsid w:val="000B386B"/>
    <w:rsid w:val="000B388B"/>
    <w:rsid w:val="000B39C1"/>
    <w:rsid w:val="000B39E2"/>
    <w:rsid w:val="000B3A34"/>
    <w:rsid w:val="000B3A56"/>
    <w:rsid w:val="000B3B6C"/>
    <w:rsid w:val="000B3B87"/>
    <w:rsid w:val="000B3C32"/>
    <w:rsid w:val="000B3DB5"/>
    <w:rsid w:val="000B3DBD"/>
    <w:rsid w:val="000B3E76"/>
    <w:rsid w:val="000B3F11"/>
    <w:rsid w:val="000B3F65"/>
    <w:rsid w:val="000B3F68"/>
    <w:rsid w:val="000B4208"/>
    <w:rsid w:val="000B431A"/>
    <w:rsid w:val="000B4865"/>
    <w:rsid w:val="000B48B5"/>
    <w:rsid w:val="000B4980"/>
    <w:rsid w:val="000B4998"/>
    <w:rsid w:val="000B4AF9"/>
    <w:rsid w:val="000B4C77"/>
    <w:rsid w:val="000B4E20"/>
    <w:rsid w:val="000B4FFB"/>
    <w:rsid w:val="000B50BF"/>
    <w:rsid w:val="000B5103"/>
    <w:rsid w:val="000B5263"/>
    <w:rsid w:val="000B5348"/>
    <w:rsid w:val="000B53B6"/>
    <w:rsid w:val="000B554A"/>
    <w:rsid w:val="000B5776"/>
    <w:rsid w:val="000B5979"/>
    <w:rsid w:val="000B59D3"/>
    <w:rsid w:val="000B5A37"/>
    <w:rsid w:val="000B5C56"/>
    <w:rsid w:val="000B5D8F"/>
    <w:rsid w:val="000B5F85"/>
    <w:rsid w:val="000B60F5"/>
    <w:rsid w:val="000B624C"/>
    <w:rsid w:val="000B6405"/>
    <w:rsid w:val="000B647F"/>
    <w:rsid w:val="000B64C8"/>
    <w:rsid w:val="000B65D1"/>
    <w:rsid w:val="000B6606"/>
    <w:rsid w:val="000B6846"/>
    <w:rsid w:val="000B6888"/>
    <w:rsid w:val="000B68AB"/>
    <w:rsid w:val="000B694D"/>
    <w:rsid w:val="000B6AED"/>
    <w:rsid w:val="000B6D9D"/>
    <w:rsid w:val="000B716E"/>
    <w:rsid w:val="000B7244"/>
    <w:rsid w:val="000B7370"/>
    <w:rsid w:val="000B73DA"/>
    <w:rsid w:val="000B7496"/>
    <w:rsid w:val="000B74EF"/>
    <w:rsid w:val="000B774D"/>
    <w:rsid w:val="000B7818"/>
    <w:rsid w:val="000B7A15"/>
    <w:rsid w:val="000B7B39"/>
    <w:rsid w:val="000B7B5E"/>
    <w:rsid w:val="000B7B70"/>
    <w:rsid w:val="000B7B72"/>
    <w:rsid w:val="000B7BB3"/>
    <w:rsid w:val="000B7D06"/>
    <w:rsid w:val="000B7E0F"/>
    <w:rsid w:val="000B7FCE"/>
    <w:rsid w:val="000C03C3"/>
    <w:rsid w:val="000C0805"/>
    <w:rsid w:val="000C0905"/>
    <w:rsid w:val="000C0A15"/>
    <w:rsid w:val="000C0AB5"/>
    <w:rsid w:val="000C0C02"/>
    <w:rsid w:val="000C0C97"/>
    <w:rsid w:val="000C0CB3"/>
    <w:rsid w:val="000C0EDF"/>
    <w:rsid w:val="000C124C"/>
    <w:rsid w:val="000C144F"/>
    <w:rsid w:val="000C168C"/>
    <w:rsid w:val="000C185C"/>
    <w:rsid w:val="000C195E"/>
    <w:rsid w:val="000C1973"/>
    <w:rsid w:val="000C198C"/>
    <w:rsid w:val="000C1A7D"/>
    <w:rsid w:val="000C1B82"/>
    <w:rsid w:val="000C1CDF"/>
    <w:rsid w:val="000C1DE5"/>
    <w:rsid w:val="000C1ED7"/>
    <w:rsid w:val="000C1FFB"/>
    <w:rsid w:val="000C20FF"/>
    <w:rsid w:val="000C2181"/>
    <w:rsid w:val="000C228B"/>
    <w:rsid w:val="000C2451"/>
    <w:rsid w:val="000C2524"/>
    <w:rsid w:val="000C2575"/>
    <w:rsid w:val="000C25BB"/>
    <w:rsid w:val="000C262F"/>
    <w:rsid w:val="000C2894"/>
    <w:rsid w:val="000C2A85"/>
    <w:rsid w:val="000C2BE5"/>
    <w:rsid w:val="000C2C33"/>
    <w:rsid w:val="000C2DC8"/>
    <w:rsid w:val="000C2E7A"/>
    <w:rsid w:val="000C2ED1"/>
    <w:rsid w:val="000C2F2F"/>
    <w:rsid w:val="000C2FD0"/>
    <w:rsid w:val="000C30BE"/>
    <w:rsid w:val="000C325D"/>
    <w:rsid w:val="000C3277"/>
    <w:rsid w:val="000C33A2"/>
    <w:rsid w:val="000C348F"/>
    <w:rsid w:val="000C36C7"/>
    <w:rsid w:val="000C375C"/>
    <w:rsid w:val="000C3D3A"/>
    <w:rsid w:val="000C3D56"/>
    <w:rsid w:val="000C3D6E"/>
    <w:rsid w:val="000C3DBC"/>
    <w:rsid w:val="000C3DCB"/>
    <w:rsid w:val="000C3EB9"/>
    <w:rsid w:val="000C4036"/>
    <w:rsid w:val="000C415C"/>
    <w:rsid w:val="000C432C"/>
    <w:rsid w:val="000C46B5"/>
    <w:rsid w:val="000C491A"/>
    <w:rsid w:val="000C4B89"/>
    <w:rsid w:val="000C4C0B"/>
    <w:rsid w:val="000C4E33"/>
    <w:rsid w:val="000C4E38"/>
    <w:rsid w:val="000C4E73"/>
    <w:rsid w:val="000C4F67"/>
    <w:rsid w:val="000C5494"/>
    <w:rsid w:val="000C54D9"/>
    <w:rsid w:val="000C554D"/>
    <w:rsid w:val="000C5624"/>
    <w:rsid w:val="000C565C"/>
    <w:rsid w:val="000C5982"/>
    <w:rsid w:val="000C59AA"/>
    <w:rsid w:val="000C59FB"/>
    <w:rsid w:val="000C5A8B"/>
    <w:rsid w:val="000C5B70"/>
    <w:rsid w:val="000C5BDC"/>
    <w:rsid w:val="000C5ECD"/>
    <w:rsid w:val="000C5F4A"/>
    <w:rsid w:val="000C5F53"/>
    <w:rsid w:val="000C630D"/>
    <w:rsid w:val="000C631F"/>
    <w:rsid w:val="000C63AE"/>
    <w:rsid w:val="000C67C7"/>
    <w:rsid w:val="000C684C"/>
    <w:rsid w:val="000C690A"/>
    <w:rsid w:val="000C6910"/>
    <w:rsid w:val="000C6AF0"/>
    <w:rsid w:val="000C6B6B"/>
    <w:rsid w:val="000C6C32"/>
    <w:rsid w:val="000C6CEC"/>
    <w:rsid w:val="000C6E46"/>
    <w:rsid w:val="000C6FE5"/>
    <w:rsid w:val="000C7049"/>
    <w:rsid w:val="000C720E"/>
    <w:rsid w:val="000C7400"/>
    <w:rsid w:val="000C75D1"/>
    <w:rsid w:val="000C765B"/>
    <w:rsid w:val="000C7660"/>
    <w:rsid w:val="000C7714"/>
    <w:rsid w:val="000C7965"/>
    <w:rsid w:val="000C7C1F"/>
    <w:rsid w:val="000D00E2"/>
    <w:rsid w:val="000D01F2"/>
    <w:rsid w:val="000D0264"/>
    <w:rsid w:val="000D03E4"/>
    <w:rsid w:val="000D04CA"/>
    <w:rsid w:val="000D0713"/>
    <w:rsid w:val="000D0742"/>
    <w:rsid w:val="000D0745"/>
    <w:rsid w:val="000D08F3"/>
    <w:rsid w:val="000D0D16"/>
    <w:rsid w:val="000D0D3E"/>
    <w:rsid w:val="000D0E73"/>
    <w:rsid w:val="000D0EC4"/>
    <w:rsid w:val="000D1838"/>
    <w:rsid w:val="000D1918"/>
    <w:rsid w:val="000D19DD"/>
    <w:rsid w:val="000D1A3B"/>
    <w:rsid w:val="000D1ADB"/>
    <w:rsid w:val="000D1C11"/>
    <w:rsid w:val="000D1EEB"/>
    <w:rsid w:val="000D244D"/>
    <w:rsid w:val="000D2515"/>
    <w:rsid w:val="000D268A"/>
    <w:rsid w:val="000D27E8"/>
    <w:rsid w:val="000D282A"/>
    <w:rsid w:val="000D28BD"/>
    <w:rsid w:val="000D2956"/>
    <w:rsid w:val="000D29D0"/>
    <w:rsid w:val="000D2C46"/>
    <w:rsid w:val="000D2CCE"/>
    <w:rsid w:val="000D2E1A"/>
    <w:rsid w:val="000D2EA7"/>
    <w:rsid w:val="000D2FA8"/>
    <w:rsid w:val="000D30CF"/>
    <w:rsid w:val="000D30D9"/>
    <w:rsid w:val="000D316C"/>
    <w:rsid w:val="000D35EA"/>
    <w:rsid w:val="000D3E94"/>
    <w:rsid w:val="000D3F2D"/>
    <w:rsid w:val="000D3FF7"/>
    <w:rsid w:val="000D41F6"/>
    <w:rsid w:val="000D4342"/>
    <w:rsid w:val="000D4482"/>
    <w:rsid w:val="000D4517"/>
    <w:rsid w:val="000D46E6"/>
    <w:rsid w:val="000D4975"/>
    <w:rsid w:val="000D4AEF"/>
    <w:rsid w:val="000D4B18"/>
    <w:rsid w:val="000D4BF4"/>
    <w:rsid w:val="000D505E"/>
    <w:rsid w:val="000D5262"/>
    <w:rsid w:val="000D5A3F"/>
    <w:rsid w:val="000D5C25"/>
    <w:rsid w:val="000D5CFB"/>
    <w:rsid w:val="000D5DCE"/>
    <w:rsid w:val="000D5E58"/>
    <w:rsid w:val="000D5E74"/>
    <w:rsid w:val="000D5FEE"/>
    <w:rsid w:val="000D602F"/>
    <w:rsid w:val="000D60A3"/>
    <w:rsid w:val="000D643D"/>
    <w:rsid w:val="000D64D6"/>
    <w:rsid w:val="000D6A5F"/>
    <w:rsid w:val="000D6A91"/>
    <w:rsid w:val="000D6B36"/>
    <w:rsid w:val="000D6B8E"/>
    <w:rsid w:val="000D6CA5"/>
    <w:rsid w:val="000D7346"/>
    <w:rsid w:val="000D73C7"/>
    <w:rsid w:val="000D75BB"/>
    <w:rsid w:val="000D7644"/>
    <w:rsid w:val="000D771E"/>
    <w:rsid w:val="000D77E6"/>
    <w:rsid w:val="000D7D87"/>
    <w:rsid w:val="000D7E0B"/>
    <w:rsid w:val="000E003A"/>
    <w:rsid w:val="000E0090"/>
    <w:rsid w:val="000E0270"/>
    <w:rsid w:val="000E0469"/>
    <w:rsid w:val="000E057A"/>
    <w:rsid w:val="000E062A"/>
    <w:rsid w:val="000E069E"/>
    <w:rsid w:val="000E07B3"/>
    <w:rsid w:val="000E07EE"/>
    <w:rsid w:val="000E0956"/>
    <w:rsid w:val="000E0A01"/>
    <w:rsid w:val="000E0CCA"/>
    <w:rsid w:val="000E0E79"/>
    <w:rsid w:val="000E0F05"/>
    <w:rsid w:val="000E0F93"/>
    <w:rsid w:val="000E1072"/>
    <w:rsid w:val="000E11DE"/>
    <w:rsid w:val="000E12F7"/>
    <w:rsid w:val="000E155A"/>
    <w:rsid w:val="000E1711"/>
    <w:rsid w:val="000E1846"/>
    <w:rsid w:val="000E1A9C"/>
    <w:rsid w:val="000E1AD1"/>
    <w:rsid w:val="000E1C44"/>
    <w:rsid w:val="000E1E71"/>
    <w:rsid w:val="000E2145"/>
    <w:rsid w:val="000E2216"/>
    <w:rsid w:val="000E2390"/>
    <w:rsid w:val="000E2423"/>
    <w:rsid w:val="000E24BC"/>
    <w:rsid w:val="000E25FD"/>
    <w:rsid w:val="000E2790"/>
    <w:rsid w:val="000E2A0A"/>
    <w:rsid w:val="000E2A4F"/>
    <w:rsid w:val="000E2AAD"/>
    <w:rsid w:val="000E2BE4"/>
    <w:rsid w:val="000E2CC6"/>
    <w:rsid w:val="000E2D4A"/>
    <w:rsid w:val="000E2F05"/>
    <w:rsid w:val="000E2FDB"/>
    <w:rsid w:val="000E3003"/>
    <w:rsid w:val="000E3037"/>
    <w:rsid w:val="000E31AE"/>
    <w:rsid w:val="000E328E"/>
    <w:rsid w:val="000E3487"/>
    <w:rsid w:val="000E34DC"/>
    <w:rsid w:val="000E35B6"/>
    <w:rsid w:val="000E3910"/>
    <w:rsid w:val="000E3EBD"/>
    <w:rsid w:val="000E3FAE"/>
    <w:rsid w:val="000E40B4"/>
    <w:rsid w:val="000E4198"/>
    <w:rsid w:val="000E42CD"/>
    <w:rsid w:val="000E440D"/>
    <w:rsid w:val="000E446C"/>
    <w:rsid w:val="000E4495"/>
    <w:rsid w:val="000E45E7"/>
    <w:rsid w:val="000E4686"/>
    <w:rsid w:val="000E4C50"/>
    <w:rsid w:val="000E4C9B"/>
    <w:rsid w:val="000E4D70"/>
    <w:rsid w:val="000E4DCE"/>
    <w:rsid w:val="000E4E5E"/>
    <w:rsid w:val="000E4F95"/>
    <w:rsid w:val="000E513B"/>
    <w:rsid w:val="000E52C8"/>
    <w:rsid w:val="000E54EC"/>
    <w:rsid w:val="000E561A"/>
    <w:rsid w:val="000E5825"/>
    <w:rsid w:val="000E58F9"/>
    <w:rsid w:val="000E5BF6"/>
    <w:rsid w:val="000E5D67"/>
    <w:rsid w:val="000E5DE0"/>
    <w:rsid w:val="000E5F41"/>
    <w:rsid w:val="000E6235"/>
    <w:rsid w:val="000E62E6"/>
    <w:rsid w:val="000E630D"/>
    <w:rsid w:val="000E6315"/>
    <w:rsid w:val="000E634A"/>
    <w:rsid w:val="000E63B7"/>
    <w:rsid w:val="000E63BA"/>
    <w:rsid w:val="000E66C1"/>
    <w:rsid w:val="000E670C"/>
    <w:rsid w:val="000E6BB0"/>
    <w:rsid w:val="000E70A7"/>
    <w:rsid w:val="000E70C2"/>
    <w:rsid w:val="000E78B1"/>
    <w:rsid w:val="000E7B7F"/>
    <w:rsid w:val="000E7C24"/>
    <w:rsid w:val="000E7EB1"/>
    <w:rsid w:val="000E7F08"/>
    <w:rsid w:val="000F01E1"/>
    <w:rsid w:val="000F022A"/>
    <w:rsid w:val="000F02B6"/>
    <w:rsid w:val="000F07DD"/>
    <w:rsid w:val="000F0ABE"/>
    <w:rsid w:val="000F0C79"/>
    <w:rsid w:val="000F0DD2"/>
    <w:rsid w:val="000F0F64"/>
    <w:rsid w:val="000F0F7F"/>
    <w:rsid w:val="000F1257"/>
    <w:rsid w:val="000F12AC"/>
    <w:rsid w:val="000F12CE"/>
    <w:rsid w:val="000F13EF"/>
    <w:rsid w:val="000F14AF"/>
    <w:rsid w:val="000F151C"/>
    <w:rsid w:val="000F156A"/>
    <w:rsid w:val="000F1706"/>
    <w:rsid w:val="000F1931"/>
    <w:rsid w:val="000F1938"/>
    <w:rsid w:val="000F1949"/>
    <w:rsid w:val="000F1CCF"/>
    <w:rsid w:val="000F1D08"/>
    <w:rsid w:val="000F1DC0"/>
    <w:rsid w:val="000F1E1F"/>
    <w:rsid w:val="000F23C3"/>
    <w:rsid w:val="000F2763"/>
    <w:rsid w:val="000F2855"/>
    <w:rsid w:val="000F2858"/>
    <w:rsid w:val="000F2AAD"/>
    <w:rsid w:val="000F2B9F"/>
    <w:rsid w:val="000F2BF5"/>
    <w:rsid w:val="000F2C32"/>
    <w:rsid w:val="000F2C83"/>
    <w:rsid w:val="000F2C8C"/>
    <w:rsid w:val="000F2D85"/>
    <w:rsid w:val="000F30C7"/>
    <w:rsid w:val="000F30D3"/>
    <w:rsid w:val="000F3128"/>
    <w:rsid w:val="000F31BE"/>
    <w:rsid w:val="000F3243"/>
    <w:rsid w:val="000F32B8"/>
    <w:rsid w:val="000F32F5"/>
    <w:rsid w:val="000F38ED"/>
    <w:rsid w:val="000F3A8F"/>
    <w:rsid w:val="000F3A94"/>
    <w:rsid w:val="000F3B68"/>
    <w:rsid w:val="000F3C1C"/>
    <w:rsid w:val="000F3C86"/>
    <w:rsid w:val="000F3DCD"/>
    <w:rsid w:val="000F3F11"/>
    <w:rsid w:val="000F3F37"/>
    <w:rsid w:val="000F3FEF"/>
    <w:rsid w:val="000F3FF4"/>
    <w:rsid w:val="000F40DD"/>
    <w:rsid w:val="000F41A8"/>
    <w:rsid w:val="000F42CE"/>
    <w:rsid w:val="000F460E"/>
    <w:rsid w:val="000F478D"/>
    <w:rsid w:val="000F47E2"/>
    <w:rsid w:val="000F4951"/>
    <w:rsid w:val="000F4B00"/>
    <w:rsid w:val="000F4BFA"/>
    <w:rsid w:val="000F4C89"/>
    <w:rsid w:val="000F4E14"/>
    <w:rsid w:val="000F4FBD"/>
    <w:rsid w:val="000F50B5"/>
    <w:rsid w:val="000F5376"/>
    <w:rsid w:val="000F55DA"/>
    <w:rsid w:val="000F56A2"/>
    <w:rsid w:val="000F5DB8"/>
    <w:rsid w:val="000F5EDE"/>
    <w:rsid w:val="000F607C"/>
    <w:rsid w:val="000F6163"/>
    <w:rsid w:val="000F62AB"/>
    <w:rsid w:val="000F639A"/>
    <w:rsid w:val="000F64B6"/>
    <w:rsid w:val="000F64C1"/>
    <w:rsid w:val="000F64DC"/>
    <w:rsid w:val="000F65ED"/>
    <w:rsid w:val="000F673B"/>
    <w:rsid w:val="000F6A38"/>
    <w:rsid w:val="000F6BB4"/>
    <w:rsid w:val="000F6CFE"/>
    <w:rsid w:val="000F6EAB"/>
    <w:rsid w:val="000F6ED2"/>
    <w:rsid w:val="000F7068"/>
    <w:rsid w:val="000F71F8"/>
    <w:rsid w:val="000F725B"/>
    <w:rsid w:val="000F74F1"/>
    <w:rsid w:val="000F775B"/>
    <w:rsid w:val="000F7898"/>
    <w:rsid w:val="000F7978"/>
    <w:rsid w:val="000F7C89"/>
    <w:rsid w:val="000F7D1A"/>
    <w:rsid w:val="000F7D78"/>
    <w:rsid w:val="000F7F47"/>
    <w:rsid w:val="0010010D"/>
    <w:rsid w:val="00100447"/>
    <w:rsid w:val="00100510"/>
    <w:rsid w:val="00100581"/>
    <w:rsid w:val="00100582"/>
    <w:rsid w:val="001009F2"/>
    <w:rsid w:val="00100B6D"/>
    <w:rsid w:val="00100C5F"/>
    <w:rsid w:val="00100EFC"/>
    <w:rsid w:val="00101013"/>
    <w:rsid w:val="001010F0"/>
    <w:rsid w:val="001011DF"/>
    <w:rsid w:val="001012EC"/>
    <w:rsid w:val="0010170E"/>
    <w:rsid w:val="001017CF"/>
    <w:rsid w:val="00101872"/>
    <w:rsid w:val="00101BC5"/>
    <w:rsid w:val="00101C8F"/>
    <w:rsid w:val="00101D7E"/>
    <w:rsid w:val="00101E4F"/>
    <w:rsid w:val="00101FBA"/>
    <w:rsid w:val="00101FD2"/>
    <w:rsid w:val="0010220A"/>
    <w:rsid w:val="00102405"/>
    <w:rsid w:val="0010246F"/>
    <w:rsid w:val="001025DF"/>
    <w:rsid w:val="00102935"/>
    <w:rsid w:val="00102ADF"/>
    <w:rsid w:val="00102CB3"/>
    <w:rsid w:val="00102DB5"/>
    <w:rsid w:val="00102DB7"/>
    <w:rsid w:val="00102EC4"/>
    <w:rsid w:val="0010311D"/>
    <w:rsid w:val="00103198"/>
    <w:rsid w:val="00103267"/>
    <w:rsid w:val="001033DD"/>
    <w:rsid w:val="00103520"/>
    <w:rsid w:val="00103590"/>
    <w:rsid w:val="001037C6"/>
    <w:rsid w:val="00103860"/>
    <w:rsid w:val="00103C82"/>
    <w:rsid w:val="00104165"/>
    <w:rsid w:val="001042C7"/>
    <w:rsid w:val="0010439F"/>
    <w:rsid w:val="001045E2"/>
    <w:rsid w:val="001047E2"/>
    <w:rsid w:val="00104A7B"/>
    <w:rsid w:val="00104B6A"/>
    <w:rsid w:val="00104DD2"/>
    <w:rsid w:val="00104F97"/>
    <w:rsid w:val="0010514F"/>
    <w:rsid w:val="0010533B"/>
    <w:rsid w:val="001053C8"/>
    <w:rsid w:val="0010567E"/>
    <w:rsid w:val="001056E3"/>
    <w:rsid w:val="0010573D"/>
    <w:rsid w:val="001057D9"/>
    <w:rsid w:val="001059CB"/>
    <w:rsid w:val="00105A9B"/>
    <w:rsid w:val="00105B29"/>
    <w:rsid w:val="00105B34"/>
    <w:rsid w:val="00105D67"/>
    <w:rsid w:val="00105DCF"/>
    <w:rsid w:val="00105E94"/>
    <w:rsid w:val="00105F9F"/>
    <w:rsid w:val="00106092"/>
    <w:rsid w:val="0010609C"/>
    <w:rsid w:val="001060A9"/>
    <w:rsid w:val="00106209"/>
    <w:rsid w:val="00106284"/>
    <w:rsid w:val="001062A1"/>
    <w:rsid w:val="001064B2"/>
    <w:rsid w:val="001065F4"/>
    <w:rsid w:val="00106623"/>
    <w:rsid w:val="001067FA"/>
    <w:rsid w:val="00106B3C"/>
    <w:rsid w:val="00106EF8"/>
    <w:rsid w:val="00106F39"/>
    <w:rsid w:val="00106FF8"/>
    <w:rsid w:val="00107000"/>
    <w:rsid w:val="00107315"/>
    <w:rsid w:val="001073E7"/>
    <w:rsid w:val="00107477"/>
    <w:rsid w:val="00107515"/>
    <w:rsid w:val="00107601"/>
    <w:rsid w:val="00107A02"/>
    <w:rsid w:val="00107D42"/>
    <w:rsid w:val="00107F79"/>
    <w:rsid w:val="00110086"/>
    <w:rsid w:val="00110205"/>
    <w:rsid w:val="001104EF"/>
    <w:rsid w:val="00110505"/>
    <w:rsid w:val="00110513"/>
    <w:rsid w:val="0011057D"/>
    <w:rsid w:val="00110AD8"/>
    <w:rsid w:val="00110AE6"/>
    <w:rsid w:val="00110BA8"/>
    <w:rsid w:val="00110D25"/>
    <w:rsid w:val="00110D53"/>
    <w:rsid w:val="00110E8F"/>
    <w:rsid w:val="00110FC9"/>
    <w:rsid w:val="00111027"/>
    <w:rsid w:val="001110E8"/>
    <w:rsid w:val="001111CA"/>
    <w:rsid w:val="001111FF"/>
    <w:rsid w:val="001115F5"/>
    <w:rsid w:val="0011166D"/>
    <w:rsid w:val="00111742"/>
    <w:rsid w:val="00111745"/>
    <w:rsid w:val="00111C80"/>
    <w:rsid w:val="00111EF2"/>
    <w:rsid w:val="00111F6B"/>
    <w:rsid w:val="001122D7"/>
    <w:rsid w:val="00112389"/>
    <w:rsid w:val="001124D4"/>
    <w:rsid w:val="00112555"/>
    <w:rsid w:val="00112785"/>
    <w:rsid w:val="00112BE6"/>
    <w:rsid w:val="00112D9D"/>
    <w:rsid w:val="00112DE9"/>
    <w:rsid w:val="00112FB4"/>
    <w:rsid w:val="0011304F"/>
    <w:rsid w:val="00113186"/>
    <w:rsid w:val="00113416"/>
    <w:rsid w:val="0011342D"/>
    <w:rsid w:val="00113643"/>
    <w:rsid w:val="0011373F"/>
    <w:rsid w:val="00113825"/>
    <w:rsid w:val="00113831"/>
    <w:rsid w:val="0011384D"/>
    <w:rsid w:val="001139E1"/>
    <w:rsid w:val="00113B6B"/>
    <w:rsid w:val="00113E32"/>
    <w:rsid w:val="00113F69"/>
    <w:rsid w:val="00114153"/>
    <w:rsid w:val="001142C3"/>
    <w:rsid w:val="00114480"/>
    <w:rsid w:val="001144F3"/>
    <w:rsid w:val="001148E7"/>
    <w:rsid w:val="00114911"/>
    <w:rsid w:val="0011496D"/>
    <w:rsid w:val="00114A88"/>
    <w:rsid w:val="00114A8D"/>
    <w:rsid w:val="00114CB3"/>
    <w:rsid w:val="00114CD5"/>
    <w:rsid w:val="00114F6E"/>
    <w:rsid w:val="001150BB"/>
    <w:rsid w:val="00115461"/>
    <w:rsid w:val="001154BF"/>
    <w:rsid w:val="00115511"/>
    <w:rsid w:val="0011554C"/>
    <w:rsid w:val="00115613"/>
    <w:rsid w:val="00115823"/>
    <w:rsid w:val="00115994"/>
    <w:rsid w:val="00115AEE"/>
    <w:rsid w:val="00115CDF"/>
    <w:rsid w:val="00115EA1"/>
    <w:rsid w:val="00116477"/>
    <w:rsid w:val="0011649F"/>
    <w:rsid w:val="00116862"/>
    <w:rsid w:val="00116912"/>
    <w:rsid w:val="001169A1"/>
    <w:rsid w:val="00116C21"/>
    <w:rsid w:val="00116E42"/>
    <w:rsid w:val="0011702F"/>
    <w:rsid w:val="00117044"/>
    <w:rsid w:val="00117322"/>
    <w:rsid w:val="00117334"/>
    <w:rsid w:val="00117493"/>
    <w:rsid w:val="001174F0"/>
    <w:rsid w:val="001175A0"/>
    <w:rsid w:val="001176B3"/>
    <w:rsid w:val="00117984"/>
    <w:rsid w:val="001179B0"/>
    <w:rsid w:val="00117BBB"/>
    <w:rsid w:val="00117D60"/>
    <w:rsid w:val="00117D73"/>
    <w:rsid w:val="00117FDE"/>
    <w:rsid w:val="001200D7"/>
    <w:rsid w:val="0012033A"/>
    <w:rsid w:val="00120413"/>
    <w:rsid w:val="0012080D"/>
    <w:rsid w:val="001208CB"/>
    <w:rsid w:val="00120B0F"/>
    <w:rsid w:val="00120B41"/>
    <w:rsid w:val="00120C14"/>
    <w:rsid w:val="00120DC2"/>
    <w:rsid w:val="00120F71"/>
    <w:rsid w:val="00121059"/>
    <w:rsid w:val="001213D2"/>
    <w:rsid w:val="001213DB"/>
    <w:rsid w:val="001214A3"/>
    <w:rsid w:val="0012165E"/>
    <w:rsid w:val="001216EA"/>
    <w:rsid w:val="00121A93"/>
    <w:rsid w:val="00121C45"/>
    <w:rsid w:val="00121E4B"/>
    <w:rsid w:val="001220D3"/>
    <w:rsid w:val="0012256D"/>
    <w:rsid w:val="001225B5"/>
    <w:rsid w:val="001225F3"/>
    <w:rsid w:val="00122656"/>
    <w:rsid w:val="00122675"/>
    <w:rsid w:val="00122823"/>
    <w:rsid w:val="00122891"/>
    <w:rsid w:val="00122957"/>
    <w:rsid w:val="00122B01"/>
    <w:rsid w:val="00122B6F"/>
    <w:rsid w:val="00122C00"/>
    <w:rsid w:val="00122C9B"/>
    <w:rsid w:val="00122CDE"/>
    <w:rsid w:val="00122F3D"/>
    <w:rsid w:val="001231BC"/>
    <w:rsid w:val="00123243"/>
    <w:rsid w:val="001235FD"/>
    <w:rsid w:val="00123610"/>
    <w:rsid w:val="00123B91"/>
    <w:rsid w:val="00123C41"/>
    <w:rsid w:val="00123D34"/>
    <w:rsid w:val="00123EC8"/>
    <w:rsid w:val="0012400F"/>
    <w:rsid w:val="00124023"/>
    <w:rsid w:val="001242B2"/>
    <w:rsid w:val="00124326"/>
    <w:rsid w:val="00124418"/>
    <w:rsid w:val="00124528"/>
    <w:rsid w:val="001246C3"/>
    <w:rsid w:val="00124715"/>
    <w:rsid w:val="00124A4F"/>
    <w:rsid w:val="00124A55"/>
    <w:rsid w:val="00124C38"/>
    <w:rsid w:val="00124DB9"/>
    <w:rsid w:val="00124DFE"/>
    <w:rsid w:val="00124FC1"/>
    <w:rsid w:val="001250BA"/>
    <w:rsid w:val="0012521B"/>
    <w:rsid w:val="00125282"/>
    <w:rsid w:val="00125408"/>
    <w:rsid w:val="001254A8"/>
    <w:rsid w:val="001257B4"/>
    <w:rsid w:val="001257D2"/>
    <w:rsid w:val="0012586A"/>
    <w:rsid w:val="001258A5"/>
    <w:rsid w:val="001258C3"/>
    <w:rsid w:val="0012592F"/>
    <w:rsid w:val="00125939"/>
    <w:rsid w:val="00125AB0"/>
    <w:rsid w:val="00125AE3"/>
    <w:rsid w:val="00125BDB"/>
    <w:rsid w:val="00125C17"/>
    <w:rsid w:val="00125D17"/>
    <w:rsid w:val="00125D48"/>
    <w:rsid w:val="00125EDD"/>
    <w:rsid w:val="00126040"/>
    <w:rsid w:val="00126262"/>
    <w:rsid w:val="001265D3"/>
    <w:rsid w:val="0012667A"/>
    <w:rsid w:val="00126698"/>
    <w:rsid w:val="001266F6"/>
    <w:rsid w:val="001268A1"/>
    <w:rsid w:val="001269FB"/>
    <w:rsid w:val="00126B68"/>
    <w:rsid w:val="00126C38"/>
    <w:rsid w:val="00126CA7"/>
    <w:rsid w:val="00126E74"/>
    <w:rsid w:val="00126F17"/>
    <w:rsid w:val="001271D3"/>
    <w:rsid w:val="0012759A"/>
    <w:rsid w:val="001279C6"/>
    <w:rsid w:val="00127C04"/>
    <w:rsid w:val="00127CC8"/>
    <w:rsid w:val="00130103"/>
    <w:rsid w:val="00130484"/>
    <w:rsid w:val="0013073E"/>
    <w:rsid w:val="00130743"/>
    <w:rsid w:val="001308EB"/>
    <w:rsid w:val="00130A18"/>
    <w:rsid w:val="00130A3B"/>
    <w:rsid w:val="00130A73"/>
    <w:rsid w:val="00130AE2"/>
    <w:rsid w:val="00130CF5"/>
    <w:rsid w:val="001311FA"/>
    <w:rsid w:val="0013122E"/>
    <w:rsid w:val="001313C1"/>
    <w:rsid w:val="0013148C"/>
    <w:rsid w:val="00131612"/>
    <w:rsid w:val="0013164E"/>
    <w:rsid w:val="001316D9"/>
    <w:rsid w:val="0013197C"/>
    <w:rsid w:val="00131C63"/>
    <w:rsid w:val="00131E00"/>
    <w:rsid w:val="00132167"/>
    <w:rsid w:val="00132453"/>
    <w:rsid w:val="00132506"/>
    <w:rsid w:val="00132623"/>
    <w:rsid w:val="001328F2"/>
    <w:rsid w:val="00132F0D"/>
    <w:rsid w:val="00132F1D"/>
    <w:rsid w:val="001330E4"/>
    <w:rsid w:val="001330EC"/>
    <w:rsid w:val="00133225"/>
    <w:rsid w:val="0013322A"/>
    <w:rsid w:val="0013329D"/>
    <w:rsid w:val="001333D5"/>
    <w:rsid w:val="001333D7"/>
    <w:rsid w:val="001338A5"/>
    <w:rsid w:val="00133AF2"/>
    <w:rsid w:val="00133E73"/>
    <w:rsid w:val="00133F1F"/>
    <w:rsid w:val="0013415B"/>
    <w:rsid w:val="00134224"/>
    <w:rsid w:val="001344B5"/>
    <w:rsid w:val="00134603"/>
    <w:rsid w:val="00134738"/>
    <w:rsid w:val="0013476C"/>
    <w:rsid w:val="00134D82"/>
    <w:rsid w:val="00134E15"/>
    <w:rsid w:val="00134F31"/>
    <w:rsid w:val="00135056"/>
    <w:rsid w:val="00135069"/>
    <w:rsid w:val="001350F1"/>
    <w:rsid w:val="0013527F"/>
    <w:rsid w:val="001354F1"/>
    <w:rsid w:val="001356EA"/>
    <w:rsid w:val="0013591A"/>
    <w:rsid w:val="00135936"/>
    <w:rsid w:val="00135C7C"/>
    <w:rsid w:val="00135E40"/>
    <w:rsid w:val="00135EE6"/>
    <w:rsid w:val="00135F4F"/>
    <w:rsid w:val="00136007"/>
    <w:rsid w:val="0013675D"/>
    <w:rsid w:val="001367F6"/>
    <w:rsid w:val="001368E7"/>
    <w:rsid w:val="001369F1"/>
    <w:rsid w:val="00136AE2"/>
    <w:rsid w:val="00136AF5"/>
    <w:rsid w:val="00136D04"/>
    <w:rsid w:val="00136D7C"/>
    <w:rsid w:val="0013704E"/>
    <w:rsid w:val="00137139"/>
    <w:rsid w:val="001371B9"/>
    <w:rsid w:val="001371DE"/>
    <w:rsid w:val="0013724D"/>
    <w:rsid w:val="001372B2"/>
    <w:rsid w:val="0013734A"/>
    <w:rsid w:val="00137381"/>
    <w:rsid w:val="00137400"/>
    <w:rsid w:val="0013743F"/>
    <w:rsid w:val="00137603"/>
    <w:rsid w:val="00137698"/>
    <w:rsid w:val="001376CA"/>
    <w:rsid w:val="001377C0"/>
    <w:rsid w:val="0013783F"/>
    <w:rsid w:val="00137B47"/>
    <w:rsid w:val="00137B5E"/>
    <w:rsid w:val="00137B60"/>
    <w:rsid w:val="00137B73"/>
    <w:rsid w:val="00137B83"/>
    <w:rsid w:val="00137C2A"/>
    <w:rsid w:val="00140023"/>
    <w:rsid w:val="00140044"/>
    <w:rsid w:val="001400B5"/>
    <w:rsid w:val="00140282"/>
    <w:rsid w:val="00140346"/>
    <w:rsid w:val="00140453"/>
    <w:rsid w:val="001404DC"/>
    <w:rsid w:val="00140691"/>
    <w:rsid w:val="001408F8"/>
    <w:rsid w:val="001409F0"/>
    <w:rsid w:val="001409F1"/>
    <w:rsid w:val="00140A23"/>
    <w:rsid w:val="00140DCA"/>
    <w:rsid w:val="00141091"/>
    <w:rsid w:val="00141125"/>
    <w:rsid w:val="00141143"/>
    <w:rsid w:val="0014115B"/>
    <w:rsid w:val="00141340"/>
    <w:rsid w:val="001414A8"/>
    <w:rsid w:val="00141610"/>
    <w:rsid w:val="00141634"/>
    <w:rsid w:val="0014163A"/>
    <w:rsid w:val="001416DA"/>
    <w:rsid w:val="0014192C"/>
    <w:rsid w:val="001419FB"/>
    <w:rsid w:val="00141A9B"/>
    <w:rsid w:val="00141B8E"/>
    <w:rsid w:val="00141CA6"/>
    <w:rsid w:val="00141CED"/>
    <w:rsid w:val="00142178"/>
    <w:rsid w:val="0014219A"/>
    <w:rsid w:val="00142277"/>
    <w:rsid w:val="00142474"/>
    <w:rsid w:val="00142713"/>
    <w:rsid w:val="00142729"/>
    <w:rsid w:val="0014287C"/>
    <w:rsid w:val="00142B05"/>
    <w:rsid w:val="00142B57"/>
    <w:rsid w:val="00142C93"/>
    <w:rsid w:val="00142CD3"/>
    <w:rsid w:val="00142E1E"/>
    <w:rsid w:val="00142F42"/>
    <w:rsid w:val="00142FB6"/>
    <w:rsid w:val="00142FFF"/>
    <w:rsid w:val="00143018"/>
    <w:rsid w:val="001430B6"/>
    <w:rsid w:val="00143112"/>
    <w:rsid w:val="0014312D"/>
    <w:rsid w:val="001431A3"/>
    <w:rsid w:val="001432C2"/>
    <w:rsid w:val="001433B0"/>
    <w:rsid w:val="00143452"/>
    <w:rsid w:val="001434A5"/>
    <w:rsid w:val="0014366D"/>
    <w:rsid w:val="00143770"/>
    <w:rsid w:val="00143B00"/>
    <w:rsid w:val="00143B09"/>
    <w:rsid w:val="00143B84"/>
    <w:rsid w:val="00143CAC"/>
    <w:rsid w:val="00143E29"/>
    <w:rsid w:val="0014409D"/>
    <w:rsid w:val="00144157"/>
    <w:rsid w:val="00144188"/>
    <w:rsid w:val="00144190"/>
    <w:rsid w:val="001441FC"/>
    <w:rsid w:val="00144340"/>
    <w:rsid w:val="0014441F"/>
    <w:rsid w:val="0014442D"/>
    <w:rsid w:val="0014461C"/>
    <w:rsid w:val="0014483B"/>
    <w:rsid w:val="00144897"/>
    <w:rsid w:val="001449D4"/>
    <w:rsid w:val="00144A73"/>
    <w:rsid w:val="00144AE4"/>
    <w:rsid w:val="00144CD3"/>
    <w:rsid w:val="00145002"/>
    <w:rsid w:val="001450AE"/>
    <w:rsid w:val="00145251"/>
    <w:rsid w:val="00145991"/>
    <w:rsid w:val="00145BE5"/>
    <w:rsid w:val="00145D57"/>
    <w:rsid w:val="00145D75"/>
    <w:rsid w:val="00145E4C"/>
    <w:rsid w:val="0014601E"/>
    <w:rsid w:val="001462C7"/>
    <w:rsid w:val="001463A7"/>
    <w:rsid w:val="00146692"/>
    <w:rsid w:val="00146769"/>
    <w:rsid w:val="00146801"/>
    <w:rsid w:val="001469DA"/>
    <w:rsid w:val="00146C45"/>
    <w:rsid w:val="00146D6F"/>
    <w:rsid w:val="00146E74"/>
    <w:rsid w:val="00146EA8"/>
    <w:rsid w:val="00146F94"/>
    <w:rsid w:val="001470F2"/>
    <w:rsid w:val="0014717A"/>
    <w:rsid w:val="00147877"/>
    <w:rsid w:val="00147944"/>
    <w:rsid w:val="00147ACB"/>
    <w:rsid w:val="00147E43"/>
    <w:rsid w:val="00147F01"/>
    <w:rsid w:val="00147FF7"/>
    <w:rsid w:val="00150132"/>
    <w:rsid w:val="00150648"/>
    <w:rsid w:val="001508D5"/>
    <w:rsid w:val="001509E5"/>
    <w:rsid w:val="00150A68"/>
    <w:rsid w:val="00150E03"/>
    <w:rsid w:val="00150F65"/>
    <w:rsid w:val="00150F7A"/>
    <w:rsid w:val="0015101B"/>
    <w:rsid w:val="00151241"/>
    <w:rsid w:val="0015145F"/>
    <w:rsid w:val="00151463"/>
    <w:rsid w:val="00151479"/>
    <w:rsid w:val="00151523"/>
    <w:rsid w:val="00151557"/>
    <w:rsid w:val="00151869"/>
    <w:rsid w:val="001519B7"/>
    <w:rsid w:val="00151A71"/>
    <w:rsid w:val="00151AE3"/>
    <w:rsid w:val="00151BD9"/>
    <w:rsid w:val="00151D9F"/>
    <w:rsid w:val="00151F57"/>
    <w:rsid w:val="00152160"/>
    <w:rsid w:val="00152639"/>
    <w:rsid w:val="00152661"/>
    <w:rsid w:val="00152967"/>
    <w:rsid w:val="00152C3A"/>
    <w:rsid w:val="00152EEA"/>
    <w:rsid w:val="00152F3A"/>
    <w:rsid w:val="00153122"/>
    <w:rsid w:val="0015321B"/>
    <w:rsid w:val="00153347"/>
    <w:rsid w:val="001535C0"/>
    <w:rsid w:val="0015372E"/>
    <w:rsid w:val="00153996"/>
    <w:rsid w:val="00153A43"/>
    <w:rsid w:val="00153D44"/>
    <w:rsid w:val="00153DCE"/>
    <w:rsid w:val="00153E3F"/>
    <w:rsid w:val="00153EA5"/>
    <w:rsid w:val="0015401A"/>
    <w:rsid w:val="00154671"/>
    <w:rsid w:val="001546AE"/>
    <w:rsid w:val="00154812"/>
    <w:rsid w:val="0015498C"/>
    <w:rsid w:val="00154A81"/>
    <w:rsid w:val="00154AF5"/>
    <w:rsid w:val="00154BAC"/>
    <w:rsid w:val="00154BB1"/>
    <w:rsid w:val="00155139"/>
    <w:rsid w:val="001553BA"/>
    <w:rsid w:val="001555E3"/>
    <w:rsid w:val="00155683"/>
    <w:rsid w:val="001558D5"/>
    <w:rsid w:val="00155927"/>
    <w:rsid w:val="00155A1E"/>
    <w:rsid w:val="00155A89"/>
    <w:rsid w:val="00155BB9"/>
    <w:rsid w:val="00155C28"/>
    <w:rsid w:val="00155C98"/>
    <w:rsid w:val="00155DC2"/>
    <w:rsid w:val="00155E08"/>
    <w:rsid w:val="00155E7B"/>
    <w:rsid w:val="00156086"/>
    <w:rsid w:val="00156154"/>
    <w:rsid w:val="001564E8"/>
    <w:rsid w:val="001566D4"/>
    <w:rsid w:val="00156A35"/>
    <w:rsid w:val="00156EC8"/>
    <w:rsid w:val="001573C6"/>
    <w:rsid w:val="0015746F"/>
    <w:rsid w:val="00157533"/>
    <w:rsid w:val="00157687"/>
    <w:rsid w:val="00157798"/>
    <w:rsid w:val="00157A69"/>
    <w:rsid w:val="00157A7F"/>
    <w:rsid w:val="00157ABC"/>
    <w:rsid w:val="00157BE5"/>
    <w:rsid w:val="00157C4A"/>
    <w:rsid w:val="00157CEE"/>
    <w:rsid w:val="001601BB"/>
    <w:rsid w:val="0016069F"/>
    <w:rsid w:val="001606FC"/>
    <w:rsid w:val="00160828"/>
    <w:rsid w:val="00160B31"/>
    <w:rsid w:val="00160CEF"/>
    <w:rsid w:val="00160EAC"/>
    <w:rsid w:val="00160F26"/>
    <w:rsid w:val="00160F56"/>
    <w:rsid w:val="00160F9C"/>
    <w:rsid w:val="00161157"/>
    <w:rsid w:val="001614F3"/>
    <w:rsid w:val="0016165F"/>
    <w:rsid w:val="001618BA"/>
    <w:rsid w:val="001618D4"/>
    <w:rsid w:val="00161A2A"/>
    <w:rsid w:val="00161A8E"/>
    <w:rsid w:val="00161B9B"/>
    <w:rsid w:val="00161F00"/>
    <w:rsid w:val="00161F70"/>
    <w:rsid w:val="0016227B"/>
    <w:rsid w:val="00162526"/>
    <w:rsid w:val="0016255B"/>
    <w:rsid w:val="001625EE"/>
    <w:rsid w:val="00162D68"/>
    <w:rsid w:val="00162D95"/>
    <w:rsid w:val="00162F0E"/>
    <w:rsid w:val="0016322C"/>
    <w:rsid w:val="00163356"/>
    <w:rsid w:val="0016374D"/>
    <w:rsid w:val="001637EE"/>
    <w:rsid w:val="0016392E"/>
    <w:rsid w:val="00163A55"/>
    <w:rsid w:val="00163A60"/>
    <w:rsid w:val="00163BC7"/>
    <w:rsid w:val="00163C9C"/>
    <w:rsid w:val="00163F4E"/>
    <w:rsid w:val="00163F94"/>
    <w:rsid w:val="00164000"/>
    <w:rsid w:val="0016406D"/>
    <w:rsid w:val="001641B2"/>
    <w:rsid w:val="00164274"/>
    <w:rsid w:val="00164318"/>
    <w:rsid w:val="0016444B"/>
    <w:rsid w:val="00164494"/>
    <w:rsid w:val="0016451F"/>
    <w:rsid w:val="00164637"/>
    <w:rsid w:val="00164865"/>
    <w:rsid w:val="001648CF"/>
    <w:rsid w:val="00164A3C"/>
    <w:rsid w:val="00164AAE"/>
    <w:rsid w:val="00164B9F"/>
    <w:rsid w:val="00164F69"/>
    <w:rsid w:val="00164FCB"/>
    <w:rsid w:val="001653F0"/>
    <w:rsid w:val="00165402"/>
    <w:rsid w:val="001654E9"/>
    <w:rsid w:val="001658C6"/>
    <w:rsid w:val="001658D2"/>
    <w:rsid w:val="00165B01"/>
    <w:rsid w:val="00165CAD"/>
    <w:rsid w:val="00165DE3"/>
    <w:rsid w:val="00165E95"/>
    <w:rsid w:val="00165F3B"/>
    <w:rsid w:val="00165F6B"/>
    <w:rsid w:val="00165FAC"/>
    <w:rsid w:val="00165FC4"/>
    <w:rsid w:val="00166066"/>
    <w:rsid w:val="001660BD"/>
    <w:rsid w:val="001660FE"/>
    <w:rsid w:val="001661B4"/>
    <w:rsid w:val="001663A5"/>
    <w:rsid w:val="00166557"/>
    <w:rsid w:val="001668AD"/>
    <w:rsid w:val="00166C29"/>
    <w:rsid w:val="00166DCB"/>
    <w:rsid w:val="00166F28"/>
    <w:rsid w:val="00166F7E"/>
    <w:rsid w:val="00166FFA"/>
    <w:rsid w:val="0016706F"/>
    <w:rsid w:val="001674C3"/>
    <w:rsid w:val="001675ED"/>
    <w:rsid w:val="00167648"/>
    <w:rsid w:val="00167821"/>
    <w:rsid w:val="001678B8"/>
    <w:rsid w:val="00167964"/>
    <w:rsid w:val="00167AC0"/>
    <w:rsid w:val="00167B1B"/>
    <w:rsid w:val="00167E67"/>
    <w:rsid w:val="00167EEE"/>
    <w:rsid w:val="00167FEE"/>
    <w:rsid w:val="0017022C"/>
    <w:rsid w:val="0017035B"/>
    <w:rsid w:val="0017064C"/>
    <w:rsid w:val="00170677"/>
    <w:rsid w:val="00170690"/>
    <w:rsid w:val="00170704"/>
    <w:rsid w:val="00170A3F"/>
    <w:rsid w:val="00170D72"/>
    <w:rsid w:val="00171153"/>
    <w:rsid w:val="001715B1"/>
    <w:rsid w:val="0017163D"/>
    <w:rsid w:val="00171650"/>
    <w:rsid w:val="0017166F"/>
    <w:rsid w:val="00171984"/>
    <w:rsid w:val="00171A09"/>
    <w:rsid w:val="00171BC6"/>
    <w:rsid w:val="00171F0A"/>
    <w:rsid w:val="00171FFF"/>
    <w:rsid w:val="00172006"/>
    <w:rsid w:val="001720CE"/>
    <w:rsid w:val="001723A5"/>
    <w:rsid w:val="001724C7"/>
    <w:rsid w:val="0017263A"/>
    <w:rsid w:val="00172750"/>
    <w:rsid w:val="00172779"/>
    <w:rsid w:val="001727DE"/>
    <w:rsid w:val="00172C3B"/>
    <w:rsid w:val="00172DA7"/>
    <w:rsid w:val="00172FD0"/>
    <w:rsid w:val="0017311C"/>
    <w:rsid w:val="001731B2"/>
    <w:rsid w:val="00173340"/>
    <w:rsid w:val="001733EC"/>
    <w:rsid w:val="00173451"/>
    <w:rsid w:val="0017347F"/>
    <w:rsid w:val="001737CF"/>
    <w:rsid w:val="00173E77"/>
    <w:rsid w:val="00173E93"/>
    <w:rsid w:val="001741FE"/>
    <w:rsid w:val="00174317"/>
    <w:rsid w:val="00174351"/>
    <w:rsid w:val="00174A8F"/>
    <w:rsid w:val="00174BAF"/>
    <w:rsid w:val="00174BE2"/>
    <w:rsid w:val="00174C51"/>
    <w:rsid w:val="00174CE5"/>
    <w:rsid w:val="00174D8F"/>
    <w:rsid w:val="00174DDD"/>
    <w:rsid w:val="00174EFE"/>
    <w:rsid w:val="00174FB5"/>
    <w:rsid w:val="00174FC3"/>
    <w:rsid w:val="00175289"/>
    <w:rsid w:val="00175574"/>
    <w:rsid w:val="00175865"/>
    <w:rsid w:val="0017589D"/>
    <w:rsid w:val="00175ACB"/>
    <w:rsid w:val="00175D02"/>
    <w:rsid w:val="00175D67"/>
    <w:rsid w:val="001763AA"/>
    <w:rsid w:val="00176623"/>
    <w:rsid w:val="00176715"/>
    <w:rsid w:val="00176964"/>
    <w:rsid w:val="00176B37"/>
    <w:rsid w:val="00176D8A"/>
    <w:rsid w:val="00176F00"/>
    <w:rsid w:val="00177168"/>
    <w:rsid w:val="00177224"/>
    <w:rsid w:val="00177383"/>
    <w:rsid w:val="001777A9"/>
    <w:rsid w:val="001777CD"/>
    <w:rsid w:val="0017782D"/>
    <w:rsid w:val="00177858"/>
    <w:rsid w:val="00177912"/>
    <w:rsid w:val="0017795A"/>
    <w:rsid w:val="00177AF1"/>
    <w:rsid w:val="00177BCB"/>
    <w:rsid w:val="00177DC3"/>
    <w:rsid w:val="00177F28"/>
    <w:rsid w:val="001800E4"/>
    <w:rsid w:val="001803FC"/>
    <w:rsid w:val="00180588"/>
    <w:rsid w:val="00180603"/>
    <w:rsid w:val="00180A0A"/>
    <w:rsid w:val="00180A97"/>
    <w:rsid w:val="00180DB8"/>
    <w:rsid w:val="00180FD8"/>
    <w:rsid w:val="00181095"/>
    <w:rsid w:val="001810CD"/>
    <w:rsid w:val="001810F1"/>
    <w:rsid w:val="001814F7"/>
    <w:rsid w:val="00181653"/>
    <w:rsid w:val="001819F9"/>
    <w:rsid w:val="00181A65"/>
    <w:rsid w:val="00181A69"/>
    <w:rsid w:val="00181ECF"/>
    <w:rsid w:val="00181F1A"/>
    <w:rsid w:val="00181F90"/>
    <w:rsid w:val="001821B0"/>
    <w:rsid w:val="00182300"/>
    <w:rsid w:val="00182583"/>
    <w:rsid w:val="0018262B"/>
    <w:rsid w:val="0018282B"/>
    <w:rsid w:val="00182878"/>
    <w:rsid w:val="00182921"/>
    <w:rsid w:val="00182929"/>
    <w:rsid w:val="0018296A"/>
    <w:rsid w:val="00182991"/>
    <w:rsid w:val="00182A73"/>
    <w:rsid w:val="00182B81"/>
    <w:rsid w:val="00182BAC"/>
    <w:rsid w:val="00182C05"/>
    <w:rsid w:val="00182D41"/>
    <w:rsid w:val="001838EC"/>
    <w:rsid w:val="00183942"/>
    <w:rsid w:val="0018394B"/>
    <w:rsid w:val="001839E3"/>
    <w:rsid w:val="00183A5C"/>
    <w:rsid w:val="00184028"/>
    <w:rsid w:val="0018402E"/>
    <w:rsid w:val="001840A4"/>
    <w:rsid w:val="001840FE"/>
    <w:rsid w:val="00184150"/>
    <w:rsid w:val="00184357"/>
    <w:rsid w:val="001846F7"/>
    <w:rsid w:val="00184789"/>
    <w:rsid w:val="00184892"/>
    <w:rsid w:val="001848A2"/>
    <w:rsid w:val="00184AFD"/>
    <w:rsid w:val="00184CFA"/>
    <w:rsid w:val="00184F55"/>
    <w:rsid w:val="001850D7"/>
    <w:rsid w:val="00185450"/>
    <w:rsid w:val="0018549C"/>
    <w:rsid w:val="001855B6"/>
    <w:rsid w:val="00185634"/>
    <w:rsid w:val="001856FC"/>
    <w:rsid w:val="001859AF"/>
    <w:rsid w:val="001859EA"/>
    <w:rsid w:val="00185A8E"/>
    <w:rsid w:val="00185DA2"/>
    <w:rsid w:val="00185E13"/>
    <w:rsid w:val="00185E15"/>
    <w:rsid w:val="00185E67"/>
    <w:rsid w:val="00186035"/>
    <w:rsid w:val="00186143"/>
    <w:rsid w:val="001864BF"/>
    <w:rsid w:val="00186544"/>
    <w:rsid w:val="001865AA"/>
    <w:rsid w:val="001867EE"/>
    <w:rsid w:val="001869FE"/>
    <w:rsid w:val="00186B9F"/>
    <w:rsid w:val="00186BCA"/>
    <w:rsid w:val="00186CD3"/>
    <w:rsid w:val="00186D1D"/>
    <w:rsid w:val="00186DF4"/>
    <w:rsid w:val="00186E6E"/>
    <w:rsid w:val="00186FEB"/>
    <w:rsid w:val="001870B1"/>
    <w:rsid w:val="00187255"/>
    <w:rsid w:val="0018726D"/>
    <w:rsid w:val="00187554"/>
    <w:rsid w:val="001877C0"/>
    <w:rsid w:val="00187F0A"/>
    <w:rsid w:val="001900ED"/>
    <w:rsid w:val="0019022F"/>
    <w:rsid w:val="00190387"/>
    <w:rsid w:val="00190933"/>
    <w:rsid w:val="00190B61"/>
    <w:rsid w:val="00191252"/>
    <w:rsid w:val="0019140B"/>
    <w:rsid w:val="00191410"/>
    <w:rsid w:val="0019143B"/>
    <w:rsid w:val="0019162B"/>
    <w:rsid w:val="00191692"/>
    <w:rsid w:val="001916A0"/>
    <w:rsid w:val="00191D1B"/>
    <w:rsid w:val="00191D37"/>
    <w:rsid w:val="00191DA1"/>
    <w:rsid w:val="00191E06"/>
    <w:rsid w:val="00191E7B"/>
    <w:rsid w:val="00191F2B"/>
    <w:rsid w:val="001920F8"/>
    <w:rsid w:val="00192246"/>
    <w:rsid w:val="001924BD"/>
    <w:rsid w:val="001926B4"/>
    <w:rsid w:val="00192878"/>
    <w:rsid w:val="00192A68"/>
    <w:rsid w:val="00192B3E"/>
    <w:rsid w:val="00192BE0"/>
    <w:rsid w:val="00192D09"/>
    <w:rsid w:val="00192E76"/>
    <w:rsid w:val="00192E95"/>
    <w:rsid w:val="00192EC0"/>
    <w:rsid w:val="0019310E"/>
    <w:rsid w:val="00193155"/>
    <w:rsid w:val="00193282"/>
    <w:rsid w:val="001933F8"/>
    <w:rsid w:val="0019343B"/>
    <w:rsid w:val="00193489"/>
    <w:rsid w:val="001934A8"/>
    <w:rsid w:val="001936E4"/>
    <w:rsid w:val="001937C0"/>
    <w:rsid w:val="0019380A"/>
    <w:rsid w:val="001939DD"/>
    <w:rsid w:val="00193A73"/>
    <w:rsid w:val="00193ADC"/>
    <w:rsid w:val="00193B2C"/>
    <w:rsid w:val="00193B7A"/>
    <w:rsid w:val="00193F54"/>
    <w:rsid w:val="0019415C"/>
    <w:rsid w:val="001942E0"/>
    <w:rsid w:val="00194402"/>
    <w:rsid w:val="001944EE"/>
    <w:rsid w:val="00194A63"/>
    <w:rsid w:val="00194BCC"/>
    <w:rsid w:val="00194CB0"/>
    <w:rsid w:val="00194CFA"/>
    <w:rsid w:val="00194E33"/>
    <w:rsid w:val="00194E98"/>
    <w:rsid w:val="00194EC7"/>
    <w:rsid w:val="00194F1C"/>
    <w:rsid w:val="00195190"/>
    <w:rsid w:val="00195414"/>
    <w:rsid w:val="00195641"/>
    <w:rsid w:val="00195677"/>
    <w:rsid w:val="001957AA"/>
    <w:rsid w:val="0019585D"/>
    <w:rsid w:val="00195A01"/>
    <w:rsid w:val="00196118"/>
    <w:rsid w:val="001963F0"/>
    <w:rsid w:val="001967C2"/>
    <w:rsid w:val="0019688C"/>
    <w:rsid w:val="001968BC"/>
    <w:rsid w:val="00196A9D"/>
    <w:rsid w:val="00196B67"/>
    <w:rsid w:val="00196BF9"/>
    <w:rsid w:val="00196C64"/>
    <w:rsid w:val="00196C6F"/>
    <w:rsid w:val="00196CFC"/>
    <w:rsid w:val="00196D5F"/>
    <w:rsid w:val="00196D93"/>
    <w:rsid w:val="00196D9B"/>
    <w:rsid w:val="00196F80"/>
    <w:rsid w:val="00197065"/>
    <w:rsid w:val="001971F4"/>
    <w:rsid w:val="0019722C"/>
    <w:rsid w:val="00197483"/>
    <w:rsid w:val="001975CE"/>
    <w:rsid w:val="00197925"/>
    <w:rsid w:val="00197BBF"/>
    <w:rsid w:val="00197C27"/>
    <w:rsid w:val="00197C3B"/>
    <w:rsid w:val="00197EAA"/>
    <w:rsid w:val="00197EB1"/>
    <w:rsid w:val="00197EE5"/>
    <w:rsid w:val="00197F4E"/>
    <w:rsid w:val="00197F87"/>
    <w:rsid w:val="00197FAC"/>
    <w:rsid w:val="001A0019"/>
    <w:rsid w:val="001A05C3"/>
    <w:rsid w:val="001A066A"/>
    <w:rsid w:val="001A0752"/>
    <w:rsid w:val="001A07F3"/>
    <w:rsid w:val="001A0808"/>
    <w:rsid w:val="001A082A"/>
    <w:rsid w:val="001A0997"/>
    <w:rsid w:val="001A0998"/>
    <w:rsid w:val="001A0C3F"/>
    <w:rsid w:val="001A0CB5"/>
    <w:rsid w:val="001A0DB8"/>
    <w:rsid w:val="001A0E33"/>
    <w:rsid w:val="001A0F5C"/>
    <w:rsid w:val="001A0FF6"/>
    <w:rsid w:val="001A0FFA"/>
    <w:rsid w:val="001A11AE"/>
    <w:rsid w:val="001A11C4"/>
    <w:rsid w:val="001A14BC"/>
    <w:rsid w:val="001A14C8"/>
    <w:rsid w:val="001A1569"/>
    <w:rsid w:val="001A1720"/>
    <w:rsid w:val="001A1B55"/>
    <w:rsid w:val="001A1EA1"/>
    <w:rsid w:val="001A1F5F"/>
    <w:rsid w:val="001A230F"/>
    <w:rsid w:val="001A2379"/>
    <w:rsid w:val="001A261F"/>
    <w:rsid w:val="001A26A3"/>
    <w:rsid w:val="001A26AA"/>
    <w:rsid w:val="001A2FA2"/>
    <w:rsid w:val="001A3017"/>
    <w:rsid w:val="001A315A"/>
    <w:rsid w:val="001A317F"/>
    <w:rsid w:val="001A3448"/>
    <w:rsid w:val="001A34FA"/>
    <w:rsid w:val="001A358E"/>
    <w:rsid w:val="001A3671"/>
    <w:rsid w:val="001A383E"/>
    <w:rsid w:val="001A3A89"/>
    <w:rsid w:val="001A3ABB"/>
    <w:rsid w:val="001A3AC1"/>
    <w:rsid w:val="001A3D63"/>
    <w:rsid w:val="001A3EA4"/>
    <w:rsid w:val="001A4007"/>
    <w:rsid w:val="001A4078"/>
    <w:rsid w:val="001A4415"/>
    <w:rsid w:val="001A47A6"/>
    <w:rsid w:val="001A480A"/>
    <w:rsid w:val="001A4CCD"/>
    <w:rsid w:val="001A4E31"/>
    <w:rsid w:val="001A4E73"/>
    <w:rsid w:val="001A4F98"/>
    <w:rsid w:val="001A52AA"/>
    <w:rsid w:val="001A5336"/>
    <w:rsid w:val="001A53F4"/>
    <w:rsid w:val="001A5441"/>
    <w:rsid w:val="001A55F0"/>
    <w:rsid w:val="001A570C"/>
    <w:rsid w:val="001A58E2"/>
    <w:rsid w:val="001A599E"/>
    <w:rsid w:val="001A5D38"/>
    <w:rsid w:val="001A5D59"/>
    <w:rsid w:val="001A5DA2"/>
    <w:rsid w:val="001A5FE5"/>
    <w:rsid w:val="001A65E3"/>
    <w:rsid w:val="001A67BF"/>
    <w:rsid w:val="001A6863"/>
    <w:rsid w:val="001A6938"/>
    <w:rsid w:val="001A69BE"/>
    <w:rsid w:val="001A6C01"/>
    <w:rsid w:val="001A6C64"/>
    <w:rsid w:val="001A6CA6"/>
    <w:rsid w:val="001A6CC9"/>
    <w:rsid w:val="001A6D6E"/>
    <w:rsid w:val="001A6E5C"/>
    <w:rsid w:val="001A6E76"/>
    <w:rsid w:val="001A6FFB"/>
    <w:rsid w:val="001A709F"/>
    <w:rsid w:val="001A7287"/>
    <w:rsid w:val="001A7422"/>
    <w:rsid w:val="001A7452"/>
    <w:rsid w:val="001A7501"/>
    <w:rsid w:val="001A757D"/>
    <w:rsid w:val="001A7624"/>
    <w:rsid w:val="001A76AF"/>
    <w:rsid w:val="001A77FE"/>
    <w:rsid w:val="001A781A"/>
    <w:rsid w:val="001A7845"/>
    <w:rsid w:val="001A78FC"/>
    <w:rsid w:val="001A7908"/>
    <w:rsid w:val="001A7909"/>
    <w:rsid w:val="001A799B"/>
    <w:rsid w:val="001A7A26"/>
    <w:rsid w:val="001A7B6C"/>
    <w:rsid w:val="001A7D7F"/>
    <w:rsid w:val="001A7FA6"/>
    <w:rsid w:val="001A7FE5"/>
    <w:rsid w:val="001B0017"/>
    <w:rsid w:val="001B01F6"/>
    <w:rsid w:val="001B0228"/>
    <w:rsid w:val="001B0291"/>
    <w:rsid w:val="001B0388"/>
    <w:rsid w:val="001B03E0"/>
    <w:rsid w:val="001B0404"/>
    <w:rsid w:val="001B05A8"/>
    <w:rsid w:val="001B0641"/>
    <w:rsid w:val="001B0684"/>
    <w:rsid w:val="001B06E8"/>
    <w:rsid w:val="001B09EF"/>
    <w:rsid w:val="001B0DAC"/>
    <w:rsid w:val="001B0E7B"/>
    <w:rsid w:val="001B12B3"/>
    <w:rsid w:val="001B15F3"/>
    <w:rsid w:val="001B167C"/>
    <w:rsid w:val="001B16D8"/>
    <w:rsid w:val="001B173E"/>
    <w:rsid w:val="001B175F"/>
    <w:rsid w:val="001B1AF4"/>
    <w:rsid w:val="001B1FB9"/>
    <w:rsid w:val="001B2264"/>
    <w:rsid w:val="001B22E4"/>
    <w:rsid w:val="001B23E5"/>
    <w:rsid w:val="001B255E"/>
    <w:rsid w:val="001B2666"/>
    <w:rsid w:val="001B2703"/>
    <w:rsid w:val="001B27DF"/>
    <w:rsid w:val="001B27F8"/>
    <w:rsid w:val="001B2999"/>
    <w:rsid w:val="001B2A45"/>
    <w:rsid w:val="001B2AB7"/>
    <w:rsid w:val="001B2FFF"/>
    <w:rsid w:val="001B331E"/>
    <w:rsid w:val="001B3389"/>
    <w:rsid w:val="001B339B"/>
    <w:rsid w:val="001B3684"/>
    <w:rsid w:val="001B3911"/>
    <w:rsid w:val="001B3927"/>
    <w:rsid w:val="001B3B45"/>
    <w:rsid w:val="001B3CF8"/>
    <w:rsid w:val="001B3DB9"/>
    <w:rsid w:val="001B4063"/>
    <w:rsid w:val="001B4166"/>
    <w:rsid w:val="001B43D9"/>
    <w:rsid w:val="001B460F"/>
    <w:rsid w:val="001B4672"/>
    <w:rsid w:val="001B4926"/>
    <w:rsid w:val="001B49D0"/>
    <w:rsid w:val="001B4AAD"/>
    <w:rsid w:val="001B4B25"/>
    <w:rsid w:val="001B4C67"/>
    <w:rsid w:val="001B4D16"/>
    <w:rsid w:val="001B4D78"/>
    <w:rsid w:val="001B5065"/>
    <w:rsid w:val="001B51C3"/>
    <w:rsid w:val="001B52A2"/>
    <w:rsid w:val="001B54B1"/>
    <w:rsid w:val="001B55E0"/>
    <w:rsid w:val="001B58E2"/>
    <w:rsid w:val="001B596C"/>
    <w:rsid w:val="001B599B"/>
    <w:rsid w:val="001B5B34"/>
    <w:rsid w:val="001B5B45"/>
    <w:rsid w:val="001B5B68"/>
    <w:rsid w:val="001B5C2C"/>
    <w:rsid w:val="001B5C62"/>
    <w:rsid w:val="001B5C9A"/>
    <w:rsid w:val="001B5DAD"/>
    <w:rsid w:val="001B5E01"/>
    <w:rsid w:val="001B6137"/>
    <w:rsid w:val="001B6498"/>
    <w:rsid w:val="001B6511"/>
    <w:rsid w:val="001B6747"/>
    <w:rsid w:val="001B680A"/>
    <w:rsid w:val="001B6EA5"/>
    <w:rsid w:val="001B6EE3"/>
    <w:rsid w:val="001B77BA"/>
    <w:rsid w:val="001B7845"/>
    <w:rsid w:val="001B7860"/>
    <w:rsid w:val="001B7B3D"/>
    <w:rsid w:val="001B7BA0"/>
    <w:rsid w:val="001B7BCB"/>
    <w:rsid w:val="001B7E60"/>
    <w:rsid w:val="001B7F06"/>
    <w:rsid w:val="001C02D0"/>
    <w:rsid w:val="001C02F3"/>
    <w:rsid w:val="001C04F2"/>
    <w:rsid w:val="001C0570"/>
    <w:rsid w:val="001C06B2"/>
    <w:rsid w:val="001C06FE"/>
    <w:rsid w:val="001C0737"/>
    <w:rsid w:val="001C07D3"/>
    <w:rsid w:val="001C081C"/>
    <w:rsid w:val="001C087D"/>
    <w:rsid w:val="001C0A01"/>
    <w:rsid w:val="001C0ED0"/>
    <w:rsid w:val="001C1173"/>
    <w:rsid w:val="001C12FD"/>
    <w:rsid w:val="001C13CD"/>
    <w:rsid w:val="001C166A"/>
    <w:rsid w:val="001C16C1"/>
    <w:rsid w:val="001C1963"/>
    <w:rsid w:val="001C1A3B"/>
    <w:rsid w:val="001C1B91"/>
    <w:rsid w:val="001C22DB"/>
    <w:rsid w:val="001C237D"/>
    <w:rsid w:val="001C25C1"/>
    <w:rsid w:val="001C26A4"/>
    <w:rsid w:val="001C2733"/>
    <w:rsid w:val="001C2974"/>
    <w:rsid w:val="001C2C1A"/>
    <w:rsid w:val="001C2CC8"/>
    <w:rsid w:val="001C2D27"/>
    <w:rsid w:val="001C2E7F"/>
    <w:rsid w:val="001C2F27"/>
    <w:rsid w:val="001C3023"/>
    <w:rsid w:val="001C304B"/>
    <w:rsid w:val="001C321B"/>
    <w:rsid w:val="001C3400"/>
    <w:rsid w:val="001C349E"/>
    <w:rsid w:val="001C3535"/>
    <w:rsid w:val="001C3858"/>
    <w:rsid w:val="001C3D2D"/>
    <w:rsid w:val="001C3DA9"/>
    <w:rsid w:val="001C3ED9"/>
    <w:rsid w:val="001C3F67"/>
    <w:rsid w:val="001C4010"/>
    <w:rsid w:val="001C43CA"/>
    <w:rsid w:val="001C444C"/>
    <w:rsid w:val="001C44B0"/>
    <w:rsid w:val="001C4538"/>
    <w:rsid w:val="001C4672"/>
    <w:rsid w:val="001C4957"/>
    <w:rsid w:val="001C49A6"/>
    <w:rsid w:val="001C4B55"/>
    <w:rsid w:val="001C4E98"/>
    <w:rsid w:val="001C4F1D"/>
    <w:rsid w:val="001C5253"/>
    <w:rsid w:val="001C540E"/>
    <w:rsid w:val="001C54AF"/>
    <w:rsid w:val="001C584D"/>
    <w:rsid w:val="001C584E"/>
    <w:rsid w:val="001C58EB"/>
    <w:rsid w:val="001C596F"/>
    <w:rsid w:val="001C598C"/>
    <w:rsid w:val="001C5A39"/>
    <w:rsid w:val="001C5B35"/>
    <w:rsid w:val="001C5ED2"/>
    <w:rsid w:val="001C6071"/>
    <w:rsid w:val="001C6261"/>
    <w:rsid w:val="001C6414"/>
    <w:rsid w:val="001C64E7"/>
    <w:rsid w:val="001C65FB"/>
    <w:rsid w:val="001C6608"/>
    <w:rsid w:val="001C6719"/>
    <w:rsid w:val="001C6730"/>
    <w:rsid w:val="001C69E7"/>
    <w:rsid w:val="001C6A29"/>
    <w:rsid w:val="001C6B7D"/>
    <w:rsid w:val="001C6BA4"/>
    <w:rsid w:val="001C6CF6"/>
    <w:rsid w:val="001C70BB"/>
    <w:rsid w:val="001C70D7"/>
    <w:rsid w:val="001C7279"/>
    <w:rsid w:val="001C727D"/>
    <w:rsid w:val="001C7308"/>
    <w:rsid w:val="001C73CB"/>
    <w:rsid w:val="001C74EB"/>
    <w:rsid w:val="001C77CF"/>
    <w:rsid w:val="001C78F4"/>
    <w:rsid w:val="001C79DB"/>
    <w:rsid w:val="001C7A6A"/>
    <w:rsid w:val="001C7CA7"/>
    <w:rsid w:val="001C7DFF"/>
    <w:rsid w:val="001C7E32"/>
    <w:rsid w:val="001C7ED2"/>
    <w:rsid w:val="001C7F5C"/>
    <w:rsid w:val="001C7FBD"/>
    <w:rsid w:val="001D00DA"/>
    <w:rsid w:val="001D01D3"/>
    <w:rsid w:val="001D02F7"/>
    <w:rsid w:val="001D040F"/>
    <w:rsid w:val="001D041C"/>
    <w:rsid w:val="001D04C0"/>
    <w:rsid w:val="001D051F"/>
    <w:rsid w:val="001D0692"/>
    <w:rsid w:val="001D0697"/>
    <w:rsid w:val="001D0782"/>
    <w:rsid w:val="001D0B88"/>
    <w:rsid w:val="001D0BEB"/>
    <w:rsid w:val="001D0C24"/>
    <w:rsid w:val="001D0C85"/>
    <w:rsid w:val="001D0DC4"/>
    <w:rsid w:val="001D0F68"/>
    <w:rsid w:val="001D1011"/>
    <w:rsid w:val="001D12AA"/>
    <w:rsid w:val="001D131F"/>
    <w:rsid w:val="001D14FC"/>
    <w:rsid w:val="001D1607"/>
    <w:rsid w:val="001D169C"/>
    <w:rsid w:val="001D16FE"/>
    <w:rsid w:val="001D1721"/>
    <w:rsid w:val="001D1D2A"/>
    <w:rsid w:val="001D1DAD"/>
    <w:rsid w:val="001D2100"/>
    <w:rsid w:val="001D2156"/>
    <w:rsid w:val="001D21ED"/>
    <w:rsid w:val="001D2270"/>
    <w:rsid w:val="001D22E9"/>
    <w:rsid w:val="001D23C3"/>
    <w:rsid w:val="001D23E9"/>
    <w:rsid w:val="001D24E4"/>
    <w:rsid w:val="001D2500"/>
    <w:rsid w:val="001D2546"/>
    <w:rsid w:val="001D2672"/>
    <w:rsid w:val="001D281C"/>
    <w:rsid w:val="001D284C"/>
    <w:rsid w:val="001D29CA"/>
    <w:rsid w:val="001D29DD"/>
    <w:rsid w:val="001D2CA0"/>
    <w:rsid w:val="001D2CB2"/>
    <w:rsid w:val="001D2CD2"/>
    <w:rsid w:val="001D30ED"/>
    <w:rsid w:val="001D31A5"/>
    <w:rsid w:val="001D3247"/>
    <w:rsid w:val="001D350D"/>
    <w:rsid w:val="001D3520"/>
    <w:rsid w:val="001D36F6"/>
    <w:rsid w:val="001D37D1"/>
    <w:rsid w:val="001D37D2"/>
    <w:rsid w:val="001D382F"/>
    <w:rsid w:val="001D38A6"/>
    <w:rsid w:val="001D3A42"/>
    <w:rsid w:val="001D3AFB"/>
    <w:rsid w:val="001D4147"/>
    <w:rsid w:val="001D41C5"/>
    <w:rsid w:val="001D4476"/>
    <w:rsid w:val="001D4679"/>
    <w:rsid w:val="001D47DC"/>
    <w:rsid w:val="001D487A"/>
    <w:rsid w:val="001D49AF"/>
    <w:rsid w:val="001D4A47"/>
    <w:rsid w:val="001D4AEE"/>
    <w:rsid w:val="001D4C45"/>
    <w:rsid w:val="001D4C4A"/>
    <w:rsid w:val="001D4CCA"/>
    <w:rsid w:val="001D4D8F"/>
    <w:rsid w:val="001D4DF2"/>
    <w:rsid w:val="001D4E99"/>
    <w:rsid w:val="001D4F8E"/>
    <w:rsid w:val="001D4F95"/>
    <w:rsid w:val="001D5702"/>
    <w:rsid w:val="001D5B46"/>
    <w:rsid w:val="001D5CF7"/>
    <w:rsid w:val="001D603C"/>
    <w:rsid w:val="001D6371"/>
    <w:rsid w:val="001D6424"/>
    <w:rsid w:val="001D6460"/>
    <w:rsid w:val="001D65F1"/>
    <w:rsid w:val="001D6923"/>
    <w:rsid w:val="001D6A91"/>
    <w:rsid w:val="001D6CCE"/>
    <w:rsid w:val="001D6F16"/>
    <w:rsid w:val="001D6F23"/>
    <w:rsid w:val="001D70D9"/>
    <w:rsid w:val="001D7354"/>
    <w:rsid w:val="001D7711"/>
    <w:rsid w:val="001D779A"/>
    <w:rsid w:val="001D77D9"/>
    <w:rsid w:val="001D7B1B"/>
    <w:rsid w:val="001D7BD8"/>
    <w:rsid w:val="001D7DF1"/>
    <w:rsid w:val="001D7EC8"/>
    <w:rsid w:val="001D7F9F"/>
    <w:rsid w:val="001E019C"/>
    <w:rsid w:val="001E028C"/>
    <w:rsid w:val="001E0384"/>
    <w:rsid w:val="001E05EE"/>
    <w:rsid w:val="001E06EE"/>
    <w:rsid w:val="001E084D"/>
    <w:rsid w:val="001E0A1F"/>
    <w:rsid w:val="001E0C85"/>
    <w:rsid w:val="001E0C99"/>
    <w:rsid w:val="001E0D70"/>
    <w:rsid w:val="001E0D86"/>
    <w:rsid w:val="001E0E87"/>
    <w:rsid w:val="001E1192"/>
    <w:rsid w:val="001E123A"/>
    <w:rsid w:val="001E157C"/>
    <w:rsid w:val="001E166B"/>
    <w:rsid w:val="001E170F"/>
    <w:rsid w:val="001E1779"/>
    <w:rsid w:val="001E17F4"/>
    <w:rsid w:val="001E1870"/>
    <w:rsid w:val="001E1B00"/>
    <w:rsid w:val="001E1C6A"/>
    <w:rsid w:val="001E1DF9"/>
    <w:rsid w:val="001E1EDF"/>
    <w:rsid w:val="001E21FA"/>
    <w:rsid w:val="001E239E"/>
    <w:rsid w:val="001E23F5"/>
    <w:rsid w:val="001E268F"/>
    <w:rsid w:val="001E26C4"/>
    <w:rsid w:val="001E26DB"/>
    <w:rsid w:val="001E2968"/>
    <w:rsid w:val="001E2A41"/>
    <w:rsid w:val="001E2B6A"/>
    <w:rsid w:val="001E2E50"/>
    <w:rsid w:val="001E300F"/>
    <w:rsid w:val="001E345B"/>
    <w:rsid w:val="001E37CA"/>
    <w:rsid w:val="001E385B"/>
    <w:rsid w:val="001E399E"/>
    <w:rsid w:val="001E3A31"/>
    <w:rsid w:val="001E3C49"/>
    <w:rsid w:val="001E3C68"/>
    <w:rsid w:val="001E3CCE"/>
    <w:rsid w:val="001E3FF4"/>
    <w:rsid w:val="001E3FF8"/>
    <w:rsid w:val="001E42D9"/>
    <w:rsid w:val="001E440E"/>
    <w:rsid w:val="001E44CF"/>
    <w:rsid w:val="001E45A5"/>
    <w:rsid w:val="001E466E"/>
    <w:rsid w:val="001E49D1"/>
    <w:rsid w:val="001E4C5F"/>
    <w:rsid w:val="001E4EB3"/>
    <w:rsid w:val="001E5009"/>
    <w:rsid w:val="001E52DB"/>
    <w:rsid w:val="001E5393"/>
    <w:rsid w:val="001E539D"/>
    <w:rsid w:val="001E53FF"/>
    <w:rsid w:val="001E544D"/>
    <w:rsid w:val="001E5478"/>
    <w:rsid w:val="001E578B"/>
    <w:rsid w:val="001E579E"/>
    <w:rsid w:val="001E582C"/>
    <w:rsid w:val="001E5870"/>
    <w:rsid w:val="001E5ADE"/>
    <w:rsid w:val="001E5C60"/>
    <w:rsid w:val="001E5E06"/>
    <w:rsid w:val="001E5ECE"/>
    <w:rsid w:val="001E5F4F"/>
    <w:rsid w:val="001E61B4"/>
    <w:rsid w:val="001E62D1"/>
    <w:rsid w:val="001E634C"/>
    <w:rsid w:val="001E6413"/>
    <w:rsid w:val="001E6641"/>
    <w:rsid w:val="001E6889"/>
    <w:rsid w:val="001E6C9F"/>
    <w:rsid w:val="001E6E1D"/>
    <w:rsid w:val="001E6F02"/>
    <w:rsid w:val="001E7278"/>
    <w:rsid w:val="001E736E"/>
    <w:rsid w:val="001E753C"/>
    <w:rsid w:val="001E765A"/>
    <w:rsid w:val="001E7AC0"/>
    <w:rsid w:val="001E7BD7"/>
    <w:rsid w:val="001E7D2E"/>
    <w:rsid w:val="001E7E74"/>
    <w:rsid w:val="001E7F96"/>
    <w:rsid w:val="001E7FCE"/>
    <w:rsid w:val="001F00F6"/>
    <w:rsid w:val="001F01E6"/>
    <w:rsid w:val="001F02C4"/>
    <w:rsid w:val="001F0412"/>
    <w:rsid w:val="001F0649"/>
    <w:rsid w:val="001F0C4D"/>
    <w:rsid w:val="001F0CE5"/>
    <w:rsid w:val="001F0E41"/>
    <w:rsid w:val="001F14E0"/>
    <w:rsid w:val="001F1509"/>
    <w:rsid w:val="001F150A"/>
    <w:rsid w:val="001F1599"/>
    <w:rsid w:val="001F173C"/>
    <w:rsid w:val="001F18D8"/>
    <w:rsid w:val="001F1A14"/>
    <w:rsid w:val="001F1AEA"/>
    <w:rsid w:val="001F1CCD"/>
    <w:rsid w:val="001F1D3B"/>
    <w:rsid w:val="001F1DAD"/>
    <w:rsid w:val="001F1DE5"/>
    <w:rsid w:val="001F1E97"/>
    <w:rsid w:val="001F2043"/>
    <w:rsid w:val="001F235D"/>
    <w:rsid w:val="001F2442"/>
    <w:rsid w:val="001F2938"/>
    <w:rsid w:val="001F2A77"/>
    <w:rsid w:val="001F2A7E"/>
    <w:rsid w:val="001F2B28"/>
    <w:rsid w:val="001F2CE3"/>
    <w:rsid w:val="001F2DB6"/>
    <w:rsid w:val="001F2E47"/>
    <w:rsid w:val="001F2E56"/>
    <w:rsid w:val="001F2F0D"/>
    <w:rsid w:val="001F3230"/>
    <w:rsid w:val="001F328E"/>
    <w:rsid w:val="001F32D8"/>
    <w:rsid w:val="001F3313"/>
    <w:rsid w:val="001F37D5"/>
    <w:rsid w:val="001F3D17"/>
    <w:rsid w:val="001F3F47"/>
    <w:rsid w:val="001F3F5E"/>
    <w:rsid w:val="001F41A4"/>
    <w:rsid w:val="001F426E"/>
    <w:rsid w:val="001F44D5"/>
    <w:rsid w:val="001F45DF"/>
    <w:rsid w:val="001F4642"/>
    <w:rsid w:val="001F48B6"/>
    <w:rsid w:val="001F4C3C"/>
    <w:rsid w:val="001F4CA5"/>
    <w:rsid w:val="001F4CF3"/>
    <w:rsid w:val="001F4D7E"/>
    <w:rsid w:val="001F51DE"/>
    <w:rsid w:val="001F536C"/>
    <w:rsid w:val="001F54EC"/>
    <w:rsid w:val="001F5649"/>
    <w:rsid w:val="001F5706"/>
    <w:rsid w:val="001F592A"/>
    <w:rsid w:val="001F5C1A"/>
    <w:rsid w:val="001F5C94"/>
    <w:rsid w:val="001F5D7D"/>
    <w:rsid w:val="001F5D9E"/>
    <w:rsid w:val="001F5DA1"/>
    <w:rsid w:val="001F5DEC"/>
    <w:rsid w:val="001F5E4C"/>
    <w:rsid w:val="001F5E52"/>
    <w:rsid w:val="001F6000"/>
    <w:rsid w:val="001F607D"/>
    <w:rsid w:val="001F60D6"/>
    <w:rsid w:val="001F6462"/>
    <w:rsid w:val="001F67C8"/>
    <w:rsid w:val="001F685A"/>
    <w:rsid w:val="001F68CE"/>
    <w:rsid w:val="001F6923"/>
    <w:rsid w:val="001F6994"/>
    <w:rsid w:val="001F6AA3"/>
    <w:rsid w:val="001F6D8F"/>
    <w:rsid w:val="001F6F73"/>
    <w:rsid w:val="001F707D"/>
    <w:rsid w:val="001F71FC"/>
    <w:rsid w:val="001F7560"/>
    <w:rsid w:val="001F75F8"/>
    <w:rsid w:val="001F787A"/>
    <w:rsid w:val="001F790A"/>
    <w:rsid w:val="001F7A36"/>
    <w:rsid w:val="001F7BC2"/>
    <w:rsid w:val="001F7C21"/>
    <w:rsid w:val="001F7D2F"/>
    <w:rsid w:val="001F7DB4"/>
    <w:rsid w:val="001F7DE1"/>
    <w:rsid w:val="001F7F3E"/>
    <w:rsid w:val="00200045"/>
    <w:rsid w:val="00200162"/>
    <w:rsid w:val="00200362"/>
    <w:rsid w:val="00200390"/>
    <w:rsid w:val="00200422"/>
    <w:rsid w:val="002005A5"/>
    <w:rsid w:val="0020081F"/>
    <w:rsid w:val="00200966"/>
    <w:rsid w:val="002009B6"/>
    <w:rsid w:val="00200EF0"/>
    <w:rsid w:val="00200F03"/>
    <w:rsid w:val="00200F73"/>
    <w:rsid w:val="0020102B"/>
    <w:rsid w:val="00201073"/>
    <w:rsid w:val="002010A2"/>
    <w:rsid w:val="0020113F"/>
    <w:rsid w:val="002011EF"/>
    <w:rsid w:val="00201400"/>
    <w:rsid w:val="002015E0"/>
    <w:rsid w:val="0020177E"/>
    <w:rsid w:val="0020178B"/>
    <w:rsid w:val="002017E3"/>
    <w:rsid w:val="00201A0F"/>
    <w:rsid w:val="00201B37"/>
    <w:rsid w:val="00201BC3"/>
    <w:rsid w:val="00201D45"/>
    <w:rsid w:val="00201D97"/>
    <w:rsid w:val="00201FD6"/>
    <w:rsid w:val="00202077"/>
    <w:rsid w:val="002020D8"/>
    <w:rsid w:val="00202200"/>
    <w:rsid w:val="00202266"/>
    <w:rsid w:val="00202343"/>
    <w:rsid w:val="00202372"/>
    <w:rsid w:val="0020240B"/>
    <w:rsid w:val="00202488"/>
    <w:rsid w:val="00202535"/>
    <w:rsid w:val="00202575"/>
    <w:rsid w:val="002025FE"/>
    <w:rsid w:val="0020276B"/>
    <w:rsid w:val="00202CC4"/>
    <w:rsid w:val="00202FF2"/>
    <w:rsid w:val="00203013"/>
    <w:rsid w:val="002031AF"/>
    <w:rsid w:val="002031E4"/>
    <w:rsid w:val="0020321A"/>
    <w:rsid w:val="002032AB"/>
    <w:rsid w:val="00203650"/>
    <w:rsid w:val="002036A8"/>
    <w:rsid w:val="00203776"/>
    <w:rsid w:val="00203780"/>
    <w:rsid w:val="002038B8"/>
    <w:rsid w:val="002038F7"/>
    <w:rsid w:val="00203A51"/>
    <w:rsid w:val="00203A5A"/>
    <w:rsid w:val="00203C04"/>
    <w:rsid w:val="00203C46"/>
    <w:rsid w:val="00203C98"/>
    <w:rsid w:val="00203DCE"/>
    <w:rsid w:val="00203F59"/>
    <w:rsid w:val="00203FE9"/>
    <w:rsid w:val="002040C2"/>
    <w:rsid w:val="0020417B"/>
    <w:rsid w:val="002046C9"/>
    <w:rsid w:val="0020470E"/>
    <w:rsid w:val="0020484E"/>
    <w:rsid w:val="0020486E"/>
    <w:rsid w:val="00204A97"/>
    <w:rsid w:val="00204B4E"/>
    <w:rsid w:val="00204DD0"/>
    <w:rsid w:val="00204FF6"/>
    <w:rsid w:val="00205075"/>
    <w:rsid w:val="002052F7"/>
    <w:rsid w:val="0020554B"/>
    <w:rsid w:val="00205586"/>
    <w:rsid w:val="002055E2"/>
    <w:rsid w:val="002055FE"/>
    <w:rsid w:val="002057E2"/>
    <w:rsid w:val="00205874"/>
    <w:rsid w:val="002059D5"/>
    <w:rsid w:val="00205C07"/>
    <w:rsid w:val="00205CD4"/>
    <w:rsid w:val="00205FF9"/>
    <w:rsid w:val="002062D5"/>
    <w:rsid w:val="00206549"/>
    <w:rsid w:val="00206553"/>
    <w:rsid w:val="00206555"/>
    <w:rsid w:val="002066EE"/>
    <w:rsid w:val="00206738"/>
    <w:rsid w:val="0020678F"/>
    <w:rsid w:val="002067DD"/>
    <w:rsid w:val="002068A0"/>
    <w:rsid w:val="00206909"/>
    <w:rsid w:val="00206A5B"/>
    <w:rsid w:val="00206CC0"/>
    <w:rsid w:val="00206FE3"/>
    <w:rsid w:val="0020700F"/>
    <w:rsid w:val="002071A1"/>
    <w:rsid w:val="002071A6"/>
    <w:rsid w:val="0020738E"/>
    <w:rsid w:val="00207535"/>
    <w:rsid w:val="00207657"/>
    <w:rsid w:val="002078E9"/>
    <w:rsid w:val="00207977"/>
    <w:rsid w:val="002079C0"/>
    <w:rsid w:val="00207C27"/>
    <w:rsid w:val="00207CA8"/>
    <w:rsid w:val="00207CD2"/>
    <w:rsid w:val="002100DB"/>
    <w:rsid w:val="00210276"/>
    <w:rsid w:val="002102B8"/>
    <w:rsid w:val="002104AF"/>
    <w:rsid w:val="00210679"/>
    <w:rsid w:val="002106C5"/>
    <w:rsid w:val="00210971"/>
    <w:rsid w:val="00210C31"/>
    <w:rsid w:val="00210D3B"/>
    <w:rsid w:val="00210E02"/>
    <w:rsid w:val="00210FD5"/>
    <w:rsid w:val="0021104D"/>
    <w:rsid w:val="00211081"/>
    <w:rsid w:val="00211149"/>
    <w:rsid w:val="0021139F"/>
    <w:rsid w:val="0021180C"/>
    <w:rsid w:val="00211A33"/>
    <w:rsid w:val="00211E20"/>
    <w:rsid w:val="002121F7"/>
    <w:rsid w:val="002121FA"/>
    <w:rsid w:val="00212209"/>
    <w:rsid w:val="0021224F"/>
    <w:rsid w:val="00212308"/>
    <w:rsid w:val="00212613"/>
    <w:rsid w:val="0021273B"/>
    <w:rsid w:val="0021280D"/>
    <w:rsid w:val="002129C0"/>
    <w:rsid w:val="002129FF"/>
    <w:rsid w:val="00212B2B"/>
    <w:rsid w:val="00212DDF"/>
    <w:rsid w:val="00212E0C"/>
    <w:rsid w:val="00212F7D"/>
    <w:rsid w:val="00212FB2"/>
    <w:rsid w:val="002132E1"/>
    <w:rsid w:val="0021332D"/>
    <w:rsid w:val="00213349"/>
    <w:rsid w:val="002134CA"/>
    <w:rsid w:val="0021352A"/>
    <w:rsid w:val="00213582"/>
    <w:rsid w:val="00213743"/>
    <w:rsid w:val="00213964"/>
    <w:rsid w:val="00213B8A"/>
    <w:rsid w:val="00213BE5"/>
    <w:rsid w:val="00213C2B"/>
    <w:rsid w:val="00214149"/>
    <w:rsid w:val="002141BD"/>
    <w:rsid w:val="002146E4"/>
    <w:rsid w:val="00214AB4"/>
    <w:rsid w:val="00214AF4"/>
    <w:rsid w:val="00214C46"/>
    <w:rsid w:val="00214C79"/>
    <w:rsid w:val="00214E58"/>
    <w:rsid w:val="00214F83"/>
    <w:rsid w:val="0021503F"/>
    <w:rsid w:val="002151ED"/>
    <w:rsid w:val="002152C4"/>
    <w:rsid w:val="002153B2"/>
    <w:rsid w:val="002154BC"/>
    <w:rsid w:val="00215532"/>
    <w:rsid w:val="0021588C"/>
    <w:rsid w:val="00215963"/>
    <w:rsid w:val="002159B2"/>
    <w:rsid w:val="00215BB5"/>
    <w:rsid w:val="00215D36"/>
    <w:rsid w:val="00215F0A"/>
    <w:rsid w:val="00215F44"/>
    <w:rsid w:val="002160C2"/>
    <w:rsid w:val="0021625C"/>
    <w:rsid w:val="0021626F"/>
    <w:rsid w:val="00216460"/>
    <w:rsid w:val="002164DD"/>
    <w:rsid w:val="0021660D"/>
    <w:rsid w:val="0021669A"/>
    <w:rsid w:val="0021678C"/>
    <w:rsid w:val="0021686B"/>
    <w:rsid w:val="00216CEB"/>
    <w:rsid w:val="00216DD9"/>
    <w:rsid w:val="00216E1D"/>
    <w:rsid w:val="0021716F"/>
    <w:rsid w:val="002171B9"/>
    <w:rsid w:val="002173D0"/>
    <w:rsid w:val="002174FF"/>
    <w:rsid w:val="0021758C"/>
    <w:rsid w:val="00217754"/>
    <w:rsid w:val="002177A6"/>
    <w:rsid w:val="00217877"/>
    <w:rsid w:val="0021790E"/>
    <w:rsid w:val="00217DCF"/>
    <w:rsid w:val="00217DFB"/>
    <w:rsid w:val="0022012F"/>
    <w:rsid w:val="00220440"/>
    <w:rsid w:val="0022045E"/>
    <w:rsid w:val="002205D7"/>
    <w:rsid w:val="002205F8"/>
    <w:rsid w:val="0022065C"/>
    <w:rsid w:val="00220DD0"/>
    <w:rsid w:val="00220E68"/>
    <w:rsid w:val="00220FC3"/>
    <w:rsid w:val="00221364"/>
    <w:rsid w:val="00221412"/>
    <w:rsid w:val="0022143E"/>
    <w:rsid w:val="0022147E"/>
    <w:rsid w:val="002215E2"/>
    <w:rsid w:val="0022166D"/>
    <w:rsid w:val="00221713"/>
    <w:rsid w:val="00221933"/>
    <w:rsid w:val="00221D82"/>
    <w:rsid w:val="00221E19"/>
    <w:rsid w:val="002220E3"/>
    <w:rsid w:val="002221F2"/>
    <w:rsid w:val="00222231"/>
    <w:rsid w:val="0022227F"/>
    <w:rsid w:val="002225BB"/>
    <w:rsid w:val="00222656"/>
    <w:rsid w:val="0022267A"/>
    <w:rsid w:val="0022273E"/>
    <w:rsid w:val="002227EF"/>
    <w:rsid w:val="00222900"/>
    <w:rsid w:val="002230B9"/>
    <w:rsid w:val="002232F5"/>
    <w:rsid w:val="00223364"/>
    <w:rsid w:val="0022347F"/>
    <w:rsid w:val="002235C5"/>
    <w:rsid w:val="00223738"/>
    <w:rsid w:val="00223991"/>
    <w:rsid w:val="00223B38"/>
    <w:rsid w:val="00223B62"/>
    <w:rsid w:val="00223CB2"/>
    <w:rsid w:val="00223D74"/>
    <w:rsid w:val="0022403C"/>
    <w:rsid w:val="00224231"/>
    <w:rsid w:val="002244F6"/>
    <w:rsid w:val="00224547"/>
    <w:rsid w:val="002247EA"/>
    <w:rsid w:val="002249B0"/>
    <w:rsid w:val="002249F5"/>
    <w:rsid w:val="00224CF8"/>
    <w:rsid w:val="00224D4C"/>
    <w:rsid w:val="00224E94"/>
    <w:rsid w:val="00224FF4"/>
    <w:rsid w:val="0022505A"/>
    <w:rsid w:val="002251A2"/>
    <w:rsid w:val="002252D9"/>
    <w:rsid w:val="0022538B"/>
    <w:rsid w:val="00225501"/>
    <w:rsid w:val="0022592E"/>
    <w:rsid w:val="00225A03"/>
    <w:rsid w:val="00225AC3"/>
    <w:rsid w:val="00225C78"/>
    <w:rsid w:val="00225C8B"/>
    <w:rsid w:val="00225CD6"/>
    <w:rsid w:val="00225E57"/>
    <w:rsid w:val="00225F2F"/>
    <w:rsid w:val="00225F3E"/>
    <w:rsid w:val="00225F90"/>
    <w:rsid w:val="0022626B"/>
    <w:rsid w:val="00226384"/>
    <w:rsid w:val="002264B6"/>
    <w:rsid w:val="0022660E"/>
    <w:rsid w:val="002267AF"/>
    <w:rsid w:val="00226D7E"/>
    <w:rsid w:val="00226EEB"/>
    <w:rsid w:val="00226F11"/>
    <w:rsid w:val="00226F7F"/>
    <w:rsid w:val="00227040"/>
    <w:rsid w:val="0022717A"/>
    <w:rsid w:val="0022727E"/>
    <w:rsid w:val="002272AD"/>
    <w:rsid w:val="002272B1"/>
    <w:rsid w:val="00227470"/>
    <w:rsid w:val="002274E3"/>
    <w:rsid w:val="00227668"/>
    <w:rsid w:val="002279A2"/>
    <w:rsid w:val="00227B17"/>
    <w:rsid w:val="00227C1A"/>
    <w:rsid w:val="00227C77"/>
    <w:rsid w:val="00227F7F"/>
    <w:rsid w:val="002301F9"/>
    <w:rsid w:val="0023029B"/>
    <w:rsid w:val="0023033C"/>
    <w:rsid w:val="00230451"/>
    <w:rsid w:val="00230464"/>
    <w:rsid w:val="00230686"/>
    <w:rsid w:val="002307D5"/>
    <w:rsid w:val="0023094F"/>
    <w:rsid w:val="00230E2F"/>
    <w:rsid w:val="00231123"/>
    <w:rsid w:val="002313E9"/>
    <w:rsid w:val="0023154F"/>
    <w:rsid w:val="00231720"/>
    <w:rsid w:val="00231894"/>
    <w:rsid w:val="00231AE0"/>
    <w:rsid w:val="00231B1C"/>
    <w:rsid w:val="00231DB4"/>
    <w:rsid w:val="00231EA4"/>
    <w:rsid w:val="00231F9D"/>
    <w:rsid w:val="0023201B"/>
    <w:rsid w:val="0023212A"/>
    <w:rsid w:val="00232288"/>
    <w:rsid w:val="002324FF"/>
    <w:rsid w:val="002326D7"/>
    <w:rsid w:val="002327A0"/>
    <w:rsid w:val="002329DA"/>
    <w:rsid w:val="00232A1D"/>
    <w:rsid w:val="00232B15"/>
    <w:rsid w:val="00232B22"/>
    <w:rsid w:val="00232BAC"/>
    <w:rsid w:val="00232C51"/>
    <w:rsid w:val="00232D8A"/>
    <w:rsid w:val="00233166"/>
    <w:rsid w:val="00233232"/>
    <w:rsid w:val="00233344"/>
    <w:rsid w:val="00233445"/>
    <w:rsid w:val="002334C7"/>
    <w:rsid w:val="00233510"/>
    <w:rsid w:val="002335CB"/>
    <w:rsid w:val="0023363E"/>
    <w:rsid w:val="00233768"/>
    <w:rsid w:val="0023423C"/>
    <w:rsid w:val="0023440C"/>
    <w:rsid w:val="00234442"/>
    <w:rsid w:val="002345EA"/>
    <w:rsid w:val="00234835"/>
    <w:rsid w:val="00234907"/>
    <w:rsid w:val="00234964"/>
    <w:rsid w:val="00234C07"/>
    <w:rsid w:val="00234FE8"/>
    <w:rsid w:val="002350AB"/>
    <w:rsid w:val="00235176"/>
    <w:rsid w:val="002351E7"/>
    <w:rsid w:val="00235321"/>
    <w:rsid w:val="00235434"/>
    <w:rsid w:val="00235575"/>
    <w:rsid w:val="002355DF"/>
    <w:rsid w:val="002356AF"/>
    <w:rsid w:val="002358FE"/>
    <w:rsid w:val="00235A39"/>
    <w:rsid w:val="00235A4F"/>
    <w:rsid w:val="00235BAD"/>
    <w:rsid w:val="00235C12"/>
    <w:rsid w:val="00235C46"/>
    <w:rsid w:val="00235CB6"/>
    <w:rsid w:val="002361F7"/>
    <w:rsid w:val="00236226"/>
    <w:rsid w:val="00236315"/>
    <w:rsid w:val="002363A6"/>
    <w:rsid w:val="00236417"/>
    <w:rsid w:val="00236544"/>
    <w:rsid w:val="002365CC"/>
    <w:rsid w:val="0023666E"/>
    <w:rsid w:val="00236678"/>
    <w:rsid w:val="002369CD"/>
    <w:rsid w:val="00236A31"/>
    <w:rsid w:val="00236F28"/>
    <w:rsid w:val="002373D4"/>
    <w:rsid w:val="0023743F"/>
    <w:rsid w:val="00237571"/>
    <w:rsid w:val="00237642"/>
    <w:rsid w:val="00237656"/>
    <w:rsid w:val="00237858"/>
    <w:rsid w:val="00237898"/>
    <w:rsid w:val="00237B20"/>
    <w:rsid w:val="00237B33"/>
    <w:rsid w:val="00237CCE"/>
    <w:rsid w:val="00237CE0"/>
    <w:rsid w:val="00237D2A"/>
    <w:rsid w:val="00240012"/>
    <w:rsid w:val="00240068"/>
    <w:rsid w:val="002401B9"/>
    <w:rsid w:val="002402B4"/>
    <w:rsid w:val="002403DC"/>
    <w:rsid w:val="002404A4"/>
    <w:rsid w:val="0024066A"/>
    <w:rsid w:val="002407CD"/>
    <w:rsid w:val="002407ED"/>
    <w:rsid w:val="0024088A"/>
    <w:rsid w:val="00240A3F"/>
    <w:rsid w:val="00240C29"/>
    <w:rsid w:val="00240CEE"/>
    <w:rsid w:val="00240D09"/>
    <w:rsid w:val="00240E54"/>
    <w:rsid w:val="00240FF7"/>
    <w:rsid w:val="0024105C"/>
    <w:rsid w:val="0024120C"/>
    <w:rsid w:val="00241462"/>
    <w:rsid w:val="00241728"/>
    <w:rsid w:val="00241AF3"/>
    <w:rsid w:val="00241B04"/>
    <w:rsid w:val="00241C05"/>
    <w:rsid w:val="00241C72"/>
    <w:rsid w:val="00241C8B"/>
    <w:rsid w:val="00241D80"/>
    <w:rsid w:val="00241D86"/>
    <w:rsid w:val="002420D7"/>
    <w:rsid w:val="002420F4"/>
    <w:rsid w:val="002421F8"/>
    <w:rsid w:val="002423B1"/>
    <w:rsid w:val="00242706"/>
    <w:rsid w:val="00242903"/>
    <w:rsid w:val="002429E6"/>
    <w:rsid w:val="002429FC"/>
    <w:rsid w:val="00242B76"/>
    <w:rsid w:val="00242D71"/>
    <w:rsid w:val="00242EBA"/>
    <w:rsid w:val="00242EDE"/>
    <w:rsid w:val="00242F19"/>
    <w:rsid w:val="00242FF9"/>
    <w:rsid w:val="00243146"/>
    <w:rsid w:val="00243218"/>
    <w:rsid w:val="002432B5"/>
    <w:rsid w:val="00243385"/>
    <w:rsid w:val="0024338C"/>
    <w:rsid w:val="0024339E"/>
    <w:rsid w:val="002433C4"/>
    <w:rsid w:val="00243539"/>
    <w:rsid w:val="002435A4"/>
    <w:rsid w:val="00243755"/>
    <w:rsid w:val="00243826"/>
    <w:rsid w:val="002439B0"/>
    <w:rsid w:val="00243C54"/>
    <w:rsid w:val="00244239"/>
    <w:rsid w:val="002442CD"/>
    <w:rsid w:val="002442DE"/>
    <w:rsid w:val="002443AD"/>
    <w:rsid w:val="002444DA"/>
    <w:rsid w:val="00244525"/>
    <w:rsid w:val="00244585"/>
    <w:rsid w:val="0024495F"/>
    <w:rsid w:val="00244AE8"/>
    <w:rsid w:val="00244AEC"/>
    <w:rsid w:val="002452FB"/>
    <w:rsid w:val="0024531C"/>
    <w:rsid w:val="00245335"/>
    <w:rsid w:val="0024558F"/>
    <w:rsid w:val="0024578F"/>
    <w:rsid w:val="002457A3"/>
    <w:rsid w:val="00245A71"/>
    <w:rsid w:val="00245BCE"/>
    <w:rsid w:val="00245E14"/>
    <w:rsid w:val="00246160"/>
    <w:rsid w:val="0024653F"/>
    <w:rsid w:val="002466D5"/>
    <w:rsid w:val="0024676F"/>
    <w:rsid w:val="002468A1"/>
    <w:rsid w:val="00246965"/>
    <w:rsid w:val="00246A2A"/>
    <w:rsid w:val="00246A5F"/>
    <w:rsid w:val="00246B41"/>
    <w:rsid w:val="00246EFC"/>
    <w:rsid w:val="002471A3"/>
    <w:rsid w:val="002471C8"/>
    <w:rsid w:val="00247244"/>
    <w:rsid w:val="00247253"/>
    <w:rsid w:val="002475B8"/>
    <w:rsid w:val="002478E7"/>
    <w:rsid w:val="002478FC"/>
    <w:rsid w:val="00247942"/>
    <w:rsid w:val="00247B18"/>
    <w:rsid w:val="00247B2B"/>
    <w:rsid w:val="00247C44"/>
    <w:rsid w:val="00247DC1"/>
    <w:rsid w:val="00247E12"/>
    <w:rsid w:val="00247E9D"/>
    <w:rsid w:val="00250247"/>
    <w:rsid w:val="00250296"/>
    <w:rsid w:val="0025034B"/>
    <w:rsid w:val="0025034D"/>
    <w:rsid w:val="00250398"/>
    <w:rsid w:val="00250760"/>
    <w:rsid w:val="00250912"/>
    <w:rsid w:val="00250BE4"/>
    <w:rsid w:val="00250C19"/>
    <w:rsid w:val="00250CA7"/>
    <w:rsid w:val="00250EFD"/>
    <w:rsid w:val="00251115"/>
    <w:rsid w:val="00251148"/>
    <w:rsid w:val="0025139C"/>
    <w:rsid w:val="002514FE"/>
    <w:rsid w:val="00251530"/>
    <w:rsid w:val="0025191D"/>
    <w:rsid w:val="002519CC"/>
    <w:rsid w:val="00251BEE"/>
    <w:rsid w:val="00251E4C"/>
    <w:rsid w:val="00251F54"/>
    <w:rsid w:val="002520E8"/>
    <w:rsid w:val="0025215E"/>
    <w:rsid w:val="0025218B"/>
    <w:rsid w:val="00252296"/>
    <w:rsid w:val="0025241C"/>
    <w:rsid w:val="00252DCE"/>
    <w:rsid w:val="00252E27"/>
    <w:rsid w:val="00253097"/>
    <w:rsid w:val="00253197"/>
    <w:rsid w:val="00253381"/>
    <w:rsid w:val="00253457"/>
    <w:rsid w:val="0025367F"/>
    <w:rsid w:val="0025377B"/>
    <w:rsid w:val="00253814"/>
    <w:rsid w:val="00253C00"/>
    <w:rsid w:val="00253F2E"/>
    <w:rsid w:val="002540F1"/>
    <w:rsid w:val="00254157"/>
    <w:rsid w:val="0025423F"/>
    <w:rsid w:val="00254312"/>
    <w:rsid w:val="00254313"/>
    <w:rsid w:val="0025442F"/>
    <w:rsid w:val="0025445F"/>
    <w:rsid w:val="002546D6"/>
    <w:rsid w:val="00254825"/>
    <w:rsid w:val="00254931"/>
    <w:rsid w:val="00254A7E"/>
    <w:rsid w:val="00254B8B"/>
    <w:rsid w:val="00254BCE"/>
    <w:rsid w:val="00254C9F"/>
    <w:rsid w:val="00254CAD"/>
    <w:rsid w:val="00254E25"/>
    <w:rsid w:val="00254E39"/>
    <w:rsid w:val="00255533"/>
    <w:rsid w:val="0025555F"/>
    <w:rsid w:val="00255601"/>
    <w:rsid w:val="00255C2C"/>
    <w:rsid w:val="00255CC3"/>
    <w:rsid w:val="00255DD6"/>
    <w:rsid w:val="00255E15"/>
    <w:rsid w:val="00255F9D"/>
    <w:rsid w:val="00256099"/>
    <w:rsid w:val="002563DD"/>
    <w:rsid w:val="00256645"/>
    <w:rsid w:val="002566A0"/>
    <w:rsid w:val="002567E9"/>
    <w:rsid w:val="00256B85"/>
    <w:rsid w:val="00256C0C"/>
    <w:rsid w:val="00256DFE"/>
    <w:rsid w:val="00256E88"/>
    <w:rsid w:val="002573D6"/>
    <w:rsid w:val="0025758E"/>
    <w:rsid w:val="002575FC"/>
    <w:rsid w:val="0025772C"/>
    <w:rsid w:val="0025787C"/>
    <w:rsid w:val="00257A9A"/>
    <w:rsid w:val="00257D06"/>
    <w:rsid w:val="00257D31"/>
    <w:rsid w:val="00260000"/>
    <w:rsid w:val="00260182"/>
    <w:rsid w:val="00260241"/>
    <w:rsid w:val="002603FB"/>
    <w:rsid w:val="002604F8"/>
    <w:rsid w:val="0026061A"/>
    <w:rsid w:val="002606E1"/>
    <w:rsid w:val="00260806"/>
    <w:rsid w:val="00260913"/>
    <w:rsid w:val="00260B54"/>
    <w:rsid w:val="00260CA2"/>
    <w:rsid w:val="00260DAD"/>
    <w:rsid w:val="002610E8"/>
    <w:rsid w:val="0026113D"/>
    <w:rsid w:val="00261442"/>
    <w:rsid w:val="002614B2"/>
    <w:rsid w:val="002615ED"/>
    <w:rsid w:val="00261658"/>
    <w:rsid w:val="002616D0"/>
    <w:rsid w:val="00261935"/>
    <w:rsid w:val="00261A55"/>
    <w:rsid w:val="00261ADF"/>
    <w:rsid w:val="00261AEB"/>
    <w:rsid w:val="00261B2C"/>
    <w:rsid w:val="00261E2B"/>
    <w:rsid w:val="00261F38"/>
    <w:rsid w:val="0026201F"/>
    <w:rsid w:val="002620FF"/>
    <w:rsid w:val="00262184"/>
    <w:rsid w:val="0026219C"/>
    <w:rsid w:val="00262209"/>
    <w:rsid w:val="00262228"/>
    <w:rsid w:val="00262412"/>
    <w:rsid w:val="00262505"/>
    <w:rsid w:val="00262519"/>
    <w:rsid w:val="00262523"/>
    <w:rsid w:val="0026254F"/>
    <w:rsid w:val="002628AD"/>
    <w:rsid w:val="00262C94"/>
    <w:rsid w:val="00262CE7"/>
    <w:rsid w:val="00262D1C"/>
    <w:rsid w:val="00262F65"/>
    <w:rsid w:val="00263506"/>
    <w:rsid w:val="0026352A"/>
    <w:rsid w:val="002638FF"/>
    <w:rsid w:val="002639B4"/>
    <w:rsid w:val="00263A82"/>
    <w:rsid w:val="00263B85"/>
    <w:rsid w:val="00263ECD"/>
    <w:rsid w:val="00264035"/>
    <w:rsid w:val="0026425A"/>
    <w:rsid w:val="002644FA"/>
    <w:rsid w:val="002645E5"/>
    <w:rsid w:val="002648E2"/>
    <w:rsid w:val="00264B2D"/>
    <w:rsid w:val="00264BAE"/>
    <w:rsid w:val="00264C4A"/>
    <w:rsid w:val="00264CFD"/>
    <w:rsid w:val="00264D74"/>
    <w:rsid w:val="00264EDD"/>
    <w:rsid w:val="00264F9B"/>
    <w:rsid w:val="0026510C"/>
    <w:rsid w:val="00265288"/>
    <w:rsid w:val="00265336"/>
    <w:rsid w:val="00265568"/>
    <w:rsid w:val="0026580F"/>
    <w:rsid w:val="002658C8"/>
    <w:rsid w:val="002658E3"/>
    <w:rsid w:val="0026593F"/>
    <w:rsid w:val="00265A85"/>
    <w:rsid w:val="00265AD4"/>
    <w:rsid w:val="00265BA9"/>
    <w:rsid w:val="00265BDA"/>
    <w:rsid w:val="00265EF2"/>
    <w:rsid w:val="00265F96"/>
    <w:rsid w:val="00265FA6"/>
    <w:rsid w:val="002661AA"/>
    <w:rsid w:val="0026623C"/>
    <w:rsid w:val="0026681F"/>
    <w:rsid w:val="00266AAE"/>
    <w:rsid w:val="00266B10"/>
    <w:rsid w:val="00266B89"/>
    <w:rsid w:val="002670FC"/>
    <w:rsid w:val="002671CA"/>
    <w:rsid w:val="002672D5"/>
    <w:rsid w:val="0026733B"/>
    <w:rsid w:val="002675AF"/>
    <w:rsid w:val="002676D6"/>
    <w:rsid w:val="002677A5"/>
    <w:rsid w:val="00267ADC"/>
    <w:rsid w:val="00267EAC"/>
    <w:rsid w:val="00267FE1"/>
    <w:rsid w:val="0027010B"/>
    <w:rsid w:val="0027018B"/>
    <w:rsid w:val="00270579"/>
    <w:rsid w:val="0027059C"/>
    <w:rsid w:val="002705E6"/>
    <w:rsid w:val="002708E4"/>
    <w:rsid w:val="00270B7C"/>
    <w:rsid w:val="00270D3D"/>
    <w:rsid w:val="00270E10"/>
    <w:rsid w:val="00270ECD"/>
    <w:rsid w:val="00270F17"/>
    <w:rsid w:val="002710CC"/>
    <w:rsid w:val="00271173"/>
    <w:rsid w:val="002715CD"/>
    <w:rsid w:val="00271650"/>
    <w:rsid w:val="00271900"/>
    <w:rsid w:val="0027191E"/>
    <w:rsid w:val="00271AC4"/>
    <w:rsid w:val="00271ACF"/>
    <w:rsid w:val="00271B71"/>
    <w:rsid w:val="00271C13"/>
    <w:rsid w:val="00271C28"/>
    <w:rsid w:val="00271C33"/>
    <w:rsid w:val="00271D21"/>
    <w:rsid w:val="00271D49"/>
    <w:rsid w:val="00271E6E"/>
    <w:rsid w:val="0027222A"/>
    <w:rsid w:val="00272487"/>
    <w:rsid w:val="0027285C"/>
    <w:rsid w:val="00272AE9"/>
    <w:rsid w:val="00272C63"/>
    <w:rsid w:val="00272D17"/>
    <w:rsid w:val="00272D1F"/>
    <w:rsid w:val="00272DAD"/>
    <w:rsid w:val="0027323C"/>
    <w:rsid w:val="002732EA"/>
    <w:rsid w:val="00273566"/>
    <w:rsid w:val="00273932"/>
    <w:rsid w:val="00273B28"/>
    <w:rsid w:val="00273DFA"/>
    <w:rsid w:val="00273E85"/>
    <w:rsid w:val="00274112"/>
    <w:rsid w:val="002741A4"/>
    <w:rsid w:val="002743FA"/>
    <w:rsid w:val="0027442E"/>
    <w:rsid w:val="0027483E"/>
    <w:rsid w:val="00274A9B"/>
    <w:rsid w:val="00274ADC"/>
    <w:rsid w:val="00274E29"/>
    <w:rsid w:val="00275240"/>
    <w:rsid w:val="0027525C"/>
    <w:rsid w:val="002752CC"/>
    <w:rsid w:val="002753D2"/>
    <w:rsid w:val="002754FF"/>
    <w:rsid w:val="00275551"/>
    <w:rsid w:val="00275583"/>
    <w:rsid w:val="002757FB"/>
    <w:rsid w:val="002758D4"/>
    <w:rsid w:val="0027598B"/>
    <w:rsid w:val="00275CA0"/>
    <w:rsid w:val="00275EDB"/>
    <w:rsid w:val="0027643D"/>
    <w:rsid w:val="0027646C"/>
    <w:rsid w:val="002765C5"/>
    <w:rsid w:val="00276714"/>
    <w:rsid w:val="0027675B"/>
    <w:rsid w:val="00276875"/>
    <w:rsid w:val="00276BB1"/>
    <w:rsid w:val="00276CEC"/>
    <w:rsid w:val="00276DF4"/>
    <w:rsid w:val="0027718D"/>
    <w:rsid w:val="002773A1"/>
    <w:rsid w:val="002773A9"/>
    <w:rsid w:val="002773F9"/>
    <w:rsid w:val="0027753F"/>
    <w:rsid w:val="00277822"/>
    <w:rsid w:val="00277829"/>
    <w:rsid w:val="00277A51"/>
    <w:rsid w:val="00277A93"/>
    <w:rsid w:val="00277BB3"/>
    <w:rsid w:val="00277E03"/>
    <w:rsid w:val="00277FC6"/>
    <w:rsid w:val="0028007A"/>
    <w:rsid w:val="0028034F"/>
    <w:rsid w:val="00280370"/>
    <w:rsid w:val="002803BE"/>
    <w:rsid w:val="00280550"/>
    <w:rsid w:val="00280992"/>
    <w:rsid w:val="00280B08"/>
    <w:rsid w:val="00280CC8"/>
    <w:rsid w:val="00280ECD"/>
    <w:rsid w:val="00280EE9"/>
    <w:rsid w:val="00280F9F"/>
    <w:rsid w:val="00281116"/>
    <w:rsid w:val="00281541"/>
    <w:rsid w:val="002816EE"/>
    <w:rsid w:val="00281837"/>
    <w:rsid w:val="00281882"/>
    <w:rsid w:val="00281907"/>
    <w:rsid w:val="00281983"/>
    <w:rsid w:val="00281A30"/>
    <w:rsid w:val="00281AE5"/>
    <w:rsid w:val="00281B9B"/>
    <w:rsid w:val="00281BC0"/>
    <w:rsid w:val="00281CF6"/>
    <w:rsid w:val="00281CFA"/>
    <w:rsid w:val="00281E49"/>
    <w:rsid w:val="00281F6C"/>
    <w:rsid w:val="002820BC"/>
    <w:rsid w:val="0028222D"/>
    <w:rsid w:val="00282280"/>
    <w:rsid w:val="00282445"/>
    <w:rsid w:val="002824D3"/>
    <w:rsid w:val="00282957"/>
    <w:rsid w:val="00282A62"/>
    <w:rsid w:val="00282CE5"/>
    <w:rsid w:val="00282DBD"/>
    <w:rsid w:val="00282E6B"/>
    <w:rsid w:val="00282F4D"/>
    <w:rsid w:val="00282FE7"/>
    <w:rsid w:val="0028314A"/>
    <w:rsid w:val="002831F1"/>
    <w:rsid w:val="002833B1"/>
    <w:rsid w:val="002834F0"/>
    <w:rsid w:val="0028355E"/>
    <w:rsid w:val="0028360C"/>
    <w:rsid w:val="00283735"/>
    <w:rsid w:val="00283762"/>
    <w:rsid w:val="00283851"/>
    <w:rsid w:val="00283A9A"/>
    <w:rsid w:val="00283D48"/>
    <w:rsid w:val="002841BD"/>
    <w:rsid w:val="00284267"/>
    <w:rsid w:val="002844F5"/>
    <w:rsid w:val="002847E4"/>
    <w:rsid w:val="00284989"/>
    <w:rsid w:val="002849D9"/>
    <w:rsid w:val="00284A99"/>
    <w:rsid w:val="00284D1E"/>
    <w:rsid w:val="00284DCB"/>
    <w:rsid w:val="00284E01"/>
    <w:rsid w:val="00285025"/>
    <w:rsid w:val="002851C7"/>
    <w:rsid w:val="002854B1"/>
    <w:rsid w:val="00285600"/>
    <w:rsid w:val="002856F1"/>
    <w:rsid w:val="00285A81"/>
    <w:rsid w:val="00285D57"/>
    <w:rsid w:val="00285E1B"/>
    <w:rsid w:val="00285E74"/>
    <w:rsid w:val="00285FB8"/>
    <w:rsid w:val="00286094"/>
    <w:rsid w:val="002860F9"/>
    <w:rsid w:val="0028628C"/>
    <w:rsid w:val="00286308"/>
    <w:rsid w:val="0028632C"/>
    <w:rsid w:val="00286381"/>
    <w:rsid w:val="002865D8"/>
    <w:rsid w:val="00286604"/>
    <w:rsid w:val="00286969"/>
    <w:rsid w:val="002869D1"/>
    <w:rsid w:val="00286A37"/>
    <w:rsid w:val="00286A8E"/>
    <w:rsid w:val="00286C0D"/>
    <w:rsid w:val="00286D98"/>
    <w:rsid w:val="00286DBB"/>
    <w:rsid w:val="00287121"/>
    <w:rsid w:val="002872D8"/>
    <w:rsid w:val="002872F5"/>
    <w:rsid w:val="00287493"/>
    <w:rsid w:val="002877B1"/>
    <w:rsid w:val="00287856"/>
    <w:rsid w:val="002879FE"/>
    <w:rsid w:val="00287B2B"/>
    <w:rsid w:val="00287B41"/>
    <w:rsid w:val="00287D11"/>
    <w:rsid w:val="00287E1D"/>
    <w:rsid w:val="00290056"/>
    <w:rsid w:val="00290165"/>
    <w:rsid w:val="002901E3"/>
    <w:rsid w:val="002902CE"/>
    <w:rsid w:val="0029032A"/>
    <w:rsid w:val="00290441"/>
    <w:rsid w:val="002906DA"/>
    <w:rsid w:val="002907F2"/>
    <w:rsid w:val="0029097F"/>
    <w:rsid w:val="002909BE"/>
    <w:rsid w:val="00290A0B"/>
    <w:rsid w:val="00290B2B"/>
    <w:rsid w:val="00290B65"/>
    <w:rsid w:val="00290B83"/>
    <w:rsid w:val="00290CF7"/>
    <w:rsid w:val="00290DA5"/>
    <w:rsid w:val="00290E0A"/>
    <w:rsid w:val="00290ED8"/>
    <w:rsid w:val="00290FF0"/>
    <w:rsid w:val="0029110F"/>
    <w:rsid w:val="00291125"/>
    <w:rsid w:val="00291256"/>
    <w:rsid w:val="00291382"/>
    <w:rsid w:val="002916B0"/>
    <w:rsid w:val="00291934"/>
    <w:rsid w:val="00291BDE"/>
    <w:rsid w:val="00291D10"/>
    <w:rsid w:val="00291DA6"/>
    <w:rsid w:val="00291DD4"/>
    <w:rsid w:val="00291DF6"/>
    <w:rsid w:val="002922E5"/>
    <w:rsid w:val="00292405"/>
    <w:rsid w:val="00292425"/>
    <w:rsid w:val="002924E6"/>
    <w:rsid w:val="00292600"/>
    <w:rsid w:val="002928AB"/>
    <w:rsid w:val="00292C44"/>
    <w:rsid w:val="00292C60"/>
    <w:rsid w:val="00292CDF"/>
    <w:rsid w:val="00292CE6"/>
    <w:rsid w:val="00292DE3"/>
    <w:rsid w:val="00292E33"/>
    <w:rsid w:val="00292EEC"/>
    <w:rsid w:val="0029356B"/>
    <w:rsid w:val="00293708"/>
    <w:rsid w:val="002937C0"/>
    <w:rsid w:val="00293864"/>
    <w:rsid w:val="002938CA"/>
    <w:rsid w:val="00293916"/>
    <w:rsid w:val="0029399C"/>
    <w:rsid w:val="00293BDD"/>
    <w:rsid w:val="00293C12"/>
    <w:rsid w:val="00293D0D"/>
    <w:rsid w:val="00293DBF"/>
    <w:rsid w:val="00293DE0"/>
    <w:rsid w:val="0029416D"/>
    <w:rsid w:val="0029438C"/>
    <w:rsid w:val="002943DC"/>
    <w:rsid w:val="00294456"/>
    <w:rsid w:val="00294489"/>
    <w:rsid w:val="0029448D"/>
    <w:rsid w:val="00294689"/>
    <w:rsid w:val="00294768"/>
    <w:rsid w:val="002947F1"/>
    <w:rsid w:val="00294891"/>
    <w:rsid w:val="002949BD"/>
    <w:rsid w:val="00294B93"/>
    <w:rsid w:val="00294BF5"/>
    <w:rsid w:val="00294CF6"/>
    <w:rsid w:val="00294E8F"/>
    <w:rsid w:val="00295034"/>
    <w:rsid w:val="002952FE"/>
    <w:rsid w:val="00295336"/>
    <w:rsid w:val="00295348"/>
    <w:rsid w:val="002956C0"/>
    <w:rsid w:val="0029585F"/>
    <w:rsid w:val="002958B6"/>
    <w:rsid w:val="00295925"/>
    <w:rsid w:val="00295957"/>
    <w:rsid w:val="002959F4"/>
    <w:rsid w:val="00295B2B"/>
    <w:rsid w:val="00295C1B"/>
    <w:rsid w:val="00295C90"/>
    <w:rsid w:val="00295EF4"/>
    <w:rsid w:val="00295F9D"/>
    <w:rsid w:val="0029634A"/>
    <w:rsid w:val="002964BE"/>
    <w:rsid w:val="0029652F"/>
    <w:rsid w:val="002967A2"/>
    <w:rsid w:val="00296A4E"/>
    <w:rsid w:val="00296B3A"/>
    <w:rsid w:val="00296E20"/>
    <w:rsid w:val="00296EE4"/>
    <w:rsid w:val="00297157"/>
    <w:rsid w:val="00297303"/>
    <w:rsid w:val="00297313"/>
    <w:rsid w:val="0029734A"/>
    <w:rsid w:val="00297705"/>
    <w:rsid w:val="00297785"/>
    <w:rsid w:val="0029789F"/>
    <w:rsid w:val="00297BC8"/>
    <w:rsid w:val="00297C8A"/>
    <w:rsid w:val="00297CD2"/>
    <w:rsid w:val="00297DEB"/>
    <w:rsid w:val="00297E39"/>
    <w:rsid w:val="00297E87"/>
    <w:rsid w:val="002A0132"/>
    <w:rsid w:val="002A03B6"/>
    <w:rsid w:val="002A0461"/>
    <w:rsid w:val="002A0696"/>
    <w:rsid w:val="002A07CB"/>
    <w:rsid w:val="002A08A9"/>
    <w:rsid w:val="002A0A22"/>
    <w:rsid w:val="002A0C10"/>
    <w:rsid w:val="002A0D31"/>
    <w:rsid w:val="002A10BC"/>
    <w:rsid w:val="002A10F8"/>
    <w:rsid w:val="002A1131"/>
    <w:rsid w:val="002A116B"/>
    <w:rsid w:val="002A120F"/>
    <w:rsid w:val="002A12D6"/>
    <w:rsid w:val="002A131F"/>
    <w:rsid w:val="002A1417"/>
    <w:rsid w:val="002A1642"/>
    <w:rsid w:val="002A1866"/>
    <w:rsid w:val="002A18EA"/>
    <w:rsid w:val="002A1A61"/>
    <w:rsid w:val="002A1A79"/>
    <w:rsid w:val="002A1BD9"/>
    <w:rsid w:val="002A1C55"/>
    <w:rsid w:val="002A1E58"/>
    <w:rsid w:val="002A1EB6"/>
    <w:rsid w:val="002A2065"/>
    <w:rsid w:val="002A21FF"/>
    <w:rsid w:val="002A22F7"/>
    <w:rsid w:val="002A22FA"/>
    <w:rsid w:val="002A2703"/>
    <w:rsid w:val="002A2756"/>
    <w:rsid w:val="002A27CC"/>
    <w:rsid w:val="002A28D8"/>
    <w:rsid w:val="002A2929"/>
    <w:rsid w:val="002A2A2D"/>
    <w:rsid w:val="002A2BEC"/>
    <w:rsid w:val="002A2EA1"/>
    <w:rsid w:val="002A3040"/>
    <w:rsid w:val="002A3041"/>
    <w:rsid w:val="002A318B"/>
    <w:rsid w:val="002A3254"/>
    <w:rsid w:val="002A3343"/>
    <w:rsid w:val="002A345E"/>
    <w:rsid w:val="002A3621"/>
    <w:rsid w:val="002A3653"/>
    <w:rsid w:val="002A3936"/>
    <w:rsid w:val="002A3AB6"/>
    <w:rsid w:val="002A3AF2"/>
    <w:rsid w:val="002A3B9D"/>
    <w:rsid w:val="002A3D81"/>
    <w:rsid w:val="002A3DCB"/>
    <w:rsid w:val="002A3F5A"/>
    <w:rsid w:val="002A4046"/>
    <w:rsid w:val="002A41C9"/>
    <w:rsid w:val="002A4222"/>
    <w:rsid w:val="002A427E"/>
    <w:rsid w:val="002A4405"/>
    <w:rsid w:val="002A491E"/>
    <w:rsid w:val="002A4981"/>
    <w:rsid w:val="002A4A7F"/>
    <w:rsid w:val="002A4C03"/>
    <w:rsid w:val="002A4C51"/>
    <w:rsid w:val="002A4D4A"/>
    <w:rsid w:val="002A4ECD"/>
    <w:rsid w:val="002A50EA"/>
    <w:rsid w:val="002A538B"/>
    <w:rsid w:val="002A53DC"/>
    <w:rsid w:val="002A5532"/>
    <w:rsid w:val="002A586A"/>
    <w:rsid w:val="002A5B71"/>
    <w:rsid w:val="002A5CDD"/>
    <w:rsid w:val="002A5E8A"/>
    <w:rsid w:val="002A600D"/>
    <w:rsid w:val="002A60CE"/>
    <w:rsid w:val="002A6194"/>
    <w:rsid w:val="002A633A"/>
    <w:rsid w:val="002A63A6"/>
    <w:rsid w:val="002A63EC"/>
    <w:rsid w:val="002A643F"/>
    <w:rsid w:val="002A6528"/>
    <w:rsid w:val="002A69B9"/>
    <w:rsid w:val="002A6CEA"/>
    <w:rsid w:val="002A6D2A"/>
    <w:rsid w:val="002A6D3A"/>
    <w:rsid w:val="002A6D64"/>
    <w:rsid w:val="002A6E05"/>
    <w:rsid w:val="002A70EB"/>
    <w:rsid w:val="002A722C"/>
    <w:rsid w:val="002A72DE"/>
    <w:rsid w:val="002A732C"/>
    <w:rsid w:val="002A762F"/>
    <w:rsid w:val="002A7675"/>
    <w:rsid w:val="002A76AC"/>
    <w:rsid w:val="002A78BE"/>
    <w:rsid w:val="002A790B"/>
    <w:rsid w:val="002A7AA7"/>
    <w:rsid w:val="002A7B06"/>
    <w:rsid w:val="002A7B13"/>
    <w:rsid w:val="002A7C7B"/>
    <w:rsid w:val="002A7D1E"/>
    <w:rsid w:val="002A7D70"/>
    <w:rsid w:val="002B005F"/>
    <w:rsid w:val="002B01F5"/>
    <w:rsid w:val="002B02BD"/>
    <w:rsid w:val="002B0554"/>
    <w:rsid w:val="002B058B"/>
    <w:rsid w:val="002B05B4"/>
    <w:rsid w:val="002B06C4"/>
    <w:rsid w:val="002B06C6"/>
    <w:rsid w:val="002B0760"/>
    <w:rsid w:val="002B080B"/>
    <w:rsid w:val="002B08B1"/>
    <w:rsid w:val="002B0925"/>
    <w:rsid w:val="002B099F"/>
    <w:rsid w:val="002B0AC0"/>
    <w:rsid w:val="002B0C47"/>
    <w:rsid w:val="002B0DB5"/>
    <w:rsid w:val="002B13FA"/>
    <w:rsid w:val="002B140A"/>
    <w:rsid w:val="002B150F"/>
    <w:rsid w:val="002B1567"/>
    <w:rsid w:val="002B16B2"/>
    <w:rsid w:val="002B1A03"/>
    <w:rsid w:val="002B1A1B"/>
    <w:rsid w:val="002B1CB0"/>
    <w:rsid w:val="002B1D44"/>
    <w:rsid w:val="002B1D7C"/>
    <w:rsid w:val="002B1E05"/>
    <w:rsid w:val="002B1E9A"/>
    <w:rsid w:val="002B25DE"/>
    <w:rsid w:val="002B2753"/>
    <w:rsid w:val="002B27F8"/>
    <w:rsid w:val="002B28AA"/>
    <w:rsid w:val="002B2A26"/>
    <w:rsid w:val="002B2BD9"/>
    <w:rsid w:val="002B2C71"/>
    <w:rsid w:val="002B2C84"/>
    <w:rsid w:val="002B2DE1"/>
    <w:rsid w:val="002B2E1B"/>
    <w:rsid w:val="002B2F4E"/>
    <w:rsid w:val="002B3274"/>
    <w:rsid w:val="002B3389"/>
    <w:rsid w:val="002B347F"/>
    <w:rsid w:val="002B349C"/>
    <w:rsid w:val="002B34C6"/>
    <w:rsid w:val="002B351C"/>
    <w:rsid w:val="002B3822"/>
    <w:rsid w:val="002B397F"/>
    <w:rsid w:val="002B39A7"/>
    <w:rsid w:val="002B3B81"/>
    <w:rsid w:val="002B3C17"/>
    <w:rsid w:val="002B3E05"/>
    <w:rsid w:val="002B3E52"/>
    <w:rsid w:val="002B3EBE"/>
    <w:rsid w:val="002B3F77"/>
    <w:rsid w:val="002B41CF"/>
    <w:rsid w:val="002B4267"/>
    <w:rsid w:val="002B4299"/>
    <w:rsid w:val="002B43C1"/>
    <w:rsid w:val="002B44D3"/>
    <w:rsid w:val="002B44ED"/>
    <w:rsid w:val="002B45FE"/>
    <w:rsid w:val="002B472A"/>
    <w:rsid w:val="002B4940"/>
    <w:rsid w:val="002B4A8A"/>
    <w:rsid w:val="002B4BF4"/>
    <w:rsid w:val="002B4DAA"/>
    <w:rsid w:val="002B4FB0"/>
    <w:rsid w:val="002B50BF"/>
    <w:rsid w:val="002B5479"/>
    <w:rsid w:val="002B5531"/>
    <w:rsid w:val="002B55B6"/>
    <w:rsid w:val="002B55C0"/>
    <w:rsid w:val="002B5939"/>
    <w:rsid w:val="002B5A0B"/>
    <w:rsid w:val="002B5B22"/>
    <w:rsid w:val="002B5BA6"/>
    <w:rsid w:val="002B5C83"/>
    <w:rsid w:val="002B5CAA"/>
    <w:rsid w:val="002B6078"/>
    <w:rsid w:val="002B60C2"/>
    <w:rsid w:val="002B6130"/>
    <w:rsid w:val="002B642E"/>
    <w:rsid w:val="002B64BE"/>
    <w:rsid w:val="002B64D4"/>
    <w:rsid w:val="002B666C"/>
    <w:rsid w:val="002B6951"/>
    <w:rsid w:val="002B6A57"/>
    <w:rsid w:val="002B6AC2"/>
    <w:rsid w:val="002B6CF8"/>
    <w:rsid w:val="002B6DD5"/>
    <w:rsid w:val="002B6E9B"/>
    <w:rsid w:val="002B701E"/>
    <w:rsid w:val="002B712C"/>
    <w:rsid w:val="002B7145"/>
    <w:rsid w:val="002B7175"/>
    <w:rsid w:val="002B71EB"/>
    <w:rsid w:val="002B721C"/>
    <w:rsid w:val="002B7270"/>
    <w:rsid w:val="002B7346"/>
    <w:rsid w:val="002B738E"/>
    <w:rsid w:val="002B745D"/>
    <w:rsid w:val="002B746B"/>
    <w:rsid w:val="002B74E7"/>
    <w:rsid w:val="002B7706"/>
    <w:rsid w:val="002B7809"/>
    <w:rsid w:val="002B783C"/>
    <w:rsid w:val="002B788A"/>
    <w:rsid w:val="002B78B8"/>
    <w:rsid w:val="002B7DFF"/>
    <w:rsid w:val="002B7F15"/>
    <w:rsid w:val="002B7F95"/>
    <w:rsid w:val="002B7FE1"/>
    <w:rsid w:val="002C0297"/>
    <w:rsid w:val="002C0561"/>
    <w:rsid w:val="002C0656"/>
    <w:rsid w:val="002C0740"/>
    <w:rsid w:val="002C07A5"/>
    <w:rsid w:val="002C08AB"/>
    <w:rsid w:val="002C0A00"/>
    <w:rsid w:val="002C0A04"/>
    <w:rsid w:val="002C0A86"/>
    <w:rsid w:val="002C0ECB"/>
    <w:rsid w:val="002C104F"/>
    <w:rsid w:val="002C114E"/>
    <w:rsid w:val="002C126F"/>
    <w:rsid w:val="002C12DD"/>
    <w:rsid w:val="002C1A70"/>
    <w:rsid w:val="002C1CC9"/>
    <w:rsid w:val="002C1D17"/>
    <w:rsid w:val="002C1D99"/>
    <w:rsid w:val="002C1E98"/>
    <w:rsid w:val="002C1FC4"/>
    <w:rsid w:val="002C2006"/>
    <w:rsid w:val="002C20FD"/>
    <w:rsid w:val="002C2357"/>
    <w:rsid w:val="002C23A7"/>
    <w:rsid w:val="002C23DE"/>
    <w:rsid w:val="002C2624"/>
    <w:rsid w:val="002C27A3"/>
    <w:rsid w:val="002C2977"/>
    <w:rsid w:val="002C29A2"/>
    <w:rsid w:val="002C2A3B"/>
    <w:rsid w:val="002C2A51"/>
    <w:rsid w:val="002C2ADD"/>
    <w:rsid w:val="002C2B0D"/>
    <w:rsid w:val="002C2CD0"/>
    <w:rsid w:val="002C2CD7"/>
    <w:rsid w:val="002C2D56"/>
    <w:rsid w:val="002C2DE3"/>
    <w:rsid w:val="002C2F07"/>
    <w:rsid w:val="002C2F26"/>
    <w:rsid w:val="002C2F63"/>
    <w:rsid w:val="002C314A"/>
    <w:rsid w:val="002C3481"/>
    <w:rsid w:val="002C349E"/>
    <w:rsid w:val="002C3615"/>
    <w:rsid w:val="002C3751"/>
    <w:rsid w:val="002C3C26"/>
    <w:rsid w:val="002C410C"/>
    <w:rsid w:val="002C414E"/>
    <w:rsid w:val="002C41F8"/>
    <w:rsid w:val="002C4310"/>
    <w:rsid w:val="002C4483"/>
    <w:rsid w:val="002C44A6"/>
    <w:rsid w:val="002C4562"/>
    <w:rsid w:val="002C457C"/>
    <w:rsid w:val="002C462F"/>
    <w:rsid w:val="002C467D"/>
    <w:rsid w:val="002C48AF"/>
    <w:rsid w:val="002C4978"/>
    <w:rsid w:val="002C4A10"/>
    <w:rsid w:val="002C4ADD"/>
    <w:rsid w:val="002C4B4A"/>
    <w:rsid w:val="002C4DFF"/>
    <w:rsid w:val="002C4F3F"/>
    <w:rsid w:val="002C53E2"/>
    <w:rsid w:val="002C54E1"/>
    <w:rsid w:val="002C55DF"/>
    <w:rsid w:val="002C569F"/>
    <w:rsid w:val="002C581C"/>
    <w:rsid w:val="002C58FE"/>
    <w:rsid w:val="002C5A20"/>
    <w:rsid w:val="002C5CD9"/>
    <w:rsid w:val="002C5D5A"/>
    <w:rsid w:val="002C5EFC"/>
    <w:rsid w:val="002C5FC8"/>
    <w:rsid w:val="002C61BC"/>
    <w:rsid w:val="002C6334"/>
    <w:rsid w:val="002C633F"/>
    <w:rsid w:val="002C6354"/>
    <w:rsid w:val="002C6511"/>
    <w:rsid w:val="002C65D6"/>
    <w:rsid w:val="002C65F9"/>
    <w:rsid w:val="002C6624"/>
    <w:rsid w:val="002C668E"/>
    <w:rsid w:val="002C6932"/>
    <w:rsid w:val="002C6953"/>
    <w:rsid w:val="002C6C8F"/>
    <w:rsid w:val="002C6CF3"/>
    <w:rsid w:val="002C6F64"/>
    <w:rsid w:val="002C6F78"/>
    <w:rsid w:val="002C751D"/>
    <w:rsid w:val="002C7858"/>
    <w:rsid w:val="002C78CE"/>
    <w:rsid w:val="002C7A7B"/>
    <w:rsid w:val="002C7B79"/>
    <w:rsid w:val="002C7C07"/>
    <w:rsid w:val="002C7C7D"/>
    <w:rsid w:val="002C7EA1"/>
    <w:rsid w:val="002D02AD"/>
    <w:rsid w:val="002D03A5"/>
    <w:rsid w:val="002D041A"/>
    <w:rsid w:val="002D057E"/>
    <w:rsid w:val="002D05E6"/>
    <w:rsid w:val="002D06C1"/>
    <w:rsid w:val="002D0939"/>
    <w:rsid w:val="002D0AF1"/>
    <w:rsid w:val="002D0D6C"/>
    <w:rsid w:val="002D0EDB"/>
    <w:rsid w:val="002D1298"/>
    <w:rsid w:val="002D1C57"/>
    <w:rsid w:val="002D1E2F"/>
    <w:rsid w:val="002D1FBF"/>
    <w:rsid w:val="002D2224"/>
    <w:rsid w:val="002D2630"/>
    <w:rsid w:val="002D2A4C"/>
    <w:rsid w:val="002D2BEA"/>
    <w:rsid w:val="002D2C17"/>
    <w:rsid w:val="002D2EBB"/>
    <w:rsid w:val="002D2FF0"/>
    <w:rsid w:val="002D317A"/>
    <w:rsid w:val="002D359C"/>
    <w:rsid w:val="002D35D2"/>
    <w:rsid w:val="002D362A"/>
    <w:rsid w:val="002D391A"/>
    <w:rsid w:val="002D3A8B"/>
    <w:rsid w:val="002D3C29"/>
    <w:rsid w:val="002D40F9"/>
    <w:rsid w:val="002D428C"/>
    <w:rsid w:val="002D42C9"/>
    <w:rsid w:val="002D46D4"/>
    <w:rsid w:val="002D4739"/>
    <w:rsid w:val="002D4A43"/>
    <w:rsid w:val="002D4D7A"/>
    <w:rsid w:val="002D4E24"/>
    <w:rsid w:val="002D4F15"/>
    <w:rsid w:val="002D4FAA"/>
    <w:rsid w:val="002D501A"/>
    <w:rsid w:val="002D51B0"/>
    <w:rsid w:val="002D522B"/>
    <w:rsid w:val="002D5284"/>
    <w:rsid w:val="002D5323"/>
    <w:rsid w:val="002D5409"/>
    <w:rsid w:val="002D5617"/>
    <w:rsid w:val="002D561E"/>
    <w:rsid w:val="002D5780"/>
    <w:rsid w:val="002D59E2"/>
    <w:rsid w:val="002D5B1B"/>
    <w:rsid w:val="002D5B38"/>
    <w:rsid w:val="002D5B59"/>
    <w:rsid w:val="002D5C32"/>
    <w:rsid w:val="002D5D01"/>
    <w:rsid w:val="002D5D4F"/>
    <w:rsid w:val="002D5E4E"/>
    <w:rsid w:val="002D5F03"/>
    <w:rsid w:val="002D5F94"/>
    <w:rsid w:val="002D61E5"/>
    <w:rsid w:val="002D628E"/>
    <w:rsid w:val="002D63B5"/>
    <w:rsid w:val="002D6475"/>
    <w:rsid w:val="002D6496"/>
    <w:rsid w:val="002D6506"/>
    <w:rsid w:val="002D6537"/>
    <w:rsid w:val="002D6649"/>
    <w:rsid w:val="002D6675"/>
    <w:rsid w:val="002D667D"/>
    <w:rsid w:val="002D6741"/>
    <w:rsid w:val="002D6800"/>
    <w:rsid w:val="002D6945"/>
    <w:rsid w:val="002D6952"/>
    <w:rsid w:val="002D69D7"/>
    <w:rsid w:val="002D6A8F"/>
    <w:rsid w:val="002D6BC9"/>
    <w:rsid w:val="002D6F2C"/>
    <w:rsid w:val="002D6F3B"/>
    <w:rsid w:val="002D6FCC"/>
    <w:rsid w:val="002D7050"/>
    <w:rsid w:val="002D72C5"/>
    <w:rsid w:val="002D751A"/>
    <w:rsid w:val="002D763D"/>
    <w:rsid w:val="002D7776"/>
    <w:rsid w:val="002D77F1"/>
    <w:rsid w:val="002D7848"/>
    <w:rsid w:val="002D794D"/>
    <w:rsid w:val="002D79AC"/>
    <w:rsid w:val="002D7AE3"/>
    <w:rsid w:val="002D7BD3"/>
    <w:rsid w:val="002D7C6B"/>
    <w:rsid w:val="002D7DA6"/>
    <w:rsid w:val="002D7DC1"/>
    <w:rsid w:val="002D7FF5"/>
    <w:rsid w:val="002D7FF6"/>
    <w:rsid w:val="002E005C"/>
    <w:rsid w:val="002E014B"/>
    <w:rsid w:val="002E0370"/>
    <w:rsid w:val="002E03BC"/>
    <w:rsid w:val="002E0496"/>
    <w:rsid w:val="002E0548"/>
    <w:rsid w:val="002E05B4"/>
    <w:rsid w:val="002E078F"/>
    <w:rsid w:val="002E09DF"/>
    <w:rsid w:val="002E0D53"/>
    <w:rsid w:val="002E10AC"/>
    <w:rsid w:val="002E1138"/>
    <w:rsid w:val="002E11DC"/>
    <w:rsid w:val="002E14C2"/>
    <w:rsid w:val="002E152E"/>
    <w:rsid w:val="002E157A"/>
    <w:rsid w:val="002E1915"/>
    <w:rsid w:val="002E19D8"/>
    <w:rsid w:val="002E1A12"/>
    <w:rsid w:val="002E1B94"/>
    <w:rsid w:val="002E1C35"/>
    <w:rsid w:val="002E1CAA"/>
    <w:rsid w:val="002E1D4F"/>
    <w:rsid w:val="002E1E59"/>
    <w:rsid w:val="002E1E79"/>
    <w:rsid w:val="002E1E85"/>
    <w:rsid w:val="002E1F0A"/>
    <w:rsid w:val="002E1F9A"/>
    <w:rsid w:val="002E208B"/>
    <w:rsid w:val="002E2245"/>
    <w:rsid w:val="002E253B"/>
    <w:rsid w:val="002E2652"/>
    <w:rsid w:val="002E28A8"/>
    <w:rsid w:val="002E2980"/>
    <w:rsid w:val="002E2A48"/>
    <w:rsid w:val="002E2D8D"/>
    <w:rsid w:val="002E2EDC"/>
    <w:rsid w:val="002E2F21"/>
    <w:rsid w:val="002E3146"/>
    <w:rsid w:val="002E328F"/>
    <w:rsid w:val="002E3603"/>
    <w:rsid w:val="002E3649"/>
    <w:rsid w:val="002E3693"/>
    <w:rsid w:val="002E3972"/>
    <w:rsid w:val="002E3AEE"/>
    <w:rsid w:val="002E3CC6"/>
    <w:rsid w:val="002E3DFA"/>
    <w:rsid w:val="002E404A"/>
    <w:rsid w:val="002E4757"/>
    <w:rsid w:val="002E4828"/>
    <w:rsid w:val="002E48CD"/>
    <w:rsid w:val="002E4CC4"/>
    <w:rsid w:val="002E4DB8"/>
    <w:rsid w:val="002E4F32"/>
    <w:rsid w:val="002E4F81"/>
    <w:rsid w:val="002E527A"/>
    <w:rsid w:val="002E52B6"/>
    <w:rsid w:val="002E5576"/>
    <w:rsid w:val="002E55D4"/>
    <w:rsid w:val="002E57F1"/>
    <w:rsid w:val="002E59DB"/>
    <w:rsid w:val="002E59EC"/>
    <w:rsid w:val="002E5A11"/>
    <w:rsid w:val="002E5B0F"/>
    <w:rsid w:val="002E5B12"/>
    <w:rsid w:val="002E5D4D"/>
    <w:rsid w:val="002E5DC3"/>
    <w:rsid w:val="002E5E54"/>
    <w:rsid w:val="002E5EA3"/>
    <w:rsid w:val="002E5F6B"/>
    <w:rsid w:val="002E61D8"/>
    <w:rsid w:val="002E62CA"/>
    <w:rsid w:val="002E63B9"/>
    <w:rsid w:val="002E65AE"/>
    <w:rsid w:val="002E6738"/>
    <w:rsid w:val="002E67B8"/>
    <w:rsid w:val="002E67C2"/>
    <w:rsid w:val="002E68BF"/>
    <w:rsid w:val="002E6AF0"/>
    <w:rsid w:val="002E6E36"/>
    <w:rsid w:val="002E6E9F"/>
    <w:rsid w:val="002E700C"/>
    <w:rsid w:val="002E723B"/>
    <w:rsid w:val="002E7254"/>
    <w:rsid w:val="002E7376"/>
    <w:rsid w:val="002E7A0B"/>
    <w:rsid w:val="002E7B30"/>
    <w:rsid w:val="002E7B69"/>
    <w:rsid w:val="002E7B92"/>
    <w:rsid w:val="002E7D8D"/>
    <w:rsid w:val="002E7F95"/>
    <w:rsid w:val="002F04D5"/>
    <w:rsid w:val="002F09BA"/>
    <w:rsid w:val="002F0B09"/>
    <w:rsid w:val="002F0B22"/>
    <w:rsid w:val="002F0C21"/>
    <w:rsid w:val="002F0D39"/>
    <w:rsid w:val="002F0F18"/>
    <w:rsid w:val="002F0F4E"/>
    <w:rsid w:val="002F1147"/>
    <w:rsid w:val="002F14C9"/>
    <w:rsid w:val="002F1703"/>
    <w:rsid w:val="002F186D"/>
    <w:rsid w:val="002F1978"/>
    <w:rsid w:val="002F1A10"/>
    <w:rsid w:val="002F1AA7"/>
    <w:rsid w:val="002F1D81"/>
    <w:rsid w:val="002F1D89"/>
    <w:rsid w:val="002F1FFC"/>
    <w:rsid w:val="002F2028"/>
    <w:rsid w:val="002F20CA"/>
    <w:rsid w:val="002F21C7"/>
    <w:rsid w:val="002F245B"/>
    <w:rsid w:val="002F249C"/>
    <w:rsid w:val="002F24A0"/>
    <w:rsid w:val="002F2605"/>
    <w:rsid w:val="002F2940"/>
    <w:rsid w:val="002F2953"/>
    <w:rsid w:val="002F2BE2"/>
    <w:rsid w:val="002F2CA3"/>
    <w:rsid w:val="002F2E69"/>
    <w:rsid w:val="002F2F0F"/>
    <w:rsid w:val="002F3069"/>
    <w:rsid w:val="002F3351"/>
    <w:rsid w:val="002F3424"/>
    <w:rsid w:val="002F3496"/>
    <w:rsid w:val="002F35F8"/>
    <w:rsid w:val="002F377B"/>
    <w:rsid w:val="002F3AB5"/>
    <w:rsid w:val="002F3ABD"/>
    <w:rsid w:val="002F3B2F"/>
    <w:rsid w:val="002F3DBE"/>
    <w:rsid w:val="002F3E9D"/>
    <w:rsid w:val="002F432B"/>
    <w:rsid w:val="002F434F"/>
    <w:rsid w:val="002F44FE"/>
    <w:rsid w:val="002F450B"/>
    <w:rsid w:val="002F4545"/>
    <w:rsid w:val="002F46DF"/>
    <w:rsid w:val="002F4807"/>
    <w:rsid w:val="002F4B58"/>
    <w:rsid w:val="002F4C08"/>
    <w:rsid w:val="002F52AA"/>
    <w:rsid w:val="002F54DE"/>
    <w:rsid w:val="002F5761"/>
    <w:rsid w:val="002F5782"/>
    <w:rsid w:val="002F57BC"/>
    <w:rsid w:val="002F5907"/>
    <w:rsid w:val="002F59B2"/>
    <w:rsid w:val="002F5B01"/>
    <w:rsid w:val="002F5EE5"/>
    <w:rsid w:val="002F5F3B"/>
    <w:rsid w:val="002F6012"/>
    <w:rsid w:val="002F620D"/>
    <w:rsid w:val="002F6220"/>
    <w:rsid w:val="002F675B"/>
    <w:rsid w:val="002F684A"/>
    <w:rsid w:val="002F6953"/>
    <w:rsid w:val="002F6AEF"/>
    <w:rsid w:val="002F6DD2"/>
    <w:rsid w:val="002F6E16"/>
    <w:rsid w:val="002F6EA8"/>
    <w:rsid w:val="002F704B"/>
    <w:rsid w:val="002F71B3"/>
    <w:rsid w:val="002F72A7"/>
    <w:rsid w:val="002F7319"/>
    <w:rsid w:val="002F743D"/>
    <w:rsid w:val="002F75B4"/>
    <w:rsid w:val="002F7785"/>
    <w:rsid w:val="002F7793"/>
    <w:rsid w:val="002F77C6"/>
    <w:rsid w:val="002F78FF"/>
    <w:rsid w:val="002F7C17"/>
    <w:rsid w:val="002F7C5D"/>
    <w:rsid w:val="002F7C9B"/>
    <w:rsid w:val="002F7E62"/>
    <w:rsid w:val="00300272"/>
    <w:rsid w:val="003004EC"/>
    <w:rsid w:val="0030063E"/>
    <w:rsid w:val="00300959"/>
    <w:rsid w:val="00300A1D"/>
    <w:rsid w:val="00300A63"/>
    <w:rsid w:val="00300B4F"/>
    <w:rsid w:val="00300BD2"/>
    <w:rsid w:val="00300D95"/>
    <w:rsid w:val="00300E14"/>
    <w:rsid w:val="00300E41"/>
    <w:rsid w:val="00300FD5"/>
    <w:rsid w:val="0030105C"/>
    <w:rsid w:val="0030109B"/>
    <w:rsid w:val="00301247"/>
    <w:rsid w:val="00301356"/>
    <w:rsid w:val="003017DF"/>
    <w:rsid w:val="00301829"/>
    <w:rsid w:val="00301AF7"/>
    <w:rsid w:val="00301CDE"/>
    <w:rsid w:val="00301E62"/>
    <w:rsid w:val="00301EAF"/>
    <w:rsid w:val="00301EFC"/>
    <w:rsid w:val="0030205E"/>
    <w:rsid w:val="00302062"/>
    <w:rsid w:val="003022A6"/>
    <w:rsid w:val="00302400"/>
    <w:rsid w:val="0030257E"/>
    <w:rsid w:val="00302658"/>
    <w:rsid w:val="00302685"/>
    <w:rsid w:val="0030282D"/>
    <w:rsid w:val="003028AC"/>
    <w:rsid w:val="003029BC"/>
    <w:rsid w:val="00302A69"/>
    <w:rsid w:val="00302BCF"/>
    <w:rsid w:val="00302D89"/>
    <w:rsid w:val="00302DF8"/>
    <w:rsid w:val="00302E79"/>
    <w:rsid w:val="00302EDF"/>
    <w:rsid w:val="00303610"/>
    <w:rsid w:val="003037D5"/>
    <w:rsid w:val="003037EE"/>
    <w:rsid w:val="0030394F"/>
    <w:rsid w:val="00303AD0"/>
    <w:rsid w:val="00303BD9"/>
    <w:rsid w:val="00303C6F"/>
    <w:rsid w:val="00303EB4"/>
    <w:rsid w:val="0030442F"/>
    <w:rsid w:val="00304513"/>
    <w:rsid w:val="00304722"/>
    <w:rsid w:val="003049F2"/>
    <w:rsid w:val="00304A0E"/>
    <w:rsid w:val="00304C3B"/>
    <w:rsid w:val="00304C65"/>
    <w:rsid w:val="00304CD1"/>
    <w:rsid w:val="00304D29"/>
    <w:rsid w:val="00304F46"/>
    <w:rsid w:val="00304FAD"/>
    <w:rsid w:val="00305008"/>
    <w:rsid w:val="00305207"/>
    <w:rsid w:val="00305525"/>
    <w:rsid w:val="00305573"/>
    <w:rsid w:val="003057EB"/>
    <w:rsid w:val="00305845"/>
    <w:rsid w:val="00305868"/>
    <w:rsid w:val="003058ED"/>
    <w:rsid w:val="00305922"/>
    <w:rsid w:val="00305D52"/>
    <w:rsid w:val="00305E71"/>
    <w:rsid w:val="00306327"/>
    <w:rsid w:val="0030637D"/>
    <w:rsid w:val="00306477"/>
    <w:rsid w:val="003064CC"/>
    <w:rsid w:val="00306715"/>
    <w:rsid w:val="00306E4C"/>
    <w:rsid w:val="00306F39"/>
    <w:rsid w:val="00306F5B"/>
    <w:rsid w:val="00307051"/>
    <w:rsid w:val="003070F1"/>
    <w:rsid w:val="0030738D"/>
    <w:rsid w:val="003073A2"/>
    <w:rsid w:val="00307552"/>
    <w:rsid w:val="00307554"/>
    <w:rsid w:val="003077BA"/>
    <w:rsid w:val="003077F3"/>
    <w:rsid w:val="00307A43"/>
    <w:rsid w:val="00307C88"/>
    <w:rsid w:val="00307CD8"/>
    <w:rsid w:val="00307DA1"/>
    <w:rsid w:val="003100A2"/>
    <w:rsid w:val="003101B6"/>
    <w:rsid w:val="00310206"/>
    <w:rsid w:val="00310587"/>
    <w:rsid w:val="003106E9"/>
    <w:rsid w:val="00310A21"/>
    <w:rsid w:val="00310AD2"/>
    <w:rsid w:val="00310B35"/>
    <w:rsid w:val="00310DF2"/>
    <w:rsid w:val="003110CA"/>
    <w:rsid w:val="003116FE"/>
    <w:rsid w:val="00311A17"/>
    <w:rsid w:val="00311B31"/>
    <w:rsid w:val="00311C5B"/>
    <w:rsid w:val="00311E64"/>
    <w:rsid w:val="003125AF"/>
    <w:rsid w:val="003125D2"/>
    <w:rsid w:val="00312ACA"/>
    <w:rsid w:val="00312AF4"/>
    <w:rsid w:val="00312DA0"/>
    <w:rsid w:val="00312F88"/>
    <w:rsid w:val="00313144"/>
    <w:rsid w:val="003131D0"/>
    <w:rsid w:val="003131D4"/>
    <w:rsid w:val="003134E4"/>
    <w:rsid w:val="003135A2"/>
    <w:rsid w:val="003135E1"/>
    <w:rsid w:val="00313679"/>
    <w:rsid w:val="00313702"/>
    <w:rsid w:val="00313949"/>
    <w:rsid w:val="003139E0"/>
    <w:rsid w:val="00313AAA"/>
    <w:rsid w:val="00313AC2"/>
    <w:rsid w:val="00313B6E"/>
    <w:rsid w:val="00313BD6"/>
    <w:rsid w:val="00313D01"/>
    <w:rsid w:val="00313D8E"/>
    <w:rsid w:val="00313DF5"/>
    <w:rsid w:val="00313ED5"/>
    <w:rsid w:val="00313F81"/>
    <w:rsid w:val="00313FF7"/>
    <w:rsid w:val="00314017"/>
    <w:rsid w:val="003140AD"/>
    <w:rsid w:val="0031412C"/>
    <w:rsid w:val="00314164"/>
    <w:rsid w:val="003141FF"/>
    <w:rsid w:val="003144CA"/>
    <w:rsid w:val="0031460D"/>
    <w:rsid w:val="00314633"/>
    <w:rsid w:val="00314735"/>
    <w:rsid w:val="003148D2"/>
    <w:rsid w:val="00314927"/>
    <w:rsid w:val="003149C2"/>
    <w:rsid w:val="00314C39"/>
    <w:rsid w:val="00314C3E"/>
    <w:rsid w:val="00314C48"/>
    <w:rsid w:val="00314FEF"/>
    <w:rsid w:val="003150E6"/>
    <w:rsid w:val="003151E7"/>
    <w:rsid w:val="003152BC"/>
    <w:rsid w:val="0031532F"/>
    <w:rsid w:val="00315578"/>
    <w:rsid w:val="003155B0"/>
    <w:rsid w:val="003156C8"/>
    <w:rsid w:val="00315715"/>
    <w:rsid w:val="00315797"/>
    <w:rsid w:val="003157A6"/>
    <w:rsid w:val="00315811"/>
    <w:rsid w:val="0031583E"/>
    <w:rsid w:val="00315978"/>
    <w:rsid w:val="003159C0"/>
    <w:rsid w:val="00315BDF"/>
    <w:rsid w:val="00315CF4"/>
    <w:rsid w:val="00315D81"/>
    <w:rsid w:val="00315E30"/>
    <w:rsid w:val="0031610B"/>
    <w:rsid w:val="00316119"/>
    <w:rsid w:val="003162A6"/>
    <w:rsid w:val="0031646B"/>
    <w:rsid w:val="0031648A"/>
    <w:rsid w:val="003165DA"/>
    <w:rsid w:val="0031661A"/>
    <w:rsid w:val="003168DB"/>
    <w:rsid w:val="003168E9"/>
    <w:rsid w:val="00316927"/>
    <w:rsid w:val="00316CAD"/>
    <w:rsid w:val="00316DFE"/>
    <w:rsid w:val="00316E31"/>
    <w:rsid w:val="00317660"/>
    <w:rsid w:val="00317677"/>
    <w:rsid w:val="00317682"/>
    <w:rsid w:val="003176C3"/>
    <w:rsid w:val="003176D9"/>
    <w:rsid w:val="0031789C"/>
    <w:rsid w:val="00317941"/>
    <w:rsid w:val="00317A8A"/>
    <w:rsid w:val="00317AEA"/>
    <w:rsid w:val="00317B06"/>
    <w:rsid w:val="00317C81"/>
    <w:rsid w:val="00317D95"/>
    <w:rsid w:val="00317E38"/>
    <w:rsid w:val="00317F9C"/>
    <w:rsid w:val="0032017D"/>
    <w:rsid w:val="003201F1"/>
    <w:rsid w:val="00320255"/>
    <w:rsid w:val="0032026C"/>
    <w:rsid w:val="0032044D"/>
    <w:rsid w:val="003204FC"/>
    <w:rsid w:val="0032056F"/>
    <w:rsid w:val="003205E3"/>
    <w:rsid w:val="00320824"/>
    <w:rsid w:val="003209B0"/>
    <w:rsid w:val="00320B7E"/>
    <w:rsid w:val="00320E01"/>
    <w:rsid w:val="003214CC"/>
    <w:rsid w:val="00321659"/>
    <w:rsid w:val="00321984"/>
    <w:rsid w:val="00321AB3"/>
    <w:rsid w:val="00321D70"/>
    <w:rsid w:val="00321DA5"/>
    <w:rsid w:val="00321E0A"/>
    <w:rsid w:val="00321EE3"/>
    <w:rsid w:val="003224C2"/>
    <w:rsid w:val="00322511"/>
    <w:rsid w:val="00322B88"/>
    <w:rsid w:val="00322BA5"/>
    <w:rsid w:val="00322E34"/>
    <w:rsid w:val="00322F42"/>
    <w:rsid w:val="0032317A"/>
    <w:rsid w:val="0032329D"/>
    <w:rsid w:val="00323595"/>
    <w:rsid w:val="003235DA"/>
    <w:rsid w:val="00323769"/>
    <w:rsid w:val="003237BC"/>
    <w:rsid w:val="003237C4"/>
    <w:rsid w:val="00323803"/>
    <w:rsid w:val="00323A24"/>
    <w:rsid w:val="00323ABD"/>
    <w:rsid w:val="00323CFD"/>
    <w:rsid w:val="00323DCC"/>
    <w:rsid w:val="00323E05"/>
    <w:rsid w:val="00323E09"/>
    <w:rsid w:val="00323E1C"/>
    <w:rsid w:val="00323E4E"/>
    <w:rsid w:val="00323E71"/>
    <w:rsid w:val="0032405F"/>
    <w:rsid w:val="00324180"/>
    <w:rsid w:val="00324279"/>
    <w:rsid w:val="003242DB"/>
    <w:rsid w:val="003245ED"/>
    <w:rsid w:val="00324706"/>
    <w:rsid w:val="003247B3"/>
    <w:rsid w:val="00324988"/>
    <w:rsid w:val="00324B50"/>
    <w:rsid w:val="00324CAE"/>
    <w:rsid w:val="00324D38"/>
    <w:rsid w:val="00324F22"/>
    <w:rsid w:val="0032507D"/>
    <w:rsid w:val="00325300"/>
    <w:rsid w:val="00325329"/>
    <w:rsid w:val="003255B1"/>
    <w:rsid w:val="0032561B"/>
    <w:rsid w:val="0032567A"/>
    <w:rsid w:val="00325746"/>
    <w:rsid w:val="00325958"/>
    <w:rsid w:val="00325959"/>
    <w:rsid w:val="003259B1"/>
    <w:rsid w:val="00325A60"/>
    <w:rsid w:val="00325BDD"/>
    <w:rsid w:val="00325CFB"/>
    <w:rsid w:val="00325E77"/>
    <w:rsid w:val="0032605D"/>
    <w:rsid w:val="00326084"/>
    <w:rsid w:val="00326102"/>
    <w:rsid w:val="0032612C"/>
    <w:rsid w:val="003263FF"/>
    <w:rsid w:val="00326441"/>
    <w:rsid w:val="003264A7"/>
    <w:rsid w:val="003264BA"/>
    <w:rsid w:val="003268A8"/>
    <w:rsid w:val="003269B1"/>
    <w:rsid w:val="00326D24"/>
    <w:rsid w:val="00327228"/>
    <w:rsid w:val="00327282"/>
    <w:rsid w:val="00327732"/>
    <w:rsid w:val="00327954"/>
    <w:rsid w:val="00327E57"/>
    <w:rsid w:val="00327EFF"/>
    <w:rsid w:val="00330189"/>
    <w:rsid w:val="003301BC"/>
    <w:rsid w:val="003301D6"/>
    <w:rsid w:val="003303BC"/>
    <w:rsid w:val="00330438"/>
    <w:rsid w:val="00330478"/>
    <w:rsid w:val="003304AE"/>
    <w:rsid w:val="00330653"/>
    <w:rsid w:val="0033082E"/>
    <w:rsid w:val="00330A10"/>
    <w:rsid w:val="00330B8E"/>
    <w:rsid w:val="00330C1C"/>
    <w:rsid w:val="00330C6B"/>
    <w:rsid w:val="00330DDF"/>
    <w:rsid w:val="00330DF1"/>
    <w:rsid w:val="00330F5B"/>
    <w:rsid w:val="00331016"/>
    <w:rsid w:val="003311DA"/>
    <w:rsid w:val="00331256"/>
    <w:rsid w:val="003313CE"/>
    <w:rsid w:val="0033152B"/>
    <w:rsid w:val="00331795"/>
    <w:rsid w:val="003319E7"/>
    <w:rsid w:val="00331BF0"/>
    <w:rsid w:val="00331C05"/>
    <w:rsid w:val="00331C54"/>
    <w:rsid w:val="00331C7E"/>
    <w:rsid w:val="003320F3"/>
    <w:rsid w:val="00332297"/>
    <w:rsid w:val="003324D8"/>
    <w:rsid w:val="0033257B"/>
    <w:rsid w:val="0033259F"/>
    <w:rsid w:val="0033271A"/>
    <w:rsid w:val="0033289C"/>
    <w:rsid w:val="00332922"/>
    <w:rsid w:val="00332964"/>
    <w:rsid w:val="003329E6"/>
    <w:rsid w:val="00332B2E"/>
    <w:rsid w:val="00332B7A"/>
    <w:rsid w:val="00332CCE"/>
    <w:rsid w:val="00332CFE"/>
    <w:rsid w:val="00332DF3"/>
    <w:rsid w:val="00332EBA"/>
    <w:rsid w:val="00332ED3"/>
    <w:rsid w:val="00332F00"/>
    <w:rsid w:val="00332F4D"/>
    <w:rsid w:val="003331BC"/>
    <w:rsid w:val="003334FC"/>
    <w:rsid w:val="003336FC"/>
    <w:rsid w:val="00333711"/>
    <w:rsid w:val="003339A2"/>
    <w:rsid w:val="00333A44"/>
    <w:rsid w:val="00333A9F"/>
    <w:rsid w:val="00333B95"/>
    <w:rsid w:val="003340D6"/>
    <w:rsid w:val="00334178"/>
    <w:rsid w:val="0033423D"/>
    <w:rsid w:val="0033460E"/>
    <w:rsid w:val="003346DC"/>
    <w:rsid w:val="00334933"/>
    <w:rsid w:val="00334A24"/>
    <w:rsid w:val="00334A3A"/>
    <w:rsid w:val="00334ACB"/>
    <w:rsid w:val="00334AD5"/>
    <w:rsid w:val="00334B02"/>
    <w:rsid w:val="00334E2C"/>
    <w:rsid w:val="00335540"/>
    <w:rsid w:val="0033566D"/>
    <w:rsid w:val="00335770"/>
    <w:rsid w:val="00335834"/>
    <w:rsid w:val="00335A3C"/>
    <w:rsid w:val="00335A64"/>
    <w:rsid w:val="00335AF0"/>
    <w:rsid w:val="00335BA7"/>
    <w:rsid w:val="00335C29"/>
    <w:rsid w:val="00335F63"/>
    <w:rsid w:val="00336291"/>
    <w:rsid w:val="00336318"/>
    <w:rsid w:val="003364AF"/>
    <w:rsid w:val="0033663E"/>
    <w:rsid w:val="003366F2"/>
    <w:rsid w:val="003367FB"/>
    <w:rsid w:val="00336975"/>
    <w:rsid w:val="0033697C"/>
    <w:rsid w:val="00336B79"/>
    <w:rsid w:val="00336DBE"/>
    <w:rsid w:val="0033703C"/>
    <w:rsid w:val="0033705D"/>
    <w:rsid w:val="003370A4"/>
    <w:rsid w:val="003370B0"/>
    <w:rsid w:val="0033719E"/>
    <w:rsid w:val="003372EC"/>
    <w:rsid w:val="0033734F"/>
    <w:rsid w:val="00337402"/>
    <w:rsid w:val="0033747D"/>
    <w:rsid w:val="003376F0"/>
    <w:rsid w:val="00337BE3"/>
    <w:rsid w:val="00337DF9"/>
    <w:rsid w:val="00337F1B"/>
    <w:rsid w:val="00340105"/>
    <w:rsid w:val="003401C3"/>
    <w:rsid w:val="0034030D"/>
    <w:rsid w:val="00340360"/>
    <w:rsid w:val="00340489"/>
    <w:rsid w:val="003404E0"/>
    <w:rsid w:val="00340675"/>
    <w:rsid w:val="00340C14"/>
    <w:rsid w:val="00340C66"/>
    <w:rsid w:val="00340E2E"/>
    <w:rsid w:val="003411C9"/>
    <w:rsid w:val="003413DF"/>
    <w:rsid w:val="00341437"/>
    <w:rsid w:val="00341545"/>
    <w:rsid w:val="0034179C"/>
    <w:rsid w:val="00341867"/>
    <w:rsid w:val="00341A70"/>
    <w:rsid w:val="00341A7F"/>
    <w:rsid w:val="00341FFA"/>
    <w:rsid w:val="003422A4"/>
    <w:rsid w:val="0034244B"/>
    <w:rsid w:val="00342884"/>
    <w:rsid w:val="003428FF"/>
    <w:rsid w:val="00342A23"/>
    <w:rsid w:val="00342AA4"/>
    <w:rsid w:val="00342AB6"/>
    <w:rsid w:val="00342AC6"/>
    <w:rsid w:val="00342AEE"/>
    <w:rsid w:val="00342B16"/>
    <w:rsid w:val="00343117"/>
    <w:rsid w:val="00343669"/>
    <w:rsid w:val="0034383F"/>
    <w:rsid w:val="003439EC"/>
    <w:rsid w:val="00343BCA"/>
    <w:rsid w:val="00343E03"/>
    <w:rsid w:val="00343EDF"/>
    <w:rsid w:val="00343EEC"/>
    <w:rsid w:val="00343FC5"/>
    <w:rsid w:val="003440B5"/>
    <w:rsid w:val="003440DC"/>
    <w:rsid w:val="003440E7"/>
    <w:rsid w:val="00344117"/>
    <w:rsid w:val="003441DC"/>
    <w:rsid w:val="0034426C"/>
    <w:rsid w:val="00344344"/>
    <w:rsid w:val="00344374"/>
    <w:rsid w:val="0034453B"/>
    <w:rsid w:val="003445E3"/>
    <w:rsid w:val="00344755"/>
    <w:rsid w:val="00344ADE"/>
    <w:rsid w:val="00344B03"/>
    <w:rsid w:val="00344E07"/>
    <w:rsid w:val="00344EA8"/>
    <w:rsid w:val="00344FBD"/>
    <w:rsid w:val="0034519C"/>
    <w:rsid w:val="003451C8"/>
    <w:rsid w:val="003452C3"/>
    <w:rsid w:val="003453CE"/>
    <w:rsid w:val="00345407"/>
    <w:rsid w:val="003455FF"/>
    <w:rsid w:val="003456B9"/>
    <w:rsid w:val="003456BD"/>
    <w:rsid w:val="0034585D"/>
    <w:rsid w:val="003459A5"/>
    <w:rsid w:val="00345C2D"/>
    <w:rsid w:val="00345D63"/>
    <w:rsid w:val="003460D3"/>
    <w:rsid w:val="0034613B"/>
    <w:rsid w:val="00346174"/>
    <w:rsid w:val="0034638F"/>
    <w:rsid w:val="0034647C"/>
    <w:rsid w:val="00346679"/>
    <w:rsid w:val="00346707"/>
    <w:rsid w:val="003467A4"/>
    <w:rsid w:val="003467BE"/>
    <w:rsid w:val="00346BBB"/>
    <w:rsid w:val="00346C52"/>
    <w:rsid w:val="00346CA7"/>
    <w:rsid w:val="00346DC9"/>
    <w:rsid w:val="00347036"/>
    <w:rsid w:val="00347078"/>
    <w:rsid w:val="00347208"/>
    <w:rsid w:val="00347242"/>
    <w:rsid w:val="0034737A"/>
    <w:rsid w:val="003474A9"/>
    <w:rsid w:val="003474DE"/>
    <w:rsid w:val="003474E5"/>
    <w:rsid w:val="003475F2"/>
    <w:rsid w:val="00347825"/>
    <w:rsid w:val="003479F1"/>
    <w:rsid w:val="00347A18"/>
    <w:rsid w:val="00347A19"/>
    <w:rsid w:val="00347A64"/>
    <w:rsid w:val="00347AB5"/>
    <w:rsid w:val="00347B22"/>
    <w:rsid w:val="00347BE3"/>
    <w:rsid w:val="00347DAA"/>
    <w:rsid w:val="00350765"/>
    <w:rsid w:val="00350CE6"/>
    <w:rsid w:val="00350D00"/>
    <w:rsid w:val="00350DB3"/>
    <w:rsid w:val="003510AA"/>
    <w:rsid w:val="0035126B"/>
    <w:rsid w:val="00351407"/>
    <w:rsid w:val="003518F7"/>
    <w:rsid w:val="00351934"/>
    <w:rsid w:val="00351971"/>
    <w:rsid w:val="003519D6"/>
    <w:rsid w:val="003519EA"/>
    <w:rsid w:val="00351B14"/>
    <w:rsid w:val="00351B7A"/>
    <w:rsid w:val="00351BAD"/>
    <w:rsid w:val="00351FA5"/>
    <w:rsid w:val="003520BC"/>
    <w:rsid w:val="00352113"/>
    <w:rsid w:val="00352153"/>
    <w:rsid w:val="00352178"/>
    <w:rsid w:val="00352250"/>
    <w:rsid w:val="00352271"/>
    <w:rsid w:val="003522D6"/>
    <w:rsid w:val="003522E2"/>
    <w:rsid w:val="00352714"/>
    <w:rsid w:val="00352715"/>
    <w:rsid w:val="003528B1"/>
    <w:rsid w:val="00352958"/>
    <w:rsid w:val="00352A17"/>
    <w:rsid w:val="00352A5A"/>
    <w:rsid w:val="00352B10"/>
    <w:rsid w:val="00352E10"/>
    <w:rsid w:val="003530D3"/>
    <w:rsid w:val="0035346C"/>
    <w:rsid w:val="0035352D"/>
    <w:rsid w:val="003535C1"/>
    <w:rsid w:val="003537BA"/>
    <w:rsid w:val="003537BF"/>
    <w:rsid w:val="003537FD"/>
    <w:rsid w:val="00353D16"/>
    <w:rsid w:val="00353DC0"/>
    <w:rsid w:val="00353F15"/>
    <w:rsid w:val="00353FEF"/>
    <w:rsid w:val="0035412A"/>
    <w:rsid w:val="0035414B"/>
    <w:rsid w:val="003541D9"/>
    <w:rsid w:val="00354405"/>
    <w:rsid w:val="00354587"/>
    <w:rsid w:val="00354F52"/>
    <w:rsid w:val="00355138"/>
    <w:rsid w:val="00355149"/>
    <w:rsid w:val="003554D3"/>
    <w:rsid w:val="00355553"/>
    <w:rsid w:val="00355588"/>
    <w:rsid w:val="003555F8"/>
    <w:rsid w:val="003557A5"/>
    <w:rsid w:val="00355842"/>
    <w:rsid w:val="00355859"/>
    <w:rsid w:val="003559DA"/>
    <w:rsid w:val="00356135"/>
    <w:rsid w:val="00356148"/>
    <w:rsid w:val="00356188"/>
    <w:rsid w:val="003561C9"/>
    <w:rsid w:val="0035624D"/>
    <w:rsid w:val="0035625D"/>
    <w:rsid w:val="00356505"/>
    <w:rsid w:val="00356567"/>
    <w:rsid w:val="0035684E"/>
    <w:rsid w:val="003568D2"/>
    <w:rsid w:val="0035692A"/>
    <w:rsid w:val="00356998"/>
    <w:rsid w:val="003569DB"/>
    <w:rsid w:val="00356BC9"/>
    <w:rsid w:val="00356C84"/>
    <w:rsid w:val="00356E75"/>
    <w:rsid w:val="00357030"/>
    <w:rsid w:val="00357046"/>
    <w:rsid w:val="003575C1"/>
    <w:rsid w:val="003576A4"/>
    <w:rsid w:val="003576CC"/>
    <w:rsid w:val="003577B0"/>
    <w:rsid w:val="003577E7"/>
    <w:rsid w:val="00357CBD"/>
    <w:rsid w:val="00357DB4"/>
    <w:rsid w:val="00357E9D"/>
    <w:rsid w:val="0036008C"/>
    <w:rsid w:val="003600D4"/>
    <w:rsid w:val="00360249"/>
    <w:rsid w:val="003602A9"/>
    <w:rsid w:val="003603CB"/>
    <w:rsid w:val="00360450"/>
    <w:rsid w:val="00360723"/>
    <w:rsid w:val="00360C12"/>
    <w:rsid w:val="0036109C"/>
    <w:rsid w:val="00361381"/>
    <w:rsid w:val="00361463"/>
    <w:rsid w:val="003614CB"/>
    <w:rsid w:val="00361878"/>
    <w:rsid w:val="003619AD"/>
    <w:rsid w:val="00361A92"/>
    <w:rsid w:val="00361CC4"/>
    <w:rsid w:val="00361DFC"/>
    <w:rsid w:val="00361E18"/>
    <w:rsid w:val="0036207A"/>
    <w:rsid w:val="00362178"/>
    <w:rsid w:val="00362262"/>
    <w:rsid w:val="0036235F"/>
    <w:rsid w:val="003623F4"/>
    <w:rsid w:val="00362446"/>
    <w:rsid w:val="0036257C"/>
    <w:rsid w:val="0036277B"/>
    <w:rsid w:val="003627EE"/>
    <w:rsid w:val="00362BBA"/>
    <w:rsid w:val="00362BC0"/>
    <w:rsid w:val="00362C52"/>
    <w:rsid w:val="00362D92"/>
    <w:rsid w:val="00362E8C"/>
    <w:rsid w:val="00362F8F"/>
    <w:rsid w:val="00362FE2"/>
    <w:rsid w:val="00362FF7"/>
    <w:rsid w:val="00363051"/>
    <w:rsid w:val="00363210"/>
    <w:rsid w:val="0036351C"/>
    <w:rsid w:val="0036357B"/>
    <w:rsid w:val="00363A6B"/>
    <w:rsid w:val="00363B26"/>
    <w:rsid w:val="00363CF4"/>
    <w:rsid w:val="00363DA6"/>
    <w:rsid w:val="00363E34"/>
    <w:rsid w:val="00363E96"/>
    <w:rsid w:val="0036427E"/>
    <w:rsid w:val="003642A8"/>
    <w:rsid w:val="003642EE"/>
    <w:rsid w:val="0036472D"/>
    <w:rsid w:val="003647EC"/>
    <w:rsid w:val="003648E5"/>
    <w:rsid w:val="00364A21"/>
    <w:rsid w:val="00364A37"/>
    <w:rsid w:val="00364A7E"/>
    <w:rsid w:val="00364A9D"/>
    <w:rsid w:val="00364D85"/>
    <w:rsid w:val="00364EE4"/>
    <w:rsid w:val="00364FE6"/>
    <w:rsid w:val="003650E2"/>
    <w:rsid w:val="0036515D"/>
    <w:rsid w:val="0036516F"/>
    <w:rsid w:val="003654CF"/>
    <w:rsid w:val="003657FC"/>
    <w:rsid w:val="00365964"/>
    <w:rsid w:val="00365B01"/>
    <w:rsid w:val="00365B6F"/>
    <w:rsid w:val="00365E2A"/>
    <w:rsid w:val="00365F60"/>
    <w:rsid w:val="00365FF4"/>
    <w:rsid w:val="0036605A"/>
    <w:rsid w:val="00366173"/>
    <w:rsid w:val="0036688E"/>
    <w:rsid w:val="003669A0"/>
    <w:rsid w:val="00366A9D"/>
    <w:rsid w:val="00366E68"/>
    <w:rsid w:val="00367498"/>
    <w:rsid w:val="003674D9"/>
    <w:rsid w:val="0036782B"/>
    <w:rsid w:val="00367B40"/>
    <w:rsid w:val="00367B4C"/>
    <w:rsid w:val="00367B8D"/>
    <w:rsid w:val="00367E95"/>
    <w:rsid w:val="00367F52"/>
    <w:rsid w:val="00367F7A"/>
    <w:rsid w:val="003700BA"/>
    <w:rsid w:val="003700D1"/>
    <w:rsid w:val="00370396"/>
    <w:rsid w:val="00370438"/>
    <w:rsid w:val="0037043F"/>
    <w:rsid w:val="00370460"/>
    <w:rsid w:val="0037048B"/>
    <w:rsid w:val="003705B4"/>
    <w:rsid w:val="00370656"/>
    <w:rsid w:val="00370723"/>
    <w:rsid w:val="0037072F"/>
    <w:rsid w:val="00370803"/>
    <w:rsid w:val="0037086B"/>
    <w:rsid w:val="003708F8"/>
    <w:rsid w:val="00370D71"/>
    <w:rsid w:val="00371040"/>
    <w:rsid w:val="0037106C"/>
    <w:rsid w:val="003711B6"/>
    <w:rsid w:val="0037121A"/>
    <w:rsid w:val="00371371"/>
    <w:rsid w:val="00371655"/>
    <w:rsid w:val="003718B1"/>
    <w:rsid w:val="0037196A"/>
    <w:rsid w:val="00371B22"/>
    <w:rsid w:val="00371DD5"/>
    <w:rsid w:val="00371DDB"/>
    <w:rsid w:val="00371E86"/>
    <w:rsid w:val="00371EC7"/>
    <w:rsid w:val="00371FA5"/>
    <w:rsid w:val="00372030"/>
    <w:rsid w:val="00372146"/>
    <w:rsid w:val="0037232B"/>
    <w:rsid w:val="003724AA"/>
    <w:rsid w:val="0037250A"/>
    <w:rsid w:val="00372716"/>
    <w:rsid w:val="00372920"/>
    <w:rsid w:val="00372A12"/>
    <w:rsid w:val="00372A2D"/>
    <w:rsid w:val="00372A41"/>
    <w:rsid w:val="00372B4F"/>
    <w:rsid w:val="00372D1C"/>
    <w:rsid w:val="0037308D"/>
    <w:rsid w:val="00373252"/>
    <w:rsid w:val="0037354A"/>
    <w:rsid w:val="003735DD"/>
    <w:rsid w:val="00373614"/>
    <w:rsid w:val="003736AD"/>
    <w:rsid w:val="00373839"/>
    <w:rsid w:val="00373EEA"/>
    <w:rsid w:val="00373FAB"/>
    <w:rsid w:val="0037421C"/>
    <w:rsid w:val="003745B1"/>
    <w:rsid w:val="003747E5"/>
    <w:rsid w:val="0037482C"/>
    <w:rsid w:val="00374978"/>
    <w:rsid w:val="00374994"/>
    <w:rsid w:val="00374BAB"/>
    <w:rsid w:val="00374C65"/>
    <w:rsid w:val="00374C94"/>
    <w:rsid w:val="00374F09"/>
    <w:rsid w:val="003750B5"/>
    <w:rsid w:val="0037513E"/>
    <w:rsid w:val="00375366"/>
    <w:rsid w:val="0037554C"/>
    <w:rsid w:val="003758ED"/>
    <w:rsid w:val="00375BF7"/>
    <w:rsid w:val="00375CB2"/>
    <w:rsid w:val="00375E95"/>
    <w:rsid w:val="00375FBA"/>
    <w:rsid w:val="00376068"/>
    <w:rsid w:val="003761B5"/>
    <w:rsid w:val="00376309"/>
    <w:rsid w:val="003763AB"/>
    <w:rsid w:val="0037649D"/>
    <w:rsid w:val="003765C6"/>
    <w:rsid w:val="00376701"/>
    <w:rsid w:val="00376812"/>
    <w:rsid w:val="00376DC9"/>
    <w:rsid w:val="00376ED8"/>
    <w:rsid w:val="00376F32"/>
    <w:rsid w:val="0037706C"/>
    <w:rsid w:val="00377224"/>
    <w:rsid w:val="003776F1"/>
    <w:rsid w:val="003778DD"/>
    <w:rsid w:val="003779E5"/>
    <w:rsid w:val="003779FB"/>
    <w:rsid w:val="00377BF7"/>
    <w:rsid w:val="00377C6B"/>
    <w:rsid w:val="00377D3D"/>
    <w:rsid w:val="00377F40"/>
    <w:rsid w:val="00377FC4"/>
    <w:rsid w:val="0038002C"/>
    <w:rsid w:val="00380169"/>
    <w:rsid w:val="00380309"/>
    <w:rsid w:val="00380459"/>
    <w:rsid w:val="0038050E"/>
    <w:rsid w:val="0038066D"/>
    <w:rsid w:val="00380B4F"/>
    <w:rsid w:val="00380B50"/>
    <w:rsid w:val="00380D22"/>
    <w:rsid w:val="00380F48"/>
    <w:rsid w:val="00381042"/>
    <w:rsid w:val="0038134B"/>
    <w:rsid w:val="003814F9"/>
    <w:rsid w:val="00381523"/>
    <w:rsid w:val="00381538"/>
    <w:rsid w:val="0038158B"/>
    <w:rsid w:val="003815FD"/>
    <w:rsid w:val="00381835"/>
    <w:rsid w:val="003818EB"/>
    <w:rsid w:val="00381BAE"/>
    <w:rsid w:val="00381C9F"/>
    <w:rsid w:val="00381DCB"/>
    <w:rsid w:val="00382051"/>
    <w:rsid w:val="003821CF"/>
    <w:rsid w:val="0038226B"/>
    <w:rsid w:val="0038245C"/>
    <w:rsid w:val="00382586"/>
    <w:rsid w:val="003826F6"/>
    <w:rsid w:val="0038279E"/>
    <w:rsid w:val="003827C5"/>
    <w:rsid w:val="00382C4B"/>
    <w:rsid w:val="00382C82"/>
    <w:rsid w:val="00382D99"/>
    <w:rsid w:val="00382FF3"/>
    <w:rsid w:val="0038317E"/>
    <w:rsid w:val="00383243"/>
    <w:rsid w:val="00383338"/>
    <w:rsid w:val="00383347"/>
    <w:rsid w:val="00383777"/>
    <w:rsid w:val="00383AAF"/>
    <w:rsid w:val="00383CD5"/>
    <w:rsid w:val="00383D64"/>
    <w:rsid w:val="00383D90"/>
    <w:rsid w:val="00383FAE"/>
    <w:rsid w:val="00384113"/>
    <w:rsid w:val="0038421C"/>
    <w:rsid w:val="0038429A"/>
    <w:rsid w:val="003843DD"/>
    <w:rsid w:val="003844BE"/>
    <w:rsid w:val="003844FA"/>
    <w:rsid w:val="00384568"/>
    <w:rsid w:val="003845F9"/>
    <w:rsid w:val="00384B51"/>
    <w:rsid w:val="00384B7E"/>
    <w:rsid w:val="00384C1C"/>
    <w:rsid w:val="00384C4F"/>
    <w:rsid w:val="00384D1F"/>
    <w:rsid w:val="00384DCA"/>
    <w:rsid w:val="00384EF3"/>
    <w:rsid w:val="00384F9B"/>
    <w:rsid w:val="003851ED"/>
    <w:rsid w:val="003851FE"/>
    <w:rsid w:val="00385258"/>
    <w:rsid w:val="0038541D"/>
    <w:rsid w:val="003854FD"/>
    <w:rsid w:val="00385715"/>
    <w:rsid w:val="0038576B"/>
    <w:rsid w:val="00385770"/>
    <w:rsid w:val="003858AA"/>
    <w:rsid w:val="00385A17"/>
    <w:rsid w:val="00385AD2"/>
    <w:rsid w:val="00385CBD"/>
    <w:rsid w:val="00385CBE"/>
    <w:rsid w:val="00385D30"/>
    <w:rsid w:val="003860EA"/>
    <w:rsid w:val="00386182"/>
    <w:rsid w:val="003862DA"/>
    <w:rsid w:val="0038652D"/>
    <w:rsid w:val="003866F2"/>
    <w:rsid w:val="00386799"/>
    <w:rsid w:val="003867D7"/>
    <w:rsid w:val="003867F4"/>
    <w:rsid w:val="0038683A"/>
    <w:rsid w:val="00386C2E"/>
    <w:rsid w:val="00386C52"/>
    <w:rsid w:val="00386C73"/>
    <w:rsid w:val="00386D31"/>
    <w:rsid w:val="00386E0E"/>
    <w:rsid w:val="00386EAD"/>
    <w:rsid w:val="003870A9"/>
    <w:rsid w:val="0038716B"/>
    <w:rsid w:val="0038716D"/>
    <w:rsid w:val="00387198"/>
    <w:rsid w:val="003871F1"/>
    <w:rsid w:val="003872D4"/>
    <w:rsid w:val="0038736A"/>
    <w:rsid w:val="003873D4"/>
    <w:rsid w:val="0038742E"/>
    <w:rsid w:val="0038760E"/>
    <w:rsid w:val="003876ED"/>
    <w:rsid w:val="00387854"/>
    <w:rsid w:val="00387E3E"/>
    <w:rsid w:val="00387F93"/>
    <w:rsid w:val="003904A1"/>
    <w:rsid w:val="003908EF"/>
    <w:rsid w:val="003909EC"/>
    <w:rsid w:val="00390ABD"/>
    <w:rsid w:val="00390B61"/>
    <w:rsid w:val="00390C05"/>
    <w:rsid w:val="00390C86"/>
    <w:rsid w:val="00390F6D"/>
    <w:rsid w:val="003910A2"/>
    <w:rsid w:val="003911BC"/>
    <w:rsid w:val="003912EC"/>
    <w:rsid w:val="0039133E"/>
    <w:rsid w:val="0039134B"/>
    <w:rsid w:val="00391375"/>
    <w:rsid w:val="003913AF"/>
    <w:rsid w:val="00391670"/>
    <w:rsid w:val="0039167B"/>
    <w:rsid w:val="00391695"/>
    <w:rsid w:val="003916AC"/>
    <w:rsid w:val="003916BC"/>
    <w:rsid w:val="0039179C"/>
    <w:rsid w:val="0039181B"/>
    <w:rsid w:val="00391862"/>
    <w:rsid w:val="00391952"/>
    <w:rsid w:val="0039198A"/>
    <w:rsid w:val="00391A3A"/>
    <w:rsid w:val="00391A84"/>
    <w:rsid w:val="00391A8A"/>
    <w:rsid w:val="00391BE7"/>
    <w:rsid w:val="00391F81"/>
    <w:rsid w:val="00391FFE"/>
    <w:rsid w:val="00392245"/>
    <w:rsid w:val="00392396"/>
    <w:rsid w:val="003923C9"/>
    <w:rsid w:val="00392714"/>
    <w:rsid w:val="00392730"/>
    <w:rsid w:val="003927E6"/>
    <w:rsid w:val="00392D92"/>
    <w:rsid w:val="00392DFF"/>
    <w:rsid w:val="00393155"/>
    <w:rsid w:val="003933DE"/>
    <w:rsid w:val="00393662"/>
    <w:rsid w:val="00393793"/>
    <w:rsid w:val="00393816"/>
    <w:rsid w:val="00393832"/>
    <w:rsid w:val="003939FA"/>
    <w:rsid w:val="00393F61"/>
    <w:rsid w:val="0039405D"/>
    <w:rsid w:val="00394074"/>
    <w:rsid w:val="00394358"/>
    <w:rsid w:val="00394430"/>
    <w:rsid w:val="00394578"/>
    <w:rsid w:val="0039466E"/>
    <w:rsid w:val="00394714"/>
    <w:rsid w:val="003949DF"/>
    <w:rsid w:val="00394A6F"/>
    <w:rsid w:val="00394DCD"/>
    <w:rsid w:val="003951D4"/>
    <w:rsid w:val="003955C1"/>
    <w:rsid w:val="00395617"/>
    <w:rsid w:val="00395681"/>
    <w:rsid w:val="003957D2"/>
    <w:rsid w:val="00395832"/>
    <w:rsid w:val="00395872"/>
    <w:rsid w:val="0039599E"/>
    <w:rsid w:val="00395C63"/>
    <w:rsid w:val="00395CCA"/>
    <w:rsid w:val="00395EA9"/>
    <w:rsid w:val="00395F0D"/>
    <w:rsid w:val="00395FA9"/>
    <w:rsid w:val="003960F6"/>
    <w:rsid w:val="00396123"/>
    <w:rsid w:val="0039614B"/>
    <w:rsid w:val="0039618F"/>
    <w:rsid w:val="0039619B"/>
    <w:rsid w:val="0039646E"/>
    <w:rsid w:val="003964B8"/>
    <w:rsid w:val="00396541"/>
    <w:rsid w:val="003965DB"/>
    <w:rsid w:val="00396639"/>
    <w:rsid w:val="0039666C"/>
    <w:rsid w:val="0039687B"/>
    <w:rsid w:val="003968F2"/>
    <w:rsid w:val="00396A3F"/>
    <w:rsid w:val="00396A7A"/>
    <w:rsid w:val="00396BE8"/>
    <w:rsid w:val="00396BEB"/>
    <w:rsid w:val="00396D3B"/>
    <w:rsid w:val="00396DFF"/>
    <w:rsid w:val="00396E08"/>
    <w:rsid w:val="00397118"/>
    <w:rsid w:val="0039711C"/>
    <w:rsid w:val="00397303"/>
    <w:rsid w:val="00397406"/>
    <w:rsid w:val="003975DD"/>
    <w:rsid w:val="00397640"/>
    <w:rsid w:val="003976EF"/>
    <w:rsid w:val="003977CA"/>
    <w:rsid w:val="00397897"/>
    <w:rsid w:val="00397916"/>
    <w:rsid w:val="00397B2D"/>
    <w:rsid w:val="00397B45"/>
    <w:rsid w:val="00397BDF"/>
    <w:rsid w:val="00397DA1"/>
    <w:rsid w:val="00397E81"/>
    <w:rsid w:val="003A008D"/>
    <w:rsid w:val="003A02AA"/>
    <w:rsid w:val="003A055C"/>
    <w:rsid w:val="003A05C3"/>
    <w:rsid w:val="003A066E"/>
    <w:rsid w:val="003A068C"/>
    <w:rsid w:val="003A0A1D"/>
    <w:rsid w:val="003A0A5D"/>
    <w:rsid w:val="003A0CA3"/>
    <w:rsid w:val="003A0D2D"/>
    <w:rsid w:val="003A0D47"/>
    <w:rsid w:val="003A0DA1"/>
    <w:rsid w:val="003A0F67"/>
    <w:rsid w:val="003A108B"/>
    <w:rsid w:val="003A11ED"/>
    <w:rsid w:val="003A129A"/>
    <w:rsid w:val="003A12B7"/>
    <w:rsid w:val="003A12F2"/>
    <w:rsid w:val="003A1387"/>
    <w:rsid w:val="003A139B"/>
    <w:rsid w:val="003A1435"/>
    <w:rsid w:val="003A17D3"/>
    <w:rsid w:val="003A18CD"/>
    <w:rsid w:val="003A19EC"/>
    <w:rsid w:val="003A1CE0"/>
    <w:rsid w:val="003A1EE5"/>
    <w:rsid w:val="003A1FA1"/>
    <w:rsid w:val="003A2029"/>
    <w:rsid w:val="003A20B1"/>
    <w:rsid w:val="003A211A"/>
    <w:rsid w:val="003A2796"/>
    <w:rsid w:val="003A2880"/>
    <w:rsid w:val="003A2B72"/>
    <w:rsid w:val="003A2C22"/>
    <w:rsid w:val="003A2DAF"/>
    <w:rsid w:val="003A31B8"/>
    <w:rsid w:val="003A3659"/>
    <w:rsid w:val="003A36B4"/>
    <w:rsid w:val="003A37A0"/>
    <w:rsid w:val="003A3829"/>
    <w:rsid w:val="003A382A"/>
    <w:rsid w:val="003A3BBC"/>
    <w:rsid w:val="003A3DB5"/>
    <w:rsid w:val="003A3E61"/>
    <w:rsid w:val="003A4126"/>
    <w:rsid w:val="003A438F"/>
    <w:rsid w:val="003A4639"/>
    <w:rsid w:val="003A46C6"/>
    <w:rsid w:val="003A4891"/>
    <w:rsid w:val="003A4973"/>
    <w:rsid w:val="003A498D"/>
    <w:rsid w:val="003A4C33"/>
    <w:rsid w:val="003A4C6B"/>
    <w:rsid w:val="003A4D1A"/>
    <w:rsid w:val="003A5180"/>
    <w:rsid w:val="003A521A"/>
    <w:rsid w:val="003A530B"/>
    <w:rsid w:val="003A5368"/>
    <w:rsid w:val="003A5564"/>
    <w:rsid w:val="003A5759"/>
    <w:rsid w:val="003A582D"/>
    <w:rsid w:val="003A5A1D"/>
    <w:rsid w:val="003A5B9F"/>
    <w:rsid w:val="003A5BDB"/>
    <w:rsid w:val="003A5BE5"/>
    <w:rsid w:val="003A5D06"/>
    <w:rsid w:val="003A5DBA"/>
    <w:rsid w:val="003A5DD3"/>
    <w:rsid w:val="003A5DF6"/>
    <w:rsid w:val="003A5E11"/>
    <w:rsid w:val="003A6583"/>
    <w:rsid w:val="003A6910"/>
    <w:rsid w:val="003A6AEE"/>
    <w:rsid w:val="003A6B6B"/>
    <w:rsid w:val="003A6C21"/>
    <w:rsid w:val="003A6D1C"/>
    <w:rsid w:val="003A6DEE"/>
    <w:rsid w:val="003A6E27"/>
    <w:rsid w:val="003A6FD3"/>
    <w:rsid w:val="003A71CE"/>
    <w:rsid w:val="003A71F7"/>
    <w:rsid w:val="003A724E"/>
    <w:rsid w:val="003A7590"/>
    <w:rsid w:val="003A77E0"/>
    <w:rsid w:val="003A7ED6"/>
    <w:rsid w:val="003B017E"/>
    <w:rsid w:val="003B0250"/>
    <w:rsid w:val="003B0618"/>
    <w:rsid w:val="003B080E"/>
    <w:rsid w:val="003B087A"/>
    <w:rsid w:val="003B08E5"/>
    <w:rsid w:val="003B0B96"/>
    <w:rsid w:val="003B0C15"/>
    <w:rsid w:val="003B0D7E"/>
    <w:rsid w:val="003B0EC0"/>
    <w:rsid w:val="003B12BF"/>
    <w:rsid w:val="003B14CD"/>
    <w:rsid w:val="003B1593"/>
    <w:rsid w:val="003B17E7"/>
    <w:rsid w:val="003B1824"/>
    <w:rsid w:val="003B1A53"/>
    <w:rsid w:val="003B1CE5"/>
    <w:rsid w:val="003B1DD0"/>
    <w:rsid w:val="003B1F7B"/>
    <w:rsid w:val="003B20D6"/>
    <w:rsid w:val="003B2262"/>
    <w:rsid w:val="003B229E"/>
    <w:rsid w:val="003B22EE"/>
    <w:rsid w:val="003B2382"/>
    <w:rsid w:val="003B23FB"/>
    <w:rsid w:val="003B24E3"/>
    <w:rsid w:val="003B26C3"/>
    <w:rsid w:val="003B2A44"/>
    <w:rsid w:val="003B3178"/>
    <w:rsid w:val="003B33DF"/>
    <w:rsid w:val="003B34DF"/>
    <w:rsid w:val="003B3548"/>
    <w:rsid w:val="003B36D9"/>
    <w:rsid w:val="003B375F"/>
    <w:rsid w:val="003B380C"/>
    <w:rsid w:val="003B3854"/>
    <w:rsid w:val="003B3B6A"/>
    <w:rsid w:val="003B3C29"/>
    <w:rsid w:val="003B3D61"/>
    <w:rsid w:val="003B3F44"/>
    <w:rsid w:val="003B3F70"/>
    <w:rsid w:val="003B3FCE"/>
    <w:rsid w:val="003B4021"/>
    <w:rsid w:val="003B4082"/>
    <w:rsid w:val="003B4141"/>
    <w:rsid w:val="003B4203"/>
    <w:rsid w:val="003B4595"/>
    <w:rsid w:val="003B4652"/>
    <w:rsid w:val="003B497A"/>
    <w:rsid w:val="003B49EC"/>
    <w:rsid w:val="003B4A38"/>
    <w:rsid w:val="003B4AFA"/>
    <w:rsid w:val="003B4B76"/>
    <w:rsid w:val="003B4DAB"/>
    <w:rsid w:val="003B4F3D"/>
    <w:rsid w:val="003B5599"/>
    <w:rsid w:val="003B55C5"/>
    <w:rsid w:val="003B5653"/>
    <w:rsid w:val="003B56DD"/>
    <w:rsid w:val="003B5938"/>
    <w:rsid w:val="003B593B"/>
    <w:rsid w:val="003B5B22"/>
    <w:rsid w:val="003B5C9F"/>
    <w:rsid w:val="003B6029"/>
    <w:rsid w:val="003B6217"/>
    <w:rsid w:val="003B6514"/>
    <w:rsid w:val="003B697F"/>
    <w:rsid w:val="003B6A0C"/>
    <w:rsid w:val="003B6A29"/>
    <w:rsid w:val="003B6A2D"/>
    <w:rsid w:val="003B6B01"/>
    <w:rsid w:val="003B6B56"/>
    <w:rsid w:val="003B6BA7"/>
    <w:rsid w:val="003B6C60"/>
    <w:rsid w:val="003B6D54"/>
    <w:rsid w:val="003B6DB2"/>
    <w:rsid w:val="003B6EC5"/>
    <w:rsid w:val="003B6EEB"/>
    <w:rsid w:val="003B712F"/>
    <w:rsid w:val="003B721B"/>
    <w:rsid w:val="003B7517"/>
    <w:rsid w:val="003B76DF"/>
    <w:rsid w:val="003B781C"/>
    <w:rsid w:val="003B7A66"/>
    <w:rsid w:val="003B7E1F"/>
    <w:rsid w:val="003C0067"/>
    <w:rsid w:val="003C0095"/>
    <w:rsid w:val="003C0100"/>
    <w:rsid w:val="003C0157"/>
    <w:rsid w:val="003C037E"/>
    <w:rsid w:val="003C03F4"/>
    <w:rsid w:val="003C04D0"/>
    <w:rsid w:val="003C0593"/>
    <w:rsid w:val="003C063B"/>
    <w:rsid w:val="003C0A9B"/>
    <w:rsid w:val="003C0ADA"/>
    <w:rsid w:val="003C0D0C"/>
    <w:rsid w:val="003C10EC"/>
    <w:rsid w:val="003C135C"/>
    <w:rsid w:val="003C1569"/>
    <w:rsid w:val="003C15BA"/>
    <w:rsid w:val="003C1733"/>
    <w:rsid w:val="003C17D7"/>
    <w:rsid w:val="003C185B"/>
    <w:rsid w:val="003C1A8B"/>
    <w:rsid w:val="003C1B44"/>
    <w:rsid w:val="003C1BA4"/>
    <w:rsid w:val="003C1BB2"/>
    <w:rsid w:val="003C1EA1"/>
    <w:rsid w:val="003C1EAD"/>
    <w:rsid w:val="003C1EB3"/>
    <w:rsid w:val="003C1EC9"/>
    <w:rsid w:val="003C2030"/>
    <w:rsid w:val="003C2032"/>
    <w:rsid w:val="003C234B"/>
    <w:rsid w:val="003C265C"/>
    <w:rsid w:val="003C28F3"/>
    <w:rsid w:val="003C2AC1"/>
    <w:rsid w:val="003C2BB6"/>
    <w:rsid w:val="003C2BC9"/>
    <w:rsid w:val="003C2D06"/>
    <w:rsid w:val="003C2E33"/>
    <w:rsid w:val="003C2E4E"/>
    <w:rsid w:val="003C33AF"/>
    <w:rsid w:val="003C3474"/>
    <w:rsid w:val="003C3527"/>
    <w:rsid w:val="003C35DF"/>
    <w:rsid w:val="003C3864"/>
    <w:rsid w:val="003C3A81"/>
    <w:rsid w:val="003C3D68"/>
    <w:rsid w:val="003C3D76"/>
    <w:rsid w:val="003C4077"/>
    <w:rsid w:val="003C43C9"/>
    <w:rsid w:val="003C45A3"/>
    <w:rsid w:val="003C467D"/>
    <w:rsid w:val="003C48BD"/>
    <w:rsid w:val="003C4A53"/>
    <w:rsid w:val="003C4B65"/>
    <w:rsid w:val="003C4B8C"/>
    <w:rsid w:val="003C4C78"/>
    <w:rsid w:val="003C4C85"/>
    <w:rsid w:val="003C4CF4"/>
    <w:rsid w:val="003C4D5E"/>
    <w:rsid w:val="003C51AD"/>
    <w:rsid w:val="003C531E"/>
    <w:rsid w:val="003C53C6"/>
    <w:rsid w:val="003C5642"/>
    <w:rsid w:val="003C5830"/>
    <w:rsid w:val="003C5AA7"/>
    <w:rsid w:val="003C5E45"/>
    <w:rsid w:val="003C5EEE"/>
    <w:rsid w:val="003C5F52"/>
    <w:rsid w:val="003C6062"/>
    <w:rsid w:val="003C613B"/>
    <w:rsid w:val="003C6256"/>
    <w:rsid w:val="003C63B5"/>
    <w:rsid w:val="003C65CB"/>
    <w:rsid w:val="003C669D"/>
    <w:rsid w:val="003C67E2"/>
    <w:rsid w:val="003C6826"/>
    <w:rsid w:val="003C6891"/>
    <w:rsid w:val="003C69E1"/>
    <w:rsid w:val="003C6AB4"/>
    <w:rsid w:val="003C6B70"/>
    <w:rsid w:val="003C6CCC"/>
    <w:rsid w:val="003C6CE6"/>
    <w:rsid w:val="003C6DA6"/>
    <w:rsid w:val="003C6DAB"/>
    <w:rsid w:val="003C6E14"/>
    <w:rsid w:val="003C6EF9"/>
    <w:rsid w:val="003C7048"/>
    <w:rsid w:val="003C712E"/>
    <w:rsid w:val="003C727E"/>
    <w:rsid w:val="003C72C1"/>
    <w:rsid w:val="003C72F7"/>
    <w:rsid w:val="003C7324"/>
    <w:rsid w:val="003C7515"/>
    <w:rsid w:val="003C759E"/>
    <w:rsid w:val="003C7809"/>
    <w:rsid w:val="003C7812"/>
    <w:rsid w:val="003C7A41"/>
    <w:rsid w:val="003C7B3C"/>
    <w:rsid w:val="003C7B5D"/>
    <w:rsid w:val="003C7C03"/>
    <w:rsid w:val="003D0087"/>
    <w:rsid w:val="003D0441"/>
    <w:rsid w:val="003D0482"/>
    <w:rsid w:val="003D04F0"/>
    <w:rsid w:val="003D0500"/>
    <w:rsid w:val="003D0503"/>
    <w:rsid w:val="003D0814"/>
    <w:rsid w:val="003D0917"/>
    <w:rsid w:val="003D0AD6"/>
    <w:rsid w:val="003D0FE8"/>
    <w:rsid w:val="003D1021"/>
    <w:rsid w:val="003D11AA"/>
    <w:rsid w:val="003D134D"/>
    <w:rsid w:val="003D13D1"/>
    <w:rsid w:val="003D150D"/>
    <w:rsid w:val="003D1A7B"/>
    <w:rsid w:val="003D1B62"/>
    <w:rsid w:val="003D1CFF"/>
    <w:rsid w:val="003D1DEA"/>
    <w:rsid w:val="003D1DEC"/>
    <w:rsid w:val="003D1FF7"/>
    <w:rsid w:val="003D22F6"/>
    <w:rsid w:val="003D25BA"/>
    <w:rsid w:val="003D2839"/>
    <w:rsid w:val="003D2947"/>
    <w:rsid w:val="003D2B51"/>
    <w:rsid w:val="003D2BAF"/>
    <w:rsid w:val="003D2C9B"/>
    <w:rsid w:val="003D2D27"/>
    <w:rsid w:val="003D2D44"/>
    <w:rsid w:val="003D302D"/>
    <w:rsid w:val="003D302E"/>
    <w:rsid w:val="003D312D"/>
    <w:rsid w:val="003D338A"/>
    <w:rsid w:val="003D33B4"/>
    <w:rsid w:val="003D3614"/>
    <w:rsid w:val="003D3629"/>
    <w:rsid w:val="003D363F"/>
    <w:rsid w:val="003D365E"/>
    <w:rsid w:val="003D3759"/>
    <w:rsid w:val="003D398A"/>
    <w:rsid w:val="003D39AB"/>
    <w:rsid w:val="003D39E1"/>
    <w:rsid w:val="003D3CE0"/>
    <w:rsid w:val="003D3E1B"/>
    <w:rsid w:val="003D3E80"/>
    <w:rsid w:val="003D3F91"/>
    <w:rsid w:val="003D40C6"/>
    <w:rsid w:val="003D4205"/>
    <w:rsid w:val="003D4311"/>
    <w:rsid w:val="003D45F0"/>
    <w:rsid w:val="003D4A92"/>
    <w:rsid w:val="003D4B7B"/>
    <w:rsid w:val="003D4BFF"/>
    <w:rsid w:val="003D4E86"/>
    <w:rsid w:val="003D4ED2"/>
    <w:rsid w:val="003D4F7F"/>
    <w:rsid w:val="003D511E"/>
    <w:rsid w:val="003D524D"/>
    <w:rsid w:val="003D525B"/>
    <w:rsid w:val="003D5309"/>
    <w:rsid w:val="003D5669"/>
    <w:rsid w:val="003D5D51"/>
    <w:rsid w:val="003D5EF7"/>
    <w:rsid w:val="003D60AA"/>
    <w:rsid w:val="003D6187"/>
    <w:rsid w:val="003D628C"/>
    <w:rsid w:val="003D634A"/>
    <w:rsid w:val="003D63A4"/>
    <w:rsid w:val="003D6891"/>
    <w:rsid w:val="003D6C2F"/>
    <w:rsid w:val="003D6CA6"/>
    <w:rsid w:val="003D6E6D"/>
    <w:rsid w:val="003D6EC1"/>
    <w:rsid w:val="003D6F09"/>
    <w:rsid w:val="003D6FE8"/>
    <w:rsid w:val="003D707F"/>
    <w:rsid w:val="003D71BF"/>
    <w:rsid w:val="003D725C"/>
    <w:rsid w:val="003D732D"/>
    <w:rsid w:val="003D77F5"/>
    <w:rsid w:val="003D78B0"/>
    <w:rsid w:val="003D78E5"/>
    <w:rsid w:val="003D7A91"/>
    <w:rsid w:val="003D7AAF"/>
    <w:rsid w:val="003D7E1B"/>
    <w:rsid w:val="003E020C"/>
    <w:rsid w:val="003E0658"/>
    <w:rsid w:val="003E07EC"/>
    <w:rsid w:val="003E0880"/>
    <w:rsid w:val="003E0A99"/>
    <w:rsid w:val="003E0B9C"/>
    <w:rsid w:val="003E0BDD"/>
    <w:rsid w:val="003E0D32"/>
    <w:rsid w:val="003E0D79"/>
    <w:rsid w:val="003E1081"/>
    <w:rsid w:val="003E12EC"/>
    <w:rsid w:val="003E12F0"/>
    <w:rsid w:val="003E15F0"/>
    <w:rsid w:val="003E1633"/>
    <w:rsid w:val="003E166F"/>
    <w:rsid w:val="003E17E9"/>
    <w:rsid w:val="003E183C"/>
    <w:rsid w:val="003E1947"/>
    <w:rsid w:val="003E19E8"/>
    <w:rsid w:val="003E1CC8"/>
    <w:rsid w:val="003E1D1F"/>
    <w:rsid w:val="003E20F1"/>
    <w:rsid w:val="003E21D8"/>
    <w:rsid w:val="003E21DC"/>
    <w:rsid w:val="003E24FF"/>
    <w:rsid w:val="003E2554"/>
    <w:rsid w:val="003E27AA"/>
    <w:rsid w:val="003E2A09"/>
    <w:rsid w:val="003E2BD9"/>
    <w:rsid w:val="003E31AB"/>
    <w:rsid w:val="003E3206"/>
    <w:rsid w:val="003E3448"/>
    <w:rsid w:val="003E345F"/>
    <w:rsid w:val="003E35DA"/>
    <w:rsid w:val="003E3D35"/>
    <w:rsid w:val="003E3D48"/>
    <w:rsid w:val="003E3D83"/>
    <w:rsid w:val="003E3E65"/>
    <w:rsid w:val="003E3EFF"/>
    <w:rsid w:val="003E40CB"/>
    <w:rsid w:val="003E413C"/>
    <w:rsid w:val="003E4265"/>
    <w:rsid w:val="003E439F"/>
    <w:rsid w:val="003E453A"/>
    <w:rsid w:val="003E458D"/>
    <w:rsid w:val="003E4744"/>
    <w:rsid w:val="003E4767"/>
    <w:rsid w:val="003E4867"/>
    <w:rsid w:val="003E4B50"/>
    <w:rsid w:val="003E4E53"/>
    <w:rsid w:val="003E4FC0"/>
    <w:rsid w:val="003E51F7"/>
    <w:rsid w:val="003E5202"/>
    <w:rsid w:val="003E52B5"/>
    <w:rsid w:val="003E558F"/>
    <w:rsid w:val="003E566C"/>
    <w:rsid w:val="003E57C1"/>
    <w:rsid w:val="003E5847"/>
    <w:rsid w:val="003E5A86"/>
    <w:rsid w:val="003E5C9C"/>
    <w:rsid w:val="003E5EE2"/>
    <w:rsid w:val="003E609E"/>
    <w:rsid w:val="003E624E"/>
    <w:rsid w:val="003E6705"/>
    <w:rsid w:val="003E684E"/>
    <w:rsid w:val="003E691D"/>
    <w:rsid w:val="003E69A0"/>
    <w:rsid w:val="003E6BED"/>
    <w:rsid w:val="003E6C36"/>
    <w:rsid w:val="003E6C6F"/>
    <w:rsid w:val="003E6CDF"/>
    <w:rsid w:val="003E6D2B"/>
    <w:rsid w:val="003E7117"/>
    <w:rsid w:val="003E71BE"/>
    <w:rsid w:val="003E73B9"/>
    <w:rsid w:val="003E7492"/>
    <w:rsid w:val="003E7518"/>
    <w:rsid w:val="003E75FF"/>
    <w:rsid w:val="003E7639"/>
    <w:rsid w:val="003E7658"/>
    <w:rsid w:val="003E769D"/>
    <w:rsid w:val="003E76D1"/>
    <w:rsid w:val="003E77FA"/>
    <w:rsid w:val="003E78FE"/>
    <w:rsid w:val="003E7CC6"/>
    <w:rsid w:val="003E7E38"/>
    <w:rsid w:val="003E7E39"/>
    <w:rsid w:val="003E7F75"/>
    <w:rsid w:val="003F00E1"/>
    <w:rsid w:val="003F00FF"/>
    <w:rsid w:val="003F02DF"/>
    <w:rsid w:val="003F037C"/>
    <w:rsid w:val="003F0405"/>
    <w:rsid w:val="003F055A"/>
    <w:rsid w:val="003F05F6"/>
    <w:rsid w:val="003F0633"/>
    <w:rsid w:val="003F084A"/>
    <w:rsid w:val="003F08B0"/>
    <w:rsid w:val="003F093F"/>
    <w:rsid w:val="003F0A4B"/>
    <w:rsid w:val="003F0CCD"/>
    <w:rsid w:val="003F0D3D"/>
    <w:rsid w:val="003F1126"/>
    <w:rsid w:val="003F1154"/>
    <w:rsid w:val="003F12DB"/>
    <w:rsid w:val="003F1413"/>
    <w:rsid w:val="003F144E"/>
    <w:rsid w:val="003F15F0"/>
    <w:rsid w:val="003F160E"/>
    <w:rsid w:val="003F18C1"/>
    <w:rsid w:val="003F1C28"/>
    <w:rsid w:val="003F1C32"/>
    <w:rsid w:val="003F1CD6"/>
    <w:rsid w:val="003F1D9F"/>
    <w:rsid w:val="003F1ED1"/>
    <w:rsid w:val="003F1FF6"/>
    <w:rsid w:val="003F2076"/>
    <w:rsid w:val="003F211D"/>
    <w:rsid w:val="003F234E"/>
    <w:rsid w:val="003F23CC"/>
    <w:rsid w:val="003F242F"/>
    <w:rsid w:val="003F258A"/>
    <w:rsid w:val="003F2718"/>
    <w:rsid w:val="003F27A1"/>
    <w:rsid w:val="003F2B37"/>
    <w:rsid w:val="003F2BF5"/>
    <w:rsid w:val="003F2F1A"/>
    <w:rsid w:val="003F3102"/>
    <w:rsid w:val="003F330E"/>
    <w:rsid w:val="003F3755"/>
    <w:rsid w:val="003F388B"/>
    <w:rsid w:val="003F3AC5"/>
    <w:rsid w:val="003F3B02"/>
    <w:rsid w:val="003F3EB9"/>
    <w:rsid w:val="003F3FB2"/>
    <w:rsid w:val="003F4235"/>
    <w:rsid w:val="003F4383"/>
    <w:rsid w:val="003F4595"/>
    <w:rsid w:val="003F45BE"/>
    <w:rsid w:val="003F4891"/>
    <w:rsid w:val="003F4919"/>
    <w:rsid w:val="003F4A16"/>
    <w:rsid w:val="003F4A21"/>
    <w:rsid w:val="003F4B91"/>
    <w:rsid w:val="003F4C41"/>
    <w:rsid w:val="003F4E96"/>
    <w:rsid w:val="003F520A"/>
    <w:rsid w:val="003F536A"/>
    <w:rsid w:val="003F5510"/>
    <w:rsid w:val="003F574B"/>
    <w:rsid w:val="003F5C68"/>
    <w:rsid w:val="003F5EAD"/>
    <w:rsid w:val="003F603C"/>
    <w:rsid w:val="003F6150"/>
    <w:rsid w:val="003F641F"/>
    <w:rsid w:val="003F6471"/>
    <w:rsid w:val="003F64A9"/>
    <w:rsid w:val="003F64D5"/>
    <w:rsid w:val="003F65EE"/>
    <w:rsid w:val="003F679E"/>
    <w:rsid w:val="003F6820"/>
    <w:rsid w:val="003F68AA"/>
    <w:rsid w:val="003F69CA"/>
    <w:rsid w:val="003F6B23"/>
    <w:rsid w:val="003F6D04"/>
    <w:rsid w:val="003F6D51"/>
    <w:rsid w:val="003F6E03"/>
    <w:rsid w:val="003F6E31"/>
    <w:rsid w:val="003F7052"/>
    <w:rsid w:val="003F7186"/>
    <w:rsid w:val="003F719E"/>
    <w:rsid w:val="003F71E1"/>
    <w:rsid w:val="003F7320"/>
    <w:rsid w:val="003F793D"/>
    <w:rsid w:val="003F79BF"/>
    <w:rsid w:val="003F79C6"/>
    <w:rsid w:val="003F7C62"/>
    <w:rsid w:val="003F7D27"/>
    <w:rsid w:val="003F7DBD"/>
    <w:rsid w:val="003F7FA5"/>
    <w:rsid w:val="00400035"/>
    <w:rsid w:val="00400271"/>
    <w:rsid w:val="004002C6"/>
    <w:rsid w:val="004003B2"/>
    <w:rsid w:val="0040051A"/>
    <w:rsid w:val="0040065E"/>
    <w:rsid w:val="00400A6A"/>
    <w:rsid w:val="00400AC3"/>
    <w:rsid w:val="00400D6F"/>
    <w:rsid w:val="00400F23"/>
    <w:rsid w:val="00401001"/>
    <w:rsid w:val="004011B3"/>
    <w:rsid w:val="004014CE"/>
    <w:rsid w:val="00401581"/>
    <w:rsid w:val="0040164B"/>
    <w:rsid w:val="004017C0"/>
    <w:rsid w:val="0040181F"/>
    <w:rsid w:val="00401888"/>
    <w:rsid w:val="004018C1"/>
    <w:rsid w:val="00401A3E"/>
    <w:rsid w:val="00401AED"/>
    <w:rsid w:val="00401B46"/>
    <w:rsid w:val="00401BD9"/>
    <w:rsid w:val="00401FB0"/>
    <w:rsid w:val="00401FF8"/>
    <w:rsid w:val="00402229"/>
    <w:rsid w:val="0040222F"/>
    <w:rsid w:val="004026C6"/>
    <w:rsid w:val="004027EA"/>
    <w:rsid w:val="0040298B"/>
    <w:rsid w:val="004029B7"/>
    <w:rsid w:val="004029BF"/>
    <w:rsid w:val="00402A5D"/>
    <w:rsid w:val="00402C02"/>
    <w:rsid w:val="00402E98"/>
    <w:rsid w:val="00402E9A"/>
    <w:rsid w:val="00402F5D"/>
    <w:rsid w:val="00402FE8"/>
    <w:rsid w:val="004031DE"/>
    <w:rsid w:val="00403208"/>
    <w:rsid w:val="00403818"/>
    <w:rsid w:val="0040391E"/>
    <w:rsid w:val="004039E8"/>
    <w:rsid w:val="00403A5A"/>
    <w:rsid w:val="00403CD3"/>
    <w:rsid w:val="00403FB2"/>
    <w:rsid w:val="004040DE"/>
    <w:rsid w:val="00404125"/>
    <w:rsid w:val="004043AF"/>
    <w:rsid w:val="00404407"/>
    <w:rsid w:val="00404628"/>
    <w:rsid w:val="00404932"/>
    <w:rsid w:val="00404C88"/>
    <w:rsid w:val="00404DFE"/>
    <w:rsid w:val="00404E6B"/>
    <w:rsid w:val="004050A2"/>
    <w:rsid w:val="0040518B"/>
    <w:rsid w:val="00405382"/>
    <w:rsid w:val="004053B0"/>
    <w:rsid w:val="00405628"/>
    <w:rsid w:val="004058BB"/>
    <w:rsid w:val="00405A4F"/>
    <w:rsid w:val="00405B1A"/>
    <w:rsid w:val="004060FD"/>
    <w:rsid w:val="004065B5"/>
    <w:rsid w:val="00406651"/>
    <w:rsid w:val="0040676F"/>
    <w:rsid w:val="004067E9"/>
    <w:rsid w:val="00406895"/>
    <w:rsid w:val="00406AA4"/>
    <w:rsid w:val="00406C39"/>
    <w:rsid w:val="00406C42"/>
    <w:rsid w:val="00406DC1"/>
    <w:rsid w:val="00406F0F"/>
    <w:rsid w:val="00406F2D"/>
    <w:rsid w:val="00407123"/>
    <w:rsid w:val="004072AA"/>
    <w:rsid w:val="004072E9"/>
    <w:rsid w:val="00407420"/>
    <w:rsid w:val="0040742A"/>
    <w:rsid w:val="004074F5"/>
    <w:rsid w:val="0040756E"/>
    <w:rsid w:val="004075E1"/>
    <w:rsid w:val="0040775F"/>
    <w:rsid w:val="00407843"/>
    <w:rsid w:val="004078B3"/>
    <w:rsid w:val="0040790B"/>
    <w:rsid w:val="00407A2C"/>
    <w:rsid w:val="00407EAA"/>
    <w:rsid w:val="004101B1"/>
    <w:rsid w:val="0041039C"/>
    <w:rsid w:val="004103ED"/>
    <w:rsid w:val="00410411"/>
    <w:rsid w:val="004104F5"/>
    <w:rsid w:val="00410936"/>
    <w:rsid w:val="00410B8B"/>
    <w:rsid w:val="00410BBC"/>
    <w:rsid w:val="00411052"/>
    <w:rsid w:val="00411373"/>
    <w:rsid w:val="004115A1"/>
    <w:rsid w:val="00411811"/>
    <w:rsid w:val="0041187B"/>
    <w:rsid w:val="00411AA9"/>
    <w:rsid w:val="00411F46"/>
    <w:rsid w:val="00411F4A"/>
    <w:rsid w:val="00411FB8"/>
    <w:rsid w:val="0041261A"/>
    <w:rsid w:val="004126A2"/>
    <w:rsid w:val="004126D7"/>
    <w:rsid w:val="00412AAB"/>
    <w:rsid w:val="00412C2B"/>
    <w:rsid w:val="00412C7E"/>
    <w:rsid w:val="00412E6A"/>
    <w:rsid w:val="00412F7B"/>
    <w:rsid w:val="004131AC"/>
    <w:rsid w:val="004133D0"/>
    <w:rsid w:val="004136D9"/>
    <w:rsid w:val="004138F8"/>
    <w:rsid w:val="00413A2F"/>
    <w:rsid w:val="00413C02"/>
    <w:rsid w:val="00413E8A"/>
    <w:rsid w:val="00413F9F"/>
    <w:rsid w:val="00414425"/>
    <w:rsid w:val="004144AB"/>
    <w:rsid w:val="0041451C"/>
    <w:rsid w:val="00414686"/>
    <w:rsid w:val="0041481E"/>
    <w:rsid w:val="00414854"/>
    <w:rsid w:val="004148BD"/>
    <w:rsid w:val="0041491C"/>
    <w:rsid w:val="0041498A"/>
    <w:rsid w:val="004149F7"/>
    <w:rsid w:val="00414A35"/>
    <w:rsid w:val="00414A63"/>
    <w:rsid w:val="00414B5F"/>
    <w:rsid w:val="00414DAC"/>
    <w:rsid w:val="00414E81"/>
    <w:rsid w:val="0041502B"/>
    <w:rsid w:val="004150DE"/>
    <w:rsid w:val="00415146"/>
    <w:rsid w:val="004151D8"/>
    <w:rsid w:val="00415234"/>
    <w:rsid w:val="00415388"/>
    <w:rsid w:val="004153C0"/>
    <w:rsid w:val="004153E3"/>
    <w:rsid w:val="004155DE"/>
    <w:rsid w:val="004157C7"/>
    <w:rsid w:val="00415B6B"/>
    <w:rsid w:val="00415B83"/>
    <w:rsid w:val="00415D36"/>
    <w:rsid w:val="00415DD4"/>
    <w:rsid w:val="00415E45"/>
    <w:rsid w:val="00415EC7"/>
    <w:rsid w:val="00415F6A"/>
    <w:rsid w:val="00415FB0"/>
    <w:rsid w:val="00416254"/>
    <w:rsid w:val="004162EC"/>
    <w:rsid w:val="00416441"/>
    <w:rsid w:val="004164F0"/>
    <w:rsid w:val="004165A4"/>
    <w:rsid w:val="00416A48"/>
    <w:rsid w:val="00416F16"/>
    <w:rsid w:val="00417012"/>
    <w:rsid w:val="00417455"/>
    <w:rsid w:val="00417494"/>
    <w:rsid w:val="0041765B"/>
    <w:rsid w:val="0041769F"/>
    <w:rsid w:val="004176DC"/>
    <w:rsid w:val="00417759"/>
    <w:rsid w:val="00417785"/>
    <w:rsid w:val="004177C8"/>
    <w:rsid w:val="00417836"/>
    <w:rsid w:val="00417945"/>
    <w:rsid w:val="00417B19"/>
    <w:rsid w:val="00417C27"/>
    <w:rsid w:val="004201F9"/>
    <w:rsid w:val="00420317"/>
    <w:rsid w:val="00420430"/>
    <w:rsid w:val="0042055B"/>
    <w:rsid w:val="004208F5"/>
    <w:rsid w:val="004209D0"/>
    <w:rsid w:val="00420A00"/>
    <w:rsid w:val="00420A0F"/>
    <w:rsid w:val="00420F81"/>
    <w:rsid w:val="00421133"/>
    <w:rsid w:val="0042145F"/>
    <w:rsid w:val="00421611"/>
    <w:rsid w:val="00421670"/>
    <w:rsid w:val="00421702"/>
    <w:rsid w:val="004218E8"/>
    <w:rsid w:val="00421D27"/>
    <w:rsid w:val="00421E8E"/>
    <w:rsid w:val="00421FF2"/>
    <w:rsid w:val="00422073"/>
    <w:rsid w:val="00422094"/>
    <w:rsid w:val="0042216B"/>
    <w:rsid w:val="00422289"/>
    <w:rsid w:val="004222ED"/>
    <w:rsid w:val="00422313"/>
    <w:rsid w:val="0042255F"/>
    <w:rsid w:val="0042259C"/>
    <w:rsid w:val="00422640"/>
    <w:rsid w:val="004228D3"/>
    <w:rsid w:val="00422BF6"/>
    <w:rsid w:val="00422E82"/>
    <w:rsid w:val="00422EEA"/>
    <w:rsid w:val="00423076"/>
    <w:rsid w:val="004230FF"/>
    <w:rsid w:val="004231CD"/>
    <w:rsid w:val="004235A2"/>
    <w:rsid w:val="00423612"/>
    <w:rsid w:val="004236BC"/>
    <w:rsid w:val="004239C7"/>
    <w:rsid w:val="00423E2F"/>
    <w:rsid w:val="00423E64"/>
    <w:rsid w:val="00423F82"/>
    <w:rsid w:val="00423FDB"/>
    <w:rsid w:val="004241D9"/>
    <w:rsid w:val="004242FF"/>
    <w:rsid w:val="0042438E"/>
    <w:rsid w:val="0042461C"/>
    <w:rsid w:val="00424A97"/>
    <w:rsid w:val="00424B18"/>
    <w:rsid w:val="00424BAC"/>
    <w:rsid w:val="00424BF3"/>
    <w:rsid w:val="00424D09"/>
    <w:rsid w:val="00424DEC"/>
    <w:rsid w:val="00424EFE"/>
    <w:rsid w:val="00424FEB"/>
    <w:rsid w:val="00425300"/>
    <w:rsid w:val="00425359"/>
    <w:rsid w:val="004254A1"/>
    <w:rsid w:val="004256E4"/>
    <w:rsid w:val="004257E6"/>
    <w:rsid w:val="004259EE"/>
    <w:rsid w:val="00425B89"/>
    <w:rsid w:val="00425D3C"/>
    <w:rsid w:val="00426033"/>
    <w:rsid w:val="00426163"/>
    <w:rsid w:val="004264C6"/>
    <w:rsid w:val="00426673"/>
    <w:rsid w:val="0042667A"/>
    <w:rsid w:val="00426CFB"/>
    <w:rsid w:val="00426E32"/>
    <w:rsid w:val="00426EF7"/>
    <w:rsid w:val="00426F84"/>
    <w:rsid w:val="00426FD4"/>
    <w:rsid w:val="00427182"/>
    <w:rsid w:val="004273CB"/>
    <w:rsid w:val="004273D0"/>
    <w:rsid w:val="0042752F"/>
    <w:rsid w:val="00427536"/>
    <w:rsid w:val="0042774E"/>
    <w:rsid w:val="004279C3"/>
    <w:rsid w:val="00427C9A"/>
    <w:rsid w:val="00427DFE"/>
    <w:rsid w:val="00427E18"/>
    <w:rsid w:val="00427F78"/>
    <w:rsid w:val="00430033"/>
    <w:rsid w:val="00430348"/>
    <w:rsid w:val="0043062C"/>
    <w:rsid w:val="00430825"/>
    <w:rsid w:val="00430A73"/>
    <w:rsid w:val="00430E48"/>
    <w:rsid w:val="00430F74"/>
    <w:rsid w:val="00430FEC"/>
    <w:rsid w:val="004314F0"/>
    <w:rsid w:val="0043158D"/>
    <w:rsid w:val="0043176E"/>
    <w:rsid w:val="00431C2C"/>
    <w:rsid w:val="00431D52"/>
    <w:rsid w:val="00431E55"/>
    <w:rsid w:val="00431F62"/>
    <w:rsid w:val="00431FE3"/>
    <w:rsid w:val="004321E7"/>
    <w:rsid w:val="004322F1"/>
    <w:rsid w:val="004325CD"/>
    <w:rsid w:val="004325FE"/>
    <w:rsid w:val="004326AA"/>
    <w:rsid w:val="004329DC"/>
    <w:rsid w:val="00432A91"/>
    <w:rsid w:val="00432B37"/>
    <w:rsid w:val="00432CEC"/>
    <w:rsid w:val="00432D35"/>
    <w:rsid w:val="00433269"/>
    <w:rsid w:val="0043368A"/>
    <w:rsid w:val="004336A1"/>
    <w:rsid w:val="004336C0"/>
    <w:rsid w:val="00433859"/>
    <w:rsid w:val="0043386B"/>
    <w:rsid w:val="00433A56"/>
    <w:rsid w:val="00433A58"/>
    <w:rsid w:val="00433AAB"/>
    <w:rsid w:val="00433C87"/>
    <w:rsid w:val="00433DE9"/>
    <w:rsid w:val="00434098"/>
    <w:rsid w:val="004340F5"/>
    <w:rsid w:val="004341E4"/>
    <w:rsid w:val="00434312"/>
    <w:rsid w:val="004343C3"/>
    <w:rsid w:val="004343CB"/>
    <w:rsid w:val="004345A3"/>
    <w:rsid w:val="00434629"/>
    <w:rsid w:val="00434777"/>
    <w:rsid w:val="004347E3"/>
    <w:rsid w:val="0043492C"/>
    <w:rsid w:val="00434AB8"/>
    <w:rsid w:val="00434B06"/>
    <w:rsid w:val="00434B71"/>
    <w:rsid w:val="00434E38"/>
    <w:rsid w:val="00434FDD"/>
    <w:rsid w:val="00435052"/>
    <w:rsid w:val="00435097"/>
    <w:rsid w:val="004351FE"/>
    <w:rsid w:val="00435338"/>
    <w:rsid w:val="00435400"/>
    <w:rsid w:val="004354F1"/>
    <w:rsid w:val="00435532"/>
    <w:rsid w:val="00435634"/>
    <w:rsid w:val="0043564C"/>
    <w:rsid w:val="004356C6"/>
    <w:rsid w:val="004357D3"/>
    <w:rsid w:val="004359A7"/>
    <w:rsid w:val="00435ACD"/>
    <w:rsid w:val="00435CA3"/>
    <w:rsid w:val="00435EB0"/>
    <w:rsid w:val="00435F3A"/>
    <w:rsid w:val="0043613F"/>
    <w:rsid w:val="0043631F"/>
    <w:rsid w:val="00436509"/>
    <w:rsid w:val="004365B5"/>
    <w:rsid w:val="0043668A"/>
    <w:rsid w:val="00436A07"/>
    <w:rsid w:val="00436DED"/>
    <w:rsid w:val="00437150"/>
    <w:rsid w:val="00437326"/>
    <w:rsid w:val="004374EF"/>
    <w:rsid w:val="004375AA"/>
    <w:rsid w:val="00437660"/>
    <w:rsid w:val="00437966"/>
    <w:rsid w:val="00437A06"/>
    <w:rsid w:val="00437CB3"/>
    <w:rsid w:val="00437D0F"/>
    <w:rsid w:val="00437D59"/>
    <w:rsid w:val="00437DB6"/>
    <w:rsid w:val="00437DEE"/>
    <w:rsid w:val="0044021B"/>
    <w:rsid w:val="00440397"/>
    <w:rsid w:val="004403A3"/>
    <w:rsid w:val="00440643"/>
    <w:rsid w:val="004407BD"/>
    <w:rsid w:val="0044085E"/>
    <w:rsid w:val="004408C1"/>
    <w:rsid w:val="004409AF"/>
    <w:rsid w:val="004409F6"/>
    <w:rsid w:val="00440BD2"/>
    <w:rsid w:val="00440DE4"/>
    <w:rsid w:val="00440FA3"/>
    <w:rsid w:val="0044130E"/>
    <w:rsid w:val="00441496"/>
    <w:rsid w:val="0044182D"/>
    <w:rsid w:val="00441937"/>
    <w:rsid w:val="004419EF"/>
    <w:rsid w:val="00441C48"/>
    <w:rsid w:val="00441FDA"/>
    <w:rsid w:val="00442015"/>
    <w:rsid w:val="00442234"/>
    <w:rsid w:val="0044230A"/>
    <w:rsid w:val="0044251C"/>
    <w:rsid w:val="00442CA1"/>
    <w:rsid w:val="00442F42"/>
    <w:rsid w:val="00442FF8"/>
    <w:rsid w:val="00443092"/>
    <w:rsid w:val="0044324A"/>
    <w:rsid w:val="00443251"/>
    <w:rsid w:val="00443295"/>
    <w:rsid w:val="00443505"/>
    <w:rsid w:val="00443533"/>
    <w:rsid w:val="004436C3"/>
    <w:rsid w:val="00443758"/>
    <w:rsid w:val="00443828"/>
    <w:rsid w:val="004439DB"/>
    <w:rsid w:val="00443A59"/>
    <w:rsid w:val="00443A65"/>
    <w:rsid w:val="00443A72"/>
    <w:rsid w:val="00443AC5"/>
    <w:rsid w:val="00443B57"/>
    <w:rsid w:val="00443BF9"/>
    <w:rsid w:val="00443DC6"/>
    <w:rsid w:val="00443E96"/>
    <w:rsid w:val="00444185"/>
    <w:rsid w:val="00444267"/>
    <w:rsid w:val="0044458C"/>
    <w:rsid w:val="004445A8"/>
    <w:rsid w:val="004445F9"/>
    <w:rsid w:val="004448EE"/>
    <w:rsid w:val="00444977"/>
    <w:rsid w:val="00444AB8"/>
    <w:rsid w:val="00444D37"/>
    <w:rsid w:val="00444DE8"/>
    <w:rsid w:val="004452D0"/>
    <w:rsid w:val="0044554B"/>
    <w:rsid w:val="004455E8"/>
    <w:rsid w:val="004457B8"/>
    <w:rsid w:val="004457E8"/>
    <w:rsid w:val="00445828"/>
    <w:rsid w:val="0044593E"/>
    <w:rsid w:val="00445965"/>
    <w:rsid w:val="00445A49"/>
    <w:rsid w:val="00445BC7"/>
    <w:rsid w:val="00445F79"/>
    <w:rsid w:val="00445FC3"/>
    <w:rsid w:val="00446146"/>
    <w:rsid w:val="0044631B"/>
    <w:rsid w:val="00446330"/>
    <w:rsid w:val="0044649E"/>
    <w:rsid w:val="0044649F"/>
    <w:rsid w:val="004464A5"/>
    <w:rsid w:val="00446806"/>
    <w:rsid w:val="00446933"/>
    <w:rsid w:val="0044695E"/>
    <w:rsid w:val="00446C6B"/>
    <w:rsid w:val="00446E12"/>
    <w:rsid w:val="0044713B"/>
    <w:rsid w:val="004474D8"/>
    <w:rsid w:val="0044766B"/>
    <w:rsid w:val="0044767D"/>
    <w:rsid w:val="0044785F"/>
    <w:rsid w:val="0044791A"/>
    <w:rsid w:val="00447972"/>
    <w:rsid w:val="00447D8B"/>
    <w:rsid w:val="00447F3C"/>
    <w:rsid w:val="0045049F"/>
    <w:rsid w:val="004504EF"/>
    <w:rsid w:val="0045087F"/>
    <w:rsid w:val="00450A52"/>
    <w:rsid w:val="00450A60"/>
    <w:rsid w:val="00450BF0"/>
    <w:rsid w:val="0045100E"/>
    <w:rsid w:val="0045177F"/>
    <w:rsid w:val="00451932"/>
    <w:rsid w:val="00451C71"/>
    <w:rsid w:val="00451D70"/>
    <w:rsid w:val="00451DCF"/>
    <w:rsid w:val="00451E21"/>
    <w:rsid w:val="00451E4B"/>
    <w:rsid w:val="00452128"/>
    <w:rsid w:val="0045234A"/>
    <w:rsid w:val="00452617"/>
    <w:rsid w:val="004528B1"/>
    <w:rsid w:val="004528D1"/>
    <w:rsid w:val="004528E1"/>
    <w:rsid w:val="00452A5F"/>
    <w:rsid w:val="00452B9E"/>
    <w:rsid w:val="00452C31"/>
    <w:rsid w:val="00452C40"/>
    <w:rsid w:val="00452CA6"/>
    <w:rsid w:val="00452EE4"/>
    <w:rsid w:val="00452FCE"/>
    <w:rsid w:val="0045373E"/>
    <w:rsid w:val="00453745"/>
    <w:rsid w:val="004537E1"/>
    <w:rsid w:val="004538D5"/>
    <w:rsid w:val="00453D22"/>
    <w:rsid w:val="00453E9A"/>
    <w:rsid w:val="00454003"/>
    <w:rsid w:val="004540B1"/>
    <w:rsid w:val="00454274"/>
    <w:rsid w:val="00454334"/>
    <w:rsid w:val="0045448B"/>
    <w:rsid w:val="00454502"/>
    <w:rsid w:val="004545BE"/>
    <w:rsid w:val="00454652"/>
    <w:rsid w:val="004547AF"/>
    <w:rsid w:val="004549AC"/>
    <w:rsid w:val="00454A13"/>
    <w:rsid w:val="00454AE0"/>
    <w:rsid w:val="00454B2D"/>
    <w:rsid w:val="00454B3D"/>
    <w:rsid w:val="00454B7B"/>
    <w:rsid w:val="00454C21"/>
    <w:rsid w:val="00454D7C"/>
    <w:rsid w:val="00454FB7"/>
    <w:rsid w:val="00455184"/>
    <w:rsid w:val="004551C5"/>
    <w:rsid w:val="0045520E"/>
    <w:rsid w:val="00455342"/>
    <w:rsid w:val="004553FC"/>
    <w:rsid w:val="00455462"/>
    <w:rsid w:val="0045552F"/>
    <w:rsid w:val="00455583"/>
    <w:rsid w:val="004555DE"/>
    <w:rsid w:val="004555E1"/>
    <w:rsid w:val="004556AE"/>
    <w:rsid w:val="004556B5"/>
    <w:rsid w:val="00455A65"/>
    <w:rsid w:val="00455D44"/>
    <w:rsid w:val="00455E41"/>
    <w:rsid w:val="00455F4E"/>
    <w:rsid w:val="004560AD"/>
    <w:rsid w:val="00456170"/>
    <w:rsid w:val="00456174"/>
    <w:rsid w:val="00456400"/>
    <w:rsid w:val="004564D4"/>
    <w:rsid w:val="00456576"/>
    <w:rsid w:val="0045663D"/>
    <w:rsid w:val="00456C87"/>
    <w:rsid w:val="00456E2D"/>
    <w:rsid w:val="00456EAC"/>
    <w:rsid w:val="0045707B"/>
    <w:rsid w:val="0045728F"/>
    <w:rsid w:val="0045780C"/>
    <w:rsid w:val="0045788B"/>
    <w:rsid w:val="0045792D"/>
    <w:rsid w:val="00457B76"/>
    <w:rsid w:val="00457C81"/>
    <w:rsid w:val="00457DB4"/>
    <w:rsid w:val="00457F27"/>
    <w:rsid w:val="00457FBE"/>
    <w:rsid w:val="00457FE2"/>
    <w:rsid w:val="00460158"/>
    <w:rsid w:val="00460463"/>
    <w:rsid w:val="004604C6"/>
    <w:rsid w:val="00460774"/>
    <w:rsid w:val="00460B86"/>
    <w:rsid w:val="00460BED"/>
    <w:rsid w:val="00460C30"/>
    <w:rsid w:val="00460C43"/>
    <w:rsid w:val="00460C6C"/>
    <w:rsid w:val="00460DC1"/>
    <w:rsid w:val="00460EEC"/>
    <w:rsid w:val="00461052"/>
    <w:rsid w:val="0046105C"/>
    <w:rsid w:val="00461367"/>
    <w:rsid w:val="0046162E"/>
    <w:rsid w:val="0046183D"/>
    <w:rsid w:val="0046184C"/>
    <w:rsid w:val="00461DAD"/>
    <w:rsid w:val="00462059"/>
    <w:rsid w:val="004621F9"/>
    <w:rsid w:val="0046268E"/>
    <w:rsid w:val="0046272F"/>
    <w:rsid w:val="00462737"/>
    <w:rsid w:val="004627FA"/>
    <w:rsid w:val="004629C0"/>
    <w:rsid w:val="00462C2E"/>
    <w:rsid w:val="00462C5D"/>
    <w:rsid w:val="00462DDA"/>
    <w:rsid w:val="00462E28"/>
    <w:rsid w:val="00462E90"/>
    <w:rsid w:val="0046311B"/>
    <w:rsid w:val="0046323E"/>
    <w:rsid w:val="00463271"/>
    <w:rsid w:val="00463309"/>
    <w:rsid w:val="0046354B"/>
    <w:rsid w:val="00463691"/>
    <w:rsid w:val="0046377D"/>
    <w:rsid w:val="0046380E"/>
    <w:rsid w:val="00463951"/>
    <w:rsid w:val="00463B31"/>
    <w:rsid w:val="00463F12"/>
    <w:rsid w:val="00463F86"/>
    <w:rsid w:val="00463F90"/>
    <w:rsid w:val="0046401B"/>
    <w:rsid w:val="0046403C"/>
    <w:rsid w:val="00464409"/>
    <w:rsid w:val="00464521"/>
    <w:rsid w:val="00464944"/>
    <w:rsid w:val="004649BD"/>
    <w:rsid w:val="00464A4B"/>
    <w:rsid w:val="00464ED7"/>
    <w:rsid w:val="00464F22"/>
    <w:rsid w:val="00464FBB"/>
    <w:rsid w:val="004654A2"/>
    <w:rsid w:val="00465709"/>
    <w:rsid w:val="00465744"/>
    <w:rsid w:val="00465AC5"/>
    <w:rsid w:val="00465C97"/>
    <w:rsid w:val="00465DC8"/>
    <w:rsid w:val="00465F38"/>
    <w:rsid w:val="004660BF"/>
    <w:rsid w:val="00466381"/>
    <w:rsid w:val="0046641F"/>
    <w:rsid w:val="0046648B"/>
    <w:rsid w:val="0046649F"/>
    <w:rsid w:val="004664FA"/>
    <w:rsid w:val="004665F5"/>
    <w:rsid w:val="004666CC"/>
    <w:rsid w:val="00466B1A"/>
    <w:rsid w:val="00466D1F"/>
    <w:rsid w:val="00466E06"/>
    <w:rsid w:val="00466E67"/>
    <w:rsid w:val="004674EF"/>
    <w:rsid w:val="0046758C"/>
    <w:rsid w:val="00467946"/>
    <w:rsid w:val="00467D50"/>
    <w:rsid w:val="00467E8D"/>
    <w:rsid w:val="00467EDE"/>
    <w:rsid w:val="00467F28"/>
    <w:rsid w:val="0047023A"/>
    <w:rsid w:val="004702ED"/>
    <w:rsid w:val="00470417"/>
    <w:rsid w:val="00470433"/>
    <w:rsid w:val="0047058F"/>
    <w:rsid w:val="004707D8"/>
    <w:rsid w:val="00470AF4"/>
    <w:rsid w:val="00470CAD"/>
    <w:rsid w:val="00470CBF"/>
    <w:rsid w:val="00470FA6"/>
    <w:rsid w:val="004710A1"/>
    <w:rsid w:val="004710AC"/>
    <w:rsid w:val="0047114B"/>
    <w:rsid w:val="00471176"/>
    <w:rsid w:val="0047123B"/>
    <w:rsid w:val="00471357"/>
    <w:rsid w:val="0047156F"/>
    <w:rsid w:val="00471697"/>
    <w:rsid w:val="00471869"/>
    <w:rsid w:val="00471A12"/>
    <w:rsid w:val="00471C5C"/>
    <w:rsid w:val="00471E18"/>
    <w:rsid w:val="00471E75"/>
    <w:rsid w:val="00471F10"/>
    <w:rsid w:val="00471FB3"/>
    <w:rsid w:val="004722DC"/>
    <w:rsid w:val="00472360"/>
    <w:rsid w:val="004723F0"/>
    <w:rsid w:val="004725D9"/>
    <w:rsid w:val="0047265C"/>
    <w:rsid w:val="00472673"/>
    <w:rsid w:val="00472709"/>
    <w:rsid w:val="004728D7"/>
    <w:rsid w:val="004729AA"/>
    <w:rsid w:val="004729CE"/>
    <w:rsid w:val="00472CCF"/>
    <w:rsid w:val="00472FD4"/>
    <w:rsid w:val="00473094"/>
    <w:rsid w:val="00473100"/>
    <w:rsid w:val="00473121"/>
    <w:rsid w:val="004735E6"/>
    <w:rsid w:val="0047368F"/>
    <w:rsid w:val="004736AC"/>
    <w:rsid w:val="004736BA"/>
    <w:rsid w:val="004737C0"/>
    <w:rsid w:val="00473932"/>
    <w:rsid w:val="0047396C"/>
    <w:rsid w:val="004739B0"/>
    <w:rsid w:val="004739D8"/>
    <w:rsid w:val="00473B08"/>
    <w:rsid w:val="00473C40"/>
    <w:rsid w:val="00473EBC"/>
    <w:rsid w:val="004740A7"/>
    <w:rsid w:val="0047454A"/>
    <w:rsid w:val="00474613"/>
    <w:rsid w:val="004748B6"/>
    <w:rsid w:val="00474A9A"/>
    <w:rsid w:val="00474B5C"/>
    <w:rsid w:val="00474BDC"/>
    <w:rsid w:val="00474E1D"/>
    <w:rsid w:val="00474E81"/>
    <w:rsid w:val="00474EFC"/>
    <w:rsid w:val="00474F67"/>
    <w:rsid w:val="00475152"/>
    <w:rsid w:val="00475298"/>
    <w:rsid w:val="004752C5"/>
    <w:rsid w:val="0047530A"/>
    <w:rsid w:val="0047546D"/>
    <w:rsid w:val="00475A16"/>
    <w:rsid w:val="00475B49"/>
    <w:rsid w:val="00475EE2"/>
    <w:rsid w:val="00475EF8"/>
    <w:rsid w:val="004761E7"/>
    <w:rsid w:val="004763EA"/>
    <w:rsid w:val="00476585"/>
    <w:rsid w:val="00476603"/>
    <w:rsid w:val="0047660D"/>
    <w:rsid w:val="0047665C"/>
    <w:rsid w:val="0047689C"/>
    <w:rsid w:val="00476DB3"/>
    <w:rsid w:val="004770A2"/>
    <w:rsid w:val="00477110"/>
    <w:rsid w:val="00477188"/>
    <w:rsid w:val="004771E8"/>
    <w:rsid w:val="00477864"/>
    <w:rsid w:val="0047786A"/>
    <w:rsid w:val="00477AF1"/>
    <w:rsid w:val="00477C6D"/>
    <w:rsid w:val="00477D02"/>
    <w:rsid w:val="00477E0A"/>
    <w:rsid w:val="0048012D"/>
    <w:rsid w:val="004801A6"/>
    <w:rsid w:val="00480222"/>
    <w:rsid w:val="004803A8"/>
    <w:rsid w:val="004805A5"/>
    <w:rsid w:val="0048065C"/>
    <w:rsid w:val="00480879"/>
    <w:rsid w:val="00480975"/>
    <w:rsid w:val="00480A90"/>
    <w:rsid w:val="004812D0"/>
    <w:rsid w:val="004813AC"/>
    <w:rsid w:val="004813D0"/>
    <w:rsid w:val="004815FF"/>
    <w:rsid w:val="00481758"/>
    <w:rsid w:val="00481770"/>
    <w:rsid w:val="0048178C"/>
    <w:rsid w:val="00481979"/>
    <w:rsid w:val="004819CA"/>
    <w:rsid w:val="00481A2A"/>
    <w:rsid w:val="00481C62"/>
    <w:rsid w:val="00481D47"/>
    <w:rsid w:val="00482016"/>
    <w:rsid w:val="004822D7"/>
    <w:rsid w:val="00482413"/>
    <w:rsid w:val="004825A9"/>
    <w:rsid w:val="0048289A"/>
    <w:rsid w:val="0048292A"/>
    <w:rsid w:val="00482A56"/>
    <w:rsid w:val="00483115"/>
    <w:rsid w:val="00483464"/>
    <w:rsid w:val="004834E2"/>
    <w:rsid w:val="004837DE"/>
    <w:rsid w:val="0048380F"/>
    <w:rsid w:val="00483AD3"/>
    <w:rsid w:val="00483C3B"/>
    <w:rsid w:val="00483CB6"/>
    <w:rsid w:val="00483CC7"/>
    <w:rsid w:val="00483E90"/>
    <w:rsid w:val="00483EA8"/>
    <w:rsid w:val="00483F6F"/>
    <w:rsid w:val="004841C4"/>
    <w:rsid w:val="004842CD"/>
    <w:rsid w:val="0048439B"/>
    <w:rsid w:val="00484446"/>
    <w:rsid w:val="0048444A"/>
    <w:rsid w:val="004844B5"/>
    <w:rsid w:val="00484501"/>
    <w:rsid w:val="004847F7"/>
    <w:rsid w:val="00484877"/>
    <w:rsid w:val="00484AA0"/>
    <w:rsid w:val="00484CF6"/>
    <w:rsid w:val="00484F0F"/>
    <w:rsid w:val="00484F10"/>
    <w:rsid w:val="00484F20"/>
    <w:rsid w:val="00485035"/>
    <w:rsid w:val="00485152"/>
    <w:rsid w:val="0048536F"/>
    <w:rsid w:val="004853C8"/>
    <w:rsid w:val="004853FB"/>
    <w:rsid w:val="004857BF"/>
    <w:rsid w:val="00485871"/>
    <w:rsid w:val="0048598E"/>
    <w:rsid w:val="00485AB1"/>
    <w:rsid w:val="00485AD6"/>
    <w:rsid w:val="00485CBA"/>
    <w:rsid w:val="00485DFC"/>
    <w:rsid w:val="00485EF2"/>
    <w:rsid w:val="00485F48"/>
    <w:rsid w:val="004860F5"/>
    <w:rsid w:val="0048626A"/>
    <w:rsid w:val="004868F9"/>
    <w:rsid w:val="00486FB4"/>
    <w:rsid w:val="00487293"/>
    <w:rsid w:val="004873E5"/>
    <w:rsid w:val="00487487"/>
    <w:rsid w:val="00487539"/>
    <w:rsid w:val="004877A1"/>
    <w:rsid w:val="004878B8"/>
    <w:rsid w:val="004879AB"/>
    <w:rsid w:val="004879E7"/>
    <w:rsid w:val="00487AC5"/>
    <w:rsid w:val="00487B06"/>
    <w:rsid w:val="00487E25"/>
    <w:rsid w:val="0049019E"/>
    <w:rsid w:val="004901BA"/>
    <w:rsid w:val="00490227"/>
    <w:rsid w:val="004904C3"/>
    <w:rsid w:val="004906BD"/>
    <w:rsid w:val="00490710"/>
    <w:rsid w:val="00490749"/>
    <w:rsid w:val="004907AE"/>
    <w:rsid w:val="00490819"/>
    <w:rsid w:val="004908DF"/>
    <w:rsid w:val="0049095D"/>
    <w:rsid w:val="00490A86"/>
    <w:rsid w:val="00490BB2"/>
    <w:rsid w:val="00490D3A"/>
    <w:rsid w:val="00490F34"/>
    <w:rsid w:val="00490F51"/>
    <w:rsid w:val="00490FBE"/>
    <w:rsid w:val="00490FE5"/>
    <w:rsid w:val="004910F8"/>
    <w:rsid w:val="00491449"/>
    <w:rsid w:val="00491460"/>
    <w:rsid w:val="00491760"/>
    <w:rsid w:val="00491871"/>
    <w:rsid w:val="004918EA"/>
    <w:rsid w:val="00491F0C"/>
    <w:rsid w:val="004924BC"/>
    <w:rsid w:val="004924C7"/>
    <w:rsid w:val="00492531"/>
    <w:rsid w:val="004928A3"/>
    <w:rsid w:val="004928EA"/>
    <w:rsid w:val="00492926"/>
    <w:rsid w:val="00492BD8"/>
    <w:rsid w:val="00493082"/>
    <w:rsid w:val="00493185"/>
    <w:rsid w:val="00493192"/>
    <w:rsid w:val="004932C3"/>
    <w:rsid w:val="00493401"/>
    <w:rsid w:val="0049351D"/>
    <w:rsid w:val="0049362B"/>
    <w:rsid w:val="00493A03"/>
    <w:rsid w:val="00493F60"/>
    <w:rsid w:val="00494069"/>
    <w:rsid w:val="00494472"/>
    <w:rsid w:val="004944DB"/>
    <w:rsid w:val="00494968"/>
    <w:rsid w:val="00494A74"/>
    <w:rsid w:val="00494D7F"/>
    <w:rsid w:val="00494DF9"/>
    <w:rsid w:val="00495069"/>
    <w:rsid w:val="004951BA"/>
    <w:rsid w:val="004955BF"/>
    <w:rsid w:val="0049578A"/>
    <w:rsid w:val="00495808"/>
    <w:rsid w:val="00495B2C"/>
    <w:rsid w:val="00495B57"/>
    <w:rsid w:val="00495DBF"/>
    <w:rsid w:val="00495FD6"/>
    <w:rsid w:val="00496089"/>
    <w:rsid w:val="004960EA"/>
    <w:rsid w:val="0049617C"/>
    <w:rsid w:val="00496269"/>
    <w:rsid w:val="004962F6"/>
    <w:rsid w:val="0049656D"/>
    <w:rsid w:val="0049681E"/>
    <w:rsid w:val="00496AB2"/>
    <w:rsid w:val="00496CB3"/>
    <w:rsid w:val="00496D36"/>
    <w:rsid w:val="0049715E"/>
    <w:rsid w:val="00497189"/>
    <w:rsid w:val="004973C5"/>
    <w:rsid w:val="00497483"/>
    <w:rsid w:val="004976F9"/>
    <w:rsid w:val="00497715"/>
    <w:rsid w:val="00497BD4"/>
    <w:rsid w:val="00497D86"/>
    <w:rsid w:val="00497E79"/>
    <w:rsid w:val="004A000A"/>
    <w:rsid w:val="004A0130"/>
    <w:rsid w:val="004A021E"/>
    <w:rsid w:val="004A027F"/>
    <w:rsid w:val="004A063C"/>
    <w:rsid w:val="004A0670"/>
    <w:rsid w:val="004A074F"/>
    <w:rsid w:val="004A08F6"/>
    <w:rsid w:val="004A0C96"/>
    <w:rsid w:val="004A0C9A"/>
    <w:rsid w:val="004A0E32"/>
    <w:rsid w:val="004A1014"/>
    <w:rsid w:val="004A102E"/>
    <w:rsid w:val="004A1349"/>
    <w:rsid w:val="004A146A"/>
    <w:rsid w:val="004A15A1"/>
    <w:rsid w:val="004A1BEF"/>
    <w:rsid w:val="004A1CD2"/>
    <w:rsid w:val="004A1DF1"/>
    <w:rsid w:val="004A1F0A"/>
    <w:rsid w:val="004A1F24"/>
    <w:rsid w:val="004A1FFC"/>
    <w:rsid w:val="004A25BB"/>
    <w:rsid w:val="004A2664"/>
    <w:rsid w:val="004A2809"/>
    <w:rsid w:val="004A2903"/>
    <w:rsid w:val="004A2AB3"/>
    <w:rsid w:val="004A2E9A"/>
    <w:rsid w:val="004A2EEE"/>
    <w:rsid w:val="004A2F9A"/>
    <w:rsid w:val="004A2FFB"/>
    <w:rsid w:val="004A30A3"/>
    <w:rsid w:val="004A30F8"/>
    <w:rsid w:val="004A3189"/>
    <w:rsid w:val="004A36B7"/>
    <w:rsid w:val="004A37EC"/>
    <w:rsid w:val="004A3B3B"/>
    <w:rsid w:val="004A3B76"/>
    <w:rsid w:val="004A40DB"/>
    <w:rsid w:val="004A41EE"/>
    <w:rsid w:val="004A41FB"/>
    <w:rsid w:val="004A436D"/>
    <w:rsid w:val="004A439D"/>
    <w:rsid w:val="004A43EF"/>
    <w:rsid w:val="004A44D6"/>
    <w:rsid w:val="004A45A3"/>
    <w:rsid w:val="004A45FF"/>
    <w:rsid w:val="004A463A"/>
    <w:rsid w:val="004A4837"/>
    <w:rsid w:val="004A4A37"/>
    <w:rsid w:val="004A4BB1"/>
    <w:rsid w:val="004A4BCA"/>
    <w:rsid w:val="004A4CF4"/>
    <w:rsid w:val="004A4FE9"/>
    <w:rsid w:val="004A5248"/>
    <w:rsid w:val="004A5463"/>
    <w:rsid w:val="004A54DF"/>
    <w:rsid w:val="004A5655"/>
    <w:rsid w:val="004A57C7"/>
    <w:rsid w:val="004A5804"/>
    <w:rsid w:val="004A58DC"/>
    <w:rsid w:val="004A5996"/>
    <w:rsid w:val="004A5A36"/>
    <w:rsid w:val="004A5C5A"/>
    <w:rsid w:val="004A5C81"/>
    <w:rsid w:val="004A5F5D"/>
    <w:rsid w:val="004A5F9C"/>
    <w:rsid w:val="004A60E8"/>
    <w:rsid w:val="004A61BE"/>
    <w:rsid w:val="004A64ED"/>
    <w:rsid w:val="004A6587"/>
    <w:rsid w:val="004A6603"/>
    <w:rsid w:val="004A6673"/>
    <w:rsid w:val="004A681E"/>
    <w:rsid w:val="004A6827"/>
    <w:rsid w:val="004A68EE"/>
    <w:rsid w:val="004A6C8B"/>
    <w:rsid w:val="004A6EB9"/>
    <w:rsid w:val="004A726E"/>
    <w:rsid w:val="004A768C"/>
    <w:rsid w:val="004A76A5"/>
    <w:rsid w:val="004A77C9"/>
    <w:rsid w:val="004A796A"/>
    <w:rsid w:val="004A7A55"/>
    <w:rsid w:val="004A7A64"/>
    <w:rsid w:val="004A7C22"/>
    <w:rsid w:val="004A7D5C"/>
    <w:rsid w:val="004A7FCD"/>
    <w:rsid w:val="004A7FCF"/>
    <w:rsid w:val="004B018F"/>
    <w:rsid w:val="004B0222"/>
    <w:rsid w:val="004B04BA"/>
    <w:rsid w:val="004B057D"/>
    <w:rsid w:val="004B06F2"/>
    <w:rsid w:val="004B0A73"/>
    <w:rsid w:val="004B0AC5"/>
    <w:rsid w:val="004B0CF0"/>
    <w:rsid w:val="004B1040"/>
    <w:rsid w:val="004B1043"/>
    <w:rsid w:val="004B104C"/>
    <w:rsid w:val="004B1190"/>
    <w:rsid w:val="004B1241"/>
    <w:rsid w:val="004B1401"/>
    <w:rsid w:val="004B15B4"/>
    <w:rsid w:val="004B1625"/>
    <w:rsid w:val="004B1672"/>
    <w:rsid w:val="004B1763"/>
    <w:rsid w:val="004B1925"/>
    <w:rsid w:val="004B1B1D"/>
    <w:rsid w:val="004B1CFA"/>
    <w:rsid w:val="004B1DED"/>
    <w:rsid w:val="004B1DF7"/>
    <w:rsid w:val="004B20CE"/>
    <w:rsid w:val="004B21CB"/>
    <w:rsid w:val="004B23D7"/>
    <w:rsid w:val="004B2400"/>
    <w:rsid w:val="004B296E"/>
    <w:rsid w:val="004B2A2D"/>
    <w:rsid w:val="004B2A64"/>
    <w:rsid w:val="004B2A79"/>
    <w:rsid w:val="004B2BFA"/>
    <w:rsid w:val="004B2D28"/>
    <w:rsid w:val="004B2DE2"/>
    <w:rsid w:val="004B2DEC"/>
    <w:rsid w:val="004B2E3F"/>
    <w:rsid w:val="004B2F79"/>
    <w:rsid w:val="004B3088"/>
    <w:rsid w:val="004B30F2"/>
    <w:rsid w:val="004B3275"/>
    <w:rsid w:val="004B32D9"/>
    <w:rsid w:val="004B345A"/>
    <w:rsid w:val="004B3636"/>
    <w:rsid w:val="004B366D"/>
    <w:rsid w:val="004B38E7"/>
    <w:rsid w:val="004B3A1E"/>
    <w:rsid w:val="004B3B63"/>
    <w:rsid w:val="004B3C2D"/>
    <w:rsid w:val="004B3CC9"/>
    <w:rsid w:val="004B3DC9"/>
    <w:rsid w:val="004B3F03"/>
    <w:rsid w:val="004B3F24"/>
    <w:rsid w:val="004B4364"/>
    <w:rsid w:val="004B438E"/>
    <w:rsid w:val="004B43D6"/>
    <w:rsid w:val="004B4467"/>
    <w:rsid w:val="004B4689"/>
    <w:rsid w:val="004B47F6"/>
    <w:rsid w:val="004B47FD"/>
    <w:rsid w:val="004B4870"/>
    <w:rsid w:val="004B4980"/>
    <w:rsid w:val="004B4B63"/>
    <w:rsid w:val="004B4D5A"/>
    <w:rsid w:val="004B4F6C"/>
    <w:rsid w:val="004B4FBC"/>
    <w:rsid w:val="004B50A7"/>
    <w:rsid w:val="004B50FD"/>
    <w:rsid w:val="004B51CD"/>
    <w:rsid w:val="004B544A"/>
    <w:rsid w:val="004B568F"/>
    <w:rsid w:val="004B57D2"/>
    <w:rsid w:val="004B57E1"/>
    <w:rsid w:val="004B585C"/>
    <w:rsid w:val="004B5916"/>
    <w:rsid w:val="004B5AA7"/>
    <w:rsid w:val="004B5BDE"/>
    <w:rsid w:val="004B5C3E"/>
    <w:rsid w:val="004B5CD8"/>
    <w:rsid w:val="004B5CDB"/>
    <w:rsid w:val="004B5DC8"/>
    <w:rsid w:val="004B611B"/>
    <w:rsid w:val="004B6135"/>
    <w:rsid w:val="004B619A"/>
    <w:rsid w:val="004B61C9"/>
    <w:rsid w:val="004B623B"/>
    <w:rsid w:val="004B6323"/>
    <w:rsid w:val="004B6460"/>
    <w:rsid w:val="004B64F6"/>
    <w:rsid w:val="004B65DF"/>
    <w:rsid w:val="004B660B"/>
    <w:rsid w:val="004B6781"/>
    <w:rsid w:val="004B683B"/>
    <w:rsid w:val="004B6845"/>
    <w:rsid w:val="004B6FA3"/>
    <w:rsid w:val="004B7055"/>
    <w:rsid w:val="004B70A7"/>
    <w:rsid w:val="004B7389"/>
    <w:rsid w:val="004B7452"/>
    <w:rsid w:val="004B748A"/>
    <w:rsid w:val="004B7542"/>
    <w:rsid w:val="004B759E"/>
    <w:rsid w:val="004B75C2"/>
    <w:rsid w:val="004B7749"/>
    <w:rsid w:val="004B781F"/>
    <w:rsid w:val="004B7C20"/>
    <w:rsid w:val="004B7CB8"/>
    <w:rsid w:val="004B7DD7"/>
    <w:rsid w:val="004B7ED3"/>
    <w:rsid w:val="004B7F41"/>
    <w:rsid w:val="004B7FAD"/>
    <w:rsid w:val="004C01FF"/>
    <w:rsid w:val="004C020F"/>
    <w:rsid w:val="004C0332"/>
    <w:rsid w:val="004C0376"/>
    <w:rsid w:val="004C0378"/>
    <w:rsid w:val="004C04B5"/>
    <w:rsid w:val="004C0526"/>
    <w:rsid w:val="004C052D"/>
    <w:rsid w:val="004C06A0"/>
    <w:rsid w:val="004C0AC0"/>
    <w:rsid w:val="004C0CED"/>
    <w:rsid w:val="004C0DAF"/>
    <w:rsid w:val="004C0F6C"/>
    <w:rsid w:val="004C0FDE"/>
    <w:rsid w:val="004C1226"/>
    <w:rsid w:val="004C1299"/>
    <w:rsid w:val="004C1342"/>
    <w:rsid w:val="004C1453"/>
    <w:rsid w:val="004C1578"/>
    <w:rsid w:val="004C164E"/>
    <w:rsid w:val="004C16DC"/>
    <w:rsid w:val="004C1845"/>
    <w:rsid w:val="004C18E0"/>
    <w:rsid w:val="004C1922"/>
    <w:rsid w:val="004C19E6"/>
    <w:rsid w:val="004C1AB1"/>
    <w:rsid w:val="004C1AE8"/>
    <w:rsid w:val="004C1D60"/>
    <w:rsid w:val="004C1FB2"/>
    <w:rsid w:val="004C1FEE"/>
    <w:rsid w:val="004C2195"/>
    <w:rsid w:val="004C21C9"/>
    <w:rsid w:val="004C21F4"/>
    <w:rsid w:val="004C22ED"/>
    <w:rsid w:val="004C2319"/>
    <w:rsid w:val="004C2358"/>
    <w:rsid w:val="004C23BE"/>
    <w:rsid w:val="004C290B"/>
    <w:rsid w:val="004C2974"/>
    <w:rsid w:val="004C2CA0"/>
    <w:rsid w:val="004C2DAE"/>
    <w:rsid w:val="004C2DE7"/>
    <w:rsid w:val="004C2E53"/>
    <w:rsid w:val="004C3018"/>
    <w:rsid w:val="004C3221"/>
    <w:rsid w:val="004C3332"/>
    <w:rsid w:val="004C341B"/>
    <w:rsid w:val="004C3425"/>
    <w:rsid w:val="004C345F"/>
    <w:rsid w:val="004C3563"/>
    <w:rsid w:val="004C36A7"/>
    <w:rsid w:val="004C36F9"/>
    <w:rsid w:val="004C3712"/>
    <w:rsid w:val="004C37B8"/>
    <w:rsid w:val="004C37CE"/>
    <w:rsid w:val="004C3902"/>
    <w:rsid w:val="004C3919"/>
    <w:rsid w:val="004C3A25"/>
    <w:rsid w:val="004C3A7B"/>
    <w:rsid w:val="004C3A7D"/>
    <w:rsid w:val="004C44B3"/>
    <w:rsid w:val="004C45B9"/>
    <w:rsid w:val="004C46BA"/>
    <w:rsid w:val="004C491E"/>
    <w:rsid w:val="004C4A3E"/>
    <w:rsid w:val="004C4A46"/>
    <w:rsid w:val="004C4A6A"/>
    <w:rsid w:val="004C4C29"/>
    <w:rsid w:val="004C4E1F"/>
    <w:rsid w:val="004C4FF0"/>
    <w:rsid w:val="004C5110"/>
    <w:rsid w:val="004C5121"/>
    <w:rsid w:val="004C53A3"/>
    <w:rsid w:val="004C540B"/>
    <w:rsid w:val="004C5611"/>
    <w:rsid w:val="004C569A"/>
    <w:rsid w:val="004C56F6"/>
    <w:rsid w:val="004C58C2"/>
    <w:rsid w:val="004C5D49"/>
    <w:rsid w:val="004C5FCF"/>
    <w:rsid w:val="004C60AA"/>
    <w:rsid w:val="004C62BA"/>
    <w:rsid w:val="004C6353"/>
    <w:rsid w:val="004C6936"/>
    <w:rsid w:val="004C6A05"/>
    <w:rsid w:val="004C6C68"/>
    <w:rsid w:val="004C6CB4"/>
    <w:rsid w:val="004C7083"/>
    <w:rsid w:val="004C7237"/>
    <w:rsid w:val="004C74A8"/>
    <w:rsid w:val="004C74B4"/>
    <w:rsid w:val="004C756E"/>
    <w:rsid w:val="004C7606"/>
    <w:rsid w:val="004C7656"/>
    <w:rsid w:val="004C7677"/>
    <w:rsid w:val="004C78A9"/>
    <w:rsid w:val="004C7CE2"/>
    <w:rsid w:val="004C7E2B"/>
    <w:rsid w:val="004C7F10"/>
    <w:rsid w:val="004C7F72"/>
    <w:rsid w:val="004C7F85"/>
    <w:rsid w:val="004D0326"/>
    <w:rsid w:val="004D0533"/>
    <w:rsid w:val="004D06D7"/>
    <w:rsid w:val="004D0872"/>
    <w:rsid w:val="004D08DA"/>
    <w:rsid w:val="004D0A2B"/>
    <w:rsid w:val="004D0A82"/>
    <w:rsid w:val="004D0B27"/>
    <w:rsid w:val="004D0B2D"/>
    <w:rsid w:val="004D0F1E"/>
    <w:rsid w:val="004D118C"/>
    <w:rsid w:val="004D1298"/>
    <w:rsid w:val="004D15AC"/>
    <w:rsid w:val="004D1675"/>
    <w:rsid w:val="004D1BAF"/>
    <w:rsid w:val="004D1C65"/>
    <w:rsid w:val="004D1CDD"/>
    <w:rsid w:val="004D1DC8"/>
    <w:rsid w:val="004D2072"/>
    <w:rsid w:val="004D21DA"/>
    <w:rsid w:val="004D231D"/>
    <w:rsid w:val="004D235C"/>
    <w:rsid w:val="004D2518"/>
    <w:rsid w:val="004D2660"/>
    <w:rsid w:val="004D267A"/>
    <w:rsid w:val="004D272B"/>
    <w:rsid w:val="004D27EF"/>
    <w:rsid w:val="004D29F4"/>
    <w:rsid w:val="004D2A6E"/>
    <w:rsid w:val="004D2AE5"/>
    <w:rsid w:val="004D2B44"/>
    <w:rsid w:val="004D2C04"/>
    <w:rsid w:val="004D2F82"/>
    <w:rsid w:val="004D331B"/>
    <w:rsid w:val="004D395C"/>
    <w:rsid w:val="004D3AB5"/>
    <w:rsid w:val="004D3B66"/>
    <w:rsid w:val="004D3B78"/>
    <w:rsid w:val="004D3CB0"/>
    <w:rsid w:val="004D3D71"/>
    <w:rsid w:val="004D3EB2"/>
    <w:rsid w:val="004D3FD5"/>
    <w:rsid w:val="004D4297"/>
    <w:rsid w:val="004D43BC"/>
    <w:rsid w:val="004D47CD"/>
    <w:rsid w:val="004D4861"/>
    <w:rsid w:val="004D4EB6"/>
    <w:rsid w:val="004D4F16"/>
    <w:rsid w:val="004D52E3"/>
    <w:rsid w:val="004D5470"/>
    <w:rsid w:val="004D54AF"/>
    <w:rsid w:val="004D5774"/>
    <w:rsid w:val="004D59DB"/>
    <w:rsid w:val="004D5A4E"/>
    <w:rsid w:val="004D5A92"/>
    <w:rsid w:val="004D5B08"/>
    <w:rsid w:val="004D5C4C"/>
    <w:rsid w:val="004D5C58"/>
    <w:rsid w:val="004D5E66"/>
    <w:rsid w:val="004D5F2A"/>
    <w:rsid w:val="004D5F4C"/>
    <w:rsid w:val="004D6154"/>
    <w:rsid w:val="004D6172"/>
    <w:rsid w:val="004D6196"/>
    <w:rsid w:val="004D621B"/>
    <w:rsid w:val="004D62AE"/>
    <w:rsid w:val="004D659A"/>
    <w:rsid w:val="004D690D"/>
    <w:rsid w:val="004D6AEF"/>
    <w:rsid w:val="004D6B64"/>
    <w:rsid w:val="004D6C70"/>
    <w:rsid w:val="004D6DF3"/>
    <w:rsid w:val="004D6F17"/>
    <w:rsid w:val="004D702C"/>
    <w:rsid w:val="004D72EE"/>
    <w:rsid w:val="004D73F5"/>
    <w:rsid w:val="004D7407"/>
    <w:rsid w:val="004D740C"/>
    <w:rsid w:val="004D7426"/>
    <w:rsid w:val="004D7706"/>
    <w:rsid w:val="004D7740"/>
    <w:rsid w:val="004D7795"/>
    <w:rsid w:val="004D7823"/>
    <w:rsid w:val="004D7A3D"/>
    <w:rsid w:val="004D7D54"/>
    <w:rsid w:val="004D7DFD"/>
    <w:rsid w:val="004D7E35"/>
    <w:rsid w:val="004E0174"/>
    <w:rsid w:val="004E01C2"/>
    <w:rsid w:val="004E02CC"/>
    <w:rsid w:val="004E04FE"/>
    <w:rsid w:val="004E0851"/>
    <w:rsid w:val="004E0863"/>
    <w:rsid w:val="004E0A70"/>
    <w:rsid w:val="004E0AFF"/>
    <w:rsid w:val="004E0B42"/>
    <w:rsid w:val="004E0D0B"/>
    <w:rsid w:val="004E11CC"/>
    <w:rsid w:val="004E11F5"/>
    <w:rsid w:val="004E1355"/>
    <w:rsid w:val="004E167B"/>
    <w:rsid w:val="004E1889"/>
    <w:rsid w:val="004E1AD8"/>
    <w:rsid w:val="004E1B58"/>
    <w:rsid w:val="004E1BB8"/>
    <w:rsid w:val="004E1BC6"/>
    <w:rsid w:val="004E1E02"/>
    <w:rsid w:val="004E1E22"/>
    <w:rsid w:val="004E2182"/>
    <w:rsid w:val="004E21A6"/>
    <w:rsid w:val="004E21C2"/>
    <w:rsid w:val="004E238B"/>
    <w:rsid w:val="004E248A"/>
    <w:rsid w:val="004E24C9"/>
    <w:rsid w:val="004E2592"/>
    <w:rsid w:val="004E26F6"/>
    <w:rsid w:val="004E271D"/>
    <w:rsid w:val="004E284E"/>
    <w:rsid w:val="004E2894"/>
    <w:rsid w:val="004E2B18"/>
    <w:rsid w:val="004E2B32"/>
    <w:rsid w:val="004E2C5D"/>
    <w:rsid w:val="004E2CEC"/>
    <w:rsid w:val="004E2D3D"/>
    <w:rsid w:val="004E33F7"/>
    <w:rsid w:val="004E340D"/>
    <w:rsid w:val="004E347C"/>
    <w:rsid w:val="004E3F83"/>
    <w:rsid w:val="004E3F92"/>
    <w:rsid w:val="004E4038"/>
    <w:rsid w:val="004E4081"/>
    <w:rsid w:val="004E409E"/>
    <w:rsid w:val="004E448D"/>
    <w:rsid w:val="004E44F9"/>
    <w:rsid w:val="004E4589"/>
    <w:rsid w:val="004E474D"/>
    <w:rsid w:val="004E4755"/>
    <w:rsid w:val="004E487B"/>
    <w:rsid w:val="004E48E5"/>
    <w:rsid w:val="004E4A46"/>
    <w:rsid w:val="004E4A54"/>
    <w:rsid w:val="004E4A7A"/>
    <w:rsid w:val="004E4C95"/>
    <w:rsid w:val="004E4CEC"/>
    <w:rsid w:val="004E4E68"/>
    <w:rsid w:val="004E5018"/>
    <w:rsid w:val="004E50F3"/>
    <w:rsid w:val="004E519D"/>
    <w:rsid w:val="004E5205"/>
    <w:rsid w:val="004E534A"/>
    <w:rsid w:val="004E537A"/>
    <w:rsid w:val="004E5695"/>
    <w:rsid w:val="004E56E8"/>
    <w:rsid w:val="004E5750"/>
    <w:rsid w:val="004E579C"/>
    <w:rsid w:val="004E5885"/>
    <w:rsid w:val="004E5A1E"/>
    <w:rsid w:val="004E5AC9"/>
    <w:rsid w:val="004E5CA1"/>
    <w:rsid w:val="004E5CF7"/>
    <w:rsid w:val="004E5EE2"/>
    <w:rsid w:val="004E6019"/>
    <w:rsid w:val="004E60F9"/>
    <w:rsid w:val="004E6174"/>
    <w:rsid w:val="004E633C"/>
    <w:rsid w:val="004E635B"/>
    <w:rsid w:val="004E64EE"/>
    <w:rsid w:val="004E6713"/>
    <w:rsid w:val="004E67B6"/>
    <w:rsid w:val="004E6825"/>
    <w:rsid w:val="004E6979"/>
    <w:rsid w:val="004E6C25"/>
    <w:rsid w:val="004E6D38"/>
    <w:rsid w:val="004E6F5E"/>
    <w:rsid w:val="004E701C"/>
    <w:rsid w:val="004E757F"/>
    <w:rsid w:val="004E75D4"/>
    <w:rsid w:val="004E7642"/>
    <w:rsid w:val="004E766F"/>
    <w:rsid w:val="004E769B"/>
    <w:rsid w:val="004E76B4"/>
    <w:rsid w:val="004E7820"/>
    <w:rsid w:val="004E78A0"/>
    <w:rsid w:val="004E78E7"/>
    <w:rsid w:val="004E793F"/>
    <w:rsid w:val="004E7A98"/>
    <w:rsid w:val="004E7C00"/>
    <w:rsid w:val="004E7DA2"/>
    <w:rsid w:val="004E7DC1"/>
    <w:rsid w:val="004E7ED0"/>
    <w:rsid w:val="004E7F43"/>
    <w:rsid w:val="004F0311"/>
    <w:rsid w:val="004F0465"/>
    <w:rsid w:val="004F0622"/>
    <w:rsid w:val="004F06A3"/>
    <w:rsid w:val="004F06CA"/>
    <w:rsid w:val="004F0734"/>
    <w:rsid w:val="004F0A8B"/>
    <w:rsid w:val="004F0ACA"/>
    <w:rsid w:val="004F1096"/>
    <w:rsid w:val="004F1120"/>
    <w:rsid w:val="004F1188"/>
    <w:rsid w:val="004F130D"/>
    <w:rsid w:val="004F132E"/>
    <w:rsid w:val="004F1377"/>
    <w:rsid w:val="004F13FB"/>
    <w:rsid w:val="004F1537"/>
    <w:rsid w:val="004F15DE"/>
    <w:rsid w:val="004F1703"/>
    <w:rsid w:val="004F1D0B"/>
    <w:rsid w:val="004F2091"/>
    <w:rsid w:val="004F2156"/>
    <w:rsid w:val="004F221A"/>
    <w:rsid w:val="004F235C"/>
    <w:rsid w:val="004F2368"/>
    <w:rsid w:val="004F25AC"/>
    <w:rsid w:val="004F2779"/>
    <w:rsid w:val="004F2875"/>
    <w:rsid w:val="004F28F5"/>
    <w:rsid w:val="004F2A73"/>
    <w:rsid w:val="004F2B9D"/>
    <w:rsid w:val="004F2FE1"/>
    <w:rsid w:val="004F33F0"/>
    <w:rsid w:val="004F3405"/>
    <w:rsid w:val="004F353E"/>
    <w:rsid w:val="004F3741"/>
    <w:rsid w:val="004F37EF"/>
    <w:rsid w:val="004F38C5"/>
    <w:rsid w:val="004F38F0"/>
    <w:rsid w:val="004F392F"/>
    <w:rsid w:val="004F3976"/>
    <w:rsid w:val="004F3C41"/>
    <w:rsid w:val="004F3E61"/>
    <w:rsid w:val="004F3ED7"/>
    <w:rsid w:val="004F4049"/>
    <w:rsid w:val="004F41FF"/>
    <w:rsid w:val="004F437C"/>
    <w:rsid w:val="004F43AF"/>
    <w:rsid w:val="004F4539"/>
    <w:rsid w:val="004F48A5"/>
    <w:rsid w:val="004F48D0"/>
    <w:rsid w:val="004F4B25"/>
    <w:rsid w:val="004F4B43"/>
    <w:rsid w:val="004F4C0D"/>
    <w:rsid w:val="004F4D57"/>
    <w:rsid w:val="004F4E68"/>
    <w:rsid w:val="004F4F45"/>
    <w:rsid w:val="004F5415"/>
    <w:rsid w:val="004F55C7"/>
    <w:rsid w:val="004F58E9"/>
    <w:rsid w:val="004F59F0"/>
    <w:rsid w:val="004F5A5F"/>
    <w:rsid w:val="004F5B34"/>
    <w:rsid w:val="004F5C49"/>
    <w:rsid w:val="004F5D6C"/>
    <w:rsid w:val="004F5E79"/>
    <w:rsid w:val="004F6402"/>
    <w:rsid w:val="004F65F4"/>
    <w:rsid w:val="004F6638"/>
    <w:rsid w:val="004F6642"/>
    <w:rsid w:val="004F6992"/>
    <w:rsid w:val="004F6997"/>
    <w:rsid w:val="004F6A5E"/>
    <w:rsid w:val="004F6A74"/>
    <w:rsid w:val="004F6B19"/>
    <w:rsid w:val="004F6B94"/>
    <w:rsid w:val="004F6CCE"/>
    <w:rsid w:val="004F6CF3"/>
    <w:rsid w:val="004F6D79"/>
    <w:rsid w:val="004F6E26"/>
    <w:rsid w:val="004F6F6C"/>
    <w:rsid w:val="004F70B7"/>
    <w:rsid w:val="004F70F7"/>
    <w:rsid w:val="004F7192"/>
    <w:rsid w:val="004F7227"/>
    <w:rsid w:val="004F7253"/>
    <w:rsid w:val="004F73CA"/>
    <w:rsid w:val="004F73F2"/>
    <w:rsid w:val="004F749C"/>
    <w:rsid w:val="004F7559"/>
    <w:rsid w:val="004F76BF"/>
    <w:rsid w:val="004F79D3"/>
    <w:rsid w:val="004F7ABE"/>
    <w:rsid w:val="004F7ACD"/>
    <w:rsid w:val="004F7EDC"/>
    <w:rsid w:val="005001D7"/>
    <w:rsid w:val="0050031C"/>
    <w:rsid w:val="0050064E"/>
    <w:rsid w:val="0050072A"/>
    <w:rsid w:val="0050077C"/>
    <w:rsid w:val="00500853"/>
    <w:rsid w:val="005008E7"/>
    <w:rsid w:val="0050098E"/>
    <w:rsid w:val="00500D61"/>
    <w:rsid w:val="00500E29"/>
    <w:rsid w:val="00500E51"/>
    <w:rsid w:val="00500EB0"/>
    <w:rsid w:val="00500FE8"/>
    <w:rsid w:val="00501528"/>
    <w:rsid w:val="00501AA9"/>
    <w:rsid w:val="00501C5F"/>
    <w:rsid w:val="00502013"/>
    <w:rsid w:val="005022B5"/>
    <w:rsid w:val="005024F8"/>
    <w:rsid w:val="0050253E"/>
    <w:rsid w:val="00502582"/>
    <w:rsid w:val="005028ED"/>
    <w:rsid w:val="00502964"/>
    <w:rsid w:val="00502A18"/>
    <w:rsid w:val="00502ADA"/>
    <w:rsid w:val="00502B03"/>
    <w:rsid w:val="00502C58"/>
    <w:rsid w:val="00502C6C"/>
    <w:rsid w:val="00502CAF"/>
    <w:rsid w:val="00502D08"/>
    <w:rsid w:val="00502D54"/>
    <w:rsid w:val="00502D68"/>
    <w:rsid w:val="00502DF5"/>
    <w:rsid w:val="005033E7"/>
    <w:rsid w:val="005034F7"/>
    <w:rsid w:val="00503520"/>
    <w:rsid w:val="00503621"/>
    <w:rsid w:val="00503659"/>
    <w:rsid w:val="0050377C"/>
    <w:rsid w:val="00503859"/>
    <w:rsid w:val="00503AF3"/>
    <w:rsid w:val="00503DDF"/>
    <w:rsid w:val="00503FD3"/>
    <w:rsid w:val="00504006"/>
    <w:rsid w:val="00504081"/>
    <w:rsid w:val="00504181"/>
    <w:rsid w:val="00504228"/>
    <w:rsid w:val="005048CB"/>
    <w:rsid w:val="00504979"/>
    <w:rsid w:val="00504B4D"/>
    <w:rsid w:val="00504DE2"/>
    <w:rsid w:val="00504E74"/>
    <w:rsid w:val="00504F65"/>
    <w:rsid w:val="0050550F"/>
    <w:rsid w:val="005056C6"/>
    <w:rsid w:val="005057D6"/>
    <w:rsid w:val="00505887"/>
    <w:rsid w:val="00505A2B"/>
    <w:rsid w:val="00505AE5"/>
    <w:rsid w:val="00505E91"/>
    <w:rsid w:val="00505FE6"/>
    <w:rsid w:val="0050639B"/>
    <w:rsid w:val="005066BF"/>
    <w:rsid w:val="0050673C"/>
    <w:rsid w:val="00506839"/>
    <w:rsid w:val="00506927"/>
    <w:rsid w:val="00506CF0"/>
    <w:rsid w:val="00506D69"/>
    <w:rsid w:val="00506DD2"/>
    <w:rsid w:val="00506ECC"/>
    <w:rsid w:val="00506F7F"/>
    <w:rsid w:val="00507035"/>
    <w:rsid w:val="0050703C"/>
    <w:rsid w:val="005070D5"/>
    <w:rsid w:val="00507133"/>
    <w:rsid w:val="00507352"/>
    <w:rsid w:val="0050736F"/>
    <w:rsid w:val="005076A4"/>
    <w:rsid w:val="00507768"/>
    <w:rsid w:val="00507773"/>
    <w:rsid w:val="00507B6C"/>
    <w:rsid w:val="00507C24"/>
    <w:rsid w:val="00507C4E"/>
    <w:rsid w:val="00507D3C"/>
    <w:rsid w:val="00507DA2"/>
    <w:rsid w:val="005101A7"/>
    <w:rsid w:val="0051029E"/>
    <w:rsid w:val="005102C3"/>
    <w:rsid w:val="00510332"/>
    <w:rsid w:val="005105F3"/>
    <w:rsid w:val="005108D5"/>
    <w:rsid w:val="00510A26"/>
    <w:rsid w:val="00510C0F"/>
    <w:rsid w:val="00510E6D"/>
    <w:rsid w:val="005111F5"/>
    <w:rsid w:val="00511338"/>
    <w:rsid w:val="0051140A"/>
    <w:rsid w:val="0051168F"/>
    <w:rsid w:val="005118BF"/>
    <w:rsid w:val="005119A9"/>
    <w:rsid w:val="00511B71"/>
    <w:rsid w:val="00511C5F"/>
    <w:rsid w:val="00511D20"/>
    <w:rsid w:val="00511EE7"/>
    <w:rsid w:val="00511EF3"/>
    <w:rsid w:val="0051205A"/>
    <w:rsid w:val="005123EA"/>
    <w:rsid w:val="00512744"/>
    <w:rsid w:val="005129CB"/>
    <w:rsid w:val="00512AC4"/>
    <w:rsid w:val="00512C04"/>
    <w:rsid w:val="00512C5C"/>
    <w:rsid w:val="00512CB2"/>
    <w:rsid w:val="00512D32"/>
    <w:rsid w:val="00512D9C"/>
    <w:rsid w:val="00512FF1"/>
    <w:rsid w:val="005131AE"/>
    <w:rsid w:val="0051329F"/>
    <w:rsid w:val="00513335"/>
    <w:rsid w:val="005134EC"/>
    <w:rsid w:val="00513947"/>
    <w:rsid w:val="00513CCF"/>
    <w:rsid w:val="00513DBB"/>
    <w:rsid w:val="00513E80"/>
    <w:rsid w:val="00513F19"/>
    <w:rsid w:val="00514116"/>
    <w:rsid w:val="005142F2"/>
    <w:rsid w:val="00514355"/>
    <w:rsid w:val="00514383"/>
    <w:rsid w:val="005143C3"/>
    <w:rsid w:val="0051455F"/>
    <w:rsid w:val="005145D6"/>
    <w:rsid w:val="005146CC"/>
    <w:rsid w:val="005147B6"/>
    <w:rsid w:val="00514876"/>
    <w:rsid w:val="00514989"/>
    <w:rsid w:val="00514B8E"/>
    <w:rsid w:val="00514CD7"/>
    <w:rsid w:val="00514D0C"/>
    <w:rsid w:val="00514ED2"/>
    <w:rsid w:val="00514F31"/>
    <w:rsid w:val="00514F3B"/>
    <w:rsid w:val="00514F68"/>
    <w:rsid w:val="00514FE5"/>
    <w:rsid w:val="0051500C"/>
    <w:rsid w:val="00515254"/>
    <w:rsid w:val="0051528E"/>
    <w:rsid w:val="00515759"/>
    <w:rsid w:val="0051599B"/>
    <w:rsid w:val="00515DA0"/>
    <w:rsid w:val="00516292"/>
    <w:rsid w:val="00516330"/>
    <w:rsid w:val="00516378"/>
    <w:rsid w:val="00516390"/>
    <w:rsid w:val="00516850"/>
    <w:rsid w:val="005168E2"/>
    <w:rsid w:val="005168E4"/>
    <w:rsid w:val="00516CE4"/>
    <w:rsid w:val="00516F9A"/>
    <w:rsid w:val="00517016"/>
    <w:rsid w:val="00517017"/>
    <w:rsid w:val="00517570"/>
    <w:rsid w:val="00517958"/>
    <w:rsid w:val="00517A61"/>
    <w:rsid w:val="00517B2D"/>
    <w:rsid w:val="00517BBD"/>
    <w:rsid w:val="00517BD7"/>
    <w:rsid w:val="00517BFE"/>
    <w:rsid w:val="00517CAA"/>
    <w:rsid w:val="00517E15"/>
    <w:rsid w:val="00517E86"/>
    <w:rsid w:val="0052017F"/>
    <w:rsid w:val="00520303"/>
    <w:rsid w:val="005204D2"/>
    <w:rsid w:val="00520646"/>
    <w:rsid w:val="005209CA"/>
    <w:rsid w:val="005209FD"/>
    <w:rsid w:val="00520A03"/>
    <w:rsid w:val="00520B1D"/>
    <w:rsid w:val="00520B7E"/>
    <w:rsid w:val="00520BD4"/>
    <w:rsid w:val="00520C73"/>
    <w:rsid w:val="00520C91"/>
    <w:rsid w:val="00520CCC"/>
    <w:rsid w:val="00520DA0"/>
    <w:rsid w:val="00521014"/>
    <w:rsid w:val="0052107C"/>
    <w:rsid w:val="00521313"/>
    <w:rsid w:val="0052131E"/>
    <w:rsid w:val="00521350"/>
    <w:rsid w:val="00521383"/>
    <w:rsid w:val="0052141F"/>
    <w:rsid w:val="0052142F"/>
    <w:rsid w:val="0052161F"/>
    <w:rsid w:val="0052168D"/>
    <w:rsid w:val="00521C91"/>
    <w:rsid w:val="00521DD4"/>
    <w:rsid w:val="00521EB1"/>
    <w:rsid w:val="0052200D"/>
    <w:rsid w:val="005221F5"/>
    <w:rsid w:val="005223A2"/>
    <w:rsid w:val="00522490"/>
    <w:rsid w:val="00522542"/>
    <w:rsid w:val="00522797"/>
    <w:rsid w:val="005228E3"/>
    <w:rsid w:val="0052330E"/>
    <w:rsid w:val="005234AD"/>
    <w:rsid w:val="0052359A"/>
    <w:rsid w:val="00523621"/>
    <w:rsid w:val="005236EB"/>
    <w:rsid w:val="00523790"/>
    <w:rsid w:val="005237A4"/>
    <w:rsid w:val="005240C6"/>
    <w:rsid w:val="005240FF"/>
    <w:rsid w:val="0052412C"/>
    <w:rsid w:val="0052423E"/>
    <w:rsid w:val="005245F4"/>
    <w:rsid w:val="00524607"/>
    <w:rsid w:val="0052476C"/>
    <w:rsid w:val="00524B4B"/>
    <w:rsid w:val="00524B76"/>
    <w:rsid w:val="00524D9B"/>
    <w:rsid w:val="00524E58"/>
    <w:rsid w:val="00524F6D"/>
    <w:rsid w:val="00525133"/>
    <w:rsid w:val="0052523A"/>
    <w:rsid w:val="0052544F"/>
    <w:rsid w:val="005254D2"/>
    <w:rsid w:val="00525587"/>
    <w:rsid w:val="005255C2"/>
    <w:rsid w:val="005255DF"/>
    <w:rsid w:val="005256B9"/>
    <w:rsid w:val="005258B8"/>
    <w:rsid w:val="00525923"/>
    <w:rsid w:val="00525A2D"/>
    <w:rsid w:val="00525A60"/>
    <w:rsid w:val="00525A67"/>
    <w:rsid w:val="00525C35"/>
    <w:rsid w:val="00525DEC"/>
    <w:rsid w:val="00525F19"/>
    <w:rsid w:val="00525FA6"/>
    <w:rsid w:val="005260F3"/>
    <w:rsid w:val="005262CB"/>
    <w:rsid w:val="005263A5"/>
    <w:rsid w:val="005265F9"/>
    <w:rsid w:val="00526C13"/>
    <w:rsid w:val="00526EA8"/>
    <w:rsid w:val="00526F52"/>
    <w:rsid w:val="00526F80"/>
    <w:rsid w:val="00527159"/>
    <w:rsid w:val="00527210"/>
    <w:rsid w:val="00527379"/>
    <w:rsid w:val="0052775C"/>
    <w:rsid w:val="005278C4"/>
    <w:rsid w:val="0052795A"/>
    <w:rsid w:val="00527B8E"/>
    <w:rsid w:val="00530047"/>
    <w:rsid w:val="00530116"/>
    <w:rsid w:val="005301FA"/>
    <w:rsid w:val="00530351"/>
    <w:rsid w:val="005306F3"/>
    <w:rsid w:val="00530726"/>
    <w:rsid w:val="0053073B"/>
    <w:rsid w:val="005307DC"/>
    <w:rsid w:val="00530807"/>
    <w:rsid w:val="005309CB"/>
    <w:rsid w:val="005309F0"/>
    <w:rsid w:val="00530E2C"/>
    <w:rsid w:val="00531011"/>
    <w:rsid w:val="0053107C"/>
    <w:rsid w:val="00531192"/>
    <w:rsid w:val="005312A0"/>
    <w:rsid w:val="00531354"/>
    <w:rsid w:val="0053148C"/>
    <w:rsid w:val="00531583"/>
    <w:rsid w:val="00531676"/>
    <w:rsid w:val="00531699"/>
    <w:rsid w:val="005316C1"/>
    <w:rsid w:val="00531777"/>
    <w:rsid w:val="00531AF2"/>
    <w:rsid w:val="00531D51"/>
    <w:rsid w:val="00531FBE"/>
    <w:rsid w:val="00532208"/>
    <w:rsid w:val="005323AB"/>
    <w:rsid w:val="005325FE"/>
    <w:rsid w:val="00532602"/>
    <w:rsid w:val="0053260C"/>
    <w:rsid w:val="005328CC"/>
    <w:rsid w:val="005328DC"/>
    <w:rsid w:val="00532998"/>
    <w:rsid w:val="00532A57"/>
    <w:rsid w:val="00532A93"/>
    <w:rsid w:val="00532EAE"/>
    <w:rsid w:val="00532FE6"/>
    <w:rsid w:val="0053327F"/>
    <w:rsid w:val="005333B8"/>
    <w:rsid w:val="00533810"/>
    <w:rsid w:val="005338B1"/>
    <w:rsid w:val="00533AD9"/>
    <w:rsid w:val="00533EE2"/>
    <w:rsid w:val="0053427A"/>
    <w:rsid w:val="00534855"/>
    <w:rsid w:val="0053489E"/>
    <w:rsid w:val="00534AFA"/>
    <w:rsid w:val="00534CD5"/>
    <w:rsid w:val="00534EAE"/>
    <w:rsid w:val="00534F16"/>
    <w:rsid w:val="00534F67"/>
    <w:rsid w:val="00535106"/>
    <w:rsid w:val="005351EB"/>
    <w:rsid w:val="00535285"/>
    <w:rsid w:val="005352BD"/>
    <w:rsid w:val="00535417"/>
    <w:rsid w:val="00535429"/>
    <w:rsid w:val="00535480"/>
    <w:rsid w:val="005354D3"/>
    <w:rsid w:val="005355AE"/>
    <w:rsid w:val="005357C6"/>
    <w:rsid w:val="00535847"/>
    <w:rsid w:val="00535942"/>
    <w:rsid w:val="0053594C"/>
    <w:rsid w:val="00535BD8"/>
    <w:rsid w:val="00535CB3"/>
    <w:rsid w:val="00535D1B"/>
    <w:rsid w:val="005360E6"/>
    <w:rsid w:val="005361D3"/>
    <w:rsid w:val="005361FB"/>
    <w:rsid w:val="005362A4"/>
    <w:rsid w:val="0053631E"/>
    <w:rsid w:val="00536386"/>
    <w:rsid w:val="005363AE"/>
    <w:rsid w:val="00536803"/>
    <w:rsid w:val="00536A7A"/>
    <w:rsid w:val="00536AFA"/>
    <w:rsid w:val="00536D04"/>
    <w:rsid w:val="00536E1A"/>
    <w:rsid w:val="00536E75"/>
    <w:rsid w:val="00536F00"/>
    <w:rsid w:val="005371B7"/>
    <w:rsid w:val="005373BD"/>
    <w:rsid w:val="00537432"/>
    <w:rsid w:val="00537465"/>
    <w:rsid w:val="005374BE"/>
    <w:rsid w:val="00537502"/>
    <w:rsid w:val="005376B9"/>
    <w:rsid w:val="00537802"/>
    <w:rsid w:val="00537870"/>
    <w:rsid w:val="005378B2"/>
    <w:rsid w:val="00537926"/>
    <w:rsid w:val="00537A50"/>
    <w:rsid w:val="00537B3E"/>
    <w:rsid w:val="00537B80"/>
    <w:rsid w:val="00537BB6"/>
    <w:rsid w:val="00537BD7"/>
    <w:rsid w:val="00537BF7"/>
    <w:rsid w:val="00537C5F"/>
    <w:rsid w:val="00537D6B"/>
    <w:rsid w:val="00537DFF"/>
    <w:rsid w:val="00537ED2"/>
    <w:rsid w:val="00540834"/>
    <w:rsid w:val="005408D3"/>
    <w:rsid w:val="00540941"/>
    <w:rsid w:val="00540967"/>
    <w:rsid w:val="00540DB5"/>
    <w:rsid w:val="00540E7B"/>
    <w:rsid w:val="0054124E"/>
    <w:rsid w:val="005412D8"/>
    <w:rsid w:val="00541457"/>
    <w:rsid w:val="005417E3"/>
    <w:rsid w:val="0054184A"/>
    <w:rsid w:val="00541865"/>
    <w:rsid w:val="00541940"/>
    <w:rsid w:val="00541CE8"/>
    <w:rsid w:val="00541D8C"/>
    <w:rsid w:val="0054241B"/>
    <w:rsid w:val="005424CC"/>
    <w:rsid w:val="005425D1"/>
    <w:rsid w:val="005426AE"/>
    <w:rsid w:val="005427CB"/>
    <w:rsid w:val="00542C3F"/>
    <w:rsid w:val="00542D74"/>
    <w:rsid w:val="00542E07"/>
    <w:rsid w:val="00542F96"/>
    <w:rsid w:val="00542FB6"/>
    <w:rsid w:val="0054316E"/>
    <w:rsid w:val="0054331C"/>
    <w:rsid w:val="00543363"/>
    <w:rsid w:val="00543463"/>
    <w:rsid w:val="005434D5"/>
    <w:rsid w:val="00543674"/>
    <w:rsid w:val="005436BC"/>
    <w:rsid w:val="005436EA"/>
    <w:rsid w:val="005436FE"/>
    <w:rsid w:val="00543759"/>
    <w:rsid w:val="005438EC"/>
    <w:rsid w:val="00543931"/>
    <w:rsid w:val="00543D5D"/>
    <w:rsid w:val="00543EB7"/>
    <w:rsid w:val="00544047"/>
    <w:rsid w:val="005440B3"/>
    <w:rsid w:val="005447AC"/>
    <w:rsid w:val="005447F1"/>
    <w:rsid w:val="00544B1E"/>
    <w:rsid w:val="00544BCE"/>
    <w:rsid w:val="00544E47"/>
    <w:rsid w:val="00544EFC"/>
    <w:rsid w:val="00544F15"/>
    <w:rsid w:val="00544F66"/>
    <w:rsid w:val="00545060"/>
    <w:rsid w:val="005450C1"/>
    <w:rsid w:val="00545161"/>
    <w:rsid w:val="005452F5"/>
    <w:rsid w:val="00545384"/>
    <w:rsid w:val="005453A2"/>
    <w:rsid w:val="0054562A"/>
    <w:rsid w:val="00545A3F"/>
    <w:rsid w:val="00545B45"/>
    <w:rsid w:val="00545E1F"/>
    <w:rsid w:val="00545ECC"/>
    <w:rsid w:val="00546631"/>
    <w:rsid w:val="005469EC"/>
    <w:rsid w:val="00546AD5"/>
    <w:rsid w:val="00546DE1"/>
    <w:rsid w:val="00547135"/>
    <w:rsid w:val="00547400"/>
    <w:rsid w:val="00547607"/>
    <w:rsid w:val="00547645"/>
    <w:rsid w:val="00547832"/>
    <w:rsid w:val="00547908"/>
    <w:rsid w:val="0054797D"/>
    <w:rsid w:val="005479BB"/>
    <w:rsid w:val="00547F2C"/>
    <w:rsid w:val="00550093"/>
    <w:rsid w:val="00550153"/>
    <w:rsid w:val="005501B9"/>
    <w:rsid w:val="005504C6"/>
    <w:rsid w:val="0055059A"/>
    <w:rsid w:val="00550640"/>
    <w:rsid w:val="00550BB2"/>
    <w:rsid w:val="00550D04"/>
    <w:rsid w:val="00550D3E"/>
    <w:rsid w:val="00550D94"/>
    <w:rsid w:val="0055100E"/>
    <w:rsid w:val="00551014"/>
    <w:rsid w:val="005510B8"/>
    <w:rsid w:val="00551143"/>
    <w:rsid w:val="005514F8"/>
    <w:rsid w:val="00551572"/>
    <w:rsid w:val="00551584"/>
    <w:rsid w:val="0055179D"/>
    <w:rsid w:val="00551B18"/>
    <w:rsid w:val="00551B2E"/>
    <w:rsid w:val="00551B8C"/>
    <w:rsid w:val="00551DE6"/>
    <w:rsid w:val="00551EBD"/>
    <w:rsid w:val="00551F35"/>
    <w:rsid w:val="0055205E"/>
    <w:rsid w:val="00552074"/>
    <w:rsid w:val="005520FF"/>
    <w:rsid w:val="00552229"/>
    <w:rsid w:val="0055222F"/>
    <w:rsid w:val="00552325"/>
    <w:rsid w:val="00552356"/>
    <w:rsid w:val="005523B0"/>
    <w:rsid w:val="005524C5"/>
    <w:rsid w:val="0055250E"/>
    <w:rsid w:val="00552589"/>
    <w:rsid w:val="005525D2"/>
    <w:rsid w:val="005528BE"/>
    <w:rsid w:val="005529F9"/>
    <w:rsid w:val="00552A1A"/>
    <w:rsid w:val="00552A63"/>
    <w:rsid w:val="00552BA0"/>
    <w:rsid w:val="00552C34"/>
    <w:rsid w:val="00552FB8"/>
    <w:rsid w:val="00553044"/>
    <w:rsid w:val="00553093"/>
    <w:rsid w:val="005534AC"/>
    <w:rsid w:val="00553784"/>
    <w:rsid w:val="00553AE9"/>
    <w:rsid w:val="00553D47"/>
    <w:rsid w:val="00553D9A"/>
    <w:rsid w:val="00553E72"/>
    <w:rsid w:val="00553ECC"/>
    <w:rsid w:val="00553F6A"/>
    <w:rsid w:val="0055410B"/>
    <w:rsid w:val="0055466A"/>
    <w:rsid w:val="005546D9"/>
    <w:rsid w:val="00554956"/>
    <w:rsid w:val="00554E1E"/>
    <w:rsid w:val="00554F37"/>
    <w:rsid w:val="00554FA8"/>
    <w:rsid w:val="0055504F"/>
    <w:rsid w:val="0055513A"/>
    <w:rsid w:val="005551D9"/>
    <w:rsid w:val="00555263"/>
    <w:rsid w:val="00555300"/>
    <w:rsid w:val="005556CC"/>
    <w:rsid w:val="005557D4"/>
    <w:rsid w:val="005559A6"/>
    <w:rsid w:val="00555A7F"/>
    <w:rsid w:val="00555CC6"/>
    <w:rsid w:val="005561DF"/>
    <w:rsid w:val="005562EA"/>
    <w:rsid w:val="005569F6"/>
    <w:rsid w:val="00556CCC"/>
    <w:rsid w:val="00556D85"/>
    <w:rsid w:val="0055706D"/>
    <w:rsid w:val="005573CF"/>
    <w:rsid w:val="00557466"/>
    <w:rsid w:val="00557533"/>
    <w:rsid w:val="005575C0"/>
    <w:rsid w:val="0055763B"/>
    <w:rsid w:val="005577A3"/>
    <w:rsid w:val="00557887"/>
    <w:rsid w:val="00557A1E"/>
    <w:rsid w:val="00557CD4"/>
    <w:rsid w:val="00557E65"/>
    <w:rsid w:val="00557EB0"/>
    <w:rsid w:val="00557F07"/>
    <w:rsid w:val="00560174"/>
    <w:rsid w:val="00560463"/>
    <w:rsid w:val="00560516"/>
    <w:rsid w:val="0056086D"/>
    <w:rsid w:val="005608CE"/>
    <w:rsid w:val="0056098A"/>
    <w:rsid w:val="00560C12"/>
    <w:rsid w:val="00560D85"/>
    <w:rsid w:val="00560DE4"/>
    <w:rsid w:val="00560E75"/>
    <w:rsid w:val="00560EDB"/>
    <w:rsid w:val="005610BD"/>
    <w:rsid w:val="005610C4"/>
    <w:rsid w:val="005611B1"/>
    <w:rsid w:val="0056141B"/>
    <w:rsid w:val="0056157A"/>
    <w:rsid w:val="00561AEB"/>
    <w:rsid w:val="00561BA5"/>
    <w:rsid w:val="00561DBE"/>
    <w:rsid w:val="00561E32"/>
    <w:rsid w:val="00561EB0"/>
    <w:rsid w:val="00562256"/>
    <w:rsid w:val="0056225F"/>
    <w:rsid w:val="00562311"/>
    <w:rsid w:val="005624EE"/>
    <w:rsid w:val="00562851"/>
    <w:rsid w:val="0056292B"/>
    <w:rsid w:val="005629A9"/>
    <w:rsid w:val="00562B2B"/>
    <w:rsid w:val="00562BA6"/>
    <w:rsid w:val="00562BF5"/>
    <w:rsid w:val="00562D77"/>
    <w:rsid w:val="00562F1D"/>
    <w:rsid w:val="00562F5A"/>
    <w:rsid w:val="00563393"/>
    <w:rsid w:val="0056360B"/>
    <w:rsid w:val="0056363A"/>
    <w:rsid w:val="0056379F"/>
    <w:rsid w:val="005637C0"/>
    <w:rsid w:val="005638E2"/>
    <w:rsid w:val="005638FA"/>
    <w:rsid w:val="00563A6C"/>
    <w:rsid w:val="00563ABB"/>
    <w:rsid w:val="00563C10"/>
    <w:rsid w:val="00563C69"/>
    <w:rsid w:val="00563CB1"/>
    <w:rsid w:val="005640C4"/>
    <w:rsid w:val="00564176"/>
    <w:rsid w:val="0056421A"/>
    <w:rsid w:val="0056447A"/>
    <w:rsid w:val="00564481"/>
    <w:rsid w:val="00564583"/>
    <w:rsid w:val="005646FD"/>
    <w:rsid w:val="0056479E"/>
    <w:rsid w:val="005648B1"/>
    <w:rsid w:val="005649B5"/>
    <w:rsid w:val="00564A68"/>
    <w:rsid w:val="00564AF2"/>
    <w:rsid w:val="00564DD0"/>
    <w:rsid w:val="00564E27"/>
    <w:rsid w:val="00564E2B"/>
    <w:rsid w:val="00565317"/>
    <w:rsid w:val="005653CB"/>
    <w:rsid w:val="00565418"/>
    <w:rsid w:val="0056547A"/>
    <w:rsid w:val="00565A81"/>
    <w:rsid w:val="00565AD5"/>
    <w:rsid w:val="00565B44"/>
    <w:rsid w:val="00565D64"/>
    <w:rsid w:val="0056616C"/>
    <w:rsid w:val="0056632C"/>
    <w:rsid w:val="005664B4"/>
    <w:rsid w:val="0056655B"/>
    <w:rsid w:val="005669F6"/>
    <w:rsid w:val="00566A35"/>
    <w:rsid w:val="00566AE1"/>
    <w:rsid w:val="00566C8D"/>
    <w:rsid w:val="00566DD4"/>
    <w:rsid w:val="00566FA5"/>
    <w:rsid w:val="00566FD8"/>
    <w:rsid w:val="005672B5"/>
    <w:rsid w:val="00567344"/>
    <w:rsid w:val="00567374"/>
    <w:rsid w:val="005673E1"/>
    <w:rsid w:val="00567575"/>
    <w:rsid w:val="00567691"/>
    <w:rsid w:val="00567A59"/>
    <w:rsid w:val="00567AA0"/>
    <w:rsid w:val="00567B03"/>
    <w:rsid w:val="00567C09"/>
    <w:rsid w:val="00567CF6"/>
    <w:rsid w:val="00567D64"/>
    <w:rsid w:val="00567F78"/>
    <w:rsid w:val="00567FB7"/>
    <w:rsid w:val="005701BC"/>
    <w:rsid w:val="005702F4"/>
    <w:rsid w:val="00570307"/>
    <w:rsid w:val="0057065C"/>
    <w:rsid w:val="005707F1"/>
    <w:rsid w:val="0057086A"/>
    <w:rsid w:val="00570C62"/>
    <w:rsid w:val="00570C69"/>
    <w:rsid w:val="00570EF7"/>
    <w:rsid w:val="00570FE3"/>
    <w:rsid w:val="0057109C"/>
    <w:rsid w:val="00571370"/>
    <w:rsid w:val="00571408"/>
    <w:rsid w:val="00571560"/>
    <w:rsid w:val="005715CB"/>
    <w:rsid w:val="00571715"/>
    <w:rsid w:val="005717C3"/>
    <w:rsid w:val="0057186A"/>
    <w:rsid w:val="00571CDF"/>
    <w:rsid w:val="00571CE2"/>
    <w:rsid w:val="00571FB0"/>
    <w:rsid w:val="00572057"/>
    <w:rsid w:val="00572126"/>
    <w:rsid w:val="00572215"/>
    <w:rsid w:val="005724BE"/>
    <w:rsid w:val="00572662"/>
    <w:rsid w:val="005727DB"/>
    <w:rsid w:val="0057281F"/>
    <w:rsid w:val="00572A3B"/>
    <w:rsid w:val="00572AFB"/>
    <w:rsid w:val="00572CE1"/>
    <w:rsid w:val="00572E9A"/>
    <w:rsid w:val="005731AB"/>
    <w:rsid w:val="0057325D"/>
    <w:rsid w:val="0057327D"/>
    <w:rsid w:val="00573356"/>
    <w:rsid w:val="005734AC"/>
    <w:rsid w:val="00573524"/>
    <w:rsid w:val="0057374B"/>
    <w:rsid w:val="00573913"/>
    <w:rsid w:val="00573C1E"/>
    <w:rsid w:val="00573EE6"/>
    <w:rsid w:val="00574196"/>
    <w:rsid w:val="00574564"/>
    <w:rsid w:val="005745D9"/>
    <w:rsid w:val="0057469D"/>
    <w:rsid w:val="005747C9"/>
    <w:rsid w:val="00574E57"/>
    <w:rsid w:val="0057524D"/>
    <w:rsid w:val="00575447"/>
    <w:rsid w:val="00575585"/>
    <w:rsid w:val="005756E0"/>
    <w:rsid w:val="00575772"/>
    <w:rsid w:val="0057588A"/>
    <w:rsid w:val="0057595D"/>
    <w:rsid w:val="0057603B"/>
    <w:rsid w:val="005762CB"/>
    <w:rsid w:val="005764D6"/>
    <w:rsid w:val="00576503"/>
    <w:rsid w:val="005766E0"/>
    <w:rsid w:val="00576720"/>
    <w:rsid w:val="005767CA"/>
    <w:rsid w:val="005767DE"/>
    <w:rsid w:val="005768BF"/>
    <w:rsid w:val="005769FB"/>
    <w:rsid w:val="00576B8A"/>
    <w:rsid w:val="00576CDF"/>
    <w:rsid w:val="00576CF8"/>
    <w:rsid w:val="005770DD"/>
    <w:rsid w:val="005772CE"/>
    <w:rsid w:val="00577826"/>
    <w:rsid w:val="0057798C"/>
    <w:rsid w:val="005779C1"/>
    <w:rsid w:val="00577C03"/>
    <w:rsid w:val="00577CB6"/>
    <w:rsid w:val="00577E65"/>
    <w:rsid w:val="005800C1"/>
    <w:rsid w:val="00580218"/>
    <w:rsid w:val="00580249"/>
    <w:rsid w:val="005802C0"/>
    <w:rsid w:val="00580374"/>
    <w:rsid w:val="0058042F"/>
    <w:rsid w:val="00580888"/>
    <w:rsid w:val="00580915"/>
    <w:rsid w:val="005809C7"/>
    <w:rsid w:val="005809DE"/>
    <w:rsid w:val="00580C32"/>
    <w:rsid w:val="00580D18"/>
    <w:rsid w:val="00580EA5"/>
    <w:rsid w:val="00581139"/>
    <w:rsid w:val="0058115F"/>
    <w:rsid w:val="005811A3"/>
    <w:rsid w:val="00581302"/>
    <w:rsid w:val="00581559"/>
    <w:rsid w:val="005815FF"/>
    <w:rsid w:val="0058160B"/>
    <w:rsid w:val="00581653"/>
    <w:rsid w:val="00581669"/>
    <w:rsid w:val="0058196C"/>
    <w:rsid w:val="005819B5"/>
    <w:rsid w:val="00581AEF"/>
    <w:rsid w:val="00581D0A"/>
    <w:rsid w:val="00581F2E"/>
    <w:rsid w:val="0058254A"/>
    <w:rsid w:val="005825D8"/>
    <w:rsid w:val="00582654"/>
    <w:rsid w:val="00582729"/>
    <w:rsid w:val="00582C1F"/>
    <w:rsid w:val="00582ED2"/>
    <w:rsid w:val="00582F63"/>
    <w:rsid w:val="00583003"/>
    <w:rsid w:val="00583125"/>
    <w:rsid w:val="00583301"/>
    <w:rsid w:val="00583523"/>
    <w:rsid w:val="00583645"/>
    <w:rsid w:val="00583697"/>
    <w:rsid w:val="00583892"/>
    <w:rsid w:val="00583AAD"/>
    <w:rsid w:val="00583F46"/>
    <w:rsid w:val="0058405D"/>
    <w:rsid w:val="005841D8"/>
    <w:rsid w:val="005842E5"/>
    <w:rsid w:val="00584323"/>
    <w:rsid w:val="005843C7"/>
    <w:rsid w:val="005843D2"/>
    <w:rsid w:val="005844F2"/>
    <w:rsid w:val="005845E3"/>
    <w:rsid w:val="00584749"/>
    <w:rsid w:val="00584A58"/>
    <w:rsid w:val="00584AA1"/>
    <w:rsid w:val="00584B25"/>
    <w:rsid w:val="00584B26"/>
    <w:rsid w:val="00584B60"/>
    <w:rsid w:val="00584CB3"/>
    <w:rsid w:val="00584E77"/>
    <w:rsid w:val="005850F0"/>
    <w:rsid w:val="005854D8"/>
    <w:rsid w:val="0058588B"/>
    <w:rsid w:val="005858AC"/>
    <w:rsid w:val="0058594E"/>
    <w:rsid w:val="00585B8E"/>
    <w:rsid w:val="00585C1C"/>
    <w:rsid w:val="005862AD"/>
    <w:rsid w:val="00586406"/>
    <w:rsid w:val="00586460"/>
    <w:rsid w:val="0058656C"/>
    <w:rsid w:val="00586912"/>
    <w:rsid w:val="00586D9E"/>
    <w:rsid w:val="00586E1F"/>
    <w:rsid w:val="00586FB5"/>
    <w:rsid w:val="00587192"/>
    <w:rsid w:val="00587316"/>
    <w:rsid w:val="00587993"/>
    <w:rsid w:val="00587A37"/>
    <w:rsid w:val="00587B22"/>
    <w:rsid w:val="00587D69"/>
    <w:rsid w:val="00587F8F"/>
    <w:rsid w:val="0059000B"/>
    <w:rsid w:val="00590013"/>
    <w:rsid w:val="00590125"/>
    <w:rsid w:val="005901F4"/>
    <w:rsid w:val="00590352"/>
    <w:rsid w:val="005905A6"/>
    <w:rsid w:val="0059063A"/>
    <w:rsid w:val="005906C0"/>
    <w:rsid w:val="00590CA4"/>
    <w:rsid w:val="00590CBB"/>
    <w:rsid w:val="00590E6D"/>
    <w:rsid w:val="00591149"/>
    <w:rsid w:val="00591246"/>
    <w:rsid w:val="0059128E"/>
    <w:rsid w:val="005913BA"/>
    <w:rsid w:val="005913BE"/>
    <w:rsid w:val="00591AA1"/>
    <w:rsid w:val="00591D9D"/>
    <w:rsid w:val="00591E1D"/>
    <w:rsid w:val="00591F72"/>
    <w:rsid w:val="00592173"/>
    <w:rsid w:val="0059265F"/>
    <w:rsid w:val="00592749"/>
    <w:rsid w:val="0059279C"/>
    <w:rsid w:val="00592952"/>
    <w:rsid w:val="00592963"/>
    <w:rsid w:val="005929B0"/>
    <w:rsid w:val="00592BDB"/>
    <w:rsid w:val="00592D11"/>
    <w:rsid w:val="00592D9E"/>
    <w:rsid w:val="00592DED"/>
    <w:rsid w:val="00593154"/>
    <w:rsid w:val="0059329B"/>
    <w:rsid w:val="005932B7"/>
    <w:rsid w:val="005933AF"/>
    <w:rsid w:val="005934A8"/>
    <w:rsid w:val="00593565"/>
    <w:rsid w:val="00593639"/>
    <w:rsid w:val="00593712"/>
    <w:rsid w:val="00593A66"/>
    <w:rsid w:val="00593C0F"/>
    <w:rsid w:val="00593C77"/>
    <w:rsid w:val="005940F0"/>
    <w:rsid w:val="0059411E"/>
    <w:rsid w:val="005941A1"/>
    <w:rsid w:val="00594229"/>
    <w:rsid w:val="005942D7"/>
    <w:rsid w:val="005944C6"/>
    <w:rsid w:val="005945F2"/>
    <w:rsid w:val="0059467D"/>
    <w:rsid w:val="00594B34"/>
    <w:rsid w:val="00594BCB"/>
    <w:rsid w:val="00594CD1"/>
    <w:rsid w:val="00594DDC"/>
    <w:rsid w:val="00594E04"/>
    <w:rsid w:val="00594E48"/>
    <w:rsid w:val="00594F3F"/>
    <w:rsid w:val="00595073"/>
    <w:rsid w:val="0059520C"/>
    <w:rsid w:val="005953F7"/>
    <w:rsid w:val="005954F5"/>
    <w:rsid w:val="005955E5"/>
    <w:rsid w:val="00595608"/>
    <w:rsid w:val="00595705"/>
    <w:rsid w:val="00595849"/>
    <w:rsid w:val="005958C7"/>
    <w:rsid w:val="00595914"/>
    <w:rsid w:val="0059592C"/>
    <w:rsid w:val="005959F6"/>
    <w:rsid w:val="00595C4E"/>
    <w:rsid w:val="00595D9B"/>
    <w:rsid w:val="00596005"/>
    <w:rsid w:val="00596028"/>
    <w:rsid w:val="0059615B"/>
    <w:rsid w:val="005961F6"/>
    <w:rsid w:val="005962EB"/>
    <w:rsid w:val="0059649A"/>
    <w:rsid w:val="00596730"/>
    <w:rsid w:val="00596815"/>
    <w:rsid w:val="00596A61"/>
    <w:rsid w:val="00596B86"/>
    <w:rsid w:val="00596DF1"/>
    <w:rsid w:val="00597057"/>
    <w:rsid w:val="0059721A"/>
    <w:rsid w:val="00597220"/>
    <w:rsid w:val="0059729A"/>
    <w:rsid w:val="005972F1"/>
    <w:rsid w:val="00597454"/>
    <w:rsid w:val="00597459"/>
    <w:rsid w:val="00597874"/>
    <w:rsid w:val="005978C7"/>
    <w:rsid w:val="00597983"/>
    <w:rsid w:val="00597BD8"/>
    <w:rsid w:val="00597D34"/>
    <w:rsid w:val="00597E2A"/>
    <w:rsid w:val="00597E32"/>
    <w:rsid w:val="005A0038"/>
    <w:rsid w:val="005A0145"/>
    <w:rsid w:val="005A0279"/>
    <w:rsid w:val="005A03CF"/>
    <w:rsid w:val="005A0417"/>
    <w:rsid w:val="005A0588"/>
    <w:rsid w:val="005A0873"/>
    <w:rsid w:val="005A0893"/>
    <w:rsid w:val="005A0AC6"/>
    <w:rsid w:val="005A0C18"/>
    <w:rsid w:val="005A102E"/>
    <w:rsid w:val="005A1192"/>
    <w:rsid w:val="005A11C2"/>
    <w:rsid w:val="005A11FC"/>
    <w:rsid w:val="005A1327"/>
    <w:rsid w:val="005A1403"/>
    <w:rsid w:val="005A1489"/>
    <w:rsid w:val="005A18EC"/>
    <w:rsid w:val="005A1A53"/>
    <w:rsid w:val="005A1A87"/>
    <w:rsid w:val="005A1C3D"/>
    <w:rsid w:val="005A1C7B"/>
    <w:rsid w:val="005A1CA8"/>
    <w:rsid w:val="005A1D3E"/>
    <w:rsid w:val="005A1F91"/>
    <w:rsid w:val="005A1FDC"/>
    <w:rsid w:val="005A2025"/>
    <w:rsid w:val="005A22E7"/>
    <w:rsid w:val="005A2312"/>
    <w:rsid w:val="005A24B5"/>
    <w:rsid w:val="005A2D69"/>
    <w:rsid w:val="005A311D"/>
    <w:rsid w:val="005A324B"/>
    <w:rsid w:val="005A327A"/>
    <w:rsid w:val="005A328D"/>
    <w:rsid w:val="005A34F5"/>
    <w:rsid w:val="005A379F"/>
    <w:rsid w:val="005A3996"/>
    <w:rsid w:val="005A428E"/>
    <w:rsid w:val="005A46B7"/>
    <w:rsid w:val="005A4891"/>
    <w:rsid w:val="005A4B13"/>
    <w:rsid w:val="005A4E4D"/>
    <w:rsid w:val="005A5624"/>
    <w:rsid w:val="005A5634"/>
    <w:rsid w:val="005A5781"/>
    <w:rsid w:val="005A5A8A"/>
    <w:rsid w:val="005A5F5F"/>
    <w:rsid w:val="005A5FA6"/>
    <w:rsid w:val="005A605D"/>
    <w:rsid w:val="005A62E7"/>
    <w:rsid w:val="005A6378"/>
    <w:rsid w:val="005A64B5"/>
    <w:rsid w:val="005A64F4"/>
    <w:rsid w:val="005A67CA"/>
    <w:rsid w:val="005A6999"/>
    <w:rsid w:val="005A6C44"/>
    <w:rsid w:val="005A6CEE"/>
    <w:rsid w:val="005A6DB7"/>
    <w:rsid w:val="005A6DBA"/>
    <w:rsid w:val="005A6F60"/>
    <w:rsid w:val="005A6FEA"/>
    <w:rsid w:val="005A700F"/>
    <w:rsid w:val="005A7057"/>
    <w:rsid w:val="005A720A"/>
    <w:rsid w:val="005A733A"/>
    <w:rsid w:val="005A7350"/>
    <w:rsid w:val="005A746B"/>
    <w:rsid w:val="005A795A"/>
    <w:rsid w:val="005A7ACF"/>
    <w:rsid w:val="005A7B45"/>
    <w:rsid w:val="005A7BCD"/>
    <w:rsid w:val="005A7D97"/>
    <w:rsid w:val="005A7E03"/>
    <w:rsid w:val="005A7E5F"/>
    <w:rsid w:val="005B015B"/>
    <w:rsid w:val="005B0164"/>
    <w:rsid w:val="005B042A"/>
    <w:rsid w:val="005B04A4"/>
    <w:rsid w:val="005B059A"/>
    <w:rsid w:val="005B05F4"/>
    <w:rsid w:val="005B07EA"/>
    <w:rsid w:val="005B0C70"/>
    <w:rsid w:val="005B0F33"/>
    <w:rsid w:val="005B11A2"/>
    <w:rsid w:val="005B1425"/>
    <w:rsid w:val="005B158C"/>
    <w:rsid w:val="005B15D6"/>
    <w:rsid w:val="005B1728"/>
    <w:rsid w:val="005B1A8A"/>
    <w:rsid w:val="005B1D09"/>
    <w:rsid w:val="005B1F23"/>
    <w:rsid w:val="005B1FDE"/>
    <w:rsid w:val="005B24A4"/>
    <w:rsid w:val="005B2537"/>
    <w:rsid w:val="005B2701"/>
    <w:rsid w:val="005B291E"/>
    <w:rsid w:val="005B2945"/>
    <w:rsid w:val="005B2BAF"/>
    <w:rsid w:val="005B2D85"/>
    <w:rsid w:val="005B3097"/>
    <w:rsid w:val="005B309B"/>
    <w:rsid w:val="005B30F4"/>
    <w:rsid w:val="005B348C"/>
    <w:rsid w:val="005B3563"/>
    <w:rsid w:val="005B3662"/>
    <w:rsid w:val="005B369D"/>
    <w:rsid w:val="005B3A3D"/>
    <w:rsid w:val="005B3BC6"/>
    <w:rsid w:val="005B3BD8"/>
    <w:rsid w:val="005B3BEF"/>
    <w:rsid w:val="005B3C2D"/>
    <w:rsid w:val="005B3F92"/>
    <w:rsid w:val="005B407A"/>
    <w:rsid w:val="005B435D"/>
    <w:rsid w:val="005B44AD"/>
    <w:rsid w:val="005B4554"/>
    <w:rsid w:val="005B48B8"/>
    <w:rsid w:val="005B493C"/>
    <w:rsid w:val="005B4A20"/>
    <w:rsid w:val="005B4C2C"/>
    <w:rsid w:val="005B4E6B"/>
    <w:rsid w:val="005B4F57"/>
    <w:rsid w:val="005B4FD1"/>
    <w:rsid w:val="005B53A9"/>
    <w:rsid w:val="005B581D"/>
    <w:rsid w:val="005B5890"/>
    <w:rsid w:val="005B58DC"/>
    <w:rsid w:val="005B5AC4"/>
    <w:rsid w:val="005B5D71"/>
    <w:rsid w:val="005B5E4C"/>
    <w:rsid w:val="005B605F"/>
    <w:rsid w:val="005B60C9"/>
    <w:rsid w:val="005B62DE"/>
    <w:rsid w:val="005B64BB"/>
    <w:rsid w:val="005B6887"/>
    <w:rsid w:val="005B68E7"/>
    <w:rsid w:val="005B692A"/>
    <w:rsid w:val="005B6CF9"/>
    <w:rsid w:val="005B6D80"/>
    <w:rsid w:val="005B6DE3"/>
    <w:rsid w:val="005B6E43"/>
    <w:rsid w:val="005B7170"/>
    <w:rsid w:val="005B7638"/>
    <w:rsid w:val="005B76D4"/>
    <w:rsid w:val="005B7766"/>
    <w:rsid w:val="005B7C7E"/>
    <w:rsid w:val="005B7CA4"/>
    <w:rsid w:val="005B7D9C"/>
    <w:rsid w:val="005B7F11"/>
    <w:rsid w:val="005C0008"/>
    <w:rsid w:val="005C0097"/>
    <w:rsid w:val="005C00EC"/>
    <w:rsid w:val="005C015E"/>
    <w:rsid w:val="005C03CA"/>
    <w:rsid w:val="005C0544"/>
    <w:rsid w:val="005C07CA"/>
    <w:rsid w:val="005C07DF"/>
    <w:rsid w:val="005C07E7"/>
    <w:rsid w:val="005C0863"/>
    <w:rsid w:val="005C08EB"/>
    <w:rsid w:val="005C0AAD"/>
    <w:rsid w:val="005C0ACD"/>
    <w:rsid w:val="005C0B22"/>
    <w:rsid w:val="005C0D4F"/>
    <w:rsid w:val="005C0F93"/>
    <w:rsid w:val="005C1002"/>
    <w:rsid w:val="005C1007"/>
    <w:rsid w:val="005C1189"/>
    <w:rsid w:val="005C118A"/>
    <w:rsid w:val="005C131A"/>
    <w:rsid w:val="005C1642"/>
    <w:rsid w:val="005C1910"/>
    <w:rsid w:val="005C1A55"/>
    <w:rsid w:val="005C1AC9"/>
    <w:rsid w:val="005C1B1D"/>
    <w:rsid w:val="005C1C78"/>
    <w:rsid w:val="005C244D"/>
    <w:rsid w:val="005C268E"/>
    <w:rsid w:val="005C29D2"/>
    <w:rsid w:val="005C2F0B"/>
    <w:rsid w:val="005C2F92"/>
    <w:rsid w:val="005C3058"/>
    <w:rsid w:val="005C306D"/>
    <w:rsid w:val="005C355E"/>
    <w:rsid w:val="005C366C"/>
    <w:rsid w:val="005C3684"/>
    <w:rsid w:val="005C395E"/>
    <w:rsid w:val="005C39A8"/>
    <w:rsid w:val="005C3AF4"/>
    <w:rsid w:val="005C3C37"/>
    <w:rsid w:val="005C3C9C"/>
    <w:rsid w:val="005C4070"/>
    <w:rsid w:val="005C4175"/>
    <w:rsid w:val="005C4383"/>
    <w:rsid w:val="005C444F"/>
    <w:rsid w:val="005C4511"/>
    <w:rsid w:val="005C4908"/>
    <w:rsid w:val="005C4BDA"/>
    <w:rsid w:val="005C4C14"/>
    <w:rsid w:val="005C513C"/>
    <w:rsid w:val="005C527F"/>
    <w:rsid w:val="005C529D"/>
    <w:rsid w:val="005C5752"/>
    <w:rsid w:val="005C5774"/>
    <w:rsid w:val="005C5847"/>
    <w:rsid w:val="005C58B4"/>
    <w:rsid w:val="005C590A"/>
    <w:rsid w:val="005C5913"/>
    <w:rsid w:val="005C5951"/>
    <w:rsid w:val="005C5A1E"/>
    <w:rsid w:val="005C5B90"/>
    <w:rsid w:val="005C5DBC"/>
    <w:rsid w:val="005C605E"/>
    <w:rsid w:val="005C605F"/>
    <w:rsid w:val="005C6165"/>
    <w:rsid w:val="005C61DF"/>
    <w:rsid w:val="005C62A0"/>
    <w:rsid w:val="005C65ED"/>
    <w:rsid w:val="005C6946"/>
    <w:rsid w:val="005C6A22"/>
    <w:rsid w:val="005C6ACA"/>
    <w:rsid w:val="005C6B5B"/>
    <w:rsid w:val="005C72A5"/>
    <w:rsid w:val="005C736F"/>
    <w:rsid w:val="005C766E"/>
    <w:rsid w:val="005C7699"/>
    <w:rsid w:val="005C78BD"/>
    <w:rsid w:val="005C7901"/>
    <w:rsid w:val="005C7CD1"/>
    <w:rsid w:val="005C7D76"/>
    <w:rsid w:val="005C7F8C"/>
    <w:rsid w:val="005D025E"/>
    <w:rsid w:val="005D0314"/>
    <w:rsid w:val="005D034D"/>
    <w:rsid w:val="005D0389"/>
    <w:rsid w:val="005D03A2"/>
    <w:rsid w:val="005D0401"/>
    <w:rsid w:val="005D0914"/>
    <w:rsid w:val="005D095A"/>
    <w:rsid w:val="005D098B"/>
    <w:rsid w:val="005D0CAB"/>
    <w:rsid w:val="005D0FF5"/>
    <w:rsid w:val="005D103E"/>
    <w:rsid w:val="005D1389"/>
    <w:rsid w:val="005D14FC"/>
    <w:rsid w:val="005D1540"/>
    <w:rsid w:val="005D15E7"/>
    <w:rsid w:val="005D16AC"/>
    <w:rsid w:val="005D16D6"/>
    <w:rsid w:val="005D191B"/>
    <w:rsid w:val="005D1A01"/>
    <w:rsid w:val="005D1A52"/>
    <w:rsid w:val="005D1A9A"/>
    <w:rsid w:val="005D1B23"/>
    <w:rsid w:val="005D1E53"/>
    <w:rsid w:val="005D1F9B"/>
    <w:rsid w:val="005D2249"/>
    <w:rsid w:val="005D2360"/>
    <w:rsid w:val="005D27BF"/>
    <w:rsid w:val="005D28F8"/>
    <w:rsid w:val="005D2984"/>
    <w:rsid w:val="005D2AE9"/>
    <w:rsid w:val="005D2B38"/>
    <w:rsid w:val="005D2F33"/>
    <w:rsid w:val="005D300A"/>
    <w:rsid w:val="005D3404"/>
    <w:rsid w:val="005D34AC"/>
    <w:rsid w:val="005D355F"/>
    <w:rsid w:val="005D3590"/>
    <w:rsid w:val="005D36D6"/>
    <w:rsid w:val="005D36E9"/>
    <w:rsid w:val="005D3712"/>
    <w:rsid w:val="005D3891"/>
    <w:rsid w:val="005D3A53"/>
    <w:rsid w:val="005D3AD4"/>
    <w:rsid w:val="005D3B87"/>
    <w:rsid w:val="005D3E09"/>
    <w:rsid w:val="005D3EE6"/>
    <w:rsid w:val="005D4026"/>
    <w:rsid w:val="005D41D1"/>
    <w:rsid w:val="005D4206"/>
    <w:rsid w:val="005D4553"/>
    <w:rsid w:val="005D4679"/>
    <w:rsid w:val="005D476D"/>
    <w:rsid w:val="005D477C"/>
    <w:rsid w:val="005D4789"/>
    <w:rsid w:val="005D48EE"/>
    <w:rsid w:val="005D4950"/>
    <w:rsid w:val="005D4BD9"/>
    <w:rsid w:val="005D4F5D"/>
    <w:rsid w:val="005D5147"/>
    <w:rsid w:val="005D5163"/>
    <w:rsid w:val="005D54DB"/>
    <w:rsid w:val="005D5638"/>
    <w:rsid w:val="005D5836"/>
    <w:rsid w:val="005D58D3"/>
    <w:rsid w:val="005D5A76"/>
    <w:rsid w:val="005D5A7D"/>
    <w:rsid w:val="005D5B4E"/>
    <w:rsid w:val="005D5C0F"/>
    <w:rsid w:val="005D5FA6"/>
    <w:rsid w:val="005D6097"/>
    <w:rsid w:val="005D643E"/>
    <w:rsid w:val="005D6A10"/>
    <w:rsid w:val="005D6B33"/>
    <w:rsid w:val="005D6B79"/>
    <w:rsid w:val="005D6CD8"/>
    <w:rsid w:val="005D6D8B"/>
    <w:rsid w:val="005D6EB9"/>
    <w:rsid w:val="005D6EDC"/>
    <w:rsid w:val="005D7018"/>
    <w:rsid w:val="005D7273"/>
    <w:rsid w:val="005D74C0"/>
    <w:rsid w:val="005D74E4"/>
    <w:rsid w:val="005D7502"/>
    <w:rsid w:val="005D7507"/>
    <w:rsid w:val="005D7543"/>
    <w:rsid w:val="005D75E6"/>
    <w:rsid w:val="005D7604"/>
    <w:rsid w:val="005D78C1"/>
    <w:rsid w:val="005D7974"/>
    <w:rsid w:val="005D7A7C"/>
    <w:rsid w:val="005D7A9E"/>
    <w:rsid w:val="005D7B8E"/>
    <w:rsid w:val="005D7D62"/>
    <w:rsid w:val="005D7E12"/>
    <w:rsid w:val="005D7F68"/>
    <w:rsid w:val="005D7F8E"/>
    <w:rsid w:val="005D7F93"/>
    <w:rsid w:val="005D7FB8"/>
    <w:rsid w:val="005E0081"/>
    <w:rsid w:val="005E02C2"/>
    <w:rsid w:val="005E03F9"/>
    <w:rsid w:val="005E0535"/>
    <w:rsid w:val="005E0537"/>
    <w:rsid w:val="005E07F1"/>
    <w:rsid w:val="005E0DED"/>
    <w:rsid w:val="005E0EC8"/>
    <w:rsid w:val="005E11F8"/>
    <w:rsid w:val="005E1216"/>
    <w:rsid w:val="005E121E"/>
    <w:rsid w:val="005E1829"/>
    <w:rsid w:val="005E1DDD"/>
    <w:rsid w:val="005E1F53"/>
    <w:rsid w:val="005E2136"/>
    <w:rsid w:val="005E233A"/>
    <w:rsid w:val="005E23A8"/>
    <w:rsid w:val="005E2642"/>
    <w:rsid w:val="005E2A6C"/>
    <w:rsid w:val="005E2CAA"/>
    <w:rsid w:val="005E2D8C"/>
    <w:rsid w:val="005E31D8"/>
    <w:rsid w:val="005E354B"/>
    <w:rsid w:val="005E3618"/>
    <w:rsid w:val="005E363A"/>
    <w:rsid w:val="005E3958"/>
    <w:rsid w:val="005E3A4E"/>
    <w:rsid w:val="005E3ABE"/>
    <w:rsid w:val="005E3AFC"/>
    <w:rsid w:val="005E450F"/>
    <w:rsid w:val="005E46AA"/>
    <w:rsid w:val="005E49A5"/>
    <w:rsid w:val="005E4BE8"/>
    <w:rsid w:val="005E4D3B"/>
    <w:rsid w:val="005E4F41"/>
    <w:rsid w:val="005E503C"/>
    <w:rsid w:val="005E5119"/>
    <w:rsid w:val="005E53DA"/>
    <w:rsid w:val="005E5473"/>
    <w:rsid w:val="005E54C8"/>
    <w:rsid w:val="005E55E9"/>
    <w:rsid w:val="005E57D1"/>
    <w:rsid w:val="005E5C5B"/>
    <w:rsid w:val="005E5CB7"/>
    <w:rsid w:val="005E5E57"/>
    <w:rsid w:val="005E6021"/>
    <w:rsid w:val="005E6056"/>
    <w:rsid w:val="005E60F3"/>
    <w:rsid w:val="005E62E9"/>
    <w:rsid w:val="005E63CE"/>
    <w:rsid w:val="005E64D0"/>
    <w:rsid w:val="005E6661"/>
    <w:rsid w:val="005E66CC"/>
    <w:rsid w:val="005E673D"/>
    <w:rsid w:val="005E6865"/>
    <w:rsid w:val="005E686E"/>
    <w:rsid w:val="005E6964"/>
    <w:rsid w:val="005E6986"/>
    <w:rsid w:val="005E6B0D"/>
    <w:rsid w:val="005E6C3A"/>
    <w:rsid w:val="005E7196"/>
    <w:rsid w:val="005E7650"/>
    <w:rsid w:val="005E7748"/>
    <w:rsid w:val="005E780E"/>
    <w:rsid w:val="005E7820"/>
    <w:rsid w:val="005E7941"/>
    <w:rsid w:val="005E7A2B"/>
    <w:rsid w:val="005E7C20"/>
    <w:rsid w:val="005E7C4A"/>
    <w:rsid w:val="005E7C53"/>
    <w:rsid w:val="005E7EBB"/>
    <w:rsid w:val="005E7F21"/>
    <w:rsid w:val="005E7F95"/>
    <w:rsid w:val="005E7FC0"/>
    <w:rsid w:val="005F00A2"/>
    <w:rsid w:val="005F00EF"/>
    <w:rsid w:val="005F00F8"/>
    <w:rsid w:val="005F018A"/>
    <w:rsid w:val="005F02BA"/>
    <w:rsid w:val="005F0779"/>
    <w:rsid w:val="005F07C5"/>
    <w:rsid w:val="005F0961"/>
    <w:rsid w:val="005F09ED"/>
    <w:rsid w:val="005F0A35"/>
    <w:rsid w:val="005F0B53"/>
    <w:rsid w:val="005F0B98"/>
    <w:rsid w:val="005F0DC1"/>
    <w:rsid w:val="005F1196"/>
    <w:rsid w:val="005F143F"/>
    <w:rsid w:val="005F14A4"/>
    <w:rsid w:val="005F1543"/>
    <w:rsid w:val="005F1609"/>
    <w:rsid w:val="005F1653"/>
    <w:rsid w:val="005F1B92"/>
    <w:rsid w:val="005F20A1"/>
    <w:rsid w:val="005F211A"/>
    <w:rsid w:val="005F2154"/>
    <w:rsid w:val="005F2204"/>
    <w:rsid w:val="005F2283"/>
    <w:rsid w:val="005F234E"/>
    <w:rsid w:val="005F252C"/>
    <w:rsid w:val="005F259A"/>
    <w:rsid w:val="005F26E0"/>
    <w:rsid w:val="005F2758"/>
    <w:rsid w:val="005F27F6"/>
    <w:rsid w:val="005F2940"/>
    <w:rsid w:val="005F298A"/>
    <w:rsid w:val="005F2CEB"/>
    <w:rsid w:val="005F2DBB"/>
    <w:rsid w:val="005F2E15"/>
    <w:rsid w:val="005F2F04"/>
    <w:rsid w:val="005F2F96"/>
    <w:rsid w:val="005F3108"/>
    <w:rsid w:val="005F3144"/>
    <w:rsid w:val="005F32CE"/>
    <w:rsid w:val="005F377E"/>
    <w:rsid w:val="005F37BC"/>
    <w:rsid w:val="005F3807"/>
    <w:rsid w:val="005F382B"/>
    <w:rsid w:val="005F3877"/>
    <w:rsid w:val="005F3CC0"/>
    <w:rsid w:val="005F3DFF"/>
    <w:rsid w:val="005F3EC7"/>
    <w:rsid w:val="005F405F"/>
    <w:rsid w:val="005F420C"/>
    <w:rsid w:val="005F42CB"/>
    <w:rsid w:val="005F451E"/>
    <w:rsid w:val="005F462F"/>
    <w:rsid w:val="005F4712"/>
    <w:rsid w:val="005F4785"/>
    <w:rsid w:val="005F49AC"/>
    <w:rsid w:val="005F4BF4"/>
    <w:rsid w:val="005F4C26"/>
    <w:rsid w:val="005F4C63"/>
    <w:rsid w:val="005F4DEF"/>
    <w:rsid w:val="005F4ED3"/>
    <w:rsid w:val="005F4F2F"/>
    <w:rsid w:val="005F4F4B"/>
    <w:rsid w:val="005F4F7F"/>
    <w:rsid w:val="005F4FD0"/>
    <w:rsid w:val="005F4FFE"/>
    <w:rsid w:val="005F519F"/>
    <w:rsid w:val="005F5207"/>
    <w:rsid w:val="005F520D"/>
    <w:rsid w:val="005F5394"/>
    <w:rsid w:val="005F53E5"/>
    <w:rsid w:val="005F5646"/>
    <w:rsid w:val="005F5802"/>
    <w:rsid w:val="005F583C"/>
    <w:rsid w:val="005F5927"/>
    <w:rsid w:val="005F5A59"/>
    <w:rsid w:val="005F5BD9"/>
    <w:rsid w:val="005F5DE3"/>
    <w:rsid w:val="005F5F1E"/>
    <w:rsid w:val="005F63D0"/>
    <w:rsid w:val="005F6470"/>
    <w:rsid w:val="005F6625"/>
    <w:rsid w:val="005F684F"/>
    <w:rsid w:val="005F6AE9"/>
    <w:rsid w:val="005F6AED"/>
    <w:rsid w:val="005F6BF6"/>
    <w:rsid w:val="005F6C41"/>
    <w:rsid w:val="005F6D2F"/>
    <w:rsid w:val="005F6FE3"/>
    <w:rsid w:val="005F718C"/>
    <w:rsid w:val="005F73C6"/>
    <w:rsid w:val="005F75FC"/>
    <w:rsid w:val="005F76AE"/>
    <w:rsid w:val="005F772B"/>
    <w:rsid w:val="005F7901"/>
    <w:rsid w:val="005F798B"/>
    <w:rsid w:val="005F7B89"/>
    <w:rsid w:val="005F7B9C"/>
    <w:rsid w:val="006001C9"/>
    <w:rsid w:val="00600490"/>
    <w:rsid w:val="006007B7"/>
    <w:rsid w:val="00600A3B"/>
    <w:rsid w:val="00600AAA"/>
    <w:rsid w:val="00600AE5"/>
    <w:rsid w:val="00600BE2"/>
    <w:rsid w:val="00600C5E"/>
    <w:rsid w:val="00600E77"/>
    <w:rsid w:val="00600F97"/>
    <w:rsid w:val="006010C1"/>
    <w:rsid w:val="006011EC"/>
    <w:rsid w:val="006012D0"/>
    <w:rsid w:val="0060131C"/>
    <w:rsid w:val="00601545"/>
    <w:rsid w:val="006017DE"/>
    <w:rsid w:val="00601A90"/>
    <w:rsid w:val="00601B02"/>
    <w:rsid w:val="00601B37"/>
    <w:rsid w:val="00601BD4"/>
    <w:rsid w:val="00601BED"/>
    <w:rsid w:val="00601BEE"/>
    <w:rsid w:val="00601BF6"/>
    <w:rsid w:val="00601CAF"/>
    <w:rsid w:val="00601EEA"/>
    <w:rsid w:val="00601FC4"/>
    <w:rsid w:val="006022C5"/>
    <w:rsid w:val="006022CE"/>
    <w:rsid w:val="00602364"/>
    <w:rsid w:val="00602474"/>
    <w:rsid w:val="00602482"/>
    <w:rsid w:val="006024A3"/>
    <w:rsid w:val="006027E8"/>
    <w:rsid w:val="00602AC3"/>
    <w:rsid w:val="00602C5A"/>
    <w:rsid w:val="00602F06"/>
    <w:rsid w:val="00602FE3"/>
    <w:rsid w:val="0060303D"/>
    <w:rsid w:val="006032D8"/>
    <w:rsid w:val="006034ED"/>
    <w:rsid w:val="006034EE"/>
    <w:rsid w:val="00603545"/>
    <w:rsid w:val="0060377F"/>
    <w:rsid w:val="00603B51"/>
    <w:rsid w:val="00603D9D"/>
    <w:rsid w:val="00603E56"/>
    <w:rsid w:val="00603EC7"/>
    <w:rsid w:val="00604109"/>
    <w:rsid w:val="00604122"/>
    <w:rsid w:val="0060421B"/>
    <w:rsid w:val="006042D0"/>
    <w:rsid w:val="0060445C"/>
    <w:rsid w:val="00604475"/>
    <w:rsid w:val="00604524"/>
    <w:rsid w:val="006049E9"/>
    <w:rsid w:val="00604AC5"/>
    <w:rsid w:val="00604DDB"/>
    <w:rsid w:val="00604EFB"/>
    <w:rsid w:val="00604F9E"/>
    <w:rsid w:val="0060510F"/>
    <w:rsid w:val="00605138"/>
    <w:rsid w:val="00605217"/>
    <w:rsid w:val="006053BE"/>
    <w:rsid w:val="006053C6"/>
    <w:rsid w:val="00605415"/>
    <w:rsid w:val="0060542A"/>
    <w:rsid w:val="00605632"/>
    <w:rsid w:val="00605707"/>
    <w:rsid w:val="00605763"/>
    <w:rsid w:val="0060585F"/>
    <w:rsid w:val="00605A10"/>
    <w:rsid w:val="00605A42"/>
    <w:rsid w:val="00605A58"/>
    <w:rsid w:val="00605A80"/>
    <w:rsid w:val="00605B99"/>
    <w:rsid w:val="00605DCE"/>
    <w:rsid w:val="00606031"/>
    <w:rsid w:val="00606087"/>
    <w:rsid w:val="00606342"/>
    <w:rsid w:val="00606545"/>
    <w:rsid w:val="0060659A"/>
    <w:rsid w:val="006065BE"/>
    <w:rsid w:val="00606737"/>
    <w:rsid w:val="00606C47"/>
    <w:rsid w:val="00606CB3"/>
    <w:rsid w:val="00606D40"/>
    <w:rsid w:val="00606DE9"/>
    <w:rsid w:val="00606ECE"/>
    <w:rsid w:val="00606EDE"/>
    <w:rsid w:val="00606F27"/>
    <w:rsid w:val="00607056"/>
    <w:rsid w:val="00607321"/>
    <w:rsid w:val="00607392"/>
    <w:rsid w:val="006073BB"/>
    <w:rsid w:val="00607491"/>
    <w:rsid w:val="00607552"/>
    <w:rsid w:val="00607FC2"/>
    <w:rsid w:val="006100F0"/>
    <w:rsid w:val="00610325"/>
    <w:rsid w:val="0061052C"/>
    <w:rsid w:val="006106D0"/>
    <w:rsid w:val="00610976"/>
    <w:rsid w:val="00610BD4"/>
    <w:rsid w:val="00610CFC"/>
    <w:rsid w:val="00610FD0"/>
    <w:rsid w:val="006110EF"/>
    <w:rsid w:val="00611201"/>
    <w:rsid w:val="00611435"/>
    <w:rsid w:val="006114C7"/>
    <w:rsid w:val="00611532"/>
    <w:rsid w:val="00611595"/>
    <w:rsid w:val="006116AE"/>
    <w:rsid w:val="006116D1"/>
    <w:rsid w:val="00611732"/>
    <w:rsid w:val="00611875"/>
    <w:rsid w:val="0061195F"/>
    <w:rsid w:val="00611972"/>
    <w:rsid w:val="006119BB"/>
    <w:rsid w:val="00611AFE"/>
    <w:rsid w:val="00611B86"/>
    <w:rsid w:val="00611C59"/>
    <w:rsid w:val="00611D42"/>
    <w:rsid w:val="00611DFA"/>
    <w:rsid w:val="00611E6A"/>
    <w:rsid w:val="00612366"/>
    <w:rsid w:val="006123B2"/>
    <w:rsid w:val="00612821"/>
    <w:rsid w:val="00612894"/>
    <w:rsid w:val="00612B44"/>
    <w:rsid w:val="00612BAD"/>
    <w:rsid w:val="00612C04"/>
    <w:rsid w:val="00612C31"/>
    <w:rsid w:val="00612DDB"/>
    <w:rsid w:val="00613030"/>
    <w:rsid w:val="00613080"/>
    <w:rsid w:val="0061309E"/>
    <w:rsid w:val="0061311A"/>
    <w:rsid w:val="0061335E"/>
    <w:rsid w:val="006134D2"/>
    <w:rsid w:val="00613512"/>
    <w:rsid w:val="0061368D"/>
    <w:rsid w:val="006137DC"/>
    <w:rsid w:val="006137F0"/>
    <w:rsid w:val="00613C5F"/>
    <w:rsid w:val="00613E27"/>
    <w:rsid w:val="00613FDF"/>
    <w:rsid w:val="00614030"/>
    <w:rsid w:val="006142F5"/>
    <w:rsid w:val="0061446E"/>
    <w:rsid w:val="0061453B"/>
    <w:rsid w:val="006145C8"/>
    <w:rsid w:val="006146B4"/>
    <w:rsid w:val="006147D8"/>
    <w:rsid w:val="0061484E"/>
    <w:rsid w:val="006149E6"/>
    <w:rsid w:val="00614A3D"/>
    <w:rsid w:val="00614C92"/>
    <w:rsid w:val="00614D65"/>
    <w:rsid w:val="00614D74"/>
    <w:rsid w:val="00614D87"/>
    <w:rsid w:val="0061525D"/>
    <w:rsid w:val="00615432"/>
    <w:rsid w:val="0061546F"/>
    <w:rsid w:val="00615562"/>
    <w:rsid w:val="006155CB"/>
    <w:rsid w:val="006156A5"/>
    <w:rsid w:val="006158CE"/>
    <w:rsid w:val="00615999"/>
    <w:rsid w:val="00615B56"/>
    <w:rsid w:val="00615BD6"/>
    <w:rsid w:val="00615DEF"/>
    <w:rsid w:val="00616004"/>
    <w:rsid w:val="006161B9"/>
    <w:rsid w:val="006161C7"/>
    <w:rsid w:val="006162D1"/>
    <w:rsid w:val="006164C7"/>
    <w:rsid w:val="006164D0"/>
    <w:rsid w:val="006164F3"/>
    <w:rsid w:val="00616550"/>
    <w:rsid w:val="00616A29"/>
    <w:rsid w:val="00616A33"/>
    <w:rsid w:val="00616BA2"/>
    <w:rsid w:val="00616C2A"/>
    <w:rsid w:val="00616DC6"/>
    <w:rsid w:val="00617090"/>
    <w:rsid w:val="0061709D"/>
    <w:rsid w:val="0061714E"/>
    <w:rsid w:val="006173CD"/>
    <w:rsid w:val="00617736"/>
    <w:rsid w:val="0061798F"/>
    <w:rsid w:val="006179C4"/>
    <w:rsid w:val="00617AE9"/>
    <w:rsid w:val="00617EA6"/>
    <w:rsid w:val="0062011D"/>
    <w:rsid w:val="006202C6"/>
    <w:rsid w:val="006202ED"/>
    <w:rsid w:val="00620558"/>
    <w:rsid w:val="006206F2"/>
    <w:rsid w:val="006207C8"/>
    <w:rsid w:val="00620B2C"/>
    <w:rsid w:val="00620C4F"/>
    <w:rsid w:val="00620D80"/>
    <w:rsid w:val="00620E11"/>
    <w:rsid w:val="006211FE"/>
    <w:rsid w:val="006219B3"/>
    <w:rsid w:val="00621BB9"/>
    <w:rsid w:val="00621CF2"/>
    <w:rsid w:val="00621EB4"/>
    <w:rsid w:val="00622126"/>
    <w:rsid w:val="0062226D"/>
    <w:rsid w:val="0062238F"/>
    <w:rsid w:val="00622484"/>
    <w:rsid w:val="00622885"/>
    <w:rsid w:val="00622972"/>
    <w:rsid w:val="006229AB"/>
    <w:rsid w:val="00622A94"/>
    <w:rsid w:val="00622BEF"/>
    <w:rsid w:val="00622C9A"/>
    <w:rsid w:val="00622D0A"/>
    <w:rsid w:val="00622F93"/>
    <w:rsid w:val="0062302B"/>
    <w:rsid w:val="0062305C"/>
    <w:rsid w:val="006230CE"/>
    <w:rsid w:val="006234C4"/>
    <w:rsid w:val="006235BE"/>
    <w:rsid w:val="0062369D"/>
    <w:rsid w:val="0062392B"/>
    <w:rsid w:val="00623CAE"/>
    <w:rsid w:val="00623E64"/>
    <w:rsid w:val="00624105"/>
    <w:rsid w:val="006246C6"/>
    <w:rsid w:val="00624862"/>
    <w:rsid w:val="00624A2A"/>
    <w:rsid w:val="00624CDD"/>
    <w:rsid w:val="00624E58"/>
    <w:rsid w:val="00624F23"/>
    <w:rsid w:val="00624F3D"/>
    <w:rsid w:val="00624F3E"/>
    <w:rsid w:val="0062507B"/>
    <w:rsid w:val="0062511C"/>
    <w:rsid w:val="006252ED"/>
    <w:rsid w:val="00625524"/>
    <w:rsid w:val="0062588B"/>
    <w:rsid w:val="006258FF"/>
    <w:rsid w:val="00625D78"/>
    <w:rsid w:val="00625DAD"/>
    <w:rsid w:val="00625DC6"/>
    <w:rsid w:val="00625F29"/>
    <w:rsid w:val="00625F2B"/>
    <w:rsid w:val="0062608B"/>
    <w:rsid w:val="006260D3"/>
    <w:rsid w:val="00626172"/>
    <w:rsid w:val="0062636C"/>
    <w:rsid w:val="00626398"/>
    <w:rsid w:val="006267A6"/>
    <w:rsid w:val="00626945"/>
    <w:rsid w:val="00626979"/>
    <w:rsid w:val="00626CF7"/>
    <w:rsid w:val="00626F9A"/>
    <w:rsid w:val="0062723B"/>
    <w:rsid w:val="00627311"/>
    <w:rsid w:val="00627340"/>
    <w:rsid w:val="00627386"/>
    <w:rsid w:val="006275E8"/>
    <w:rsid w:val="006278AB"/>
    <w:rsid w:val="0062797A"/>
    <w:rsid w:val="00627A79"/>
    <w:rsid w:val="00627BB4"/>
    <w:rsid w:val="00627D0C"/>
    <w:rsid w:val="00627D5C"/>
    <w:rsid w:val="00627F5F"/>
    <w:rsid w:val="00630026"/>
    <w:rsid w:val="00630052"/>
    <w:rsid w:val="00630234"/>
    <w:rsid w:val="00630389"/>
    <w:rsid w:val="006307D6"/>
    <w:rsid w:val="00630946"/>
    <w:rsid w:val="00630AC1"/>
    <w:rsid w:val="00630B86"/>
    <w:rsid w:val="00630C18"/>
    <w:rsid w:val="00630CB9"/>
    <w:rsid w:val="00630CC2"/>
    <w:rsid w:val="00630D72"/>
    <w:rsid w:val="00630E05"/>
    <w:rsid w:val="00630E96"/>
    <w:rsid w:val="00630E9F"/>
    <w:rsid w:val="0063118D"/>
    <w:rsid w:val="00631475"/>
    <w:rsid w:val="00631580"/>
    <w:rsid w:val="00631770"/>
    <w:rsid w:val="00631B7B"/>
    <w:rsid w:val="00631BB7"/>
    <w:rsid w:val="00631BDB"/>
    <w:rsid w:val="00631C33"/>
    <w:rsid w:val="00631DA1"/>
    <w:rsid w:val="00631FB0"/>
    <w:rsid w:val="006320B6"/>
    <w:rsid w:val="0063250C"/>
    <w:rsid w:val="00632704"/>
    <w:rsid w:val="006327F2"/>
    <w:rsid w:val="0063280C"/>
    <w:rsid w:val="00632D10"/>
    <w:rsid w:val="00632D8D"/>
    <w:rsid w:val="006339AB"/>
    <w:rsid w:val="00633BA2"/>
    <w:rsid w:val="00633D0B"/>
    <w:rsid w:val="00633D0D"/>
    <w:rsid w:val="00633D39"/>
    <w:rsid w:val="00633D5C"/>
    <w:rsid w:val="00634019"/>
    <w:rsid w:val="0063413D"/>
    <w:rsid w:val="00634154"/>
    <w:rsid w:val="00634188"/>
    <w:rsid w:val="00634354"/>
    <w:rsid w:val="0063468D"/>
    <w:rsid w:val="006347C1"/>
    <w:rsid w:val="00634944"/>
    <w:rsid w:val="00634A08"/>
    <w:rsid w:val="00634A51"/>
    <w:rsid w:val="00634C60"/>
    <w:rsid w:val="00634CAE"/>
    <w:rsid w:val="00634D87"/>
    <w:rsid w:val="00634F18"/>
    <w:rsid w:val="00634F1A"/>
    <w:rsid w:val="00634F47"/>
    <w:rsid w:val="00635141"/>
    <w:rsid w:val="006353E0"/>
    <w:rsid w:val="0063556D"/>
    <w:rsid w:val="006355AC"/>
    <w:rsid w:val="006355B1"/>
    <w:rsid w:val="006355F3"/>
    <w:rsid w:val="00635655"/>
    <w:rsid w:val="006357CB"/>
    <w:rsid w:val="00635864"/>
    <w:rsid w:val="0063596F"/>
    <w:rsid w:val="006359FF"/>
    <w:rsid w:val="00635B48"/>
    <w:rsid w:val="00635DBC"/>
    <w:rsid w:val="00635FCA"/>
    <w:rsid w:val="00636053"/>
    <w:rsid w:val="0063630D"/>
    <w:rsid w:val="0063674D"/>
    <w:rsid w:val="0063684E"/>
    <w:rsid w:val="00636AB9"/>
    <w:rsid w:val="00636CAD"/>
    <w:rsid w:val="00636E86"/>
    <w:rsid w:val="0063706A"/>
    <w:rsid w:val="0063717D"/>
    <w:rsid w:val="006371A5"/>
    <w:rsid w:val="0063747F"/>
    <w:rsid w:val="006375B9"/>
    <w:rsid w:val="0063791F"/>
    <w:rsid w:val="00637B21"/>
    <w:rsid w:val="00637BF5"/>
    <w:rsid w:val="00637CD3"/>
    <w:rsid w:val="00637CE9"/>
    <w:rsid w:val="00637F23"/>
    <w:rsid w:val="00637F2C"/>
    <w:rsid w:val="00637F7F"/>
    <w:rsid w:val="00637FBB"/>
    <w:rsid w:val="00640202"/>
    <w:rsid w:val="0064020D"/>
    <w:rsid w:val="006402BC"/>
    <w:rsid w:val="006402EF"/>
    <w:rsid w:val="00640356"/>
    <w:rsid w:val="0064052C"/>
    <w:rsid w:val="0064056F"/>
    <w:rsid w:val="00640695"/>
    <w:rsid w:val="0064071B"/>
    <w:rsid w:val="006409E5"/>
    <w:rsid w:val="00640DB7"/>
    <w:rsid w:val="00640E2F"/>
    <w:rsid w:val="00640F7A"/>
    <w:rsid w:val="0064118B"/>
    <w:rsid w:val="00641BCE"/>
    <w:rsid w:val="00641BFE"/>
    <w:rsid w:val="00641D22"/>
    <w:rsid w:val="00641F84"/>
    <w:rsid w:val="006420DB"/>
    <w:rsid w:val="00642133"/>
    <w:rsid w:val="00642239"/>
    <w:rsid w:val="0064259E"/>
    <w:rsid w:val="006425EF"/>
    <w:rsid w:val="006427C0"/>
    <w:rsid w:val="00642ACF"/>
    <w:rsid w:val="00642B3E"/>
    <w:rsid w:val="00642BC0"/>
    <w:rsid w:val="00642CB5"/>
    <w:rsid w:val="00642D0D"/>
    <w:rsid w:val="00642D5B"/>
    <w:rsid w:val="00642D8D"/>
    <w:rsid w:val="00642E3B"/>
    <w:rsid w:val="00642E60"/>
    <w:rsid w:val="0064324C"/>
    <w:rsid w:val="0064329A"/>
    <w:rsid w:val="00643392"/>
    <w:rsid w:val="0064352D"/>
    <w:rsid w:val="006436FC"/>
    <w:rsid w:val="00643773"/>
    <w:rsid w:val="0064377A"/>
    <w:rsid w:val="00643825"/>
    <w:rsid w:val="006438C6"/>
    <w:rsid w:val="00643954"/>
    <w:rsid w:val="006439A1"/>
    <w:rsid w:val="006439EF"/>
    <w:rsid w:val="00643A24"/>
    <w:rsid w:val="00643CF0"/>
    <w:rsid w:val="00643D32"/>
    <w:rsid w:val="00643DFC"/>
    <w:rsid w:val="00643ED8"/>
    <w:rsid w:val="0064407A"/>
    <w:rsid w:val="0064463D"/>
    <w:rsid w:val="00644855"/>
    <w:rsid w:val="00644894"/>
    <w:rsid w:val="0064491A"/>
    <w:rsid w:val="0064492E"/>
    <w:rsid w:val="00644DEE"/>
    <w:rsid w:val="00644E60"/>
    <w:rsid w:val="00644FB3"/>
    <w:rsid w:val="0064519B"/>
    <w:rsid w:val="00645216"/>
    <w:rsid w:val="00645227"/>
    <w:rsid w:val="0064529A"/>
    <w:rsid w:val="006452C4"/>
    <w:rsid w:val="00645323"/>
    <w:rsid w:val="006455E5"/>
    <w:rsid w:val="00645C55"/>
    <w:rsid w:val="0064612A"/>
    <w:rsid w:val="006463FE"/>
    <w:rsid w:val="0064644C"/>
    <w:rsid w:val="0064648B"/>
    <w:rsid w:val="006464B5"/>
    <w:rsid w:val="00646718"/>
    <w:rsid w:val="0064671E"/>
    <w:rsid w:val="00646999"/>
    <w:rsid w:val="00646D48"/>
    <w:rsid w:val="006470F4"/>
    <w:rsid w:val="006471C2"/>
    <w:rsid w:val="00647547"/>
    <w:rsid w:val="006477AD"/>
    <w:rsid w:val="006479F3"/>
    <w:rsid w:val="00647AD5"/>
    <w:rsid w:val="00647B0A"/>
    <w:rsid w:val="00647D25"/>
    <w:rsid w:val="00647D4A"/>
    <w:rsid w:val="00647D6E"/>
    <w:rsid w:val="00647E43"/>
    <w:rsid w:val="00647E91"/>
    <w:rsid w:val="00650005"/>
    <w:rsid w:val="00650048"/>
    <w:rsid w:val="0065026A"/>
    <w:rsid w:val="006503D9"/>
    <w:rsid w:val="006504C0"/>
    <w:rsid w:val="00650751"/>
    <w:rsid w:val="0065077F"/>
    <w:rsid w:val="00650A8C"/>
    <w:rsid w:val="00650A91"/>
    <w:rsid w:val="00650CD5"/>
    <w:rsid w:val="00650CDC"/>
    <w:rsid w:val="00650FD4"/>
    <w:rsid w:val="006510AA"/>
    <w:rsid w:val="006510CD"/>
    <w:rsid w:val="0065147F"/>
    <w:rsid w:val="006517A7"/>
    <w:rsid w:val="006517C6"/>
    <w:rsid w:val="00651810"/>
    <w:rsid w:val="00651999"/>
    <w:rsid w:val="00651FCA"/>
    <w:rsid w:val="006521D4"/>
    <w:rsid w:val="006522B9"/>
    <w:rsid w:val="006525BB"/>
    <w:rsid w:val="0065261C"/>
    <w:rsid w:val="00652A45"/>
    <w:rsid w:val="00652E18"/>
    <w:rsid w:val="00652E8B"/>
    <w:rsid w:val="00653017"/>
    <w:rsid w:val="00653146"/>
    <w:rsid w:val="006531B3"/>
    <w:rsid w:val="006531DB"/>
    <w:rsid w:val="006533CE"/>
    <w:rsid w:val="006533F6"/>
    <w:rsid w:val="0065348B"/>
    <w:rsid w:val="006535AC"/>
    <w:rsid w:val="006535DC"/>
    <w:rsid w:val="00653608"/>
    <w:rsid w:val="00653744"/>
    <w:rsid w:val="00653827"/>
    <w:rsid w:val="0065391A"/>
    <w:rsid w:val="00653A7F"/>
    <w:rsid w:val="00653B96"/>
    <w:rsid w:val="00653D4D"/>
    <w:rsid w:val="00653DE0"/>
    <w:rsid w:val="00653E3A"/>
    <w:rsid w:val="00653E6C"/>
    <w:rsid w:val="00653EDB"/>
    <w:rsid w:val="00653F3F"/>
    <w:rsid w:val="00654080"/>
    <w:rsid w:val="006540A8"/>
    <w:rsid w:val="00654359"/>
    <w:rsid w:val="00654595"/>
    <w:rsid w:val="0065468D"/>
    <w:rsid w:val="006546B5"/>
    <w:rsid w:val="006547A1"/>
    <w:rsid w:val="00654857"/>
    <w:rsid w:val="006549A5"/>
    <w:rsid w:val="00654B77"/>
    <w:rsid w:val="00654DFA"/>
    <w:rsid w:val="00654FE9"/>
    <w:rsid w:val="0065505E"/>
    <w:rsid w:val="0065515E"/>
    <w:rsid w:val="006555A3"/>
    <w:rsid w:val="0065561B"/>
    <w:rsid w:val="006556E2"/>
    <w:rsid w:val="00655824"/>
    <w:rsid w:val="0065583A"/>
    <w:rsid w:val="00655894"/>
    <w:rsid w:val="00655B31"/>
    <w:rsid w:val="00655B50"/>
    <w:rsid w:val="00655B71"/>
    <w:rsid w:val="00655F38"/>
    <w:rsid w:val="00655FF6"/>
    <w:rsid w:val="00655FFB"/>
    <w:rsid w:val="00656126"/>
    <w:rsid w:val="0065627D"/>
    <w:rsid w:val="006562BB"/>
    <w:rsid w:val="006562E9"/>
    <w:rsid w:val="00656465"/>
    <w:rsid w:val="00656664"/>
    <w:rsid w:val="00656859"/>
    <w:rsid w:val="0065685F"/>
    <w:rsid w:val="0065687D"/>
    <w:rsid w:val="006568FA"/>
    <w:rsid w:val="00656D1F"/>
    <w:rsid w:val="00657059"/>
    <w:rsid w:val="00657277"/>
    <w:rsid w:val="0065735C"/>
    <w:rsid w:val="00657400"/>
    <w:rsid w:val="0065758A"/>
    <w:rsid w:val="006575A6"/>
    <w:rsid w:val="00657648"/>
    <w:rsid w:val="00657927"/>
    <w:rsid w:val="00657934"/>
    <w:rsid w:val="00657AD8"/>
    <w:rsid w:val="00657B3A"/>
    <w:rsid w:val="00657CBC"/>
    <w:rsid w:val="00657F15"/>
    <w:rsid w:val="00657FC3"/>
    <w:rsid w:val="00660105"/>
    <w:rsid w:val="0066018A"/>
    <w:rsid w:val="0066052E"/>
    <w:rsid w:val="00660798"/>
    <w:rsid w:val="0066086F"/>
    <w:rsid w:val="006609DA"/>
    <w:rsid w:val="006609E0"/>
    <w:rsid w:val="00660D32"/>
    <w:rsid w:val="00660F54"/>
    <w:rsid w:val="00661031"/>
    <w:rsid w:val="00661081"/>
    <w:rsid w:val="0066109A"/>
    <w:rsid w:val="00661119"/>
    <w:rsid w:val="006611FA"/>
    <w:rsid w:val="006614C2"/>
    <w:rsid w:val="00661509"/>
    <w:rsid w:val="006615CB"/>
    <w:rsid w:val="006615DC"/>
    <w:rsid w:val="006616F8"/>
    <w:rsid w:val="0066171F"/>
    <w:rsid w:val="0066199A"/>
    <w:rsid w:val="00661E6B"/>
    <w:rsid w:val="00661E8D"/>
    <w:rsid w:val="00662047"/>
    <w:rsid w:val="006620F0"/>
    <w:rsid w:val="006621F5"/>
    <w:rsid w:val="006623C7"/>
    <w:rsid w:val="006625CD"/>
    <w:rsid w:val="00662690"/>
    <w:rsid w:val="0066286E"/>
    <w:rsid w:val="00662922"/>
    <w:rsid w:val="006629D6"/>
    <w:rsid w:val="00662A09"/>
    <w:rsid w:val="00662DF1"/>
    <w:rsid w:val="00662F40"/>
    <w:rsid w:val="0066301D"/>
    <w:rsid w:val="006630C7"/>
    <w:rsid w:val="006632B8"/>
    <w:rsid w:val="006632C2"/>
    <w:rsid w:val="0066355C"/>
    <w:rsid w:val="006635B6"/>
    <w:rsid w:val="006635D4"/>
    <w:rsid w:val="00663770"/>
    <w:rsid w:val="00663B70"/>
    <w:rsid w:val="006640A9"/>
    <w:rsid w:val="006643CB"/>
    <w:rsid w:val="0066440F"/>
    <w:rsid w:val="0066465A"/>
    <w:rsid w:val="006647DB"/>
    <w:rsid w:val="00664AC4"/>
    <w:rsid w:val="00664C78"/>
    <w:rsid w:val="00664D45"/>
    <w:rsid w:val="00664D52"/>
    <w:rsid w:val="00664E34"/>
    <w:rsid w:val="00664E82"/>
    <w:rsid w:val="0066512F"/>
    <w:rsid w:val="00665221"/>
    <w:rsid w:val="0066557B"/>
    <w:rsid w:val="0066564E"/>
    <w:rsid w:val="00665844"/>
    <w:rsid w:val="00665A8F"/>
    <w:rsid w:val="00665D48"/>
    <w:rsid w:val="00665F8E"/>
    <w:rsid w:val="0066600D"/>
    <w:rsid w:val="0066650B"/>
    <w:rsid w:val="006666C9"/>
    <w:rsid w:val="00666787"/>
    <w:rsid w:val="00666908"/>
    <w:rsid w:val="00666C0D"/>
    <w:rsid w:val="00666D61"/>
    <w:rsid w:val="00666DE8"/>
    <w:rsid w:val="00666E9F"/>
    <w:rsid w:val="00666EC8"/>
    <w:rsid w:val="00667141"/>
    <w:rsid w:val="006673AC"/>
    <w:rsid w:val="00667890"/>
    <w:rsid w:val="00667A1F"/>
    <w:rsid w:val="00667B10"/>
    <w:rsid w:val="00667B7B"/>
    <w:rsid w:val="00667B92"/>
    <w:rsid w:val="00667B97"/>
    <w:rsid w:val="00667F20"/>
    <w:rsid w:val="0067000B"/>
    <w:rsid w:val="00670249"/>
    <w:rsid w:val="00670351"/>
    <w:rsid w:val="006704CF"/>
    <w:rsid w:val="00670516"/>
    <w:rsid w:val="0067055D"/>
    <w:rsid w:val="00670676"/>
    <w:rsid w:val="006706D8"/>
    <w:rsid w:val="00670756"/>
    <w:rsid w:val="006707BC"/>
    <w:rsid w:val="006708E9"/>
    <w:rsid w:val="00670978"/>
    <w:rsid w:val="006709AF"/>
    <w:rsid w:val="00670A96"/>
    <w:rsid w:val="00670B84"/>
    <w:rsid w:val="00670B93"/>
    <w:rsid w:val="00670C4A"/>
    <w:rsid w:val="00670CE5"/>
    <w:rsid w:val="00670D0D"/>
    <w:rsid w:val="00670F78"/>
    <w:rsid w:val="00671227"/>
    <w:rsid w:val="0067124F"/>
    <w:rsid w:val="00671470"/>
    <w:rsid w:val="0067147F"/>
    <w:rsid w:val="006714E5"/>
    <w:rsid w:val="00671560"/>
    <w:rsid w:val="006715F7"/>
    <w:rsid w:val="00671714"/>
    <w:rsid w:val="00671AB7"/>
    <w:rsid w:val="00671B46"/>
    <w:rsid w:val="00671C5B"/>
    <w:rsid w:val="00671CE4"/>
    <w:rsid w:val="00671DF0"/>
    <w:rsid w:val="00671E0C"/>
    <w:rsid w:val="00671F16"/>
    <w:rsid w:val="00672236"/>
    <w:rsid w:val="006724B2"/>
    <w:rsid w:val="006725AB"/>
    <w:rsid w:val="00672642"/>
    <w:rsid w:val="00672836"/>
    <w:rsid w:val="00672A46"/>
    <w:rsid w:val="00672DF8"/>
    <w:rsid w:val="0067307E"/>
    <w:rsid w:val="0067314A"/>
    <w:rsid w:val="0067337D"/>
    <w:rsid w:val="00673410"/>
    <w:rsid w:val="0067349B"/>
    <w:rsid w:val="006734A3"/>
    <w:rsid w:val="0067350E"/>
    <w:rsid w:val="006737AA"/>
    <w:rsid w:val="00673920"/>
    <w:rsid w:val="00673BCC"/>
    <w:rsid w:val="00673CA7"/>
    <w:rsid w:val="00673CF0"/>
    <w:rsid w:val="00673EEB"/>
    <w:rsid w:val="006740FA"/>
    <w:rsid w:val="00674258"/>
    <w:rsid w:val="006742E5"/>
    <w:rsid w:val="0067443A"/>
    <w:rsid w:val="006744F8"/>
    <w:rsid w:val="00674671"/>
    <w:rsid w:val="00674B87"/>
    <w:rsid w:val="00674D8C"/>
    <w:rsid w:val="00674E96"/>
    <w:rsid w:val="00674F42"/>
    <w:rsid w:val="00674FC8"/>
    <w:rsid w:val="0067512D"/>
    <w:rsid w:val="006752A7"/>
    <w:rsid w:val="006754D3"/>
    <w:rsid w:val="0067552C"/>
    <w:rsid w:val="00675552"/>
    <w:rsid w:val="0067557E"/>
    <w:rsid w:val="006756F1"/>
    <w:rsid w:val="006758BB"/>
    <w:rsid w:val="00675C82"/>
    <w:rsid w:val="00675DF4"/>
    <w:rsid w:val="00675E0D"/>
    <w:rsid w:val="0067602D"/>
    <w:rsid w:val="00676159"/>
    <w:rsid w:val="0067628E"/>
    <w:rsid w:val="00676395"/>
    <w:rsid w:val="00676424"/>
    <w:rsid w:val="006764F9"/>
    <w:rsid w:val="006768B3"/>
    <w:rsid w:val="006768DF"/>
    <w:rsid w:val="006769AD"/>
    <w:rsid w:val="00676A45"/>
    <w:rsid w:val="00676A9A"/>
    <w:rsid w:val="00676CA2"/>
    <w:rsid w:val="00676CF3"/>
    <w:rsid w:val="00676E03"/>
    <w:rsid w:val="00676F33"/>
    <w:rsid w:val="00676F90"/>
    <w:rsid w:val="0067710E"/>
    <w:rsid w:val="00677136"/>
    <w:rsid w:val="00677173"/>
    <w:rsid w:val="00677219"/>
    <w:rsid w:val="00677331"/>
    <w:rsid w:val="006773FE"/>
    <w:rsid w:val="006774D7"/>
    <w:rsid w:val="006775BF"/>
    <w:rsid w:val="00677673"/>
    <w:rsid w:val="006778FD"/>
    <w:rsid w:val="006779F8"/>
    <w:rsid w:val="00680166"/>
    <w:rsid w:val="006802DA"/>
    <w:rsid w:val="006803E8"/>
    <w:rsid w:val="00680479"/>
    <w:rsid w:val="006804C9"/>
    <w:rsid w:val="006804D1"/>
    <w:rsid w:val="0068061E"/>
    <w:rsid w:val="00680B43"/>
    <w:rsid w:val="00680C2A"/>
    <w:rsid w:val="00680EA2"/>
    <w:rsid w:val="00680EEB"/>
    <w:rsid w:val="00680F11"/>
    <w:rsid w:val="0068101B"/>
    <w:rsid w:val="0068106A"/>
    <w:rsid w:val="00681105"/>
    <w:rsid w:val="0068122E"/>
    <w:rsid w:val="0068140D"/>
    <w:rsid w:val="006817A4"/>
    <w:rsid w:val="006817C3"/>
    <w:rsid w:val="006818FC"/>
    <w:rsid w:val="00681900"/>
    <w:rsid w:val="00681910"/>
    <w:rsid w:val="00681A4B"/>
    <w:rsid w:val="00681B5C"/>
    <w:rsid w:val="00681DBA"/>
    <w:rsid w:val="00681DFA"/>
    <w:rsid w:val="00681FE8"/>
    <w:rsid w:val="006822B2"/>
    <w:rsid w:val="006823FE"/>
    <w:rsid w:val="00682586"/>
    <w:rsid w:val="006825A7"/>
    <w:rsid w:val="006825D6"/>
    <w:rsid w:val="006825E0"/>
    <w:rsid w:val="00682684"/>
    <w:rsid w:val="006829F5"/>
    <w:rsid w:val="00682C8A"/>
    <w:rsid w:val="00682DDC"/>
    <w:rsid w:val="00682E02"/>
    <w:rsid w:val="00682F95"/>
    <w:rsid w:val="006830C2"/>
    <w:rsid w:val="006830FC"/>
    <w:rsid w:val="006832CD"/>
    <w:rsid w:val="0068341D"/>
    <w:rsid w:val="00683447"/>
    <w:rsid w:val="0068349E"/>
    <w:rsid w:val="0068355B"/>
    <w:rsid w:val="00683574"/>
    <w:rsid w:val="00683753"/>
    <w:rsid w:val="00683775"/>
    <w:rsid w:val="00683863"/>
    <w:rsid w:val="00683CC2"/>
    <w:rsid w:val="00683E7B"/>
    <w:rsid w:val="00684331"/>
    <w:rsid w:val="006844D2"/>
    <w:rsid w:val="00684681"/>
    <w:rsid w:val="0068492F"/>
    <w:rsid w:val="00684BD4"/>
    <w:rsid w:val="00684EC7"/>
    <w:rsid w:val="0068502C"/>
    <w:rsid w:val="0068503F"/>
    <w:rsid w:val="006850D1"/>
    <w:rsid w:val="006850FB"/>
    <w:rsid w:val="0068510D"/>
    <w:rsid w:val="006855FA"/>
    <w:rsid w:val="0068563C"/>
    <w:rsid w:val="00685750"/>
    <w:rsid w:val="00685942"/>
    <w:rsid w:val="00685CA0"/>
    <w:rsid w:val="00685E12"/>
    <w:rsid w:val="00686060"/>
    <w:rsid w:val="006862B2"/>
    <w:rsid w:val="0068637D"/>
    <w:rsid w:val="00686563"/>
    <w:rsid w:val="006865EE"/>
    <w:rsid w:val="00686836"/>
    <w:rsid w:val="006869F2"/>
    <w:rsid w:val="00686AB6"/>
    <w:rsid w:val="00686C4E"/>
    <w:rsid w:val="00686E09"/>
    <w:rsid w:val="00686E8A"/>
    <w:rsid w:val="00686EB0"/>
    <w:rsid w:val="00686F82"/>
    <w:rsid w:val="006871B8"/>
    <w:rsid w:val="00687217"/>
    <w:rsid w:val="006872DA"/>
    <w:rsid w:val="00687495"/>
    <w:rsid w:val="006874E7"/>
    <w:rsid w:val="00687556"/>
    <w:rsid w:val="006876B5"/>
    <w:rsid w:val="00687715"/>
    <w:rsid w:val="00687BA4"/>
    <w:rsid w:val="00687C05"/>
    <w:rsid w:val="00687DFF"/>
    <w:rsid w:val="00687F13"/>
    <w:rsid w:val="006901AA"/>
    <w:rsid w:val="006902E1"/>
    <w:rsid w:val="00690463"/>
    <w:rsid w:val="006905D6"/>
    <w:rsid w:val="006907E2"/>
    <w:rsid w:val="00690874"/>
    <w:rsid w:val="00690937"/>
    <w:rsid w:val="006909E9"/>
    <w:rsid w:val="00690B94"/>
    <w:rsid w:val="00690E09"/>
    <w:rsid w:val="00690E57"/>
    <w:rsid w:val="00690EAD"/>
    <w:rsid w:val="00691484"/>
    <w:rsid w:val="00691586"/>
    <w:rsid w:val="006917D0"/>
    <w:rsid w:val="0069185A"/>
    <w:rsid w:val="00691A21"/>
    <w:rsid w:val="00691A86"/>
    <w:rsid w:val="00691AD8"/>
    <w:rsid w:val="00691E21"/>
    <w:rsid w:val="0069202B"/>
    <w:rsid w:val="006922D9"/>
    <w:rsid w:val="0069243D"/>
    <w:rsid w:val="0069261A"/>
    <w:rsid w:val="00692697"/>
    <w:rsid w:val="00692BD5"/>
    <w:rsid w:val="00692C0D"/>
    <w:rsid w:val="00692C86"/>
    <w:rsid w:val="00692DF2"/>
    <w:rsid w:val="00692FC0"/>
    <w:rsid w:val="0069307D"/>
    <w:rsid w:val="006930FD"/>
    <w:rsid w:val="006931F2"/>
    <w:rsid w:val="0069320A"/>
    <w:rsid w:val="00693367"/>
    <w:rsid w:val="0069337C"/>
    <w:rsid w:val="00693395"/>
    <w:rsid w:val="006935C4"/>
    <w:rsid w:val="006936A5"/>
    <w:rsid w:val="0069387F"/>
    <w:rsid w:val="0069389E"/>
    <w:rsid w:val="006938FF"/>
    <w:rsid w:val="00693C34"/>
    <w:rsid w:val="00693CF1"/>
    <w:rsid w:val="00693D8D"/>
    <w:rsid w:val="0069426F"/>
    <w:rsid w:val="00694364"/>
    <w:rsid w:val="0069439F"/>
    <w:rsid w:val="006945AB"/>
    <w:rsid w:val="0069486B"/>
    <w:rsid w:val="00694927"/>
    <w:rsid w:val="00694D92"/>
    <w:rsid w:val="00694DBA"/>
    <w:rsid w:val="00694EDB"/>
    <w:rsid w:val="00694F8F"/>
    <w:rsid w:val="00694FB3"/>
    <w:rsid w:val="006950AE"/>
    <w:rsid w:val="00695211"/>
    <w:rsid w:val="006953A8"/>
    <w:rsid w:val="0069547A"/>
    <w:rsid w:val="00695564"/>
    <w:rsid w:val="006955A3"/>
    <w:rsid w:val="006955A6"/>
    <w:rsid w:val="00695600"/>
    <w:rsid w:val="0069562E"/>
    <w:rsid w:val="006956A2"/>
    <w:rsid w:val="00695954"/>
    <w:rsid w:val="00695C39"/>
    <w:rsid w:val="00695C57"/>
    <w:rsid w:val="00695FDD"/>
    <w:rsid w:val="006961BF"/>
    <w:rsid w:val="006962A3"/>
    <w:rsid w:val="006963A8"/>
    <w:rsid w:val="00696753"/>
    <w:rsid w:val="006968D6"/>
    <w:rsid w:val="006969F1"/>
    <w:rsid w:val="00696A06"/>
    <w:rsid w:val="00696D83"/>
    <w:rsid w:val="00696E17"/>
    <w:rsid w:val="00696EAF"/>
    <w:rsid w:val="00696EB0"/>
    <w:rsid w:val="00696EFC"/>
    <w:rsid w:val="0069704D"/>
    <w:rsid w:val="006971C6"/>
    <w:rsid w:val="00697243"/>
    <w:rsid w:val="006972BC"/>
    <w:rsid w:val="006977B8"/>
    <w:rsid w:val="00697937"/>
    <w:rsid w:val="006979EF"/>
    <w:rsid w:val="00697A42"/>
    <w:rsid w:val="00697BBD"/>
    <w:rsid w:val="00697CC9"/>
    <w:rsid w:val="00697CD0"/>
    <w:rsid w:val="00697D51"/>
    <w:rsid w:val="006A0032"/>
    <w:rsid w:val="006A037C"/>
    <w:rsid w:val="006A06E4"/>
    <w:rsid w:val="006A06F7"/>
    <w:rsid w:val="006A0746"/>
    <w:rsid w:val="006A0A66"/>
    <w:rsid w:val="006A0B87"/>
    <w:rsid w:val="006A0BBA"/>
    <w:rsid w:val="006A0C88"/>
    <w:rsid w:val="006A0D91"/>
    <w:rsid w:val="006A0DBA"/>
    <w:rsid w:val="006A0F0B"/>
    <w:rsid w:val="006A10D7"/>
    <w:rsid w:val="006A116C"/>
    <w:rsid w:val="006A14F8"/>
    <w:rsid w:val="006A1582"/>
    <w:rsid w:val="006A15D5"/>
    <w:rsid w:val="006A16F6"/>
    <w:rsid w:val="006A17A3"/>
    <w:rsid w:val="006A19BB"/>
    <w:rsid w:val="006A1A59"/>
    <w:rsid w:val="006A202B"/>
    <w:rsid w:val="006A206B"/>
    <w:rsid w:val="006A217A"/>
    <w:rsid w:val="006A22A7"/>
    <w:rsid w:val="006A2456"/>
    <w:rsid w:val="006A25DF"/>
    <w:rsid w:val="006A26C7"/>
    <w:rsid w:val="006A2820"/>
    <w:rsid w:val="006A28BD"/>
    <w:rsid w:val="006A2B6C"/>
    <w:rsid w:val="006A2D25"/>
    <w:rsid w:val="006A3027"/>
    <w:rsid w:val="006A312E"/>
    <w:rsid w:val="006A3176"/>
    <w:rsid w:val="006A34D9"/>
    <w:rsid w:val="006A353A"/>
    <w:rsid w:val="006A35E8"/>
    <w:rsid w:val="006A373C"/>
    <w:rsid w:val="006A39BD"/>
    <w:rsid w:val="006A3CBF"/>
    <w:rsid w:val="006A3CE9"/>
    <w:rsid w:val="006A3FE4"/>
    <w:rsid w:val="006A41BA"/>
    <w:rsid w:val="006A4255"/>
    <w:rsid w:val="006A462A"/>
    <w:rsid w:val="006A4721"/>
    <w:rsid w:val="006A4A76"/>
    <w:rsid w:val="006A4BB0"/>
    <w:rsid w:val="006A4C19"/>
    <w:rsid w:val="006A4E48"/>
    <w:rsid w:val="006A4E95"/>
    <w:rsid w:val="006A5144"/>
    <w:rsid w:val="006A51C3"/>
    <w:rsid w:val="006A53A6"/>
    <w:rsid w:val="006A5725"/>
    <w:rsid w:val="006A58B2"/>
    <w:rsid w:val="006A5AAF"/>
    <w:rsid w:val="006A5AB4"/>
    <w:rsid w:val="006A5CE0"/>
    <w:rsid w:val="006A5D88"/>
    <w:rsid w:val="006A5EFC"/>
    <w:rsid w:val="006A5F79"/>
    <w:rsid w:val="006A6074"/>
    <w:rsid w:val="006A60CF"/>
    <w:rsid w:val="006A6588"/>
    <w:rsid w:val="006A663B"/>
    <w:rsid w:val="006A6643"/>
    <w:rsid w:val="006A6655"/>
    <w:rsid w:val="006A681E"/>
    <w:rsid w:val="006A6DEE"/>
    <w:rsid w:val="006A6E84"/>
    <w:rsid w:val="006A70AD"/>
    <w:rsid w:val="006A722C"/>
    <w:rsid w:val="006A7284"/>
    <w:rsid w:val="006A73CD"/>
    <w:rsid w:val="006A7768"/>
    <w:rsid w:val="006A7830"/>
    <w:rsid w:val="006A79C0"/>
    <w:rsid w:val="006A7A37"/>
    <w:rsid w:val="006A7A39"/>
    <w:rsid w:val="006A7E19"/>
    <w:rsid w:val="006A7E2B"/>
    <w:rsid w:val="006A7E2F"/>
    <w:rsid w:val="006A7E77"/>
    <w:rsid w:val="006A7FAD"/>
    <w:rsid w:val="006A7FE8"/>
    <w:rsid w:val="006B006B"/>
    <w:rsid w:val="006B0115"/>
    <w:rsid w:val="006B01D5"/>
    <w:rsid w:val="006B0315"/>
    <w:rsid w:val="006B0337"/>
    <w:rsid w:val="006B0356"/>
    <w:rsid w:val="006B05DF"/>
    <w:rsid w:val="006B05FF"/>
    <w:rsid w:val="006B0641"/>
    <w:rsid w:val="006B0C23"/>
    <w:rsid w:val="006B0D74"/>
    <w:rsid w:val="006B0E17"/>
    <w:rsid w:val="006B10D4"/>
    <w:rsid w:val="006B10DD"/>
    <w:rsid w:val="006B1246"/>
    <w:rsid w:val="006B1491"/>
    <w:rsid w:val="006B14C1"/>
    <w:rsid w:val="006B156E"/>
    <w:rsid w:val="006B163E"/>
    <w:rsid w:val="006B1707"/>
    <w:rsid w:val="006B1A15"/>
    <w:rsid w:val="006B1A7D"/>
    <w:rsid w:val="006B1FC6"/>
    <w:rsid w:val="006B212F"/>
    <w:rsid w:val="006B215D"/>
    <w:rsid w:val="006B21CE"/>
    <w:rsid w:val="006B254E"/>
    <w:rsid w:val="006B265E"/>
    <w:rsid w:val="006B2767"/>
    <w:rsid w:val="006B2836"/>
    <w:rsid w:val="006B285E"/>
    <w:rsid w:val="006B28CF"/>
    <w:rsid w:val="006B293C"/>
    <w:rsid w:val="006B296C"/>
    <w:rsid w:val="006B29F9"/>
    <w:rsid w:val="006B2B5A"/>
    <w:rsid w:val="006B2C2C"/>
    <w:rsid w:val="006B2CC1"/>
    <w:rsid w:val="006B3015"/>
    <w:rsid w:val="006B313D"/>
    <w:rsid w:val="006B3220"/>
    <w:rsid w:val="006B35CC"/>
    <w:rsid w:val="006B3647"/>
    <w:rsid w:val="006B373F"/>
    <w:rsid w:val="006B3879"/>
    <w:rsid w:val="006B3955"/>
    <w:rsid w:val="006B3A65"/>
    <w:rsid w:val="006B3AEE"/>
    <w:rsid w:val="006B3D1B"/>
    <w:rsid w:val="006B4110"/>
    <w:rsid w:val="006B4235"/>
    <w:rsid w:val="006B43AC"/>
    <w:rsid w:val="006B47CF"/>
    <w:rsid w:val="006B488F"/>
    <w:rsid w:val="006B48BC"/>
    <w:rsid w:val="006B4C02"/>
    <w:rsid w:val="006B4D95"/>
    <w:rsid w:val="006B4E91"/>
    <w:rsid w:val="006B4EA3"/>
    <w:rsid w:val="006B50BB"/>
    <w:rsid w:val="006B50DA"/>
    <w:rsid w:val="006B5161"/>
    <w:rsid w:val="006B574C"/>
    <w:rsid w:val="006B5793"/>
    <w:rsid w:val="006B57D6"/>
    <w:rsid w:val="006B5849"/>
    <w:rsid w:val="006B5B38"/>
    <w:rsid w:val="006B5E3C"/>
    <w:rsid w:val="006B5F4F"/>
    <w:rsid w:val="006B6007"/>
    <w:rsid w:val="006B61DD"/>
    <w:rsid w:val="006B626C"/>
    <w:rsid w:val="006B63C8"/>
    <w:rsid w:val="006B647F"/>
    <w:rsid w:val="006B65FB"/>
    <w:rsid w:val="006B67A1"/>
    <w:rsid w:val="006B69C1"/>
    <w:rsid w:val="006B6AC5"/>
    <w:rsid w:val="006B6B50"/>
    <w:rsid w:val="006B6BAA"/>
    <w:rsid w:val="006B6CDF"/>
    <w:rsid w:val="006B6D47"/>
    <w:rsid w:val="006B6DC1"/>
    <w:rsid w:val="006B6F88"/>
    <w:rsid w:val="006B70B5"/>
    <w:rsid w:val="006B7491"/>
    <w:rsid w:val="006B77BB"/>
    <w:rsid w:val="006B78BE"/>
    <w:rsid w:val="006B78FE"/>
    <w:rsid w:val="006B7A64"/>
    <w:rsid w:val="006B7BB2"/>
    <w:rsid w:val="006B7C8D"/>
    <w:rsid w:val="006B7F7F"/>
    <w:rsid w:val="006C03AC"/>
    <w:rsid w:val="006C03C3"/>
    <w:rsid w:val="006C049C"/>
    <w:rsid w:val="006C05DF"/>
    <w:rsid w:val="006C08E8"/>
    <w:rsid w:val="006C1340"/>
    <w:rsid w:val="006C14D8"/>
    <w:rsid w:val="006C14F4"/>
    <w:rsid w:val="006C17E0"/>
    <w:rsid w:val="006C1909"/>
    <w:rsid w:val="006C1B3D"/>
    <w:rsid w:val="006C1BC4"/>
    <w:rsid w:val="006C1E63"/>
    <w:rsid w:val="006C1E74"/>
    <w:rsid w:val="006C1F37"/>
    <w:rsid w:val="006C1F7C"/>
    <w:rsid w:val="006C1FAD"/>
    <w:rsid w:val="006C20AF"/>
    <w:rsid w:val="006C2153"/>
    <w:rsid w:val="006C22A4"/>
    <w:rsid w:val="006C22FD"/>
    <w:rsid w:val="006C240A"/>
    <w:rsid w:val="006C28B2"/>
    <w:rsid w:val="006C293D"/>
    <w:rsid w:val="006C29DA"/>
    <w:rsid w:val="006C2D1C"/>
    <w:rsid w:val="006C2DBD"/>
    <w:rsid w:val="006C2EE3"/>
    <w:rsid w:val="006C2F3C"/>
    <w:rsid w:val="006C2F98"/>
    <w:rsid w:val="006C31E7"/>
    <w:rsid w:val="006C33B5"/>
    <w:rsid w:val="006C372B"/>
    <w:rsid w:val="006C3743"/>
    <w:rsid w:val="006C393B"/>
    <w:rsid w:val="006C3BFA"/>
    <w:rsid w:val="006C3C38"/>
    <w:rsid w:val="006C3CA9"/>
    <w:rsid w:val="006C3F75"/>
    <w:rsid w:val="006C404C"/>
    <w:rsid w:val="006C4105"/>
    <w:rsid w:val="006C420E"/>
    <w:rsid w:val="006C42EB"/>
    <w:rsid w:val="006C4549"/>
    <w:rsid w:val="006C47AF"/>
    <w:rsid w:val="006C4953"/>
    <w:rsid w:val="006C49AA"/>
    <w:rsid w:val="006C4CF2"/>
    <w:rsid w:val="006C4E0A"/>
    <w:rsid w:val="006C4E78"/>
    <w:rsid w:val="006C4F7B"/>
    <w:rsid w:val="006C4F8C"/>
    <w:rsid w:val="006C4FB5"/>
    <w:rsid w:val="006C501F"/>
    <w:rsid w:val="006C5216"/>
    <w:rsid w:val="006C5279"/>
    <w:rsid w:val="006C5471"/>
    <w:rsid w:val="006C54B5"/>
    <w:rsid w:val="006C557F"/>
    <w:rsid w:val="006C59A8"/>
    <w:rsid w:val="006C5B4E"/>
    <w:rsid w:val="006C5C26"/>
    <w:rsid w:val="006C631F"/>
    <w:rsid w:val="006C643B"/>
    <w:rsid w:val="006C645A"/>
    <w:rsid w:val="006C64F1"/>
    <w:rsid w:val="006C674C"/>
    <w:rsid w:val="006C67B8"/>
    <w:rsid w:val="006C6C45"/>
    <w:rsid w:val="006C6EC6"/>
    <w:rsid w:val="006C6F71"/>
    <w:rsid w:val="006C6F76"/>
    <w:rsid w:val="006C6FB5"/>
    <w:rsid w:val="006C7046"/>
    <w:rsid w:val="006C7063"/>
    <w:rsid w:val="006C7181"/>
    <w:rsid w:val="006C71CC"/>
    <w:rsid w:val="006C71F0"/>
    <w:rsid w:val="006C72CD"/>
    <w:rsid w:val="006C7388"/>
    <w:rsid w:val="006C7396"/>
    <w:rsid w:val="006C73BC"/>
    <w:rsid w:val="006C74B7"/>
    <w:rsid w:val="006C774A"/>
    <w:rsid w:val="006C7A34"/>
    <w:rsid w:val="006C7A9B"/>
    <w:rsid w:val="006C7AEB"/>
    <w:rsid w:val="006C7CF6"/>
    <w:rsid w:val="006C7DF2"/>
    <w:rsid w:val="006C7E30"/>
    <w:rsid w:val="006C7E6F"/>
    <w:rsid w:val="006C7FEF"/>
    <w:rsid w:val="006D0108"/>
    <w:rsid w:val="006D0295"/>
    <w:rsid w:val="006D055D"/>
    <w:rsid w:val="006D069E"/>
    <w:rsid w:val="006D06BB"/>
    <w:rsid w:val="006D0729"/>
    <w:rsid w:val="006D079C"/>
    <w:rsid w:val="006D07A0"/>
    <w:rsid w:val="006D0A28"/>
    <w:rsid w:val="006D0D5C"/>
    <w:rsid w:val="006D0FAB"/>
    <w:rsid w:val="006D104A"/>
    <w:rsid w:val="006D1548"/>
    <w:rsid w:val="006D15C1"/>
    <w:rsid w:val="006D1753"/>
    <w:rsid w:val="006D1A5A"/>
    <w:rsid w:val="006D1A95"/>
    <w:rsid w:val="006D1E2D"/>
    <w:rsid w:val="006D1E7F"/>
    <w:rsid w:val="006D24C9"/>
    <w:rsid w:val="006D25E6"/>
    <w:rsid w:val="006D26E5"/>
    <w:rsid w:val="006D2751"/>
    <w:rsid w:val="006D2AFA"/>
    <w:rsid w:val="006D2E7D"/>
    <w:rsid w:val="006D2EA1"/>
    <w:rsid w:val="006D2FC2"/>
    <w:rsid w:val="006D2FDD"/>
    <w:rsid w:val="006D2FFC"/>
    <w:rsid w:val="006D315E"/>
    <w:rsid w:val="006D3185"/>
    <w:rsid w:val="006D3340"/>
    <w:rsid w:val="006D3398"/>
    <w:rsid w:val="006D33A2"/>
    <w:rsid w:val="006D3602"/>
    <w:rsid w:val="006D379B"/>
    <w:rsid w:val="006D3827"/>
    <w:rsid w:val="006D385F"/>
    <w:rsid w:val="006D38E6"/>
    <w:rsid w:val="006D3917"/>
    <w:rsid w:val="006D3B55"/>
    <w:rsid w:val="006D3C18"/>
    <w:rsid w:val="006D3D9E"/>
    <w:rsid w:val="006D3F6B"/>
    <w:rsid w:val="006D3FB4"/>
    <w:rsid w:val="006D3FBF"/>
    <w:rsid w:val="006D3FD6"/>
    <w:rsid w:val="006D4130"/>
    <w:rsid w:val="006D41D5"/>
    <w:rsid w:val="006D44A9"/>
    <w:rsid w:val="006D465C"/>
    <w:rsid w:val="006D46BE"/>
    <w:rsid w:val="006D49F3"/>
    <w:rsid w:val="006D4BBF"/>
    <w:rsid w:val="006D4BD6"/>
    <w:rsid w:val="006D4C1C"/>
    <w:rsid w:val="006D4E43"/>
    <w:rsid w:val="006D4F05"/>
    <w:rsid w:val="006D4FC4"/>
    <w:rsid w:val="006D4FC6"/>
    <w:rsid w:val="006D5061"/>
    <w:rsid w:val="006D5235"/>
    <w:rsid w:val="006D528D"/>
    <w:rsid w:val="006D52CF"/>
    <w:rsid w:val="006D5344"/>
    <w:rsid w:val="006D534B"/>
    <w:rsid w:val="006D53A8"/>
    <w:rsid w:val="006D5418"/>
    <w:rsid w:val="006D548F"/>
    <w:rsid w:val="006D5555"/>
    <w:rsid w:val="006D563A"/>
    <w:rsid w:val="006D5655"/>
    <w:rsid w:val="006D574F"/>
    <w:rsid w:val="006D578B"/>
    <w:rsid w:val="006D57E6"/>
    <w:rsid w:val="006D58B2"/>
    <w:rsid w:val="006D58EB"/>
    <w:rsid w:val="006D58F1"/>
    <w:rsid w:val="006D593B"/>
    <w:rsid w:val="006D5966"/>
    <w:rsid w:val="006D5990"/>
    <w:rsid w:val="006D5A1E"/>
    <w:rsid w:val="006D5C5C"/>
    <w:rsid w:val="006D5E65"/>
    <w:rsid w:val="006D5FE5"/>
    <w:rsid w:val="006D6033"/>
    <w:rsid w:val="006D637B"/>
    <w:rsid w:val="006D63A0"/>
    <w:rsid w:val="006D6423"/>
    <w:rsid w:val="006D65C9"/>
    <w:rsid w:val="006D6724"/>
    <w:rsid w:val="006D672E"/>
    <w:rsid w:val="006D67B5"/>
    <w:rsid w:val="006D6856"/>
    <w:rsid w:val="006D68E7"/>
    <w:rsid w:val="006D690E"/>
    <w:rsid w:val="006D6969"/>
    <w:rsid w:val="006D6A47"/>
    <w:rsid w:val="006D6ABA"/>
    <w:rsid w:val="006D6ACA"/>
    <w:rsid w:val="006D6B5E"/>
    <w:rsid w:val="006D6C36"/>
    <w:rsid w:val="006D6CBB"/>
    <w:rsid w:val="006D6CFA"/>
    <w:rsid w:val="006D6E56"/>
    <w:rsid w:val="006D6F23"/>
    <w:rsid w:val="006D71D6"/>
    <w:rsid w:val="006D72E8"/>
    <w:rsid w:val="006D7386"/>
    <w:rsid w:val="006D772D"/>
    <w:rsid w:val="006D7832"/>
    <w:rsid w:val="006D78B6"/>
    <w:rsid w:val="006D7FB5"/>
    <w:rsid w:val="006E01AF"/>
    <w:rsid w:val="006E02CF"/>
    <w:rsid w:val="006E02F8"/>
    <w:rsid w:val="006E0372"/>
    <w:rsid w:val="006E0563"/>
    <w:rsid w:val="006E06D7"/>
    <w:rsid w:val="006E09BC"/>
    <w:rsid w:val="006E0A27"/>
    <w:rsid w:val="006E0B12"/>
    <w:rsid w:val="006E0B7D"/>
    <w:rsid w:val="006E0BEB"/>
    <w:rsid w:val="006E0E8B"/>
    <w:rsid w:val="006E0EC3"/>
    <w:rsid w:val="006E11FB"/>
    <w:rsid w:val="006E1510"/>
    <w:rsid w:val="006E1609"/>
    <w:rsid w:val="006E174D"/>
    <w:rsid w:val="006E1885"/>
    <w:rsid w:val="006E19A3"/>
    <w:rsid w:val="006E1C47"/>
    <w:rsid w:val="006E2388"/>
    <w:rsid w:val="006E2599"/>
    <w:rsid w:val="006E25C3"/>
    <w:rsid w:val="006E2743"/>
    <w:rsid w:val="006E27B6"/>
    <w:rsid w:val="006E28E9"/>
    <w:rsid w:val="006E2907"/>
    <w:rsid w:val="006E2A2E"/>
    <w:rsid w:val="006E2A36"/>
    <w:rsid w:val="006E2C02"/>
    <w:rsid w:val="006E2DE2"/>
    <w:rsid w:val="006E30BE"/>
    <w:rsid w:val="006E30DA"/>
    <w:rsid w:val="006E312F"/>
    <w:rsid w:val="006E314C"/>
    <w:rsid w:val="006E34F7"/>
    <w:rsid w:val="006E359B"/>
    <w:rsid w:val="006E3602"/>
    <w:rsid w:val="006E3735"/>
    <w:rsid w:val="006E3D83"/>
    <w:rsid w:val="006E3DBF"/>
    <w:rsid w:val="006E44F8"/>
    <w:rsid w:val="006E44FA"/>
    <w:rsid w:val="006E45B8"/>
    <w:rsid w:val="006E4961"/>
    <w:rsid w:val="006E4A53"/>
    <w:rsid w:val="006E4B20"/>
    <w:rsid w:val="006E4B7C"/>
    <w:rsid w:val="006E4C8D"/>
    <w:rsid w:val="006E4F4A"/>
    <w:rsid w:val="006E53E0"/>
    <w:rsid w:val="006E5417"/>
    <w:rsid w:val="006E54AE"/>
    <w:rsid w:val="006E56FF"/>
    <w:rsid w:val="006E5778"/>
    <w:rsid w:val="006E59A0"/>
    <w:rsid w:val="006E59DA"/>
    <w:rsid w:val="006E5B5F"/>
    <w:rsid w:val="006E5C3D"/>
    <w:rsid w:val="006E5CC5"/>
    <w:rsid w:val="006E5D92"/>
    <w:rsid w:val="006E5E5B"/>
    <w:rsid w:val="006E5F1F"/>
    <w:rsid w:val="006E6059"/>
    <w:rsid w:val="006E62A2"/>
    <w:rsid w:val="006E66C2"/>
    <w:rsid w:val="006E6C35"/>
    <w:rsid w:val="006E6C7D"/>
    <w:rsid w:val="006E6F0E"/>
    <w:rsid w:val="006E7452"/>
    <w:rsid w:val="006E7478"/>
    <w:rsid w:val="006E74F7"/>
    <w:rsid w:val="006E751D"/>
    <w:rsid w:val="006E75A6"/>
    <w:rsid w:val="006E7603"/>
    <w:rsid w:val="006E77DD"/>
    <w:rsid w:val="006E7814"/>
    <w:rsid w:val="006E7910"/>
    <w:rsid w:val="006E7A0E"/>
    <w:rsid w:val="006E7A61"/>
    <w:rsid w:val="006E7A98"/>
    <w:rsid w:val="006E7CB3"/>
    <w:rsid w:val="006E7D3C"/>
    <w:rsid w:val="006F034D"/>
    <w:rsid w:val="006F04A8"/>
    <w:rsid w:val="006F083D"/>
    <w:rsid w:val="006F09DC"/>
    <w:rsid w:val="006F0A3A"/>
    <w:rsid w:val="006F0A4F"/>
    <w:rsid w:val="006F0DDF"/>
    <w:rsid w:val="006F0E47"/>
    <w:rsid w:val="006F0E51"/>
    <w:rsid w:val="006F0E92"/>
    <w:rsid w:val="006F0EDE"/>
    <w:rsid w:val="006F1036"/>
    <w:rsid w:val="006F106C"/>
    <w:rsid w:val="006F116A"/>
    <w:rsid w:val="006F117E"/>
    <w:rsid w:val="006F14A8"/>
    <w:rsid w:val="006F15A7"/>
    <w:rsid w:val="006F1823"/>
    <w:rsid w:val="006F19F9"/>
    <w:rsid w:val="006F1A21"/>
    <w:rsid w:val="006F1CED"/>
    <w:rsid w:val="006F21CD"/>
    <w:rsid w:val="006F2373"/>
    <w:rsid w:val="006F242B"/>
    <w:rsid w:val="006F2599"/>
    <w:rsid w:val="006F25BE"/>
    <w:rsid w:val="006F285B"/>
    <w:rsid w:val="006F2978"/>
    <w:rsid w:val="006F2E17"/>
    <w:rsid w:val="006F2E57"/>
    <w:rsid w:val="006F2F8B"/>
    <w:rsid w:val="006F2FC4"/>
    <w:rsid w:val="006F332B"/>
    <w:rsid w:val="006F33EB"/>
    <w:rsid w:val="006F3499"/>
    <w:rsid w:val="006F34E8"/>
    <w:rsid w:val="006F3A83"/>
    <w:rsid w:val="006F3BEE"/>
    <w:rsid w:val="006F3D28"/>
    <w:rsid w:val="006F3F58"/>
    <w:rsid w:val="006F4176"/>
    <w:rsid w:val="006F45C7"/>
    <w:rsid w:val="006F464C"/>
    <w:rsid w:val="006F46DF"/>
    <w:rsid w:val="006F48CD"/>
    <w:rsid w:val="006F4918"/>
    <w:rsid w:val="006F4921"/>
    <w:rsid w:val="006F49D2"/>
    <w:rsid w:val="006F4A27"/>
    <w:rsid w:val="006F4B32"/>
    <w:rsid w:val="006F4BD6"/>
    <w:rsid w:val="006F4D31"/>
    <w:rsid w:val="006F4E1B"/>
    <w:rsid w:val="006F4FC7"/>
    <w:rsid w:val="006F519B"/>
    <w:rsid w:val="006F5313"/>
    <w:rsid w:val="006F5338"/>
    <w:rsid w:val="006F53EC"/>
    <w:rsid w:val="006F56EB"/>
    <w:rsid w:val="006F57DD"/>
    <w:rsid w:val="006F58BC"/>
    <w:rsid w:val="006F5BDA"/>
    <w:rsid w:val="006F5C9F"/>
    <w:rsid w:val="006F5CFC"/>
    <w:rsid w:val="006F5DC6"/>
    <w:rsid w:val="006F5F2E"/>
    <w:rsid w:val="006F6383"/>
    <w:rsid w:val="006F63D4"/>
    <w:rsid w:val="006F65BC"/>
    <w:rsid w:val="006F6743"/>
    <w:rsid w:val="006F6A3A"/>
    <w:rsid w:val="006F6A88"/>
    <w:rsid w:val="006F6C74"/>
    <w:rsid w:val="006F7078"/>
    <w:rsid w:val="006F75D5"/>
    <w:rsid w:val="006F796A"/>
    <w:rsid w:val="006F7994"/>
    <w:rsid w:val="006F7C06"/>
    <w:rsid w:val="006F7D9D"/>
    <w:rsid w:val="006F7EEA"/>
    <w:rsid w:val="006F7F81"/>
    <w:rsid w:val="006F7FE8"/>
    <w:rsid w:val="007000AE"/>
    <w:rsid w:val="007002F4"/>
    <w:rsid w:val="00700395"/>
    <w:rsid w:val="0070059D"/>
    <w:rsid w:val="00700639"/>
    <w:rsid w:val="0070069A"/>
    <w:rsid w:val="007006D9"/>
    <w:rsid w:val="007008CB"/>
    <w:rsid w:val="00700934"/>
    <w:rsid w:val="007009D3"/>
    <w:rsid w:val="00700A11"/>
    <w:rsid w:val="00700B50"/>
    <w:rsid w:val="00700C2A"/>
    <w:rsid w:val="00700D81"/>
    <w:rsid w:val="00700E9D"/>
    <w:rsid w:val="00700F73"/>
    <w:rsid w:val="0070107D"/>
    <w:rsid w:val="007010AA"/>
    <w:rsid w:val="00701283"/>
    <w:rsid w:val="007012E9"/>
    <w:rsid w:val="0070136B"/>
    <w:rsid w:val="00701459"/>
    <w:rsid w:val="00701B0B"/>
    <w:rsid w:val="00701D6A"/>
    <w:rsid w:val="00701DCB"/>
    <w:rsid w:val="00702133"/>
    <w:rsid w:val="007023C4"/>
    <w:rsid w:val="00702630"/>
    <w:rsid w:val="00702A39"/>
    <w:rsid w:val="00702B97"/>
    <w:rsid w:val="00702C27"/>
    <w:rsid w:val="00702C52"/>
    <w:rsid w:val="00702F20"/>
    <w:rsid w:val="007031FE"/>
    <w:rsid w:val="0070359C"/>
    <w:rsid w:val="00703657"/>
    <w:rsid w:val="0070384B"/>
    <w:rsid w:val="00703A24"/>
    <w:rsid w:val="00703ABF"/>
    <w:rsid w:val="00703C04"/>
    <w:rsid w:val="00703FEC"/>
    <w:rsid w:val="007040D0"/>
    <w:rsid w:val="00704480"/>
    <w:rsid w:val="007045AA"/>
    <w:rsid w:val="00704635"/>
    <w:rsid w:val="007047C0"/>
    <w:rsid w:val="00704839"/>
    <w:rsid w:val="00704945"/>
    <w:rsid w:val="00704A1B"/>
    <w:rsid w:val="00704BCF"/>
    <w:rsid w:val="00704C26"/>
    <w:rsid w:val="00704C5A"/>
    <w:rsid w:val="00704D69"/>
    <w:rsid w:val="00704E51"/>
    <w:rsid w:val="00705140"/>
    <w:rsid w:val="00705414"/>
    <w:rsid w:val="007055C0"/>
    <w:rsid w:val="00705636"/>
    <w:rsid w:val="00705681"/>
    <w:rsid w:val="007056AE"/>
    <w:rsid w:val="007057C9"/>
    <w:rsid w:val="00705B0E"/>
    <w:rsid w:val="00705D40"/>
    <w:rsid w:val="00705E03"/>
    <w:rsid w:val="00705E7D"/>
    <w:rsid w:val="007060FB"/>
    <w:rsid w:val="00706263"/>
    <w:rsid w:val="0070631D"/>
    <w:rsid w:val="007065A2"/>
    <w:rsid w:val="007065C0"/>
    <w:rsid w:val="00706605"/>
    <w:rsid w:val="00706653"/>
    <w:rsid w:val="007066CC"/>
    <w:rsid w:val="0070677C"/>
    <w:rsid w:val="00706872"/>
    <w:rsid w:val="00706B5C"/>
    <w:rsid w:val="00706C5E"/>
    <w:rsid w:val="00706F04"/>
    <w:rsid w:val="007071A1"/>
    <w:rsid w:val="0070759B"/>
    <w:rsid w:val="007076D4"/>
    <w:rsid w:val="007079BE"/>
    <w:rsid w:val="00707A7E"/>
    <w:rsid w:val="00707F59"/>
    <w:rsid w:val="00707F5C"/>
    <w:rsid w:val="00707F98"/>
    <w:rsid w:val="007101E6"/>
    <w:rsid w:val="0071027B"/>
    <w:rsid w:val="007102AC"/>
    <w:rsid w:val="00710624"/>
    <w:rsid w:val="00710642"/>
    <w:rsid w:val="007107A4"/>
    <w:rsid w:val="007107B4"/>
    <w:rsid w:val="0071081F"/>
    <w:rsid w:val="00710925"/>
    <w:rsid w:val="00710996"/>
    <w:rsid w:val="00710ACA"/>
    <w:rsid w:val="00710AD3"/>
    <w:rsid w:val="00710B25"/>
    <w:rsid w:val="00710BD9"/>
    <w:rsid w:val="00710BE7"/>
    <w:rsid w:val="00710CE5"/>
    <w:rsid w:val="00710EA0"/>
    <w:rsid w:val="007110AD"/>
    <w:rsid w:val="00711321"/>
    <w:rsid w:val="00711451"/>
    <w:rsid w:val="00711673"/>
    <w:rsid w:val="007116C5"/>
    <w:rsid w:val="00711A85"/>
    <w:rsid w:val="00711AF5"/>
    <w:rsid w:val="00711DDC"/>
    <w:rsid w:val="00711EAB"/>
    <w:rsid w:val="00711F7F"/>
    <w:rsid w:val="00711FEE"/>
    <w:rsid w:val="00712383"/>
    <w:rsid w:val="00712479"/>
    <w:rsid w:val="0071269C"/>
    <w:rsid w:val="007126F1"/>
    <w:rsid w:val="007128B0"/>
    <w:rsid w:val="00712B32"/>
    <w:rsid w:val="00712BCB"/>
    <w:rsid w:val="00713023"/>
    <w:rsid w:val="00713406"/>
    <w:rsid w:val="00713600"/>
    <w:rsid w:val="007139D4"/>
    <w:rsid w:val="00713A53"/>
    <w:rsid w:val="00713D15"/>
    <w:rsid w:val="00713D67"/>
    <w:rsid w:val="00713F29"/>
    <w:rsid w:val="00714021"/>
    <w:rsid w:val="0071431B"/>
    <w:rsid w:val="007145CC"/>
    <w:rsid w:val="007146C8"/>
    <w:rsid w:val="0071474B"/>
    <w:rsid w:val="007147C9"/>
    <w:rsid w:val="00714AC7"/>
    <w:rsid w:val="00714B87"/>
    <w:rsid w:val="00714DF3"/>
    <w:rsid w:val="00715332"/>
    <w:rsid w:val="007153B3"/>
    <w:rsid w:val="0071565B"/>
    <w:rsid w:val="0071565C"/>
    <w:rsid w:val="007156E9"/>
    <w:rsid w:val="00715758"/>
    <w:rsid w:val="00715793"/>
    <w:rsid w:val="007158AF"/>
    <w:rsid w:val="00715A29"/>
    <w:rsid w:val="00715B4F"/>
    <w:rsid w:val="00715BD3"/>
    <w:rsid w:val="00715C99"/>
    <w:rsid w:val="00715CAA"/>
    <w:rsid w:val="00715EBE"/>
    <w:rsid w:val="007160E6"/>
    <w:rsid w:val="007160EB"/>
    <w:rsid w:val="0071639D"/>
    <w:rsid w:val="00716534"/>
    <w:rsid w:val="00716541"/>
    <w:rsid w:val="007167AA"/>
    <w:rsid w:val="00716AC3"/>
    <w:rsid w:val="00716B92"/>
    <w:rsid w:val="00716BFE"/>
    <w:rsid w:val="00716DFD"/>
    <w:rsid w:val="00716FE5"/>
    <w:rsid w:val="0071726A"/>
    <w:rsid w:val="00717304"/>
    <w:rsid w:val="00717508"/>
    <w:rsid w:val="007178D0"/>
    <w:rsid w:val="007178E0"/>
    <w:rsid w:val="00717C26"/>
    <w:rsid w:val="00717D5B"/>
    <w:rsid w:val="00717DBC"/>
    <w:rsid w:val="00717E1B"/>
    <w:rsid w:val="00717F19"/>
    <w:rsid w:val="00717F3F"/>
    <w:rsid w:val="00717F6D"/>
    <w:rsid w:val="007200C7"/>
    <w:rsid w:val="0072026F"/>
    <w:rsid w:val="007202A3"/>
    <w:rsid w:val="00720464"/>
    <w:rsid w:val="00720514"/>
    <w:rsid w:val="007206D4"/>
    <w:rsid w:val="00720712"/>
    <w:rsid w:val="0072078C"/>
    <w:rsid w:val="007207D2"/>
    <w:rsid w:val="0072091E"/>
    <w:rsid w:val="00720A63"/>
    <w:rsid w:val="00720AE1"/>
    <w:rsid w:val="00720AE2"/>
    <w:rsid w:val="00720AF1"/>
    <w:rsid w:val="00720CEB"/>
    <w:rsid w:val="00720D38"/>
    <w:rsid w:val="00720EA6"/>
    <w:rsid w:val="00720F23"/>
    <w:rsid w:val="00720FF2"/>
    <w:rsid w:val="0072123F"/>
    <w:rsid w:val="007213A8"/>
    <w:rsid w:val="007215EA"/>
    <w:rsid w:val="00721648"/>
    <w:rsid w:val="00721BE8"/>
    <w:rsid w:val="00721E64"/>
    <w:rsid w:val="00721ECD"/>
    <w:rsid w:val="007220AF"/>
    <w:rsid w:val="007221E1"/>
    <w:rsid w:val="0072252A"/>
    <w:rsid w:val="00722560"/>
    <w:rsid w:val="007227C6"/>
    <w:rsid w:val="007228D2"/>
    <w:rsid w:val="00722C18"/>
    <w:rsid w:val="00722CC0"/>
    <w:rsid w:val="00722E8E"/>
    <w:rsid w:val="00722EF3"/>
    <w:rsid w:val="00722F9F"/>
    <w:rsid w:val="0072301C"/>
    <w:rsid w:val="00723200"/>
    <w:rsid w:val="00723212"/>
    <w:rsid w:val="007233AD"/>
    <w:rsid w:val="007234FF"/>
    <w:rsid w:val="00723709"/>
    <w:rsid w:val="0072389F"/>
    <w:rsid w:val="007238AF"/>
    <w:rsid w:val="00723945"/>
    <w:rsid w:val="00723B9C"/>
    <w:rsid w:val="00723C1C"/>
    <w:rsid w:val="00723E4C"/>
    <w:rsid w:val="00724098"/>
    <w:rsid w:val="007240B8"/>
    <w:rsid w:val="007240D9"/>
    <w:rsid w:val="00724172"/>
    <w:rsid w:val="007241A4"/>
    <w:rsid w:val="007244EB"/>
    <w:rsid w:val="00724506"/>
    <w:rsid w:val="00724569"/>
    <w:rsid w:val="007245C1"/>
    <w:rsid w:val="007248B7"/>
    <w:rsid w:val="007248C8"/>
    <w:rsid w:val="00724A55"/>
    <w:rsid w:val="00724A57"/>
    <w:rsid w:val="00724AA8"/>
    <w:rsid w:val="00724B5D"/>
    <w:rsid w:val="00724C9C"/>
    <w:rsid w:val="00724E8B"/>
    <w:rsid w:val="00724FA2"/>
    <w:rsid w:val="007252A6"/>
    <w:rsid w:val="007252F2"/>
    <w:rsid w:val="007253C6"/>
    <w:rsid w:val="00725564"/>
    <w:rsid w:val="00725846"/>
    <w:rsid w:val="0072612A"/>
    <w:rsid w:val="007262A7"/>
    <w:rsid w:val="00726592"/>
    <w:rsid w:val="007265B6"/>
    <w:rsid w:val="0072669D"/>
    <w:rsid w:val="007266A6"/>
    <w:rsid w:val="007266D0"/>
    <w:rsid w:val="00726748"/>
    <w:rsid w:val="00726773"/>
    <w:rsid w:val="0072679D"/>
    <w:rsid w:val="00726839"/>
    <w:rsid w:val="00726BF9"/>
    <w:rsid w:val="00726CF9"/>
    <w:rsid w:val="00726F1D"/>
    <w:rsid w:val="007271F8"/>
    <w:rsid w:val="007277EB"/>
    <w:rsid w:val="007278AF"/>
    <w:rsid w:val="0072799D"/>
    <w:rsid w:val="007279C3"/>
    <w:rsid w:val="00727D4A"/>
    <w:rsid w:val="00727E4F"/>
    <w:rsid w:val="00727F57"/>
    <w:rsid w:val="0073002A"/>
    <w:rsid w:val="007300E5"/>
    <w:rsid w:val="00730147"/>
    <w:rsid w:val="00730428"/>
    <w:rsid w:val="007304ED"/>
    <w:rsid w:val="007306CE"/>
    <w:rsid w:val="0073075C"/>
    <w:rsid w:val="00730866"/>
    <w:rsid w:val="00730A2F"/>
    <w:rsid w:val="00730CCB"/>
    <w:rsid w:val="00730D92"/>
    <w:rsid w:val="00730E68"/>
    <w:rsid w:val="00730F7D"/>
    <w:rsid w:val="007314F5"/>
    <w:rsid w:val="00731564"/>
    <w:rsid w:val="007319AE"/>
    <w:rsid w:val="00731BBE"/>
    <w:rsid w:val="00731E04"/>
    <w:rsid w:val="00731FF9"/>
    <w:rsid w:val="0073227D"/>
    <w:rsid w:val="007322FC"/>
    <w:rsid w:val="0073232E"/>
    <w:rsid w:val="00732408"/>
    <w:rsid w:val="00732565"/>
    <w:rsid w:val="007325BF"/>
    <w:rsid w:val="007327C0"/>
    <w:rsid w:val="00732A6C"/>
    <w:rsid w:val="00732EF1"/>
    <w:rsid w:val="00733011"/>
    <w:rsid w:val="007330D2"/>
    <w:rsid w:val="00733361"/>
    <w:rsid w:val="00733437"/>
    <w:rsid w:val="0073345B"/>
    <w:rsid w:val="0073350B"/>
    <w:rsid w:val="007336C0"/>
    <w:rsid w:val="00733949"/>
    <w:rsid w:val="0073399B"/>
    <w:rsid w:val="007339F1"/>
    <w:rsid w:val="00733D4D"/>
    <w:rsid w:val="00733DEF"/>
    <w:rsid w:val="00733F93"/>
    <w:rsid w:val="00733FA5"/>
    <w:rsid w:val="00734333"/>
    <w:rsid w:val="00734351"/>
    <w:rsid w:val="007343B8"/>
    <w:rsid w:val="007343FF"/>
    <w:rsid w:val="00734B4B"/>
    <w:rsid w:val="00734B60"/>
    <w:rsid w:val="00734F3B"/>
    <w:rsid w:val="00735089"/>
    <w:rsid w:val="007350AF"/>
    <w:rsid w:val="007350FB"/>
    <w:rsid w:val="0073546B"/>
    <w:rsid w:val="0073549F"/>
    <w:rsid w:val="007354B9"/>
    <w:rsid w:val="007357D0"/>
    <w:rsid w:val="00735810"/>
    <w:rsid w:val="00735A4A"/>
    <w:rsid w:val="00735AC6"/>
    <w:rsid w:val="00735ADC"/>
    <w:rsid w:val="00735B44"/>
    <w:rsid w:val="00735B4B"/>
    <w:rsid w:val="00735C78"/>
    <w:rsid w:val="00735CF3"/>
    <w:rsid w:val="00735D1E"/>
    <w:rsid w:val="00735D57"/>
    <w:rsid w:val="00735D87"/>
    <w:rsid w:val="00735DB5"/>
    <w:rsid w:val="00736096"/>
    <w:rsid w:val="007364AE"/>
    <w:rsid w:val="007366ED"/>
    <w:rsid w:val="0073695F"/>
    <w:rsid w:val="00736998"/>
    <w:rsid w:val="00736BE4"/>
    <w:rsid w:val="00736C9E"/>
    <w:rsid w:val="00736D33"/>
    <w:rsid w:val="00736E0C"/>
    <w:rsid w:val="00736E24"/>
    <w:rsid w:val="00737009"/>
    <w:rsid w:val="007372C7"/>
    <w:rsid w:val="0073760D"/>
    <w:rsid w:val="0073796F"/>
    <w:rsid w:val="00737BA9"/>
    <w:rsid w:val="00737CB7"/>
    <w:rsid w:val="00737F63"/>
    <w:rsid w:val="00737FAC"/>
    <w:rsid w:val="007401B4"/>
    <w:rsid w:val="0074023C"/>
    <w:rsid w:val="0074054D"/>
    <w:rsid w:val="0074063F"/>
    <w:rsid w:val="007407C5"/>
    <w:rsid w:val="00740A74"/>
    <w:rsid w:val="00740A8C"/>
    <w:rsid w:val="00740B31"/>
    <w:rsid w:val="00740C59"/>
    <w:rsid w:val="00740C73"/>
    <w:rsid w:val="00740C9D"/>
    <w:rsid w:val="00740CEF"/>
    <w:rsid w:val="00740F0B"/>
    <w:rsid w:val="00741085"/>
    <w:rsid w:val="007412E4"/>
    <w:rsid w:val="0074157F"/>
    <w:rsid w:val="00741855"/>
    <w:rsid w:val="00741DC5"/>
    <w:rsid w:val="00741EAE"/>
    <w:rsid w:val="00741EB1"/>
    <w:rsid w:val="007421D9"/>
    <w:rsid w:val="007422D5"/>
    <w:rsid w:val="00742310"/>
    <w:rsid w:val="0074233F"/>
    <w:rsid w:val="007425E3"/>
    <w:rsid w:val="0074288F"/>
    <w:rsid w:val="00742972"/>
    <w:rsid w:val="00742978"/>
    <w:rsid w:val="00742AC5"/>
    <w:rsid w:val="00742AD9"/>
    <w:rsid w:val="00742B05"/>
    <w:rsid w:val="00742B7E"/>
    <w:rsid w:val="00742D43"/>
    <w:rsid w:val="00742DB9"/>
    <w:rsid w:val="007431DA"/>
    <w:rsid w:val="007432A1"/>
    <w:rsid w:val="00743480"/>
    <w:rsid w:val="00743782"/>
    <w:rsid w:val="00743903"/>
    <w:rsid w:val="007439FF"/>
    <w:rsid w:val="00743B9D"/>
    <w:rsid w:val="00743EE7"/>
    <w:rsid w:val="00744438"/>
    <w:rsid w:val="0074446F"/>
    <w:rsid w:val="00744534"/>
    <w:rsid w:val="0074454A"/>
    <w:rsid w:val="00744634"/>
    <w:rsid w:val="007446BB"/>
    <w:rsid w:val="00744B32"/>
    <w:rsid w:val="00744E8F"/>
    <w:rsid w:val="007450E2"/>
    <w:rsid w:val="0074519A"/>
    <w:rsid w:val="00745312"/>
    <w:rsid w:val="00745429"/>
    <w:rsid w:val="007454B8"/>
    <w:rsid w:val="00745586"/>
    <w:rsid w:val="00745A6E"/>
    <w:rsid w:val="00745BF0"/>
    <w:rsid w:val="00745F0E"/>
    <w:rsid w:val="0074672C"/>
    <w:rsid w:val="00746A1F"/>
    <w:rsid w:val="00746D2D"/>
    <w:rsid w:val="00746D48"/>
    <w:rsid w:val="00746F01"/>
    <w:rsid w:val="00747382"/>
    <w:rsid w:val="00747558"/>
    <w:rsid w:val="00747605"/>
    <w:rsid w:val="0074761A"/>
    <w:rsid w:val="007477A7"/>
    <w:rsid w:val="0075009E"/>
    <w:rsid w:val="0075035F"/>
    <w:rsid w:val="00750392"/>
    <w:rsid w:val="007506D2"/>
    <w:rsid w:val="007507BD"/>
    <w:rsid w:val="0075087D"/>
    <w:rsid w:val="00750948"/>
    <w:rsid w:val="00750ACF"/>
    <w:rsid w:val="00750AE0"/>
    <w:rsid w:val="00750B7F"/>
    <w:rsid w:val="00750C05"/>
    <w:rsid w:val="00750CEA"/>
    <w:rsid w:val="00750DD7"/>
    <w:rsid w:val="007512A9"/>
    <w:rsid w:val="007512B8"/>
    <w:rsid w:val="007512E8"/>
    <w:rsid w:val="0075135C"/>
    <w:rsid w:val="0075146D"/>
    <w:rsid w:val="007514A4"/>
    <w:rsid w:val="00751519"/>
    <w:rsid w:val="00751725"/>
    <w:rsid w:val="0075181A"/>
    <w:rsid w:val="007519AD"/>
    <w:rsid w:val="00751A43"/>
    <w:rsid w:val="00751B23"/>
    <w:rsid w:val="00751B42"/>
    <w:rsid w:val="00751B50"/>
    <w:rsid w:val="00751C16"/>
    <w:rsid w:val="00751CA5"/>
    <w:rsid w:val="00751CC2"/>
    <w:rsid w:val="00751D5C"/>
    <w:rsid w:val="00751FF5"/>
    <w:rsid w:val="007520F1"/>
    <w:rsid w:val="00752150"/>
    <w:rsid w:val="007522BB"/>
    <w:rsid w:val="00752849"/>
    <w:rsid w:val="00752A7A"/>
    <w:rsid w:val="00752AC7"/>
    <w:rsid w:val="00752B02"/>
    <w:rsid w:val="00752B87"/>
    <w:rsid w:val="00752DBA"/>
    <w:rsid w:val="00752EDC"/>
    <w:rsid w:val="00752F5A"/>
    <w:rsid w:val="00753158"/>
    <w:rsid w:val="0075333F"/>
    <w:rsid w:val="007535ED"/>
    <w:rsid w:val="0075376C"/>
    <w:rsid w:val="00753928"/>
    <w:rsid w:val="007539B4"/>
    <w:rsid w:val="007539BE"/>
    <w:rsid w:val="00753A0B"/>
    <w:rsid w:val="00753C94"/>
    <w:rsid w:val="00753DAC"/>
    <w:rsid w:val="007541BC"/>
    <w:rsid w:val="0075428A"/>
    <w:rsid w:val="007543AB"/>
    <w:rsid w:val="007545F5"/>
    <w:rsid w:val="007548BA"/>
    <w:rsid w:val="00754991"/>
    <w:rsid w:val="00754A64"/>
    <w:rsid w:val="00754A77"/>
    <w:rsid w:val="0075550F"/>
    <w:rsid w:val="00755563"/>
    <w:rsid w:val="0075564D"/>
    <w:rsid w:val="007558AB"/>
    <w:rsid w:val="00755947"/>
    <w:rsid w:val="00755A4E"/>
    <w:rsid w:val="00755B3B"/>
    <w:rsid w:val="00755D92"/>
    <w:rsid w:val="00755EA0"/>
    <w:rsid w:val="00755EEB"/>
    <w:rsid w:val="00755F5F"/>
    <w:rsid w:val="00755FD9"/>
    <w:rsid w:val="007560BD"/>
    <w:rsid w:val="0075630F"/>
    <w:rsid w:val="0075640D"/>
    <w:rsid w:val="0075644C"/>
    <w:rsid w:val="007564B8"/>
    <w:rsid w:val="00756685"/>
    <w:rsid w:val="007567C4"/>
    <w:rsid w:val="007567FF"/>
    <w:rsid w:val="007568B4"/>
    <w:rsid w:val="00756A99"/>
    <w:rsid w:val="00756C0B"/>
    <w:rsid w:val="00756CA4"/>
    <w:rsid w:val="00757121"/>
    <w:rsid w:val="00757249"/>
    <w:rsid w:val="0075786B"/>
    <w:rsid w:val="00757A18"/>
    <w:rsid w:val="00757ABB"/>
    <w:rsid w:val="00757B7C"/>
    <w:rsid w:val="00760190"/>
    <w:rsid w:val="00760191"/>
    <w:rsid w:val="007601CE"/>
    <w:rsid w:val="007604A6"/>
    <w:rsid w:val="0076052B"/>
    <w:rsid w:val="0076070A"/>
    <w:rsid w:val="00760804"/>
    <w:rsid w:val="0076098E"/>
    <w:rsid w:val="00760A2D"/>
    <w:rsid w:val="00760BB5"/>
    <w:rsid w:val="00760C95"/>
    <w:rsid w:val="00760D9D"/>
    <w:rsid w:val="00760F6E"/>
    <w:rsid w:val="00760FD0"/>
    <w:rsid w:val="00761013"/>
    <w:rsid w:val="0076110D"/>
    <w:rsid w:val="00761168"/>
    <w:rsid w:val="007611F5"/>
    <w:rsid w:val="007611F8"/>
    <w:rsid w:val="00761242"/>
    <w:rsid w:val="0076146B"/>
    <w:rsid w:val="00761607"/>
    <w:rsid w:val="0076173C"/>
    <w:rsid w:val="00761906"/>
    <w:rsid w:val="0076197C"/>
    <w:rsid w:val="00761982"/>
    <w:rsid w:val="00761CF7"/>
    <w:rsid w:val="00762208"/>
    <w:rsid w:val="00762290"/>
    <w:rsid w:val="00762420"/>
    <w:rsid w:val="007624E2"/>
    <w:rsid w:val="007624FB"/>
    <w:rsid w:val="007626B3"/>
    <w:rsid w:val="0076294A"/>
    <w:rsid w:val="007629E2"/>
    <w:rsid w:val="00762A73"/>
    <w:rsid w:val="00762B82"/>
    <w:rsid w:val="00762BD8"/>
    <w:rsid w:val="00762C24"/>
    <w:rsid w:val="00762E7A"/>
    <w:rsid w:val="00762F36"/>
    <w:rsid w:val="00762F51"/>
    <w:rsid w:val="007630BA"/>
    <w:rsid w:val="00763126"/>
    <w:rsid w:val="007631D1"/>
    <w:rsid w:val="00763414"/>
    <w:rsid w:val="00763492"/>
    <w:rsid w:val="00763574"/>
    <w:rsid w:val="00763591"/>
    <w:rsid w:val="007636D5"/>
    <w:rsid w:val="007637B9"/>
    <w:rsid w:val="00763859"/>
    <w:rsid w:val="00763961"/>
    <w:rsid w:val="00763BD4"/>
    <w:rsid w:val="00763D41"/>
    <w:rsid w:val="00763DC4"/>
    <w:rsid w:val="00763EFD"/>
    <w:rsid w:val="00764062"/>
    <w:rsid w:val="007640A2"/>
    <w:rsid w:val="00764112"/>
    <w:rsid w:val="00764167"/>
    <w:rsid w:val="00764187"/>
    <w:rsid w:val="00764326"/>
    <w:rsid w:val="00764440"/>
    <w:rsid w:val="007644F4"/>
    <w:rsid w:val="0076466A"/>
    <w:rsid w:val="007648D5"/>
    <w:rsid w:val="00764A3F"/>
    <w:rsid w:val="00764A59"/>
    <w:rsid w:val="00764B9D"/>
    <w:rsid w:val="00764E83"/>
    <w:rsid w:val="00764E8D"/>
    <w:rsid w:val="00764FAA"/>
    <w:rsid w:val="00764FC7"/>
    <w:rsid w:val="0076507D"/>
    <w:rsid w:val="0076519E"/>
    <w:rsid w:val="00765212"/>
    <w:rsid w:val="0076529F"/>
    <w:rsid w:val="007652FE"/>
    <w:rsid w:val="007653C9"/>
    <w:rsid w:val="007654D3"/>
    <w:rsid w:val="007656FB"/>
    <w:rsid w:val="007657AE"/>
    <w:rsid w:val="00765946"/>
    <w:rsid w:val="0076598D"/>
    <w:rsid w:val="00765A37"/>
    <w:rsid w:val="00765AD0"/>
    <w:rsid w:val="007660A8"/>
    <w:rsid w:val="0076613B"/>
    <w:rsid w:val="007661E2"/>
    <w:rsid w:val="007664A7"/>
    <w:rsid w:val="00766795"/>
    <w:rsid w:val="007669E6"/>
    <w:rsid w:val="00766B02"/>
    <w:rsid w:val="00766B3E"/>
    <w:rsid w:val="00766B92"/>
    <w:rsid w:val="00766BB7"/>
    <w:rsid w:val="00766D52"/>
    <w:rsid w:val="00766F75"/>
    <w:rsid w:val="007672F8"/>
    <w:rsid w:val="0076734B"/>
    <w:rsid w:val="00767504"/>
    <w:rsid w:val="00767556"/>
    <w:rsid w:val="007677D7"/>
    <w:rsid w:val="00767C1C"/>
    <w:rsid w:val="00767C26"/>
    <w:rsid w:val="00767C7F"/>
    <w:rsid w:val="00767D55"/>
    <w:rsid w:val="00767E88"/>
    <w:rsid w:val="00767FDC"/>
    <w:rsid w:val="00770082"/>
    <w:rsid w:val="007700B5"/>
    <w:rsid w:val="007700B9"/>
    <w:rsid w:val="007700D9"/>
    <w:rsid w:val="0077018E"/>
    <w:rsid w:val="00770581"/>
    <w:rsid w:val="00770663"/>
    <w:rsid w:val="007706A6"/>
    <w:rsid w:val="007708D5"/>
    <w:rsid w:val="007709BE"/>
    <w:rsid w:val="00770A2C"/>
    <w:rsid w:val="00770A38"/>
    <w:rsid w:val="00770B83"/>
    <w:rsid w:val="00770CB9"/>
    <w:rsid w:val="00770EF7"/>
    <w:rsid w:val="0077109A"/>
    <w:rsid w:val="00771109"/>
    <w:rsid w:val="00771190"/>
    <w:rsid w:val="00771283"/>
    <w:rsid w:val="0077143C"/>
    <w:rsid w:val="007716D9"/>
    <w:rsid w:val="00771783"/>
    <w:rsid w:val="00771901"/>
    <w:rsid w:val="00771E68"/>
    <w:rsid w:val="00771E79"/>
    <w:rsid w:val="00772161"/>
    <w:rsid w:val="00772262"/>
    <w:rsid w:val="0077291C"/>
    <w:rsid w:val="00772947"/>
    <w:rsid w:val="00772B31"/>
    <w:rsid w:val="00772E10"/>
    <w:rsid w:val="00772E47"/>
    <w:rsid w:val="00772EDB"/>
    <w:rsid w:val="00772EFE"/>
    <w:rsid w:val="00772F43"/>
    <w:rsid w:val="00773189"/>
    <w:rsid w:val="007731A6"/>
    <w:rsid w:val="007731DC"/>
    <w:rsid w:val="0077360D"/>
    <w:rsid w:val="0077363B"/>
    <w:rsid w:val="00773647"/>
    <w:rsid w:val="00773699"/>
    <w:rsid w:val="00773705"/>
    <w:rsid w:val="00773937"/>
    <w:rsid w:val="007739A1"/>
    <w:rsid w:val="00773B3F"/>
    <w:rsid w:val="00773BF4"/>
    <w:rsid w:val="00773D0B"/>
    <w:rsid w:val="00773F75"/>
    <w:rsid w:val="0077422E"/>
    <w:rsid w:val="00774512"/>
    <w:rsid w:val="007745ED"/>
    <w:rsid w:val="00774AB1"/>
    <w:rsid w:val="00774B4D"/>
    <w:rsid w:val="00774BCD"/>
    <w:rsid w:val="00774BCE"/>
    <w:rsid w:val="00774E00"/>
    <w:rsid w:val="00774E67"/>
    <w:rsid w:val="00774F7E"/>
    <w:rsid w:val="007750B6"/>
    <w:rsid w:val="00775365"/>
    <w:rsid w:val="0077547E"/>
    <w:rsid w:val="00775652"/>
    <w:rsid w:val="0077568A"/>
    <w:rsid w:val="00775B44"/>
    <w:rsid w:val="00775CA6"/>
    <w:rsid w:val="00775E94"/>
    <w:rsid w:val="00775F16"/>
    <w:rsid w:val="0077604D"/>
    <w:rsid w:val="00776103"/>
    <w:rsid w:val="0077622B"/>
    <w:rsid w:val="00776338"/>
    <w:rsid w:val="007765BB"/>
    <w:rsid w:val="007765EE"/>
    <w:rsid w:val="0077680F"/>
    <w:rsid w:val="00776A19"/>
    <w:rsid w:val="00776C55"/>
    <w:rsid w:val="00776DA9"/>
    <w:rsid w:val="00776E8F"/>
    <w:rsid w:val="00776E9A"/>
    <w:rsid w:val="00776FC7"/>
    <w:rsid w:val="007770DD"/>
    <w:rsid w:val="007772C3"/>
    <w:rsid w:val="00777328"/>
    <w:rsid w:val="00777422"/>
    <w:rsid w:val="007774B9"/>
    <w:rsid w:val="007775D5"/>
    <w:rsid w:val="007776FC"/>
    <w:rsid w:val="007777E4"/>
    <w:rsid w:val="0077781B"/>
    <w:rsid w:val="00777A73"/>
    <w:rsid w:val="00777B8A"/>
    <w:rsid w:val="00777DDD"/>
    <w:rsid w:val="00777E48"/>
    <w:rsid w:val="00780073"/>
    <w:rsid w:val="00780255"/>
    <w:rsid w:val="0078039D"/>
    <w:rsid w:val="0078070E"/>
    <w:rsid w:val="0078085C"/>
    <w:rsid w:val="00780CB3"/>
    <w:rsid w:val="00780CE1"/>
    <w:rsid w:val="00781031"/>
    <w:rsid w:val="00781032"/>
    <w:rsid w:val="00781431"/>
    <w:rsid w:val="00781562"/>
    <w:rsid w:val="0078170B"/>
    <w:rsid w:val="00781A07"/>
    <w:rsid w:val="00781BF3"/>
    <w:rsid w:val="00781C7F"/>
    <w:rsid w:val="00781D35"/>
    <w:rsid w:val="00781D37"/>
    <w:rsid w:val="00781DA8"/>
    <w:rsid w:val="00781EE9"/>
    <w:rsid w:val="00781FF0"/>
    <w:rsid w:val="007820B7"/>
    <w:rsid w:val="007826C9"/>
    <w:rsid w:val="00782924"/>
    <w:rsid w:val="00782AC3"/>
    <w:rsid w:val="00782CDC"/>
    <w:rsid w:val="00782DDF"/>
    <w:rsid w:val="00782E2F"/>
    <w:rsid w:val="00783012"/>
    <w:rsid w:val="007831CB"/>
    <w:rsid w:val="007831EB"/>
    <w:rsid w:val="00783299"/>
    <w:rsid w:val="007832E1"/>
    <w:rsid w:val="00783566"/>
    <w:rsid w:val="007836CA"/>
    <w:rsid w:val="00783713"/>
    <w:rsid w:val="007837E9"/>
    <w:rsid w:val="00783837"/>
    <w:rsid w:val="00783908"/>
    <w:rsid w:val="00783953"/>
    <w:rsid w:val="00783B84"/>
    <w:rsid w:val="00783D36"/>
    <w:rsid w:val="00783D91"/>
    <w:rsid w:val="00783F02"/>
    <w:rsid w:val="00784207"/>
    <w:rsid w:val="007842BC"/>
    <w:rsid w:val="007842C9"/>
    <w:rsid w:val="007845B0"/>
    <w:rsid w:val="007845B6"/>
    <w:rsid w:val="00784826"/>
    <w:rsid w:val="007849B4"/>
    <w:rsid w:val="00784A1B"/>
    <w:rsid w:val="00784AD5"/>
    <w:rsid w:val="00784BE4"/>
    <w:rsid w:val="00784CBC"/>
    <w:rsid w:val="00784D3C"/>
    <w:rsid w:val="00784EB2"/>
    <w:rsid w:val="00784FD0"/>
    <w:rsid w:val="007852DA"/>
    <w:rsid w:val="00785353"/>
    <w:rsid w:val="0078563C"/>
    <w:rsid w:val="007856B6"/>
    <w:rsid w:val="00785966"/>
    <w:rsid w:val="00785A0A"/>
    <w:rsid w:val="00785BC6"/>
    <w:rsid w:val="00785BD7"/>
    <w:rsid w:val="00785EDF"/>
    <w:rsid w:val="007861C5"/>
    <w:rsid w:val="0078648A"/>
    <w:rsid w:val="007865BA"/>
    <w:rsid w:val="00786A95"/>
    <w:rsid w:val="00786AAC"/>
    <w:rsid w:val="00786B39"/>
    <w:rsid w:val="00786B96"/>
    <w:rsid w:val="00786BEF"/>
    <w:rsid w:val="00786C52"/>
    <w:rsid w:val="00786CCE"/>
    <w:rsid w:val="00786D53"/>
    <w:rsid w:val="00786E7F"/>
    <w:rsid w:val="00786F26"/>
    <w:rsid w:val="00786FCB"/>
    <w:rsid w:val="00787078"/>
    <w:rsid w:val="007871AE"/>
    <w:rsid w:val="00787223"/>
    <w:rsid w:val="00787275"/>
    <w:rsid w:val="00787715"/>
    <w:rsid w:val="00787732"/>
    <w:rsid w:val="00787768"/>
    <w:rsid w:val="007879C0"/>
    <w:rsid w:val="00787AFD"/>
    <w:rsid w:val="00787DE7"/>
    <w:rsid w:val="00787E0C"/>
    <w:rsid w:val="00790418"/>
    <w:rsid w:val="00790616"/>
    <w:rsid w:val="0079062F"/>
    <w:rsid w:val="0079069C"/>
    <w:rsid w:val="007909C3"/>
    <w:rsid w:val="00790BCB"/>
    <w:rsid w:val="00790C8B"/>
    <w:rsid w:val="00790E5F"/>
    <w:rsid w:val="007910E9"/>
    <w:rsid w:val="00791134"/>
    <w:rsid w:val="007911EB"/>
    <w:rsid w:val="0079158C"/>
    <w:rsid w:val="0079165F"/>
    <w:rsid w:val="00791680"/>
    <w:rsid w:val="007916F8"/>
    <w:rsid w:val="00791A29"/>
    <w:rsid w:val="00791E4B"/>
    <w:rsid w:val="00791EA8"/>
    <w:rsid w:val="00791ED7"/>
    <w:rsid w:val="0079200D"/>
    <w:rsid w:val="0079211D"/>
    <w:rsid w:val="007922A2"/>
    <w:rsid w:val="007927A5"/>
    <w:rsid w:val="007928F9"/>
    <w:rsid w:val="00792A20"/>
    <w:rsid w:val="00792BCE"/>
    <w:rsid w:val="00792D07"/>
    <w:rsid w:val="00792DD7"/>
    <w:rsid w:val="00792F0C"/>
    <w:rsid w:val="00792FF2"/>
    <w:rsid w:val="00793269"/>
    <w:rsid w:val="00793471"/>
    <w:rsid w:val="00793704"/>
    <w:rsid w:val="00793724"/>
    <w:rsid w:val="00793736"/>
    <w:rsid w:val="007937B6"/>
    <w:rsid w:val="00793B3C"/>
    <w:rsid w:val="00793BFF"/>
    <w:rsid w:val="00793C80"/>
    <w:rsid w:val="00793E68"/>
    <w:rsid w:val="00793EFB"/>
    <w:rsid w:val="00793F52"/>
    <w:rsid w:val="00794097"/>
    <w:rsid w:val="007940B2"/>
    <w:rsid w:val="007942B4"/>
    <w:rsid w:val="007942B8"/>
    <w:rsid w:val="00794309"/>
    <w:rsid w:val="00794372"/>
    <w:rsid w:val="00794390"/>
    <w:rsid w:val="007945F4"/>
    <w:rsid w:val="00794BA7"/>
    <w:rsid w:val="00794BAE"/>
    <w:rsid w:val="00794CA9"/>
    <w:rsid w:val="00794CB9"/>
    <w:rsid w:val="00794CFC"/>
    <w:rsid w:val="00794F1E"/>
    <w:rsid w:val="00794F6B"/>
    <w:rsid w:val="00794F83"/>
    <w:rsid w:val="00795258"/>
    <w:rsid w:val="007953D5"/>
    <w:rsid w:val="00795585"/>
    <w:rsid w:val="0079582D"/>
    <w:rsid w:val="007958E8"/>
    <w:rsid w:val="00795B4F"/>
    <w:rsid w:val="00795EC7"/>
    <w:rsid w:val="0079600B"/>
    <w:rsid w:val="0079619F"/>
    <w:rsid w:val="00796218"/>
    <w:rsid w:val="007962A6"/>
    <w:rsid w:val="00796318"/>
    <w:rsid w:val="00796532"/>
    <w:rsid w:val="007967ED"/>
    <w:rsid w:val="007968F8"/>
    <w:rsid w:val="00796970"/>
    <w:rsid w:val="00796C5A"/>
    <w:rsid w:val="00796E2B"/>
    <w:rsid w:val="00797087"/>
    <w:rsid w:val="00797115"/>
    <w:rsid w:val="00797260"/>
    <w:rsid w:val="0079730E"/>
    <w:rsid w:val="007973BC"/>
    <w:rsid w:val="00797545"/>
    <w:rsid w:val="00797578"/>
    <w:rsid w:val="007975D6"/>
    <w:rsid w:val="00797AA9"/>
    <w:rsid w:val="00797AAD"/>
    <w:rsid w:val="00797E93"/>
    <w:rsid w:val="00797EC1"/>
    <w:rsid w:val="007A0283"/>
    <w:rsid w:val="007A0335"/>
    <w:rsid w:val="007A0571"/>
    <w:rsid w:val="007A069D"/>
    <w:rsid w:val="007A0749"/>
    <w:rsid w:val="007A089E"/>
    <w:rsid w:val="007A0A3B"/>
    <w:rsid w:val="007A0C47"/>
    <w:rsid w:val="007A0E34"/>
    <w:rsid w:val="007A0E7B"/>
    <w:rsid w:val="007A1005"/>
    <w:rsid w:val="007A11CE"/>
    <w:rsid w:val="007A12B0"/>
    <w:rsid w:val="007A139D"/>
    <w:rsid w:val="007A1411"/>
    <w:rsid w:val="007A1630"/>
    <w:rsid w:val="007A166C"/>
    <w:rsid w:val="007A1812"/>
    <w:rsid w:val="007A1CA1"/>
    <w:rsid w:val="007A2098"/>
    <w:rsid w:val="007A20CE"/>
    <w:rsid w:val="007A20DC"/>
    <w:rsid w:val="007A216F"/>
    <w:rsid w:val="007A2AA6"/>
    <w:rsid w:val="007A2CD6"/>
    <w:rsid w:val="007A2EFA"/>
    <w:rsid w:val="007A3025"/>
    <w:rsid w:val="007A3273"/>
    <w:rsid w:val="007A3476"/>
    <w:rsid w:val="007A351A"/>
    <w:rsid w:val="007A3548"/>
    <w:rsid w:val="007A3586"/>
    <w:rsid w:val="007A36C2"/>
    <w:rsid w:val="007A36EB"/>
    <w:rsid w:val="007A3A9F"/>
    <w:rsid w:val="007A3B0F"/>
    <w:rsid w:val="007A3D5B"/>
    <w:rsid w:val="007A3E6F"/>
    <w:rsid w:val="007A40F8"/>
    <w:rsid w:val="007A4104"/>
    <w:rsid w:val="007A4569"/>
    <w:rsid w:val="007A4672"/>
    <w:rsid w:val="007A4915"/>
    <w:rsid w:val="007A4955"/>
    <w:rsid w:val="007A4A97"/>
    <w:rsid w:val="007A4BD5"/>
    <w:rsid w:val="007A4F90"/>
    <w:rsid w:val="007A4FD0"/>
    <w:rsid w:val="007A5217"/>
    <w:rsid w:val="007A5308"/>
    <w:rsid w:val="007A53B4"/>
    <w:rsid w:val="007A5607"/>
    <w:rsid w:val="007A5692"/>
    <w:rsid w:val="007A57A4"/>
    <w:rsid w:val="007A5FAF"/>
    <w:rsid w:val="007A60DA"/>
    <w:rsid w:val="007A6478"/>
    <w:rsid w:val="007A658F"/>
    <w:rsid w:val="007A65C4"/>
    <w:rsid w:val="007A65F2"/>
    <w:rsid w:val="007A6804"/>
    <w:rsid w:val="007A6826"/>
    <w:rsid w:val="007A693C"/>
    <w:rsid w:val="007A6A97"/>
    <w:rsid w:val="007A6C60"/>
    <w:rsid w:val="007A6CD3"/>
    <w:rsid w:val="007A6E6A"/>
    <w:rsid w:val="007A6F12"/>
    <w:rsid w:val="007A6F6A"/>
    <w:rsid w:val="007A6FE5"/>
    <w:rsid w:val="007A7186"/>
    <w:rsid w:val="007A7298"/>
    <w:rsid w:val="007A74BA"/>
    <w:rsid w:val="007A74EE"/>
    <w:rsid w:val="007A75A0"/>
    <w:rsid w:val="007A7C27"/>
    <w:rsid w:val="007A7C66"/>
    <w:rsid w:val="007A7CAF"/>
    <w:rsid w:val="007A7F21"/>
    <w:rsid w:val="007B01BE"/>
    <w:rsid w:val="007B01CF"/>
    <w:rsid w:val="007B01E2"/>
    <w:rsid w:val="007B0297"/>
    <w:rsid w:val="007B040F"/>
    <w:rsid w:val="007B05C0"/>
    <w:rsid w:val="007B06EF"/>
    <w:rsid w:val="007B0885"/>
    <w:rsid w:val="007B08ED"/>
    <w:rsid w:val="007B0986"/>
    <w:rsid w:val="007B0C5B"/>
    <w:rsid w:val="007B0C5E"/>
    <w:rsid w:val="007B0C88"/>
    <w:rsid w:val="007B0F32"/>
    <w:rsid w:val="007B0F93"/>
    <w:rsid w:val="007B1066"/>
    <w:rsid w:val="007B1258"/>
    <w:rsid w:val="007B128F"/>
    <w:rsid w:val="007B17FF"/>
    <w:rsid w:val="007B18AE"/>
    <w:rsid w:val="007B1B08"/>
    <w:rsid w:val="007B1E8B"/>
    <w:rsid w:val="007B2075"/>
    <w:rsid w:val="007B2096"/>
    <w:rsid w:val="007B217F"/>
    <w:rsid w:val="007B21C8"/>
    <w:rsid w:val="007B2338"/>
    <w:rsid w:val="007B25CC"/>
    <w:rsid w:val="007B25E9"/>
    <w:rsid w:val="007B2659"/>
    <w:rsid w:val="007B266A"/>
    <w:rsid w:val="007B26CE"/>
    <w:rsid w:val="007B2701"/>
    <w:rsid w:val="007B276E"/>
    <w:rsid w:val="007B278F"/>
    <w:rsid w:val="007B2B75"/>
    <w:rsid w:val="007B2B89"/>
    <w:rsid w:val="007B2C82"/>
    <w:rsid w:val="007B2CB4"/>
    <w:rsid w:val="007B2D1B"/>
    <w:rsid w:val="007B2D36"/>
    <w:rsid w:val="007B2FC4"/>
    <w:rsid w:val="007B3AD0"/>
    <w:rsid w:val="007B3C23"/>
    <w:rsid w:val="007B3D28"/>
    <w:rsid w:val="007B3DA2"/>
    <w:rsid w:val="007B3E07"/>
    <w:rsid w:val="007B3FDD"/>
    <w:rsid w:val="007B405C"/>
    <w:rsid w:val="007B41A8"/>
    <w:rsid w:val="007B42BF"/>
    <w:rsid w:val="007B4421"/>
    <w:rsid w:val="007B44F0"/>
    <w:rsid w:val="007B47FB"/>
    <w:rsid w:val="007B4A5B"/>
    <w:rsid w:val="007B4E05"/>
    <w:rsid w:val="007B502C"/>
    <w:rsid w:val="007B56D1"/>
    <w:rsid w:val="007B5720"/>
    <w:rsid w:val="007B5845"/>
    <w:rsid w:val="007B5B74"/>
    <w:rsid w:val="007B5BAB"/>
    <w:rsid w:val="007B5C09"/>
    <w:rsid w:val="007B5D46"/>
    <w:rsid w:val="007B5F43"/>
    <w:rsid w:val="007B5FB2"/>
    <w:rsid w:val="007B6028"/>
    <w:rsid w:val="007B60D1"/>
    <w:rsid w:val="007B61FE"/>
    <w:rsid w:val="007B62E9"/>
    <w:rsid w:val="007B632C"/>
    <w:rsid w:val="007B6518"/>
    <w:rsid w:val="007B66C3"/>
    <w:rsid w:val="007B6776"/>
    <w:rsid w:val="007B6878"/>
    <w:rsid w:val="007B6937"/>
    <w:rsid w:val="007B6940"/>
    <w:rsid w:val="007B6A91"/>
    <w:rsid w:val="007B6FE3"/>
    <w:rsid w:val="007B7254"/>
    <w:rsid w:val="007B7355"/>
    <w:rsid w:val="007B7400"/>
    <w:rsid w:val="007B747A"/>
    <w:rsid w:val="007B7BC8"/>
    <w:rsid w:val="007B7C50"/>
    <w:rsid w:val="007B7DF6"/>
    <w:rsid w:val="007B7E12"/>
    <w:rsid w:val="007C0320"/>
    <w:rsid w:val="007C033F"/>
    <w:rsid w:val="007C04CE"/>
    <w:rsid w:val="007C0519"/>
    <w:rsid w:val="007C0827"/>
    <w:rsid w:val="007C08B2"/>
    <w:rsid w:val="007C0B02"/>
    <w:rsid w:val="007C0B49"/>
    <w:rsid w:val="007C0C13"/>
    <w:rsid w:val="007C0F6F"/>
    <w:rsid w:val="007C0FA8"/>
    <w:rsid w:val="007C0FB6"/>
    <w:rsid w:val="007C188A"/>
    <w:rsid w:val="007C19BE"/>
    <w:rsid w:val="007C1ACE"/>
    <w:rsid w:val="007C1B01"/>
    <w:rsid w:val="007C1B9F"/>
    <w:rsid w:val="007C1CB2"/>
    <w:rsid w:val="007C1D0C"/>
    <w:rsid w:val="007C1D2F"/>
    <w:rsid w:val="007C1D9D"/>
    <w:rsid w:val="007C1ECC"/>
    <w:rsid w:val="007C1FA1"/>
    <w:rsid w:val="007C2259"/>
    <w:rsid w:val="007C22BF"/>
    <w:rsid w:val="007C22DE"/>
    <w:rsid w:val="007C2646"/>
    <w:rsid w:val="007C27A6"/>
    <w:rsid w:val="007C2976"/>
    <w:rsid w:val="007C297A"/>
    <w:rsid w:val="007C2AA9"/>
    <w:rsid w:val="007C2B00"/>
    <w:rsid w:val="007C2B32"/>
    <w:rsid w:val="007C2C1B"/>
    <w:rsid w:val="007C2F5A"/>
    <w:rsid w:val="007C3060"/>
    <w:rsid w:val="007C319F"/>
    <w:rsid w:val="007C3345"/>
    <w:rsid w:val="007C346C"/>
    <w:rsid w:val="007C370D"/>
    <w:rsid w:val="007C3928"/>
    <w:rsid w:val="007C3CB6"/>
    <w:rsid w:val="007C3EC9"/>
    <w:rsid w:val="007C411E"/>
    <w:rsid w:val="007C415D"/>
    <w:rsid w:val="007C41A1"/>
    <w:rsid w:val="007C41E8"/>
    <w:rsid w:val="007C42B8"/>
    <w:rsid w:val="007C448D"/>
    <w:rsid w:val="007C455B"/>
    <w:rsid w:val="007C459B"/>
    <w:rsid w:val="007C46DF"/>
    <w:rsid w:val="007C4746"/>
    <w:rsid w:val="007C48E4"/>
    <w:rsid w:val="007C49C9"/>
    <w:rsid w:val="007C4A11"/>
    <w:rsid w:val="007C4AB1"/>
    <w:rsid w:val="007C4DDF"/>
    <w:rsid w:val="007C4DF6"/>
    <w:rsid w:val="007C4EAE"/>
    <w:rsid w:val="007C4F55"/>
    <w:rsid w:val="007C5059"/>
    <w:rsid w:val="007C50FC"/>
    <w:rsid w:val="007C5115"/>
    <w:rsid w:val="007C517B"/>
    <w:rsid w:val="007C5238"/>
    <w:rsid w:val="007C53FB"/>
    <w:rsid w:val="007C563E"/>
    <w:rsid w:val="007C5826"/>
    <w:rsid w:val="007C5833"/>
    <w:rsid w:val="007C58F6"/>
    <w:rsid w:val="007C5961"/>
    <w:rsid w:val="007C5DBD"/>
    <w:rsid w:val="007C5DC0"/>
    <w:rsid w:val="007C5E1E"/>
    <w:rsid w:val="007C5F2F"/>
    <w:rsid w:val="007C6080"/>
    <w:rsid w:val="007C610E"/>
    <w:rsid w:val="007C634C"/>
    <w:rsid w:val="007C634D"/>
    <w:rsid w:val="007C6365"/>
    <w:rsid w:val="007C6644"/>
    <w:rsid w:val="007C666C"/>
    <w:rsid w:val="007C6846"/>
    <w:rsid w:val="007C6897"/>
    <w:rsid w:val="007C695A"/>
    <w:rsid w:val="007C6AD8"/>
    <w:rsid w:val="007C6E1A"/>
    <w:rsid w:val="007C70E6"/>
    <w:rsid w:val="007C713B"/>
    <w:rsid w:val="007C7282"/>
    <w:rsid w:val="007C750C"/>
    <w:rsid w:val="007C774C"/>
    <w:rsid w:val="007C77E5"/>
    <w:rsid w:val="007C7960"/>
    <w:rsid w:val="007C7AEC"/>
    <w:rsid w:val="007C7B53"/>
    <w:rsid w:val="007C7BBC"/>
    <w:rsid w:val="007C7BF9"/>
    <w:rsid w:val="007C7DB3"/>
    <w:rsid w:val="007C7E68"/>
    <w:rsid w:val="007D010A"/>
    <w:rsid w:val="007D01B3"/>
    <w:rsid w:val="007D0256"/>
    <w:rsid w:val="007D02D4"/>
    <w:rsid w:val="007D0740"/>
    <w:rsid w:val="007D0811"/>
    <w:rsid w:val="007D081A"/>
    <w:rsid w:val="007D0879"/>
    <w:rsid w:val="007D088D"/>
    <w:rsid w:val="007D0899"/>
    <w:rsid w:val="007D08B6"/>
    <w:rsid w:val="007D0B62"/>
    <w:rsid w:val="007D1252"/>
    <w:rsid w:val="007D12C5"/>
    <w:rsid w:val="007D130D"/>
    <w:rsid w:val="007D1359"/>
    <w:rsid w:val="007D1552"/>
    <w:rsid w:val="007D1828"/>
    <w:rsid w:val="007D19AF"/>
    <w:rsid w:val="007D19BB"/>
    <w:rsid w:val="007D1C8F"/>
    <w:rsid w:val="007D1D2B"/>
    <w:rsid w:val="007D1D62"/>
    <w:rsid w:val="007D2115"/>
    <w:rsid w:val="007D2566"/>
    <w:rsid w:val="007D2619"/>
    <w:rsid w:val="007D2662"/>
    <w:rsid w:val="007D29EE"/>
    <w:rsid w:val="007D2C01"/>
    <w:rsid w:val="007D2C60"/>
    <w:rsid w:val="007D2CC6"/>
    <w:rsid w:val="007D2E08"/>
    <w:rsid w:val="007D3249"/>
    <w:rsid w:val="007D33A9"/>
    <w:rsid w:val="007D3482"/>
    <w:rsid w:val="007D3518"/>
    <w:rsid w:val="007D36D5"/>
    <w:rsid w:val="007D37C9"/>
    <w:rsid w:val="007D385C"/>
    <w:rsid w:val="007D3964"/>
    <w:rsid w:val="007D3C8F"/>
    <w:rsid w:val="007D3D21"/>
    <w:rsid w:val="007D3E66"/>
    <w:rsid w:val="007D3FB3"/>
    <w:rsid w:val="007D40A1"/>
    <w:rsid w:val="007D422A"/>
    <w:rsid w:val="007D4397"/>
    <w:rsid w:val="007D4416"/>
    <w:rsid w:val="007D4426"/>
    <w:rsid w:val="007D45E0"/>
    <w:rsid w:val="007D4713"/>
    <w:rsid w:val="007D4731"/>
    <w:rsid w:val="007D47AF"/>
    <w:rsid w:val="007D4925"/>
    <w:rsid w:val="007D49DE"/>
    <w:rsid w:val="007D4A19"/>
    <w:rsid w:val="007D4A2F"/>
    <w:rsid w:val="007D4AA3"/>
    <w:rsid w:val="007D4C1F"/>
    <w:rsid w:val="007D4E35"/>
    <w:rsid w:val="007D4F17"/>
    <w:rsid w:val="007D5098"/>
    <w:rsid w:val="007D513D"/>
    <w:rsid w:val="007D5284"/>
    <w:rsid w:val="007D52BB"/>
    <w:rsid w:val="007D5312"/>
    <w:rsid w:val="007D5335"/>
    <w:rsid w:val="007D5548"/>
    <w:rsid w:val="007D556E"/>
    <w:rsid w:val="007D5769"/>
    <w:rsid w:val="007D5968"/>
    <w:rsid w:val="007D59C9"/>
    <w:rsid w:val="007D5AEA"/>
    <w:rsid w:val="007D5C58"/>
    <w:rsid w:val="007D5C6A"/>
    <w:rsid w:val="007D623E"/>
    <w:rsid w:val="007D63BD"/>
    <w:rsid w:val="007D6619"/>
    <w:rsid w:val="007D6717"/>
    <w:rsid w:val="007D67C6"/>
    <w:rsid w:val="007D6B16"/>
    <w:rsid w:val="007D6B93"/>
    <w:rsid w:val="007D6C2A"/>
    <w:rsid w:val="007D6F9A"/>
    <w:rsid w:val="007D70B5"/>
    <w:rsid w:val="007D711D"/>
    <w:rsid w:val="007D7133"/>
    <w:rsid w:val="007D741B"/>
    <w:rsid w:val="007D750F"/>
    <w:rsid w:val="007D75F9"/>
    <w:rsid w:val="007D765A"/>
    <w:rsid w:val="007D769F"/>
    <w:rsid w:val="007D77B0"/>
    <w:rsid w:val="007D783D"/>
    <w:rsid w:val="007D784C"/>
    <w:rsid w:val="007D788F"/>
    <w:rsid w:val="007D78F1"/>
    <w:rsid w:val="007D7B6E"/>
    <w:rsid w:val="007D7C38"/>
    <w:rsid w:val="007D7C97"/>
    <w:rsid w:val="007D7E01"/>
    <w:rsid w:val="007D7E46"/>
    <w:rsid w:val="007E033E"/>
    <w:rsid w:val="007E03E4"/>
    <w:rsid w:val="007E04EE"/>
    <w:rsid w:val="007E05F7"/>
    <w:rsid w:val="007E06C7"/>
    <w:rsid w:val="007E06F9"/>
    <w:rsid w:val="007E08C7"/>
    <w:rsid w:val="007E0A1E"/>
    <w:rsid w:val="007E0A42"/>
    <w:rsid w:val="007E0A53"/>
    <w:rsid w:val="007E0CB3"/>
    <w:rsid w:val="007E0E19"/>
    <w:rsid w:val="007E0E2F"/>
    <w:rsid w:val="007E0E6C"/>
    <w:rsid w:val="007E106D"/>
    <w:rsid w:val="007E1084"/>
    <w:rsid w:val="007E10C5"/>
    <w:rsid w:val="007E1103"/>
    <w:rsid w:val="007E1309"/>
    <w:rsid w:val="007E1811"/>
    <w:rsid w:val="007E19E9"/>
    <w:rsid w:val="007E1C34"/>
    <w:rsid w:val="007E1DF0"/>
    <w:rsid w:val="007E1F31"/>
    <w:rsid w:val="007E20F0"/>
    <w:rsid w:val="007E232E"/>
    <w:rsid w:val="007E24E7"/>
    <w:rsid w:val="007E25C9"/>
    <w:rsid w:val="007E26A1"/>
    <w:rsid w:val="007E2A78"/>
    <w:rsid w:val="007E2E57"/>
    <w:rsid w:val="007E2E61"/>
    <w:rsid w:val="007E2FC4"/>
    <w:rsid w:val="007E3217"/>
    <w:rsid w:val="007E3485"/>
    <w:rsid w:val="007E3582"/>
    <w:rsid w:val="007E3655"/>
    <w:rsid w:val="007E370B"/>
    <w:rsid w:val="007E3886"/>
    <w:rsid w:val="007E3973"/>
    <w:rsid w:val="007E3A18"/>
    <w:rsid w:val="007E3CD9"/>
    <w:rsid w:val="007E3E78"/>
    <w:rsid w:val="007E3EDE"/>
    <w:rsid w:val="007E41DC"/>
    <w:rsid w:val="007E444F"/>
    <w:rsid w:val="007E46C1"/>
    <w:rsid w:val="007E46C5"/>
    <w:rsid w:val="007E4979"/>
    <w:rsid w:val="007E4995"/>
    <w:rsid w:val="007E4AD7"/>
    <w:rsid w:val="007E4D6A"/>
    <w:rsid w:val="007E4DD2"/>
    <w:rsid w:val="007E4F85"/>
    <w:rsid w:val="007E504B"/>
    <w:rsid w:val="007E5360"/>
    <w:rsid w:val="007E54D3"/>
    <w:rsid w:val="007E55B4"/>
    <w:rsid w:val="007E55D3"/>
    <w:rsid w:val="007E5613"/>
    <w:rsid w:val="007E5730"/>
    <w:rsid w:val="007E5B69"/>
    <w:rsid w:val="007E5C47"/>
    <w:rsid w:val="007E6440"/>
    <w:rsid w:val="007E65D0"/>
    <w:rsid w:val="007E66CE"/>
    <w:rsid w:val="007E6708"/>
    <w:rsid w:val="007E685E"/>
    <w:rsid w:val="007E6A12"/>
    <w:rsid w:val="007E6B43"/>
    <w:rsid w:val="007E6C1B"/>
    <w:rsid w:val="007E6D12"/>
    <w:rsid w:val="007E6D7F"/>
    <w:rsid w:val="007E70D9"/>
    <w:rsid w:val="007E720D"/>
    <w:rsid w:val="007E7344"/>
    <w:rsid w:val="007E736A"/>
    <w:rsid w:val="007E754A"/>
    <w:rsid w:val="007E75EA"/>
    <w:rsid w:val="007E7786"/>
    <w:rsid w:val="007E79FD"/>
    <w:rsid w:val="007E7A56"/>
    <w:rsid w:val="007E7CA4"/>
    <w:rsid w:val="007E7F96"/>
    <w:rsid w:val="007F0163"/>
    <w:rsid w:val="007F02E5"/>
    <w:rsid w:val="007F03C8"/>
    <w:rsid w:val="007F041D"/>
    <w:rsid w:val="007F09A9"/>
    <w:rsid w:val="007F0A75"/>
    <w:rsid w:val="007F0D8A"/>
    <w:rsid w:val="007F1244"/>
    <w:rsid w:val="007F12D9"/>
    <w:rsid w:val="007F1504"/>
    <w:rsid w:val="007F1569"/>
    <w:rsid w:val="007F1A07"/>
    <w:rsid w:val="007F1ACF"/>
    <w:rsid w:val="007F1AEC"/>
    <w:rsid w:val="007F1B6B"/>
    <w:rsid w:val="007F1F0D"/>
    <w:rsid w:val="007F22A6"/>
    <w:rsid w:val="007F2311"/>
    <w:rsid w:val="007F2686"/>
    <w:rsid w:val="007F286C"/>
    <w:rsid w:val="007F29DB"/>
    <w:rsid w:val="007F2CC4"/>
    <w:rsid w:val="007F2D41"/>
    <w:rsid w:val="007F2DA1"/>
    <w:rsid w:val="007F2ECC"/>
    <w:rsid w:val="007F2F2C"/>
    <w:rsid w:val="007F2F37"/>
    <w:rsid w:val="007F3000"/>
    <w:rsid w:val="007F3117"/>
    <w:rsid w:val="007F328E"/>
    <w:rsid w:val="007F328F"/>
    <w:rsid w:val="007F3548"/>
    <w:rsid w:val="007F39F1"/>
    <w:rsid w:val="007F3A42"/>
    <w:rsid w:val="007F3C5D"/>
    <w:rsid w:val="007F3CDF"/>
    <w:rsid w:val="007F3DC7"/>
    <w:rsid w:val="007F428C"/>
    <w:rsid w:val="007F42AE"/>
    <w:rsid w:val="007F4323"/>
    <w:rsid w:val="007F43FF"/>
    <w:rsid w:val="007F44AB"/>
    <w:rsid w:val="007F4596"/>
    <w:rsid w:val="007F470E"/>
    <w:rsid w:val="007F47D8"/>
    <w:rsid w:val="007F4ABE"/>
    <w:rsid w:val="007F4BA9"/>
    <w:rsid w:val="007F4E33"/>
    <w:rsid w:val="007F4E4E"/>
    <w:rsid w:val="007F4F3A"/>
    <w:rsid w:val="007F5077"/>
    <w:rsid w:val="007F5121"/>
    <w:rsid w:val="007F5189"/>
    <w:rsid w:val="007F51CA"/>
    <w:rsid w:val="007F5232"/>
    <w:rsid w:val="007F5348"/>
    <w:rsid w:val="007F5353"/>
    <w:rsid w:val="007F557E"/>
    <w:rsid w:val="007F5672"/>
    <w:rsid w:val="007F5713"/>
    <w:rsid w:val="007F594F"/>
    <w:rsid w:val="007F5996"/>
    <w:rsid w:val="007F5D22"/>
    <w:rsid w:val="007F5DB6"/>
    <w:rsid w:val="007F61ED"/>
    <w:rsid w:val="007F65DC"/>
    <w:rsid w:val="007F69C6"/>
    <w:rsid w:val="007F6A6A"/>
    <w:rsid w:val="007F6B6E"/>
    <w:rsid w:val="007F6C63"/>
    <w:rsid w:val="007F6D31"/>
    <w:rsid w:val="007F6DA3"/>
    <w:rsid w:val="007F6F02"/>
    <w:rsid w:val="007F6F17"/>
    <w:rsid w:val="007F70DB"/>
    <w:rsid w:val="007F720A"/>
    <w:rsid w:val="007F7250"/>
    <w:rsid w:val="007F758C"/>
    <w:rsid w:val="007F77EA"/>
    <w:rsid w:val="007F78E3"/>
    <w:rsid w:val="007F7AC3"/>
    <w:rsid w:val="007F7DE1"/>
    <w:rsid w:val="007F7ED1"/>
    <w:rsid w:val="00800192"/>
    <w:rsid w:val="0080048C"/>
    <w:rsid w:val="00800631"/>
    <w:rsid w:val="00800661"/>
    <w:rsid w:val="0080077A"/>
    <w:rsid w:val="00800892"/>
    <w:rsid w:val="00800F7C"/>
    <w:rsid w:val="0080116D"/>
    <w:rsid w:val="008011A3"/>
    <w:rsid w:val="00801316"/>
    <w:rsid w:val="00801478"/>
    <w:rsid w:val="0080166D"/>
    <w:rsid w:val="00801786"/>
    <w:rsid w:val="00801CB1"/>
    <w:rsid w:val="00801CB4"/>
    <w:rsid w:val="00801D37"/>
    <w:rsid w:val="00801D79"/>
    <w:rsid w:val="00801D93"/>
    <w:rsid w:val="00801EAA"/>
    <w:rsid w:val="00801FCB"/>
    <w:rsid w:val="008023D5"/>
    <w:rsid w:val="00802405"/>
    <w:rsid w:val="00802681"/>
    <w:rsid w:val="0080274B"/>
    <w:rsid w:val="00802A9B"/>
    <w:rsid w:val="00802CA5"/>
    <w:rsid w:val="00802CD7"/>
    <w:rsid w:val="00802E4C"/>
    <w:rsid w:val="008031FD"/>
    <w:rsid w:val="00803203"/>
    <w:rsid w:val="0080333D"/>
    <w:rsid w:val="008034FB"/>
    <w:rsid w:val="00803575"/>
    <w:rsid w:val="0080360E"/>
    <w:rsid w:val="0080368D"/>
    <w:rsid w:val="00803751"/>
    <w:rsid w:val="008037EB"/>
    <w:rsid w:val="008038EF"/>
    <w:rsid w:val="00803AA2"/>
    <w:rsid w:val="00803AE9"/>
    <w:rsid w:val="00803D3B"/>
    <w:rsid w:val="00803E5E"/>
    <w:rsid w:val="00803F01"/>
    <w:rsid w:val="00804039"/>
    <w:rsid w:val="00804265"/>
    <w:rsid w:val="00804267"/>
    <w:rsid w:val="008042C1"/>
    <w:rsid w:val="0080465A"/>
    <w:rsid w:val="008046C0"/>
    <w:rsid w:val="00804767"/>
    <w:rsid w:val="00804776"/>
    <w:rsid w:val="00804831"/>
    <w:rsid w:val="00804AE0"/>
    <w:rsid w:val="00804B36"/>
    <w:rsid w:val="00804C62"/>
    <w:rsid w:val="00804D50"/>
    <w:rsid w:val="00805196"/>
    <w:rsid w:val="008051D5"/>
    <w:rsid w:val="008052E8"/>
    <w:rsid w:val="0080530F"/>
    <w:rsid w:val="008055C1"/>
    <w:rsid w:val="008056AB"/>
    <w:rsid w:val="008056DD"/>
    <w:rsid w:val="00805922"/>
    <w:rsid w:val="0080593E"/>
    <w:rsid w:val="00805B27"/>
    <w:rsid w:val="00805BE9"/>
    <w:rsid w:val="00805CD7"/>
    <w:rsid w:val="00805F14"/>
    <w:rsid w:val="008060B1"/>
    <w:rsid w:val="008060FA"/>
    <w:rsid w:val="008062E5"/>
    <w:rsid w:val="00806314"/>
    <w:rsid w:val="008065A3"/>
    <w:rsid w:val="0080682D"/>
    <w:rsid w:val="00806930"/>
    <w:rsid w:val="00806B4F"/>
    <w:rsid w:val="00806C6C"/>
    <w:rsid w:val="00806CF7"/>
    <w:rsid w:val="00806E25"/>
    <w:rsid w:val="00806EC1"/>
    <w:rsid w:val="0080712C"/>
    <w:rsid w:val="00807175"/>
    <w:rsid w:val="008071F1"/>
    <w:rsid w:val="0080735E"/>
    <w:rsid w:val="008073FA"/>
    <w:rsid w:val="00807487"/>
    <w:rsid w:val="00807B46"/>
    <w:rsid w:val="00807C98"/>
    <w:rsid w:val="00807D26"/>
    <w:rsid w:val="00807D4F"/>
    <w:rsid w:val="00807F62"/>
    <w:rsid w:val="00807F80"/>
    <w:rsid w:val="00807F9D"/>
    <w:rsid w:val="008100B2"/>
    <w:rsid w:val="008101E1"/>
    <w:rsid w:val="008101F4"/>
    <w:rsid w:val="0081022D"/>
    <w:rsid w:val="00810230"/>
    <w:rsid w:val="0081043E"/>
    <w:rsid w:val="008104B2"/>
    <w:rsid w:val="008104EC"/>
    <w:rsid w:val="008104FD"/>
    <w:rsid w:val="008105AC"/>
    <w:rsid w:val="00810616"/>
    <w:rsid w:val="008108C9"/>
    <w:rsid w:val="008108D2"/>
    <w:rsid w:val="008109C5"/>
    <w:rsid w:val="00810AC0"/>
    <w:rsid w:val="00810BE7"/>
    <w:rsid w:val="00810E2C"/>
    <w:rsid w:val="00810E49"/>
    <w:rsid w:val="00810FB0"/>
    <w:rsid w:val="0081119A"/>
    <w:rsid w:val="008113C3"/>
    <w:rsid w:val="00811452"/>
    <w:rsid w:val="00811539"/>
    <w:rsid w:val="008118AA"/>
    <w:rsid w:val="00811939"/>
    <w:rsid w:val="00811D43"/>
    <w:rsid w:val="00811E75"/>
    <w:rsid w:val="0081234F"/>
    <w:rsid w:val="00812416"/>
    <w:rsid w:val="00812650"/>
    <w:rsid w:val="00812910"/>
    <w:rsid w:val="00812925"/>
    <w:rsid w:val="00812B51"/>
    <w:rsid w:val="00812E86"/>
    <w:rsid w:val="00813287"/>
    <w:rsid w:val="0081334C"/>
    <w:rsid w:val="008133BA"/>
    <w:rsid w:val="0081356A"/>
    <w:rsid w:val="008137C8"/>
    <w:rsid w:val="008139E0"/>
    <w:rsid w:val="00813ABE"/>
    <w:rsid w:val="00813B72"/>
    <w:rsid w:val="00813EFD"/>
    <w:rsid w:val="00814211"/>
    <w:rsid w:val="0081429D"/>
    <w:rsid w:val="008144FE"/>
    <w:rsid w:val="0081492A"/>
    <w:rsid w:val="008149BD"/>
    <w:rsid w:val="00814B40"/>
    <w:rsid w:val="00814BA9"/>
    <w:rsid w:val="00814BE3"/>
    <w:rsid w:val="00814CAB"/>
    <w:rsid w:val="00814D8A"/>
    <w:rsid w:val="00815218"/>
    <w:rsid w:val="008152DA"/>
    <w:rsid w:val="008155F8"/>
    <w:rsid w:val="00815809"/>
    <w:rsid w:val="008158E7"/>
    <w:rsid w:val="00815C6E"/>
    <w:rsid w:val="00816030"/>
    <w:rsid w:val="00816645"/>
    <w:rsid w:val="008166D0"/>
    <w:rsid w:val="00816A32"/>
    <w:rsid w:val="00816BB7"/>
    <w:rsid w:val="00816C0E"/>
    <w:rsid w:val="00816D70"/>
    <w:rsid w:val="00816E88"/>
    <w:rsid w:val="00816ED7"/>
    <w:rsid w:val="00816F42"/>
    <w:rsid w:val="00816FAA"/>
    <w:rsid w:val="0081710B"/>
    <w:rsid w:val="00817264"/>
    <w:rsid w:val="008176A5"/>
    <w:rsid w:val="008176F3"/>
    <w:rsid w:val="00817779"/>
    <w:rsid w:val="00817835"/>
    <w:rsid w:val="0081785B"/>
    <w:rsid w:val="00817A66"/>
    <w:rsid w:val="00817ACF"/>
    <w:rsid w:val="00817CC2"/>
    <w:rsid w:val="00817D51"/>
    <w:rsid w:val="00817E13"/>
    <w:rsid w:val="00817E75"/>
    <w:rsid w:val="00817F4E"/>
    <w:rsid w:val="00820311"/>
    <w:rsid w:val="00820378"/>
    <w:rsid w:val="0082053A"/>
    <w:rsid w:val="008205BD"/>
    <w:rsid w:val="00820737"/>
    <w:rsid w:val="00820750"/>
    <w:rsid w:val="008207EC"/>
    <w:rsid w:val="008209B3"/>
    <w:rsid w:val="00820CBC"/>
    <w:rsid w:val="00820D54"/>
    <w:rsid w:val="00820E11"/>
    <w:rsid w:val="00820EBC"/>
    <w:rsid w:val="00820FBE"/>
    <w:rsid w:val="0082116D"/>
    <w:rsid w:val="0082118E"/>
    <w:rsid w:val="00821212"/>
    <w:rsid w:val="00821380"/>
    <w:rsid w:val="00821532"/>
    <w:rsid w:val="0082173C"/>
    <w:rsid w:val="00821818"/>
    <w:rsid w:val="0082190D"/>
    <w:rsid w:val="00821A06"/>
    <w:rsid w:val="00821B32"/>
    <w:rsid w:val="00821E0A"/>
    <w:rsid w:val="00821E57"/>
    <w:rsid w:val="008225C3"/>
    <w:rsid w:val="00822673"/>
    <w:rsid w:val="0082272E"/>
    <w:rsid w:val="00822849"/>
    <w:rsid w:val="008228E9"/>
    <w:rsid w:val="008228F0"/>
    <w:rsid w:val="00822C52"/>
    <w:rsid w:val="00822CFB"/>
    <w:rsid w:val="00822D01"/>
    <w:rsid w:val="00822DD9"/>
    <w:rsid w:val="00822E57"/>
    <w:rsid w:val="00822F60"/>
    <w:rsid w:val="00822FA7"/>
    <w:rsid w:val="00822FD2"/>
    <w:rsid w:val="0082311A"/>
    <w:rsid w:val="008234A4"/>
    <w:rsid w:val="00823733"/>
    <w:rsid w:val="008237FE"/>
    <w:rsid w:val="00823855"/>
    <w:rsid w:val="008238B6"/>
    <w:rsid w:val="008238BB"/>
    <w:rsid w:val="00823C2E"/>
    <w:rsid w:val="008240E1"/>
    <w:rsid w:val="00824136"/>
    <w:rsid w:val="008241C3"/>
    <w:rsid w:val="00824444"/>
    <w:rsid w:val="0082484A"/>
    <w:rsid w:val="00824BF2"/>
    <w:rsid w:val="00824D57"/>
    <w:rsid w:val="00824F2C"/>
    <w:rsid w:val="008250CC"/>
    <w:rsid w:val="008251D3"/>
    <w:rsid w:val="00825243"/>
    <w:rsid w:val="00825254"/>
    <w:rsid w:val="008254E5"/>
    <w:rsid w:val="008258A3"/>
    <w:rsid w:val="00825A36"/>
    <w:rsid w:val="00825B9F"/>
    <w:rsid w:val="00825BC3"/>
    <w:rsid w:val="00825C24"/>
    <w:rsid w:val="00825D6F"/>
    <w:rsid w:val="00825F9C"/>
    <w:rsid w:val="00826002"/>
    <w:rsid w:val="00826442"/>
    <w:rsid w:val="0082653A"/>
    <w:rsid w:val="00826675"/>
    <w:rsid w:val="0082687D"/>
    <w:rsid w:val="00826889"/>
    <w:rsid w:val="0082688C"/>
    <w:rsid w:val="00826962"/>
    <w:rsid w:val="0082700E"/>
    <w:rsid w:val="008270F7"/>
    <w:rsid w:val="008271AC"/>
    <w:rsid w:val="00827271"/>
    <w:rsid w:val="008273FC"/>
    <w:rsid w:val="00827485"/>
    <w:rsid w:val="00827AC1"/>
    <w:rsid w:val="00827ADD"/>
    <w:rsid w:val="00827B50"/>
    <w:rsid w:val="00827D9C"/>
    <w:rsid w:val="00827E39"/>
    <w:rsid w:val="00827E7E"/>
    <w:rsid w:val="00827E92"/>
    <w:rsid w:val="00827F2E"/>
    <w:rsid w:val="00830105"/>
    <w:rsid w:val="0083018A"/>
    <w:rsid w:val="00830217"/>
    <w:rsid w:val="0083027D"/>
    <w:rsid w:val="008306E6"/>
    <w:rsid w:val="00830825"/>
    <w:rsid w:val="0083084B"/>
    <w:rsid w:val="0083098C"/>
    <w:rsid w:val="00830A65"/>
    <w:rsid w:val="00830C1C"/>
    <w:rsid w:val="00830C2E"/>
    <w:rsid w:val="00830D83"/>
    <w:rsid w:val="00831367"/>
    <w:rsid w:val="00831437"/>
    <w:rsid w:val="00831581"/>
    <w:rsid w:val="00831837"/>
    <w:rsid w:val="0083183D"/>
    <w:rsid w:val="00831A15"/>
    <w:rsid w:val="00831BB7"/>
    <w:rsid w:val="00831DC7"/>
    <w:rsid w:val="00831E07"/>
    <w:rsid w:val="00831F22"/>
    <w:rsid w:val="00831F38"/>
    <w:rsid w:val="00831F83"/>
    <w:rsid w:val="008320D5"/>
    <w:rsid w:val="008321D2"/>
    <w:rsid w:val="0083227B"/>
    <w:rsid w:val="008322B6"/>
    <w:rsid w:val="0083247C"/>
    <w:rsid w:val="00832530"/>
    <w:rsid w:val="0083258A"/>
    <w:rsid w:val="0083276D"/>
    <w:rsid w:val="008327CE"/>
    <w:rsid w:val="00832927"/>
    <w:rsid w:val="00832A57"/>
    <w:rsid w:val="00832CAD"/>
    <w:rsid w:val="00832D60"/>
    <w:rsid w:val="00832E76"/>
    <w:rsid w:val="00832EBD"/>
    <w:rsid w:val="00833062"/>
    <w:rsid w:val="00833136"/>
    <w:rsid w:val="0083321C"/>
    <w:rsid w:val="00833280"/>
    <w:rsid w:val="00833470"/>
    <w:rsid w:val="0083368A"/>
    <w:rsid w:val="0083368F"/>
    <w:rsid w:val="008336A3"/>
    <w:rsid w:val="008336D7"/>
    <w:rsid w:val="008336D8"/>
    <w:rsid w:val="008337D8"/>
    <w:rsid w:val="00833864"/>
    <w:rsid w:val="00833B91"/>
    <w:rsid w:val="00833BD6"/>
    <w:rsid w:val="00833BEC"/>
    <w:rsid w:val="00833FF6"/>
    <w:rsid w:val="0083401C"/>
    <w:rsid w:val="0083412A"/>
    <w:rsid w:val="008345A9"/>
    <w:rsid w:val="008345B4"/>
    <w:rsid w:val="00834870"/>
    <w:rsid w:val="008348C3"/>
    <w:rsid w:val="0083493D"/>
    <w:rsid w:val="00834A6D"/>
    <w:rsid w:val="00834BFC"/>
    <w:rsid w:val="00834D53"/>
    <w:rsid w:val="00834F0C"/>
    <w:rsid w:val="00834F2F"/>
    <w:rsid w:val="00834FDD"/>
    <w:rsid w:val="00835077"/>
    <w:rsid w:val="0083509F"/>
    <w:rsid w:val="00835138"/>
    <w:rsid w:val="0083545C"/>
    <w:rsid w:val="00835481"/>
    <w:rsid w:val="008354A9"/>
    <w:rsid w:val="0083566C"/>
    <w:rsid w:val="0083572E"/>
    <w:rsid w:val="00835788"/>
    <w:rsid w:val="0083579F"/>
    <w:rsid w:val="008357A6"/>
    <w:rsid w:val="008358CF"/>
    <w:rsid w:val="0083595A"/>
    <w:rsid w:val="008359CE"/>
    <w:rsid w:val="00835CAA"/>
    <w:rsid w:val="00835D4A"/>
    <w:rsid w:val="00835D9A"/>
    <w:rsid w:val="00835F1D"/>
    <w:rsid w:val="00835FF9"/>
    <w:rsid w:val="008360B0"/>
    <w:rsid w:val="008360CA"/>
    <w:rsid w:val="0083624A"/>
    <w:rsid w:val="008363F0"/>
    <w:rsid w:val="008365E5"/>
    <w:rsid w:val="008365FD"/>
    <w:rsid w:val="00836643"/>
    <w:rsid w:val="00836691"/>
    <w:rsid w:val="00836708"/>
    <w:rsid w:val="008369BF"/>
    <w:rsid w:val="008369ED"/>
    <w:rsid w:val="00836D88"/>
    <w:rsid w:val="00836DBF"/>
    <w:rsid w:val="00836DEB"/>
    <w:rsid w:val="00836E32"/>
    <w:rsid w:val="00837005"/>
    <w:rsid w:val="0083712E"/>
    <w:rsid w:val="00837191"/>
    <w:rsid w:val="00837495"/>
    <w:rsid w:val="00837682"/>
    <w:rsid w:val="00837A86"/>
    <w:rsid w:val="00837B04"/>
    <w:rsid w:val="00837D1A"/>
    <w:rsid w:val="00837DC1"/>
    <w:rsid w:val="00837E12"/>
    <w:rsid w:val="0084005D"/>
    <w:rsid w:val="008403C4"/>
    <w:rsid w:val="0084049C"/>
    <w:rsid w:val="008404D6"/>
    <w:rsid w:val="008405E0"/>
    <w:rsid w:val="0084072C"/>
    <w:rsid w:val="00840904"/>
    <w:rsid w:val="00840C60"/>
    <w:rsid w:val="00840F0E"/>
    <w:rsid w:val="00840F20"/>
    <w:rsid w:val="0084104C"/>
    <w:rsid w:val="00841098"/>
    <w:rsid w:val="008410A3"/>
    <w:rsid w:val="0084123B"/>
    <w:rsid w:val="0084138A"/>
    <w:rsid w:val="008413C5"/>
    <w:rsid w:val="008413F8"/>
    <w:rsid w:val="0084168C"/>
    <w:rsid w:val="008416EF"/>
    <w:rsid w:val="008417A4"/>
    <w:rsid w:val="0084180E"/>
    <w:rsid w:val="00841D2C"/>
    <w:rsid w:val="00841F12"/>
    <w:rsid w:val="008420FC"/>
    <w:rsid w:val="00842345"/>
    <w:rsid w:val="00842359"/>
    <w:rsid w:val="008424F8"/>
    <w:rsid w:val="008425D5"/>
    <w:rsid w:val="00842D30"/>
    <w:rsid w:val="00842D3F"/>
    <w:rsid w:val="00842D4D"/>
    <w:rsid w:val="00842D58"/>
    <w:rsid w:val="00842FD3"/>
    <w:rsid w:val="00843023"/>
    <w:rsid w:val="0084309C"/>
    <w:rsid w:val="008430A3"/>
    <w:rsid w:val="008431D3"/>
    <w:rsid w:val="00843551"/>
    <w:rsid w:val="008435B6"/>
    <w:rsid w:val="008435E9"/>
    <w:rsid w:val="008436C3"/>
    <w:rsid w:val="008437A0"/>
    <w:rsid w:val="008437D2"/>
    <w:rsid w:val="0084388F"/>
    <w:rsid w:val="008438BE"/>
    <w:rsid w:val="00843A5A"/>
    <w:rsid w:val="00843B56"/>
    <w:rsid w:val="00843BAB"/>
    <w:rsid w:val="00843BAD"/>
    <w:rsid w:val="00843F6D"/>
    <w:rsid w:val="0084403A"/>
    <w:rsid w:val="0084415C"/>
    <w:rsid w:val="0084418C"/>
    <w:rsid w:val="00844423"/>
    <w:rsid w:val="00844869"/>
    <w:rsid w:val="00844916"/>
    <w:rsid w:val="0084494A"/>
    <w:rsid w:val="008449B2"/>
    <w:rsid w:val="00844A67"/>
    <w:rsid w:val="00844BCB"/>
    <w:rsid w:val="00844D42"/>
    <w:rsid w:val="00844F96"/>
    <w:rsid w:val="008451CB"/>
    <w:rsid w:val="008452E6"/>
    <w:rsid w:val="0084541C"/>
    <w:rsid w:val="00845544"/>
    <w:rsid w:val="008457B3"/>
    <w:rsid w:val="00845B6C"/>
    <w:rsid w:val="00845BF5"/>
    <w:rsid w:val="00845C21"/>
    <w:rsid w:val="00845D32"/>
    <w:rsid w:val="00845D36"/>
    <w:rsid w:val="00845D3A"/>
    <w:rsid w:val="00845D82"/>
    <w:rsid w:val="00845EF8"/>
    <w:rsid w:val="00845FC2"/>
    <w:rsid w:val="00845FD5"/>
    <w:rsid w:val="0084601C"/>
    <w:rsid w:val="008463BF"/>
    <w:rsid w:val="0084653B"/>
    <w:rsid w:val="008466CA"/>
    <w:rsid w:val="008466D8"/>
    <w:rsid w:val="008468C7"/>
    <w:rsid w:val="00846A58"/>
    <w:rsid w:val="00846BCE"/>
    <w:rsid w:val="008470DC"/>
    <w:rsid w:val="008471AB"/>
    <w:rsid w:val="00847713"/>
    <w:rsid w:val="00847A69"/>
    <w:rsid w:val="00847B81"/>
    <w:rsid w:val="00847BD1"/>
    <w:rsid w:val="00847CF8"/>
    <w:rsid w:val="0085010C"/>
    <w:rsid w:val="008501C5"/>
    <w:rsid w:val="008505CD"/>
    <w:rsid w:val="008505ED"/>
    <w:rsid w:val="00850736"/>
    <w:rsid w:val="00850755"/>
    <w:rsid w:val="0085088C"/>
    <w:rsid w:val="00850CAB"/>
    <w:rsid w:val="00850D4B"/>
    <w:rsid w:val="00850EA9"/>
    <w:rsid w:val="008510EE"/>
    <w:rsid w:val="00851156"/>
    <w:rsid w:val="0085119E"/>
    <w:rsid w:val="0085143E"/>
    <w:rsid w:val="008515D0"/>
    <w:rsid w:val="0085171C"/>
    <w:rsid w:val="00851820"/>
    <w:rsid w:val="008518F9"/>
    <w:rsid w:val="00851915"/>
    <w:rsid w:val="008519E5"/>
    <w:rsid w:val="00851BB4"/>
    <w:rsid w:val="00851DB5"/>
    <w:rsid w:val="00851E47"/>
    <w:rsid w:val="00851FB0"/>
    <w:rsid w:val="0085220E"/>
    <w:rsid w:val="00852454"/>
    <w:rsid w:val="0085249B"/>
    <w:rsid w:val="00852649"/>
    <w:rsid w:val="00852842"/>
    <w:rsid w:val="00852945"/>
    <w:rsid w:val="008529E2"/>
    <w:rsid w:val="008529E8"/>
    <w:rsid w:val="00852AFA"/>
    <w:rsid w:val="00852BA5"/>
    <w:rsid w:val="00852BF8"/>
    <w:rsid w:val="00852D3C"/>
    <w:rsid w:val="008530CB"/>
    <w:rsid w:val="008531E7"/>
    <w:rsid w:val="00853658"/>
    <w:rsid w:val="00853759"/>
    <w:rsid w:val="008537FA"/>
    <w:rsid w:val="00853959"/>
    <w:rsid w:val="0085397F"/>
    <w:rsid w:val="008539D2"/>
    <w:rsid w:val="00853B56"/>
    <w:rsid w:val="00853BDF"/>
    <w:rsid w:val="00853BEC"/>
    <w:rsid w:val="00853C2B"/>
    <w:rsid w:val="0085409B"/>
    <w:rsid w:val="008540DA"/>
    <w:rsid w:val="0085412D"/>
    <w:rsid w:val="00854217"/>
    <w:rsid w:val="00854248"/>
    <w:rsid w:val="00854321"/>
    <w:rsid w:val="00854488"/>
    <w:rsid w:val="008544DC"/>
    <w:rsid w:val="008544F9"/>
    <w:rsid w:val="0085473A"/>
    <w:rsid w:val="00854A9B"/>
    <w:rsid w:val="00854C09"/>
    <w:rsid w:val="00854DC3"/>
    <w:rsid w:val="00854E25"/>
    <w:rsid w:val="00854E91"/>
    <w:rsid w:val="00854F22"/>
    <w:rsid w:val="00854FAD"/>
    <w:rsid w:val="00855028"/>
    <w:rsid w:val="0085503C"/>
    <w:rsid w:val="008556BE"/>
    <w:rsid w:val="00855707"/>
    <w:rsid w:val="00855726"/>
    <w:rsid w:val="00855846"/>
    <w:rsid w:val="00855A83"/>
    <w:rsid w:val="00855AE4"/>
    <w:rsid w:val="00855D50"/>
    <w:rsid w:val="00855DF7"/>
    <w:rsid w:val="008562C3"/>
    <w:rsid w:val="0085636B"/>
    <w:rsid w:val="00856534"/>
    <w:rsid w:val="00856596"/>
    <w:rsid w:val="008566B8"/>
    <w:rsid w:val="00856859"/>
    <w:rsid w:val="00856ABF"/>
    <w:rsid w:val="00856B9B"/>
    <w:rsid w:val="00856CFD"/>
    <w:rsid w:val="00856D7A"/>
    <w:rsid w:val="0085703E"/>
    <w:rsid w:val="0085712A"/>
    <w:rsid w:val="0085719F"/>
    <w:rsid w:val="008571B8"/>
    <w:rsid w:val="008572A8"/>
    <w:rsid w:val="0085746D"/>
    <w:rsid w:val="008574AF"/>
    <w:rsid w:val="008574B0"/>
    <w:rsid w:val="0085758D"/>
    <w:rsid w:val="0085799F"/>
    <w:rsid w:val="00857A2A"/>
    <w:rsid w:val="00857BD4"/>
    <w:rsid w:val="00857F94"/>
    <w:rsid w:val="00860114"/>
    <w:rsid w:val="00860158"/>
    <w:rsid w:val="008601FD"/>
    <w:rsid w:val="00860259"/>
    <w:rsid w:val="008602BC"/>
    <w:rsid w:val="0086057F"/>
    <w:rsid w:val="008606D4"/>
    <w:rsid w:val="008606EB"/>
    <w:rsid w:val="008609B0"/>
    <w:rsid w:val="00860A36"/>
    <w:rsid w:val="00860A51"/>
    <w:rsid w:val="00860D30"/>
    <w:rsid w:val="00861139"/>
    <w:rsid w:val="00861694"/>
    <w:rsid w:val="0086194A"/>
    <w:rsid w:val="00861A19"/>
    <w:rsid w:val="00861ABD"/>
    <w:rsid w:val="00861BEA"/>
    <w:rsid w:val="00861C40"/>
    <w:rsid w:val="00861E9F"/>
    <w:rsid w:val="00861EE2"/>
    <w:rsid w:val="0086202C"/>
    <w:rsid w:val="0086239F"/>
    <w:rsid w:val="00862482"/>
    <w:rsid w:val="008624F4"/>
    <w:rsid w:val="00862647"/>
    <w:rsid w:val="00862709"/>
    <w:rsid w:val="00862799"/>
    <w:rsid w:val="008627AD"/>
    <w:rsid w:val="008629A7"/>
    <w:rsid w:val="00862B0A"/>
    <w:rsid w:val="00862DF9"/>
    <w:rsid w:val="00862FFA"/>
    <w:rsid w:val="0086305A"/>
    <w:rsid w:val="00863123"/>
    <w:rsid w:val="00863187"/>
    <w:rsid w:val="00863216"/>
    <w:rsid w:val="00863282"/>
    <w:rsid w:val="00863284"/>
    <w:rsid w:val="00863290"/>
    <w:rsid w:val="008634EC"/>
    <w:rsid w:val="00863776"/>
    <w:rsid w:val="008638A6"/>
    <w:rsid w:val="008638B9"/>
    <w:rsid w:val="00863931"/>
    <w:rsid w:val="00863975"/>
    <w:rsid w:val="00863B1D"/>
    <w:rsid w:val="00863D16"/>
    <w:rsid w:val="00863E1E"/>
    <w:rsid w:val="00863FC0"/>
    <w:rsid w:val="008641A0"/>
    <w:rsid w:val="00864201"/>
    <w:rsid w:val="008643EF"/>
    <w:rsid w:val="0086445D"/>
    <w:rsid w:val="008646E8"/>
    <w:rsid w:val="008647C7"/>
    <w:rsid w:val="008648D9"/>
    <w:rsid w:val="00864934"/>
    <w:rsid w:val="00864A68"/>
    <w:rsid w:val="00864A88"/>
    <w:rsid w:val="00864AC1"/>
    <w:rsid w:val="00864C22"/>
    <w:rsid w:val="0086522F"/>
    <w:rsid w:val="00865376"/>
    <w:rsid w:val="008653B5"/>
    <w:rsid w:val="008654A3"/>
    <w:rsid w:val="00865577"/>
    <w:rsid w:val="0086572E"/>
    <w:rsid w:val="008657C4"/>
    <w:rsid w:val="00865807"/>
    <w:rsid w:val="0086585C"/>
    <w:rsid w:val="0086586F"/>
    <w:rsid w:val="00865A17"/>
    <w:rsid w:val="00865D18"/>
    <w:rsid w:val="00865F8D"/>
    <w:rsid w:val="008660A5"/>
    <w:rsid w:val="008660E4"/>
    <w:rsid w:val="0086612B"/>
    <w:rsid w:val="008663E1"/>
    <w:rsid w:val="00866423"/>
    <w:rsid w:val="0086652C"/>
    <w:rsid w:val="00866779"/>
    <w:rsid w:val="00866952"/>
    <w:rsid w:val="00866CA0"/>
    <w:rsid w:val="00866DA7"/>
    <w:rsid w:val="00866EB7"/>
    <w:rsid w:val="00866F23"/>
    <w:rsid w:val="00866FF4"/>
    <w:rsid w:val="00867000"/>
    <w:rsid w:val="0086758A"/>
    <w:rsid w:val="008675BB"/>
    <w:rsid w:val="0086762F"/>
    <w:rsid w:val="008678F4"/>
    <w:rsid w:val="00867A33"/>
    <w:rsid w:val="00867BEE"/>
    <w:rsid w:val="00867C8F"/>
    <w:rsid w:val="00867E35"/>
    <w:rsid w:val="008700CC"/>
    <w:rsid w:val="008701A3"/>
    <w:rsid w:val="0087026B"/>
    <w:rsid w:val="008702A0"/>
    <w:rsid w:val="0087030B"/>
    <w:rsid w:val="008705CA"/>
    <w:rsid w:val="0087068D"/>
    <w:rsid w:val="0087083A"/>
    <w:rsid w:val="00870991"/>
    <w:rsid w:val="00870A72"/>
    <w:rsid w:val="00870C9A"/>
    <w:rsid w:val="00870D24"/>
    <w:rsid w:val="008712C5"/>
    <w:rsid w:val="008716CB"/>
    <w:rsid w:val="00871889"/>
    <w:rsid w:val="00871892"/>
    <w:rsid w:val="008719B5"/>
    <w:rsid w:val="00871B74"/>
    <w:rsid w:val="00871BEF"/>
    <w:rsid w:val="00871DFE"/>
    <w:rsid w:val="00872051"/>
    <w:rsid w:val="00872224"/>
    <w:rsid w:val="0087225A"/>
    <w:rsid w:val="008722A3"/>
    <w:rsid w:val="0087242E"/>
    <w:rsid w:val="00872517"/>
    <w:rsid w:val="00872554"/>
    <w:rsid w:val="00872697"/>
    <w:rsid w:val="0087270D"/>
    <w:rsid w:val="00872834"/>
    <w:rsid w:val="00872836"/>
    <w:rsid w:val="00872A38"/>
    <w:rsid w:val="00872D11"/>
    <w:rsid w:val="00872FCA"/>
    <w:rsid w:val="00872FE1"/>
    <w:rsid w:val="00873065"/>
    <w:rsid w:val="008731DE"/>
    <w:rsid w:val="008732A7"/>
    <w:rsid w:val="008732E3"/>
    <w:rsid w:val="00873377"/>
    <w:rsid w:val="008734EE"/>
    <w:rsid w:val="00873568"/>
    <w:rsid w:val="008735A3"/>
    <w:rsid w:val="008735B5"/>
    <w:rsid w:val="00873949"/>
    <w:rsid w:val="00873970"/>
    <w:rsid w:val="00873B51"/>
    <w:rsid w:val="00873B90"/>
    <w:rsid w:val="00873E9E"/>
    <w:rsid w:val="00874228"/>
    <w:rsid w:val="00874533"/>
    <w:rsid w:val="00874545"/>
    <w:rsid w:val="008746FD"/>
    <w:rsid w:val="0087485A"/>
    <w:rsid w:val="008749AB"/>
    <w:rsid w:val="008749D6"/>
    <w:rsid w:val="00874A1F"/>
    <w:rsid w:val="00874CB3"/>
    <w:rsid w:val="00875277"/>
    <w:rsid w:val="00875A59"/>
    <w:rsid w:val="00875BA4"/>
    <w:rsid w:val="00875D5C"/>
    <w:rsid w:val="00875E4B"/>
    <w:rsid w:val="00876093"/>
    <w:rsid w:val="00876305"/>
    <w:rsid w:val="00876374"/>
    <w:rsid w:val="00876525"/>
    <w:rsid w:val="00876564"/>
    <w:rsid w:val="0087664F"/>
    <w:rsid w:val="008768CC"/>
    <w:rsid w:val="008768FA"/>
    <w:rsid w:val="008769F6"/>
    <w:rsid w:val="00876C05"/>
    <w:rsid w:val="00876D4F"/>
    <w:rsid w:val="00876D68"/>
    <w:rsid w:val="0087702E"/>
    <w:rsid w:val="00877194"/>
    <w:rsid w:val="008772D4"/>
    <w:rsid w:val="0087739A"/>
    <w:rsid w:val="008773AE"/>
    <w:rsid w:val="008773E0"/>
    <w:rsid w:val="0087741C"/>
    <w:rsid w:val="00877540"/>
    <w:rsid w:val="00877604"/>
    <w:rsid w:val="00877F11"/>
    <w:rsid w:val="00877F2F"/>
    <w:rsid w:val="00877F6E"/>
    <w:rsid w:val="0088000D"/>
    <w:rsid w:val="0088054E"/>
    <w:rsid w:val="008805B0"/>
    <w:rsid w:val="008806C4"/>
    <w:rsid w:val="008807FD"/>
    <w:rsid w:val="00880BCE"/>
    <w:rsid w:val="00880C1B"/>
    <w:rsid w:val="00880C5B"/>
    <w:rsid w:val="00880D1A"/>
    <w:rsid w:val="00880F36"/>
    <w:rsid w:val="0088108F"/>
    <w:rsid w:val="00881728"/>
    <w:rsid w:val="0088188C"/>
    <w:rsid w:val="00881A6B"/>
    <w:rsid w:val="00881A90"/>
    <w:rsid w:val="00881B4F"/>
    <w:rsid w:val="00881B66"/>
    <w:rsid w:val="00881C28"/>
    <w:rsid w:val="00881E2B"/>
    <w:rsid w:val="00881ECE"/>
    <w:rsid w:val="00881F71"/>
    <w:rsid w:val="008820E0"/>
    <w:rsid w:val="0088220C"/>
    <w:rsid w:val="00882326"/>
    <w:rsid w:val="008824A0"/>
    <w:rsid w:val="00882797"/>
    <w:rsid w:val="008827CC"/>
    <w:rsid w:val="008828DF"/>
    <w:rsid w:val="008829B1"/>
    <w:rsid w:val="00882D41"/>
    <w:rsid w:val="008830D3"/>
    <w:rsid w:val="008832DA"/>
    <w:rsid w:val="0088341F"/>
    <w:rsid w:val="0088377B"/>
    <w:rsid w:val="0088387F"/>
    <w:rsid w:val="008838F5"/>
    <w:rsid w:val="00883902"/>
    <w:rsid w:val="00883988"/>
    <w:rsid w:val="00883AE8"/>
    <w:rsid w:val="00883BA0"/>
    <w:rsid w:val="00883BA2"/>
    <w:rsid w:val="00883C09"/>
    <w:rsid w:val="00883CCD"/>
    <w:rsid w:val="00883CF1"/>
    <w:rsid w:val="00883D2C"/>
    <w:rsid w:val="00883FF0"/>
    <w:rsid w:val="00884096"/>
    <w:rsid w:val="0088413D"/>
    <w:rsid w:val="00884379"/>
    <w:rsid w:val="00884442"/>
    <w:rsid w:val="008845A0"/>
    <w:rsid w:val="008845FF"/>
    <w:rsid w:val="00884A04"/>
    <w:rsid w:val="00884A39"/>
    <w:rsid w:val="00884AA3"/>
    <w:rsid w:val="00884AD9"/>
    <w:rsid w:val="00884BB2"/>
    <w:rsid w:val="00884BEE"/>
    <w:rsid w:val="00884C35"/>
    <w:rsid w:val="00884F0F"/>
    <w:rsid w:val="0088505E"/>
    <w:rsid w:val="008851F5"/>
    <w:rsid w:val="008852AE"/>
    <w:rsid w:val="00885474"/>
    <w:rsid w:val="008854B1"/>
    <w:rsid w:val="008854EC"/>
    <w:rsid w:val="0088572B"/>
    <w:rsid w:val="00885980"/>
    <w:rsid w:val="00885A1F"/>
    <w:rsid w:val="00885C1A"/>
    <w:rsid w:val="00885CBC"/>
    <w:rsid w:val="00885D6E"/>
    <w:rsid w:val="00885FD6"/>
    <w:rsid w:val="008860AF"/>
    <w:rsid w:val="00886131"/>
    <w:rsid w:val="00886299"/>
    <w:rsid w:val="0088635C"/>
    <w:rsid w:val="0088680E"/>
    <w:rsid w:val="00886B8A"/>
    <w:rsid w:val="00886E2E"/>
    <w:rsid w:val="00886E55"/>
    <w:rsid w:val="00886F31"/>
    <w:rsid w:val="0088701A"/>
    <w:rsid w:val="0088705E"/>
    <w:rsid w:val="0088709A"/>
    <w:rsid w:val="008870B4"/>
    <w:rsid w:val="008870FA"/>
    <w:rsid w:val="008872FD"/>
    <w:rsid w:val="00887627"/>
    <w:rsid w:val="00887666"/>
    <w:rsid w:val="0088780A"/>
    <w:rsid w:val="00887904"/>
    <w:rsid w:val="00887982"/>
    <w:rsid w:val="00887F3E"/>
    <w:rsid w:val="0089008F"/>
    <w:rsid w:val="00890234"/>
    <w:rsid w:val="00890291"/>
    <w:rsid w:val="008903AA"/>
    <w:rsid w:val="008903BB"/>
    <w:rsid w:val="008905E9"/>
    <w:rsid w:val="00890636"/>
    <w:rsid w:val="0089083B"/>
    <w:rsid w:val="008908C1"/>
    <w:rsid w:val="00890A10"/>
    <w:rsid w:val="00890BD4"/>
    <w:rsid w:val="00890EC8"/>
    <w:rsid w:val="008912B3"/>
    <w:rsid w:val="008914CA"/>
    <w:rsid w:val="00891538"/>
    <w:rsid w:val="00891539"/>
    <w:rsid w:val="00891625"/>
    <w:rsid w:val="0089164A"/>
    <w:rsid w:val="0089179B"/>
    <w:rsid w:val="008917B9"/>
    <w:rsid w:val="00891878"/>
    <w:rsid w:val="008918B7"/>
    <w:rsid w:val="0089198D"/>
    <w:rsid w:val="00891CEA"/>
    <w:rsid w:val="00891DA1"/>
    <w:rsid w:val="00891E39"/>
    <w:rsid w:val="00892056"/>
    <w:rsid w:val="008922EC"/>
    <w:rsid w:val="008923BD"/>
    <w:rsid w:val="008924D2"/>
    <w:rsid w:val="008925B1"/>
    <w:rsid w:val="008925CA"/>
    <w:rsid w:val="008925F5"/>
    <w:rsid w:val="0089261E"/>
    <w:rsid w:val="0089269F"/>
    <w:rsid w:val="00892BDB"/>
    <w:rsid w:val="00892EDE"/>
    <w:rsid w:val="00892EFD"/>
    <w:rsid w:val="00893186"/>
    <w:rsid w:val="00893195"/>
    <w:rsid w:val="008931CA"/>
    <w:rsid w:val="00893310"/>
    <w:rsid w:val="00893452"/>
    <w:rsid w:val="00893634"/>
    <w:rsid w:val="008937A7"/>
    <w:rsid w:val="0089385B"/>
    <w:rsid w:val="00893A6D"/>
    <w:rsid w:val="00893B2A"/>
    <w:rsid w:val="00893C9C"/>
    <w:rsid w:val="00893D43"/>
    <w:rsid w:val="00893E8F"/>
    <w:rsid w:val="00893ECD"/>
    <w:rsid w:val="00893EE1"/>
    <w:rsid w:val="00893F6E"/>
    <w:rsid w:val="0089408D"/>
    <w:rsid w:val="00894093"/>
    <w:rsid w:val="00894146"/>
    <w:rsid w:val="00894193"/>
    <w:rsid w:val="0089438C"/>
    <w:rsid w:val="0089438F"/>
    <w:rsid w:val="008943A8"/>
    <w:rsid w:val="0089446F"/>
    <w:rsid w:val="008945D3"/>
    <w:rsid w:val="00894616"/>
    <w:rsid w:val="00894621"/>
    <w:rsid w:val="00894658"/>
    <w:rsid w:val="0089478C"/>
    <w:rsid w:val="00894A03"/>
    <w:rsid w:val="00894AFE"/>
    <w:rsid w:val="00894B37"/>
    <w:rsid w:val="00894D90"/>
    <w:rsid w:val="00894E0A"/>
    <w:rsid w:val="00894E5E"/>
    <w:rsid w:val="00894FDD"/>
    <w:rsid w:val="008952ED"/>
    <w:rsid w:val="00895339"/>
    <w:rsid w:val="00895937"/>
    <w:rsid w:val="00895F00"/>
    <w:rsid w:val="00895FD9"/>
    <w:rsid w:val="00896079"/>
    <w:rsid w:val="00896251"/>
    <w:rsid w:val="0089636B"/>
    <w:rsid w:val="008963BC"/>
    <w:rsid w:val="008963D9"/>
    <w:rsid w:val="0089641D"/>
    <w:rsid w:val="00896451"/>
    <w:rsid w:val="0089678A"/>
    <w:rsid w:val="00896833"/>
    <w:rsid w:val="008968BE"/>
    <w:rsid w:val="00896ADE"/>
    <w:rsid w:val="00896AE0"/>
    <w:rsid w:val="00896E19"/>
    <w:rsid w:val="00896F6A"/>
    <w:rsid w:val="00897143"/>
    <w:rsid w:val="00897248"/>
    <w:rsid w:val="00897282"/>
    <w:rsid w:val="0089749A"/>
    <w:rsid w:val="00897546"/>
    <w:rsid w:val="0089756E"/>
    <w:rsid w:val="008976C1"/>
    <w:rsid w:val="008977F9"/>
    <w:rsid w:val="00897BD4"/>
    <w:rsid w:val="00897C11"/>
    <w:rsid w:val="00897FB2"/>
    <w:rsid w:val="008A0161"/>
    <w:rsid w:val="008A01C0"/>
    <w:rsid w:val="008A01DB"/>
    <w:rsid w:val="008A032F"/>
    <w:rsid w:val="008A03F1"/>
    <w:rsid w:val="008A042C"/>
    <w:rsid w:val="008A0480"/>
    <w:rsid w:val="008A05A4"/>
    <w:rsid w:val="008A061E"/>
    <w:rsid w:val="008A06D0"/>
    <w:rsid w:val="008A0982"/>
    <w:rsid w:val="008A0AE2"/>
    <w:rsid w:val="008A1274"/>
    <w:rsid w:val="008A12E2"/>
    <w:rsid w:val="008A1355"/>
    <w:rsid w:val="008A1469"/>
    <w:rsid w:val="008A151A"/>
    <w:rsid w:val="008A17AB"/>
    <w:rsid w:val="008A1890"/>
    <w:rsid w:val="008A1C57"/>
    <w:rsid w:val="008A1CA8"/>
    <w:rsid w:val="008A1E7E"/>
    <w:rsid w:val="008A1EAE"/>
    <w:rsid w:val="008A2317"/>
    <w:rsid w:val="008A25B9"/>
    <w:rsid w:val="008A2785"/>
    <w:rsid w:val="008A27A8"/>
    <w:rsid w:val="008A27FA"/>
    <w:rsid w:val="008A2A92"/>
    <w:rsid w:val="008A2BEC"/>
    <w:rsid w:val="008A2D68"/>
    <w:rsid w:val="008A2DBB"/>
    <w:rsid w:val="008A2FE7"/>
    <w:rsid w:val="008A2FF4"/>
    <w:rsid w:val="008A3246"/>
    <w:rsid w:val="008A3372"/>
    <w:rsid w:val="008A3418"/>
    <w:rsid w:val="008A3426"/>
    <w:rsid w:val="008A34DC"/>
    <w:rsid w:val="008A36F0"/>
    <w:rsid w:val="008A3805"/>
    <w:rsid w:val="008A38CC"/>
    <w:rsid w:val="008A38E9"/>
    <w:rsid w:val="008A3A2A"/>
    <w:rsid w:val="008A3D69"/>
    <w:rsid w:val="008A437F"/>
    <w:rsid w:val="008A442F"/>
    <w:rsid w:val="008A45DE"/>
    <w:rsid w:val="008A47DF"/>
    <w:rsid w:val="008A47E7"/>
    <w:rsid w:val="008A49B9"/>
    <w:rsid w:val="008A4CF0"/>
    <w:rsid w:val="008A4D73"/>
    <w:rsid w:val="008A4F4F"/>
    <w:rsid w:val="008A4F73"/>
    <w:rsid w:val="008A4FEE"/>
    <w:rsid w:val="008A50C3"/>
    <w:rsid w:val="008A50D4"/>
    <w:rsid w:val="008A519E"/>
    <w:rsid w:val="008A522F"/>
    <w:rsid w:val="008A52C6"/>
    <w:rsid w:val="008A52DA"/>
    <w:rsid w:val="008A52E2"/>
    <w:rsid w:val="008A5490"/>
    <w:rsid w:val="008A55B9"/>
    <w:rsid w:val="008A55C4"/>
    <w:rsid w:val="008A5846"/>
    <w:rsid w:val="008A5B65"/>
    <w:rsid w:val="008A5C54"/>
    <w:rsid w:val="008A5D54"/>
    <w:rsid w:val="008A5D86"/>
    <w:rsid w:val="008A5D8B"/>
    <w:rsid w:val="008A5FC8"/>
    <w:rsid w:val="008A6120"/>
    <w:rsid w:val="008A61C3"/>
    <w:rsid w:val="008A61CA"/>
    <w:rsid w:val="008A625F"/>
    <w:rsid w:val="008A6491"/>
    <w:rsid w:val="008A6668"/>
    <w:rsid w:val="008A674F"/>
    <w:rsid w:val="008A6808"/>
    <w:rsid w:val="008A69EB"/>
    <w:rsid w:val="008A6C43"/>
    <w:rsid w:val="008A6FB5"/>
    <w:rsid w:val="008A70F8"/>
    <w:rsid w:val="008A723B"/>
    <w:rsid w:val="008A7559"/>
    <w:rsid w:val="008A77F3"/>
    <w:rsid w:val="008A7891"/>
    <w:rsid w:val="008A78FF"/>
    <w:rsid w:val="008A79F9"/>
    <w:rsid w:val="008A7A26"/>
    <w:rsid w:val="008A7AB6"/>
    <w:rsid w:val="008A7BA1"/>
    <w:rsid w:val="008A7C54"/>
    <w:rsid w:val="008A7E76"/>
    <w:rsid w:val="008A7EEF"/>
    <w:rsid w:val="008B0133"/>
    <w:rsid w:val="008B01C0"/>
    <w:rsid w:val="008B02CF"/>
    <w:rsid w:val="008B039A"/>
    <w:rsid w:val="008B03F0"/>
    <w:rsid w:val="008B0693"/>
    <w:rsid w:val="008B06B2"/>
    <w:rsid w:val="008B0A76"/>
    <w:rsid w:val="008B0B80"/>
    <w:rsid w:val="008B0CF8"/>
    <w:rsid w:val="008B0F37"/>
    <w:rsid w:val="008B102D"/>
    <w:rsid w:val="008B10F9"/>
    <w:rsid w:val="008B12E8"/>
    <w:rsid w:val="008B1355"/>
    <w:rsid w:val="008B1422"/>
    <w:rsid w:val="008B1429"/>
    <w:rsid w:val="008B1549"/>
    <w:rsid w:val="008B188B"/>
    <w:rsid w:val="008B1CB0"/>
    <w:rsid w:val="008B1FDC"/>
    <w:rsid w:val="008B202C"/>
    <w:rsid w:val="008B205C"/>
    <w:rsid w:val="008B23CE"/>
    <w:rsid w:val="008B24CB"/>
    <w:rsid w:val="008B24D2"/>
    <w:rsid w:val="008B2A59"/>
    <w:rsid w:val="008B2C2B"/>
    <w:rsid w:val="008B2D91"/>
    <w:rsid w:val="008B2E06"/>
    <w:rsid w:val="008B2E4A"/>
    <w:rsid w:val="008B30D7"/>
    <w:rsid w:val="008B3162"/>
    <w:rsid w:val="008B31AA"/>
    <w:rsid w:val="008B3624"/>
    <w:rsid w:val="008B38ED"/>
    <w:rsid w:val="008B399B"/>
    <w:rsid w:val="008B399E"/>
    <w:rsid w:val="008B3AB5"/>
    <w:rsid w:val="008B3C89"/>
    <w:rsid w:val="008B3CB0"/>
    <w:rsid w:val="008B3DCF"/>
    <w:rsid w:val="008B411A"/>
    <w:rsid w:val="008B4263"/>
    <w:rsid w:val="008B4363"/>
    <w:rsid w:val="008B44F8"/>
    <w:rsid w:val="008B4577"/>
    <w:rsid w:val="008B45B2"/>
    <w:rsid w:val="008B45B3"/>
    <w:rsid w:val="008B4624"/>
    <w:rsid w:val="008B4968"/>
    <w:rsid w:val="008B4D57"/>
    <w:rsid w:val="008B4D5B"/>
    <w:rsid w:val="008B4D9F"/>
    <w:rsid w:val="008B4DF6"/>
    <w:rsid w:val="008B4E5E"/>
    <w:rsid w:val="008B4F8C"/>
    <w:rsid w:val="008B4FD7"/>
    <w:rsid w:val="008B515B"/>
    <w:rsid w:val="008B517A"/>
    <w:rsid w:val="008B51BE"/>
    <w:rsid w:val="008B524C"/>
    <w:rsid w:val="008B5278"/>
    <w:rsid w:val="008B5283"/>
    <w:rsid w:val="008B52C0"/>
    <w:rsid w:val="008B540D"/>
    <w:rsid w:val="008B55C8"/>
    <w:rsid w:val="008B5A5D"/>
    <w:rsid w:val="008B5B17"/>
    <w:rsid w:val="008B5F2E"/>
    <w:rsid w:val="008B600B"/>
    <w:rsid w:val="008B617C"/>
    <w:rsid w:val="008B6474"/>
    <w:rsid w:val="008B6563"/>
    <w:rsid w:val="008B6631"/>
    <w:rsid w:val="008B6634"/>
    <w:rsid w:val="008B6767"/>
    <w:rsid w:val="008B68E2"/>
    <w:rsid w:val="008B6934"/>
    <w:rsid w:val="008B6C35"/>
    <w:rsid w:val="008B6CFE"/>
    <w:rsid w:val="008B6DD5"/>
    <w:rsid w:val="008B6FBE"/>
    <w:rsid w:val="008B72AB"/>
    <w:rsid w:val="008B741C"/>
    <w:rsid w:val="008B7487"/>
    <w:rsid w:val="008B75C5"/>
    <w:rsid w:val="008B763E"/>
    <w:rsid w:val="008B781B"/>
    <w:rsid w:val="008B7CD2"/>
    <w:rsid w:val="008B7F19"/>
    <w:rsid w:val="008B7FC1"/>
    <w:rsid w:val="008C007F"/>
    <w:rsid w:val="008C0146"/>
    <w:rsid w:val="008C04A0"/>
    <w:rsid w:val="008C05E9"/>
    <w:rsid w:val="008C05FC"/>
    <w:rsid w:val="008C0691"/>
    <w:rsid w:val="008C08F4"/>
    <w:rsid w:val="008C0D46"/>
    <w:rsid w:val="008C0D58"/>
    <w:rsid w:val="008C0E16"/>
    <w:rsid w:val="008C0E48"/>
    <w:rsid w:val="008C0FC2"/>
    <w:rsid w:val="008C0FCE"/>
    <w:rsid w:val="008C12A3"/>
    <w:rsid w:val="008C1332"/>
    <w:rsid w:val="008C1566"/>
    <w:rsid w:val="008C1604"/>
    <w:rsid w:val="008C16EF"/>
    <w:rsid w:val="008C1906"/>
    <w:rsid w:val="008C1C6F"/>
    <w:rsid w:val="008C1C7D"/>
    <w:rsid w:val="008C1CBD"/>
    <w:rsid w:val="008C20CF"/>
    <w:rsid w:val="008C20E7"/>
    <w:rsid w:val="008C25A9"/>
    <w:rsid w:val="008C2C29"/>
    <w:rsid w:val="008C2C45"/>
    <w:rsid w:val="008C2C70"/>
    <w:rsid w:val="008C2CE0"/>
    <w:rsid w:val="008C2D17"/>
    <w:rsid w:val="008C31AC"/>
    <w:rsid w:val="008C31D0"/>
    <w:rsid w:val="008C3327"/>
    <w:rsid w:val="008C33AD"/>
    <w:rsid w:val="008C342A"/>
    <w:rsid w:val="008C358D"/>
    <w:rsid w:val="008C36C4"/>
    <w:rsid w:val="008C3860"/>
    <w:rsid w:val="008C3C88"/>
    <w:rsid w:val="008C3CBE"/>
    <w:rsid w:val="008C3F7E"/>
    <w:rsid w:val="008C42CB"/>
    <w:rsid w:val="008C442A"/>
    <w:rsid w:val="008C462F"/>
    <w:rsid w:val="008C4675"/>
    <w:rsid w:val="008C4AA0"/>
    <w:rsid w:val="008C4BE8"/>
    <w:rsid w:val="008C4EA3"/>
    <w:rsid w:val="008C51FC"/>
    <w:rsid w:val="008C5781"/>
    <w:rsid w:val="008C5D3D"/>
    <w:rsid w:val="008C5F7C"/>
    <w:rsid w:val="008C6139"/>
    <w:rsid w:val="008C61DE"/>
    <w:rsid w:val="008C6609"/>
    <w:rsid w:val="008C664A"/>
    <w:rsid w:val="008C683C"/>
    <w:rsid w:val="008C6AED"/>
    <w:rsid w:val="008C6B17"/>
    <w:rsid w:val="008C6B38"/>
    <w:rsid w:val="008C6BC5"/>
    <w:rsid w:val="008C6C93"/>
    <w:rsid w:val="008C6FC8"/>
    <w:rsid w:val="008C7496"/>
    <w:rsid w:val="008C7552"/>
    <w:rsid w:val="008C7582"/>
    <w:rsid w:val="008C75EF"/>
    <w:rsid w:val="008C76F4"/>
    <w:rsid w:val="008C78B6"/>
    <w:rsid w:val="008C7BBF"/>
    <w:rsid w:val="008C7BC7"/>
    <w:rsid w:val="008C7C5A"/>
    <w:rsid w:val="008C7CA7"/>
    <w:rsid w:val="008C7DB2"/>
    <w:rsid w:val="008C7DCA"/>
    <w:rsid w:val="008C7EFC"/>
    <w:rsid w:val="008C7FB6"/>
    <w:rsid w:val="008D075D"/>
    <w:rsid w:val="008D0785"/>
    <w:rsid w:val="008D09AD"/>
    <w:rsid w:val="008D0A02"/>
    <w:rsid w:val="008D0B7A"/>
    <w:rsid w:val="008D0CBA"/>
    <w:rsid w:val="008D0F7B"/>
    <w:rsid w:val="008D0FA3"/>
    <w:rsid w:val="008D1263"/>
    <w:rsid w:val="008D12A9"/>
    <w:rsid w:val="008D149A"/>
    <w:rsid w:val="008D14F7"/>
    <w:rsid w:val="008D1542"/>
    <w:rsid w:val="008D15E0"/>
    <w:rsid w:val="008D18A6"/>
    <w:rsid w:val="008D1C11"/>
    <w:rsid w:val="008D1D5D"/>
    <w:rsid w:val="008D1EA6"/>
    <w:rsid w:val="008D20D5"/>
    <w:rsid w:val="008D232B"/>
    <w:rsid w:val="008D2394"/>
    <w:rsid w:val="008D2482"/>
    <w:rsid w:val="008D2617"/>
    <w:rsid w:val="008D27A9"/>
    <w:rsid w:val="008D2AD5"/>
    <w:rsid w:val="008D2B84"/>
    <w:rsid w:val="008D2C52"/>
    <w:rsid w:val="008D2D8F"/>
    <w:rsid w:val="008D2DC2"/>
    <w:rsid w:val="008D2E24"/>
    <w:rsid w:val="008D3011"/>
    <w:rsid w:val="008D32E5"/>
    <w:rsid w:val="008D33D9"/>
    <w:rsid w:val="008D34B1"/>
    <w:rsid w:val="008D34E4"/>
    <w:rsid w:val="008D3501"/>
    <w:rsid w:val="008D357B"/>
    <w:rsid w:val="008D38DB"/>
    <w:rsid w:val="008D3AC0"/>
    <w:rsid w:val="008D3BE3"/>
    <w:rsid w:val="008D3DA7"/>
    <w:rsid w:val="008D3E95"/>
    <w:rsid w:val="008D3EF6"/>
    <w:rsid w:val="008D3F49"/>
    <w:rsid w:val="008D3FC5"/>
    <w:rsid w:val="008D4217"/>
    <w:rsid w:val="008D422B"/>
    <w:rsid w:val="008D4381"/>
    <w:rsid w:val="008D4389"/>
    <w:rsid w:val="008D44ED"/>
    <w:rsid w:val="008D4633"/>
    <w:rsid w:val="008D46A4"/>
    <w:rsid w:val="008D4ACE"/>
    <w:rsid w:val="008D4ADA"/>
    <w:rsid w:val="008D4CB0"/>
    <w:rsid w:val="008D4CC9"/>
    <w:rsid w:val="008D4D5D"/>
    <w:rsid w:val="008D4F24"/>
    <w:rsid w:val="008D5238"/>
    <w:rsid w:val="008D5364"/>
    <w:rsid w:val="008D55D6"/>
    <w:rsid w:val="008D59C1"/>
    <w:rsid w:val="008D5A8E"/>
    <w:rsid w:val="008D5AC3"/>
    <w:rsid w:val="008D5BB4"/>
    <w:rsid w:val="008D5E34"/>
    <w:rsid w:val="008D5F92"/>
    <w:rsid w:val="008D604A"/>
    <w:rsid w:val="008D6054"/>
    <w:rsid w:val="008D63AA"/>
    <w:rsid w:val="008D6405"/>
    <w:rsid w:val="008D6407"/>
    <w:rsid w:val="008D64AB"/>
    <w:rsid w:val="008D6B60"/>
    <w:rsid w:val="008D6C06"/>
    <w:rsid w:val="008D7143"/>
    <w:rsid w:val="008D7440"/>
    <w:rsid w:val="008D74B6"/>
    <w:rsid w:val="008D769C"/>
    <w:rsid w:val="008D7937"/>
    <w:rsid w:val="008D7A11"/>
    <w:rsid w:val="008D7C93"/>
    <w:rsid w:val="008D7D10"/>
    <w:rsid w:val="008D7F96"/>
    <w:rsid w:val="008E00A3"/>
    <w:rsid w:val="008E0197"/>
    <w:rsid w:val="008E063C"/>
    <w:rsid w:val="008E06CE"/>
    <w:rsid w:val="008E07B6"/>
    <w:rsid w:val="008E0802"/>
    <w:rsid w:val="008E0833"/>
    <w:rsid w:val="008E085A"/>
    <w:rsid w:val="008E08FC"/>
    <w:rsid w:val="008E0AA8"/>
    <w:rsid w:val="008E1094"/>
    <w:rsid w:val="008E1341"/>
    <w:rsid w:val="008E13C7"/>
    <w:rsid w:val="008E16C0"/>
    <w:rsid w:val="008E16DE"/>
    <w:rsid w:val="008E18D3"/>
    <w:rsid w:val="008E1938"/>
    <w:rsid w:val="008E1BF1"/>
    <w:rsid w:val="008E1C0E"/>
    <w:rsid w:val="008E1C43"/>
    <w:rsid w:val="008E1C50"/>
    <w:rsid w:val="008E1F29"/>
    <w:rsid w:val="008E2191"/>
    <w:rsid w:val="008E2379"/>
    <w:rsid w:val="008E23FB"/>
    <w:rsid w:val="008E23FC"/>
    <w:rsid w:val="008E2508"/>
    <w:rsid w:val="008E25AD"/>
    <w:rsid w:val="008E2699"/>
    <w:rsid w:val="008E2AC5"/>
    <w:rsid w:val="008E2EF4"/>
    <w:rsid w:val="008E2F93"/>
    <w:rsid w:val="008E3001"/>
    <w:rsid w:val="008E3172"/>
    <w:rsid w:val="008E32A7"/>
    <w:rsid w:val="008E3427"/>
    <w:rsid w:val="008E34F0"/>
    <w:rsid w:val="008E357F"/>
    <w:rsid w:val="008E3865"/>
    <w:rsid w:val="008E3889"/>
    <w:rsid w:val="008E38AE"/>
    <w:rsid w:val="008E39D4"/>
    <w:rsid w:val="008E3B86"/>
    <w:rsid w:val="008E3C7A"/>
    <w:rsid w:val="008E3CCB"/>
    <w:rsid w:val="008E3D1F"/>
    <w:rsid w:val="008E3D90"/>
    <w:rsid w:val="008E3E93"/>
    <w:rsid w:val="008E41CF"/>
    <w:rsid w:val="008E432D"/>
    <w:rsid w:val="008E439B"/>
    <w:rsid w:val="008E46F3"/>
    <w:rsid w:val="008E46FA"/>
    <w:rsid w:val="008E4756"/>
    <w:rsid w:val="008E47B5"/>
    <w:rsid w:val="008E4853"/>
    <w:rsid w:val="008E48A7"/>
    <w:rsid w:val="008E49CF"/>
    <w:rsid w:val="008E4A49"/>
    <w:rsid w:val="008E4AA4"/>
    <w:rsid w:val="008E4BDF"/>
    <w:rsid w:val="008E527B"/>
    <w:rsid w:val="008E52B6"/>
    <w:rsid w:val="008E54A9"/>
    <w:rsid w:val="008E5805"/>
    <w:rsid w:val="008E5A2D"/>
    <w:rsid w:val="008E5B73"/>
    <w:rsid w:val="008E5C67"/>
    <w:rsid w:val="008E5CB9"/>
    <w:rsid w:val="008E5E08"/>
    <w:rsid w:val="008E60BE"/>
    <w:rsid w:val="008E61D9"/>
    <w:rsid w:val="008E620D"/>
    <w:rsid w:val="008E62B1"/>
    <w:rsid w:val="008E6324"/>
    <w:rsid w:val="008E6476"/>
    <w:rsid w:val="008E66AF"/>
    <w:rsid w:val="008E66EC"/>
    <w:rsid w:val="008E6826"/>
    <w:rsid w:val="008E6944"/>
    <w:rsid w:val="008E6A43"/>
    <w:rsid w:val="008E6BEC"/>
    <w:rsid w:val="008E6C4A"/>
    <w:rsid w:val="008E6CAB"/>
    <w:rsid w:val="008E6EB7"/>
    <w:rsid w:val="008E6FB7"/>
    <w:rsid w:val="008E70E5"/>
    <w:rsid w:val="008E719E"/>
    <w:rsid w:val="008E7225"/>
    <w:rsid w:val="008E783F"/>
    <w:rsid w:val="008E7A49"/>
    <w:rsid w:val="008E7A4D"/>
    <w:rsid w:val="008E7C27"/>
    <w:rsid w:val="008E7CA1"/>
    <w:rsid w:val="008E7D53"/>
    <w:rsid w:val="008E7E3D"/>
    <w:rsid w:val="008F019F"/>
    <w:rsid w:val="008F0489"/>
    <w:rsid w:val="008F06CA"/>
    <w:rsid w:val="008F0859"/>
    <w:rsid w:val="008F08D3"/>
    <w:rsid w:val="008F0966"/>
    <w:rsid w:val="008F09E5"/>
    <w:rsid w:val="008F0AD1"/>
    <w:rsid w:val="008F0F4B"/>
    <w:rsid w:val="008F10B0"/>
    <w:rsid w:val="008F1133"/>
    <w:rsid w:val="008F12DA"/>
    <w:rsid w:val="008F1624"/>
    <w:rsid w:val="008F187C"/>
    <w:rsid w:val="008F19FB"/>
    <w:rsid w:val="008F1DB9"/>
    <w:rsid w:val="008F1DC8"/>
    <w:rsid w:val="008F217C"/>
    <w:rsid w:val="008F2262"/>
    <w:rsid w:val="008F22E5"/>
    <w:rsid w:val="008F2473"/>
    <w:rsid w:val="008F2672"/>
    <w:rsid w:val="008F268E"/>
    <w:rsid w:val="008F26DA"/>
    <w:rsid w:val="008F27C8"/>
    <w:rsid w:val="008F2854"/>
    <w:rsid w:val="008F2A77"/>
    <w:rsid w:val="008F3067"/>
    <w:rsid w:val="008F312C"/>
    <w:rsid w:val="008F32CC"/>
    <w:rsid w:val="008F32F6"/>
    <w:rsid w:val="008F3395"/>
    <w:rsid w:val="008F34FC"/>
    <w:rsid w:val="008F351D"/>
    <w:rsid w:val="008F3681"/>
    <w:rsid w:val="008F36B1"/>
    <w:rsid w:val="008F37D7"/>
    <w:rsid w:val="008F3944"/>
    <w:rsid w:val="008F39A8"/>
    <w:rsid w:val="008F3B1E"/>
    <w:rsid w:val="008F3B21"/>
    <w:rsid w:val="008F3B43"/>
    <w:rsid w:val="008F3BE9"/>
    <w:rsid w:val="008F3C4F"/>
    <w:rsid w:val="008F3EAC"/>
    <w:rsid w:val="008F3EC5"/>
    <w:rsid w:val="008F402C"/>
    <w:rsid w:val="008F42F7"/>
    <w:rsid w:val="008F437A"/>
    <w:rsid w:val="008F44E4"/>
    <w:rsid w:val="008F4764"/>
    <w:rsid w:val="008F47AD"/>
    <w:rsid w:val="008F488C"/>
    <w:rsid w:val="008F4B0C"/>
    <w:rsid w:val="008F4CBE"/>
    <w:rsid w:val="008F4CD8"/>
    <w:rsid w:val="008F4D7F"/>
    <w:rsid w:val="008F4DFC"/>
    <w:rsid w:val="008F4FBC"/>
    <w:rsid w:val="008F5087"/>
    <w:rsid w:val="008F571B"/>
    <w:rsid w:val="008F5750"/>
    <w:rsid w:val="008F5766"/>
    <w:rsid w:val="008F583C"/>
    <w:rsid w:val="008F5922"/>
    <w:rsid w:val="008F5AEC"/>
    <w:rsid w:val="008F5C42"/>
    <w:rsid w:val="008F5C66"/>
    <w:rsid w:val="008F5D81"/>
    <w:rsid w:val="008F5DB5"/>
    <w:rsid w:val="008F5DB9"/>
    <w:rsid w:val="008F5E8B"/>
    <w:rsid w:val="008F6031"/>
    <w:rsid w:val="008F62E8"/>
    <w:rsid w:val="008F63D8"/>
    <w:rsid w:val="008F67AC"/>
    <w:rsid w:val="008F67C0"/>
    <w:rsid w:val="008F6AAC"/>
    <w:rsid w:val="008F6AE6"/>
    <w:rsid w:val="008F6B33"/>
    <w:rsid w:val="008F6B3D"/>
    <w:rsid w:val="008F6C71"/>
    <w:rsid w:val="008F7048"/>
    <w:rsid w:val="008F706D"/>
    <w:rsid w:val="008F7424"/>
    <w:rsid w:val="008F76CB"/>
    <w:rsid w:val="008F77B5"/>
    <w:rsid w:val="008F7857"/>
    <w:rsid w:val="008F7927"/>
    <w:rsid w:val="008F794D"/>
    <w:rsid w:val="008F798B"/>
    <w:rsid w:val="008F7BF3"/>
    <w:rsid w:val="008F7E4F"/>
    <w:rsid w:val="0090014B"/>
    <w:rsid w:val="00900355"/>
    <w:rsid w:val="0090041E"/>
    <w:rsid w:val="009005B1"/>
    <w:rsid w:val="0090061D"/>
    <w:rsid w:val="0090072F"/>
    <w:rsid w:val="00900784"/>
    <w:rsid w:val="009007BF"/>
    <w:rsid w:val="00900A30"/>
    <w:rsid w:val="00900B29"/>
    <w:rsid w:val="00900C81"/>
    <w:rsid w:val="00900D3F"/>
    <w:rsid w:val="00900D60"/>
    <w:rsid w:val="00900EF0"/>
    <w:rsid w:val="00900F80"/>
    <w:rsid w:val="00900F84"/>
    <w:rsid w:val="00901192"/>
    <w:rsid w:val="009012EB"/>
    <w:rsid w:val="009013DF"/>
    <w:rsid w:val="009016E7"/>
    <w:rsid w:val="00901A28"/>
    <w:rsid w:val="00901C02"/>
    <w:rsid w:val="00901C6C"/>
    <w:rsid w:val="00901E54"/>
    <w:rsid w:val="00901EEE"/>
    <w:rsid w:val="00901F5C"/>
    <w:rsid w:val="00902003"/>
    <w:rsid w:val="0090219B"/>
    <w:rsid w:val="0090220F"/>
    <w:rsid w:val="009022E5"/>
    <w:rsid w:val="0090242B"/>
    <w:rsid w:val="00902485"/>
    <w:rsid w:val="0090251A"/>
    <w:rsid w:val="00902532"/>
    <w:rsid w:val="00902849"/>
    <w:rsid w:val="00902858"/>
    <w:rsid w:val="0090296A"/>
    <w:rsid w:val="009029D0"/>
    <w:rsid w:val="00902B93"/>
    <w:rsid w:val="00902E22"/>
    <w:rsid w:val="00902E6C"/>
    <w:rsid w:val="00902F7F"/>
    <w:rsid w:val="00902FDE"/>
    <w:rsid w:val="00903634"/>
    <w:rsid w:val="009037D7"/>
    <w:rsid w:val="0090380A"/>
    <w:rsid w:val="00903A40"/>
    <w:rsid w:val="00903D10"/>
    <w:rsid w:val="00903DE0"/>
    <w:rsid w:val="0090419D"/>
    <w:rsid w:val="009041D5"/>
    <w:rsid w:val="00904351"/>
    <w:rsid w:val="00904512"/>
    <w:rsid w:val="0090457B"/>
    <w:rsid w:val="00904703"/>
    <w:rsid w:val="009048AB"/>
    <w:rsid w:val="00904A0C"/>
    <w:rsid w:val="00904B76"/>
    <w:rsid w:val="00904DF0"/>
    <w:rsid w:val="00904E6E"/>
    <w:rsid w:val="009050C8"/>
    <w:rsid w:val="009050F0"/>
    <w:rsid w:val="0090511B"/>
    <w:rsid w:val="00905140"/>
    <w:rsid w:val="00905432"/>
    <w:rsid w:val="00905561"/>
    <w:rsid w:val="00905951"/>
    <w:rsid w:val="00905AB2"/>
    <w:rsid w:val="009061C8"/>
    <w:rsid w:val="009062F7"/>
    <w:rsid w:val="009063A0"/>
    <w:rsid w:val="00906442"/>
    <w:rsid w:val="009066BA"/>
    <w:rsid w:val="009067CD"/>
    <w:rsid w:val="00906817"/>
    <w:rsid w:val="00906967"/>
    <w:rsid w:val="00906AF1"/>
    <w:rsid w:val="00906C31"/>
    <w:rsid w:val="00906C7C"/>
    <w:rsid w:val="00906CF0"/>
    <w:rsid w:val="00906E79"/>
    <w:rsid w:val="00906F5A"/>
    <w:rsid w:val="0090710C"/>
    <w:rsid w:val="00907259"/>
    <w:rsid w:val="009074AA"/>
    <w:rsid w:val="0090751E"/>
    <w:rsid w:val="00907575"/>
    <w:rsid w:val="0090790E"/>
    <w:rsid w:val="0090791B"/>
    <w:rsid w:val="00907A09"/>
    <w:rsid w:val="00907CCE"/>
    <w:rsid w:val="00907D7F"/>
    <w:rsid w:val="00907F0C"/>
    <w:rsid w:val="0091016E"/>
    <w:rsid w:val="00910773"/>
    <w:rsid w:val="009107C1"/>
    <w:rsid w:val="00910941"/>
    <w:rsid w:val="009109CA"/>
    <w:rsid w:val="00910EE7"/>
    <w:rsid w:val="00910F26"/>
    <w:rsid w:val="00911190"/>
    <w:rsid w:val="009111E6"/>
    <w:rsid w:val="009116E9"/>
    <w:rsid w:val="00911AC9"/>
    <w:rsid w:val="00911FDD"/>
    <w:rsid w:val="00912068"/>
    <w:rsid w:val="009120A6"/>
    <w:rsid w:val="0091254A"/>
    <w:rsid w:val="00912689"/>
    <w:rsid w:val="00912907"/>
    <w:rsid w:val="00912A3C"/>
    <w:rsid w:val="00912A52"/>
    <w:rsid w:val="00912EF6"/>
    <w:rsid w:val="00913063"/>
    <w:rsid w:val="0091307C"/>
    <w:rsid w:val="0091307F"/>
    <w:rsid w:val="009130CB"/>
    <w:rsid w:val="0091321D"/>
    <w:rsid w:val="00913393"/>
    <w:rsid w:val="009133DF"/>
    <w:rsid w:val="00913768"/>
    <w:rsid w:val="00913820"/>
    <w:rsid w:val="009139A6"/>
    <w:rsid w:val="00913B72"/>
    <w:rsid w:val="00913D2E"/>
    <w:rsid w:val="00913D58"/>
    <w:rsid w:val="00913DF1"/>
    <w:rsid w:val="00913E23"/>
    <w:rsid w:val="00913EF5"/>
    <w:rsid w:val="00913F5B"/>
    <w:rsid w:val="0091411C"/>
    <w:rsid w:val="0091413A"/>
    <w:rsid w:val="0091463F"/>
    <w:rsid w:val="00914742"/>
    <w:rsid w:val="0091489F"/>
    <w:rsid w:val="009148EC"/>
    <w:rsid w:val="00914917"/>
    <w:rsid w:val="00914A74"/>
    <w:rsid w:val="00914B53"/>
    <w:rsid w:val="00914D47"/>
    <w:rsid w:val="00914D7B"/>
    <w:rsid w:val="00914EB6"/>
    <w:rsid w:val="00914FA9"/>
    <w:rsid w:val="009150A1"/>
    <w:rsid w:val="00915195"/>
    <w:rsid w:val="009151EC"/>
    <w:rsid w:val="009152A4"/>
    <w:rsid w:val="009152D2"/>
    <w:rsid w:val="0091533B"/>
    <w:rsid w:val="00915522"/>
    <w:rsid w:val="00915564"/>
    <w:rsid w:val="0091556B"/>
    <w:rsid w:val="0091565E"/>
    <w:rsid w:val="00915A71"/>
    <w:rsid w:val="00915AA9"/>
    <w:rsid w:val="00915C4B"/>
    <w:rsid w:val="00915E1B"/>
    <w:rsid w:val="00915F0D"/>
    <w:rsid w:val="0091605E"/>
    <w:rsid w:val="0091608F"/>
    <w:rsid w:val="009162CE"/>
    <w:rsid w:val="009162E3"/>
    <w:rsid w:val="009163EE"/>
    <w:rsid w:val="0091647B"/>
    <w:rsid w:val="009164F0"/>
    <w:rsid w:val="00916512"/>
    <w:rsid w:val="00916603"/>
    <w:rsid w:val="009166D5"/>
    <w:rsid w:val="009166D9"/>
    <w:rsid w:val="0091672E"/>
    <w:rsid w:val="0091679E"/>
    <w:rsid w:val="00916940"/>
    <w:rsid w:val="0091696F"/>
    <w:rsid w:val="009169E3"/>
    <w:rsid w:val="00916A10"/>
    <w:rsid w:val="00916A94"/>
    <w:rsid w:val="00916B24"/>
    <w:rsid w:val="00916BEF"/>
    <w:rsid w:val="00916C0A"/>
    <w:rsid w:val="00916C62"/>
    <w:rsid w:val="00916D2D"/>
    <w:rsid w:val="00916DD5"/>
    <w:rsid w:val="00916DF0"/>
    <w:rsid w:val="009170C2"/>
    <w:rsid w:val="0091711A"/>
    <w:rsid w:val="00917347"/>
    <w:rsid w:val="00917353"/>
    <w:rsid w:val="00917586"/>
    <w:rsid w:val="00917785"/>
    <w:rsid w:val="009177C5"/>
    <w:rsid w:val="009177D4"/>
    <w:rsid w:val="00917864"/>
    <w:rsid w:val="00917D87"/>
    <w:rsid w:val="00917DDC"/>
    <w:rsid w:val="00917EAB"/>
    <w:rsid w:val="00917EB7"/>
    <w:rsid w:val="00917FDD"/>
    <w:rsid w:val="00917FFE"/>
    <w:rsid w:val="00920034"/>
    <w:rsid w:val="0092011A"/>
    <w:rsid w:val="00920467"/>
    <w:rsid w:val="009208BA"/>
    <w:rsid w:val="00920C4B"/>
    <w:rsid w:val="00920C58"/>
    <w:rsid w:val="00920CAC"/>
    <w:rsid w:val="00920D85"/>
    <w:rsid w:val="00920E9C"/>
    <w:rsid w:val="00920F9A"/>
    <w:rsid w:val="009210DD"/>
    <w:rsid w:val="009211ED"/>
    <w:rsid w:val="00921223"/>
    <w:rsid w:val="009215A1"/>
    <w:rsid w:val="0092163F"/>
    <w:rsid w:val="00921647"/>
    <w:rsid w:val="00921784"/>
    <w:rsid w:val="00921916"/>
    <w:rsid w:val="00921A5B"/>
    <w:rsid w:val="00921B65"/>
    <w:rsid w:val="00921C47"/>
    <w:rsid w:val="00921D65"/>
    <w:rsid w:val="00921DA0"/>
    <w:rsid w:val="00921DC6"/>
    <w:rsid w:val="00921E53"/>
    <w:rsid w:val="00921EDE"/>
    <w:rsid w:val="00922179"/>
    <w:rsid w:val="00922542"/>
    <w:rsid w:val="00922731"/>
    <w:rsid w:val="00922A8B"/>
    <w:rsid w:val="00922ECA"/>
    <w:rsid w:val="00922EDF"/>
    <w:rsid w:val="0092332F"/>
    <w:rsid w:val="009234CD"/>
    <w:rsid w:val="00923610"/>
    <w:rsid w:val="00923650"/>
    <w:rsid w:val="0092392F"/>
    <w:rsid w:val="00923C68"/>
    <w:rsid w:val="009240D9"/>
    <w:rsid w:val="009241FC"/>
    <w:rsid w:val="009243CB"/>
    <w:rsid w:val="0092455C"/>
    <w:rsid w:val="00924651"/>
    <w:rsid w:val="00924691"/>
    <w:rsid w:val="009246EE"/>
    <w:rsid w:val="00924737"/>
    <w:rsid w:val="0092478C"/>
    <w:rsid w:val="009247AB"/>
    <w:rsid w:val="009247E4"/>
    <w:rsid w:val="009249BA"/>
    <w:rsid w:val="00924AD2"/>
    <w:rsid w:val="00924BAF"/>
    <w:rsid w:val="00924D3A"/>
    <w:rsid w:val="00924E7C"/>
    <w:rsid w:val="00924FB3"/>
    <w:rsid w:val="009250F7"/>
    <w:rsid w:val="009251CB"/>
    <w:rsid w:val="00925206"/>
    <w:rsid w:val="00925473"/>
    <w:rsid w:val="0092547D"/>
    <w:rsid w:val="009255B5"/>
    <w:rsid w:val="009257AA"/>
    <w:rsid w:val="00925863"/>
    <w:rsid w:val="00925EBF"/>
    <w:rsid w:val="00925F15"/>
    <w:rsid w:val="00925FE6"/>
    <w:rsid w:val="00926118"/>
    <w:rsid w:val="00926168"/>
    <w:rsid w:val="009261FA"/>
    <w:rsid w:val="00926446"/>
    <w:rsid w:val="00926784"/>
    <w:rsid w:val="009267A0"/>
    <w:rsid w:val="009269DB"/>
    <w:rsid w:val="00926F5E"/>
    <w:rsid w:val="0092703D"/>
    <w:rsid w:val="0092744D"/>
    <w:rsid w:val="00927575"/>
    <w:rsid w:val="009275FD"/>
    <w:rsid w:val="009277E6"/>
    <w:rsid w:val="00927932"/>
    <w:rsid w:val="00927AEE"/>
    <w:rsid w:val="00927CA5"/>
    <w:rsid w:val="00927D86"/>
    <w:rsid w:val="00927DEE"/>
    <w:rsid w:val="00927E21"/>
    <w:rsid w:val="00927E54"/>
    <w:rsid w:val="00927E89"/>
    <w:rsid w:val="00927F5F"/>
    <w:rsid w:val="00927F6D"/>
    <w:rsid w:val="00930347"/>
    <w:rsid w:val="00930834"/>
    <w:rsid w:val="00930AA0"/>
    <w:rsid w:val="00930E6B"/>
    <w:rsid w:val="00930F6E"/>
    <w:rsid w:val="00930FAD"/>
    <w:rsid w:val="00931027"/>
    <w:rsid w:val="00931040"/>
    <w:rsid w:val="009310FB"/>
    <w:rsid w:val="00931310"/>
    <w:rsid w:val="009314C0"/>
    <w:rsid w:val="009315E5"/>
    <w:rsid w:val="00931678"/>
    <w:rsid w:val="009317AD"/>
    <w:rsid w:val="0093192B"/>
    <w:rsid w:val="009319F2"/>
    <w:rsid w:val="00931D94"/>
    <w:rsid w:val="009321F7"/>
    <w:rsid w:val="009323BA"/>
    <w:rsid w:val="009326E2"/>
    <w:rsid w:val="0093274D"/>
    <w:rsid w:val="00932807"/>
    <w:rsid w:val="0093282C"/>
    <w:rsid w:val="0093288B"/>
    <w:rsid w:val="00932C39"/>
    <w:rsid w:val="00932DF9"/>
    <w:rsid w:val="009330D1"/>
    <w:rsid w:val="00933258"/>
    <w:rsid w:val="00933468"/>
    <w:rsid w:val="009335B7"/>
    <w:rsid w:val="009335D8"/>
    <w:rsid w:val="00933667"/>
    <w:rsid w:val="00933B40"/>
    <w:rsid w:val="00933BC9"/>
    <w:rsid w:val="00933F7A"/>
    <w:rsid w:val="00933FD2"/>
    <w:rsid w:val="00933FD8"/>
    <w:rsid w:val="009341EF"/>
    <w:rsid w:val="009342AE"/>
    <w:rsid w:val="0093440E"/>
    <w:rsid w:val="009344B2"/>
    <w:rsid w:val="00934509"/>
    <w:rsid w:val="00934601"/>
    <w:rsid w:val="0093469F"/>
    <w:rsid w:val="009346D8"/>
    <w:rsid w:val="0093481E"/>
    <w:rsid w:val="00934894"/>
    <w:rsid w:val="00934A26"/>
    <w:rsid w:val="00934A96"/>
    <w:rsid w:val="00934B6C"/>
    <w:rsid w:val="00934BC2"/>
    <w:rsid w:val="00934C41"/>
    <w:rsid w:val="00935044"/>
    <w:rsid w:val="009353B0"/>
    <w:rsid w:val="00935493"/>
    <w:rsid w:val="009354FF"/>
    <w:rsid w:val="00935729"/>
    <w:rsid w:val="00935746"/>
    <w:rsid w:val="00935857"/>
    <w:rsid w:val="009359C4"/>
    <w:rsid w:val="009359E1"/>
    <w:rsid w:val="00935A7B"/>
    <w:rsid w:val="00935AA4"/>
    <w:rsid w:val="00935B79"/>
    <w:rsid w:val="00935BF0"/>
    <w:rsid w:val="00935C30"/>
    <w:rsid w:val="00935CB9"/>
    <w:rsid w:val="0093615D"/>
    <w:rsid w:val="00936396"/>
    <w:rsid w:val="0093668B"/>
    <w:rsid w:val="009366F1"/>
    <w:rsid w:val="0093682E"/>
    <w:rsid w:val="00936B1F"/>
    <w:rsid w:val="00936CF2"/>
    <w:rsid w:val="00936D70"/>
    <w:rsid w:val="00936DEF"/>
    <w:rsid w:val="00936E37"/>
    <w:rsid w:val="00936F81"/>
    <w:rsid w:val="00936F95"/>
    <w:rsid w:val="009370FD"/>
    <w:rsid w:val="00937167"/>
    <w:rsid w:val="0093718C"/>
    <w:rsid w:val="00937330"/>
    <w:rsid w:val="009374F2"/>
    <w:rsid w:val="009375F7"/>
    <w:rsid w:val="00937624"/>
    <w:rsid w:val="00937666"/>
    <w:rsid w:val="009376D4"/>
    <w:rsid w:val="009377A2"/>
    <w:rsid w:val="0093783E"/>
    <w:rsid w:val="009378BA"/>
    <w:rsid w:val="00937C53"/>
    <w:rsid w:val="00937C7F"/>
    <w:rsid w:val="00937EE4"/>
    <w:rsid w:val="00937F0B"/>
    <w:rsid w:val="00937F43"/>
    <w:rsid w:val="009400F0"/>
    <w:rsid w:val="009403BE"/>
    <w:rsid w:val="00940534"/>
    <w:rsid w:val="009408A6"/>
    <w:rsid w:val="009409F7"/>
    <w:rsid w:val="00940A10"/>
    <w:rsid w:val="00940AB5"/>
    <w:rsid w:val="00940ACD"/>
    <w:rsid w:val="00940CDC"/>
    <w:rsid w:val="00940D2F"/>
    <w:rsid w:val="00940E2C"/>
    <w:rsid w:val="00941022"/>
    <w:rsid w:val="00941177"/>
    <w:rsid w:val="009411A3"/>
    <w:rsid w:val="009411D1"/>
    <w:rsid w:val="00941584"/>
    <w:rsid w:val="009416D5"/>
    <w:rsid w:val="009419EA"/>
    <w:rsid w:val="00941A35"/>
    <w:rsid w:val="00941ADC"/>
    <w:rsid w:val="00941BB2"/>
    <w:rsid w:val="00941F79"/>
    <w:rsid w:val="00941F81"/>
    <w:rsid w:val="00942249"/>
    <w:rsid w:val="0094231D"/>
    <w:rsid w:val="00942340"/>
    <w:rsid w:val="00942876"/>
    <w:rsid w:val="00942B6E"/>
    <w:rsid w:val="00942BE5"/>
    <w:rsid w:val="00942D45"/>
    <w:rsid w:val="0094321F"/>
    <w:rsid w:val="00943436"/>
    <w:rsid w:val="0094343F"/>
    <w:rsid w:val="0094345F"/>
    <w:rsid w:val="00943511"/>
    <w:rsid w:val="0094360F"/>
    <w:rsid w:val="009436CE"/>
    <w:rsid w:val="0094395C"/>
    <w:rsid w:val="00943CB9"/>
    <w:rsid w:val="00943E7F"/>
    <w:rsid w:val="00943E82"/>
    <w:rsid w:val="00943ED1"/>
    <w:rsid w:val="00943EFD"/>
    <w:rsid w:val="00943F18"/>
    <w:rsid w:val="0094400D"/>
    <w:rsid w:val="00944245"/>
    <w:rsid w:val="0094439D"/>
    <w:rsid w:val="009443F9"/>
    <w:rsid w:val="00944411"/>
    <w:rsid w:val="009444AD"/>
    <w:rsid w:val="0094461B"/>
    <w:rsid w:val="0094466F"/>
    <w:rsid w:val="0094476C"/>
    <w:rsid w:val="009447C0"/>
    <w:rsid w:val="0094486C"/>
    <w:rsid w:val="00944959"/>
    <w:rsid w:val="00944C4C"/>
    <w:rsid w:val="00944E6C"/>
    <w:rsid w:val="00944E8D"/>
    <w:rsid w:val="00944FE4"/>
    <w:rsid w:val="00945006"/>
    <w:rsid w:val="0094519A"/>
    <w:rsid w:val="00945368"/>
    <w:rsid w:val="009453B8"/>
    <w:rsid w:val="00945513"/>
    <w:rsid w:val="00945517"/>
    <w:rsid w:val="00945787"/>
    <w:rsid w:val="009458AA"/>
    <w:rsid w:val="00945BFA"/>
    <w:rsid w:val="00945E86"/>
    <w:rsid w:val="00945FA9"/>
    <w:rsid w:val="00946085"/>
    <w:rsid w:val="009463A8"/>
    <w:rsid w:val="00946510"/>
    <w:rsid w:val="00946627"/>
    <w:rsid w:val="00946674"/>
    <w:rsid w:val="00946738"/>
    <w:rsid w:val="00946B1B"/>
    <w:rsid w:val="00946B82"/>
    <w:rsid w:val="00946CBB"/>
    <w:rsid w:val="00946E18"/>
    <w:rsid w:val="00946EC0"/>
    <w:rsid w:val="00946ED6"/>
    <w:rsid w:val="009470AF"/>
    <w:rsid w:val="00947225"/>
    <w:rsid w:val="00947237"/>
    <w:rsid w:val="00947286"/>
    <w:rsid w:val="00947471"/>
    <w:rsid w:val="00947724"/>
    <w:rsid w:val="00947766"/>
    <w:rsid w:val="00947866"/>
    <w:rsid w:val="009479A7"/>
    <w:rsid w:val="00947A51"/>
    <w:rsid w:val="00947D96"/>
    <w:rsid w:val="0095006E"/>
    <w:rsid w:val="009501C6"/>
    <w:rsid w:val="00950362"/>
    <w:rsid w:val="00950511"/>
    <w:rsid w:val="00950591"/>
    <w:rsid w:val="009505EB"/>
    <w:rsid w:val="0095065D"/>
    <w:rsid w:val="009508D7"/>
    <w:rsid w:val="009509AD"/>
    <w:rsid w:val="00950AAB"/>
    <w:rsid w:val="00950D53"/>
    <w:rsid w:val="00950E6C"/>
    <w:rsid w:val="00951310"/>
    <w:rsid w:val="0095140A"/>
    <w:rsid w:val="009516A7"/>
    <w:rsid w:val="009517CD"/>
    <w:rsid w:val="00951998"/>
    <w:rsid w:val="00951A4B"/>
    <w:rsid w:val="00951ADC"/>
    <w:rsid w:val="00951B9F"/>
    <w:rsid w:val="00951BAB"/>
    <w:rsid w:val="00951C9B"/>
    <w:rsid w:val="00951E18"/>
    <w:rsid w:val="00951F4E"/>
    <w:rsid w:val="00951F8D"/>
    <w:rsid w:val="009520B2"/>
    <w:rsid w:val="00952530"/>
    <w:rsid w:val="009527C7"/>
    <w:rsid w:val="00952831"/>
    <w:rsid w:val="009529AC"/>
    <w:rsid w:val="00952C9B"/>
    <w:rsid w:val="00952F19"/>
    <w:rsid w:val="009531AA"/>
    <w:rsid w:val="0095354E"/>
    <w:rsid w:val="00953744"/>
    <w:rsid w:val="009537FC"/>
    <w:rsid w:val="00953AAE"/>
    <w:rsid w:val="00953DA4"/>
    <w:rsid w:val="0095410F"/>
    <w:rsid w:val="009541D9"/>
    <w:rsid w:val="0095437F"/>
    <w:rsid w:val="0095441E"/>
    <w:rsid w:val="0095442C"/>
    <w:rsid w:val="00954436"/>
    <w:rsid w:val="009544AC"/>
    <w:rsid w:val="00954515"/>
    <w:rsid w:val="009546DA"/>
    <w:rsid w:val="009549DE"/>
    <w:rsid w:val="00954B01"/>
    <w:rsid w:val="00954BF7"/>
    <w:rsid w:val="00954F38"/>
    <w:rsid w:val="0095500A"/>
    <w:rsid w:val="0095522F"/>
    <w:rsid w:val="0095527A"/>
    <w:rsid w:val="009553DB"/>
    <w:rsid w:val="0095546C"/>
    <w:rsid w:val="009554DE"/>
    <w:rsid w:val="009555A1"/>
    <w:rsid w:val="009557AF"/>
    <w:rsid w:val="009558DD"/>
    <w:rsid w:val="00955A43"/>
    <w:rsid w:val="00955B47"/>
    <w:rsid w:val="00955C44"/>
    <w:rsid w:val="00955D9B"/>
    <w:rsid w:val="00955F1B"/>
    <w:rsid w:val="00956010"/>
    <w:rsid w:val="009561E3"/>
    <w:rsid w:val="0095630F"/>
    <w:rsid w:val="009563F9"/>
    <w:rsid w:val="0095640C"/>
    <w:rsid w:val="00956415"/>
    <w:rsid w:val="009564C5"/>
    <w:rsid w:val="009565AD"/>
    <w:rsid w:val="009565EF"/>
    <w:rsid w:val="00956753"/>
    <w:rsid w:val="0095696F"/>
    <w:rsid w:val="00956B07"/>
    <w:rsid w:val="00956BA3"/>
    <w:rsid w:val="00956D09"/>
    <w:rsid w:val="00956DA1"/>
    <w:rsid w:val="00956FD7"/>
    <w:rsid w:val="00957257"/>
    <w:rsid w:val="00957374"/>
    <w:rsid w:val="0095744B"/>
    <w:rsid w:val="00957471"/>
    <w:rsid w:val="0095767F"/>
    <w:rsid w:val="00957A70"/>
    <w:rsid w:val="00957ED8"/>
    <w:rsid w:val="00957F06"/>
    <w:rsid w:val="00957F3F"/>
    <w:rsid w:val="00960430"/>
    <w:rsid w:val="00960567"/>
    <w:rsid w:val="00960A3E"/>
    <w:rsid w:val="00960A7E"/>
    <w:rsid w:val="00960B5B"/>
    <w:rsid w:val="00960C4A"/>
    <w:rsid w:val="00960D53"/>
    <w:rsid w:val="00961080"/>
    <w:rsid w:val="00961099"/>
    <w:rsid w:val="00961415"/>
    <w:rsid w:val="009617E7"/>
    <w:rsid w:val="009618F4"/>
    <w:rsid w:val="00961913"/>
    <w:rsid w:val="00961954"/>
    <w:rsid w:val="00961B5C"/>
    <w:rsid w:val="00961BCB"/>
    <w:rsid w:val="00961C8A"/>
    <w:rsid w:val="0096201C"/>
    <w:rsid w:val="00962039"/>
    <w:rsid w:val="009621EE"/>
    <w:rsid w:val="009623E0"/>
    <w:rsid w:val="009624AE"/>
    <w:rsid w:val="009624D7"/>
    <w:rsid w:val="00962582"/>
    <w:rsid w:val="00962635"/>
    <w:rsid w:val="0096285C"/>
    <w:rsid w:val="00962942"/>
    <w:rsid w:val="00962B57"/>
    <w:rsid w:val="00962B71"/>
    <w:rsid w:val="00962B84"/>
    <w:rsid w:val="00962C4D"/>
    <w:rsid w:val="00962CEF"/>
    <w:rsid w:val="00963047"/>
    <w:rsid w:val="0096305E"/>
    <w:rsid w:val="00963198"/>
    <w:rsid w:val="0096319B"/>
    <w:rsid w:val="0096320C"/>
    <w:rsid w:val="0096341D"/>
    <w:rsid w:val="009635AF"/>
    <w:rsid w:val="00963768"/>
    <w:rsid w:val="009637DD"/>
    <w:rsid w:val="009639B0"/>
    <w:rsid w:val="009639DD"/>
    <w:rsid w:val="00963C80"/>
    <w:rsid w:val="00963D32"/>
    <w:rsid w:val="00963D8D"/>
    <w:rsid w:val="0096410F"/>
    <w:rsid w:val="009641F5"/>
    <w:rsid w:val="00964413"/>
    <w:rsid w:val="00964560"/>
    <w:rsid w:val="00964565"/>
    <w:rsid w:val="00964929"/>
    <w:rsid w:val="00964C62"/>
    <w:rsid w:val="00964D05"/>
    <w:rsid w:val="00964F71"/>
    <w:rsid w:val="00965079"/>
    <w:rsid w:val="00965300"/>
    <w:rsid w:val="00965318"/>
    <w:rsid w:val="0096532E"/>
    <w:rsid w:val="00965510"/>
    <w:rsid w:val="00965692"/>
    <w:rsid w:val="00965833"/>
    <w:rsid w:val="009658EB"/>
    <w:rsid w:val="00965A69"/>
    <w:rsid w:val="00965B30"/>
    <w:rsid w:val="00965C82"/>
    <w:rsid w:val="00965CE7"/>
    <w:rsid w:val="00965D6F"/>
    <w:rsid w:val="00966256"/>
    <w:rsid w:val="009664EE"/>
    <w:rsid w:val="0096678C"/>
    <w:rsid w:val="009667C9"/>
    <w:rsid w:val="00966852"/>
    <w:rsid w:val="00966933"/>
    <w:rsid w:val="009669D8"/>
    <w:rsid w:val="009669FC"/>
    <w:rsid w:val="00966A94"/>
    <w:rsid w:val="00966C04"/>
    <w:rsid w:val="00966C42"/>
    <w:rsid w:val="00966F61"/>
    <w:rsid w:val="00967119"/>
    <w:rsid w:val="0096737A"/>
    <w:rsid w:val="009675C9"/>
    <w:rsid w:val="009675D0"/>
    <w:rsid w:val="0096772C"/>
    <w:rsid w:val="009678BE"/>
    <w:rsid w:val="00967BAF"/>
    <w:rsid w:val="00967C19"/>
    <w:rsid w:val="00967DE5"/>
    <w:rsid w:val="0097023A"/>
    <w:rsid w:val="00970361"/>
    <w:rsid w:val="009707EC"/>
    <w:rsid w:val="00970909"/>
    <w:rsid w:val="00970B2E"/>
    <w:rsid w:val="00970C9D"/>
    <w:rsid w:val="00970EE2"/>
    <w:rsid w:val="00970F2E"/>
    <w:rsid w:val="00970FAD"/>
    <w:rsid w:val="00971186"/>
    <w:rsid w:val="00971235"/>
    <w:rsid w:val="009712FA"/>
    <w:rsid w:val="00971455"/>
    <w:rsid w:val="009714F3"/>
    <w:rsid w:val="00971740"/>
    <w:rsid w:val="00971917"/>
    <w:rsid w:val="00971A5A"/>
    <w:rsid w:val="00971C05"/>
    <w:rsid w:val="00971C1D"/>
    <w:rsid w:val="00971D8F"/>
    <w:rsid w:val="00971F0E"/>
    <w:rsid w:val="0097222D"/>
    <w:rsid w:val="009722DD"/>
    <w:rsid w:val="009725D1"/>
    <w:rsid w:val="0097260A"/>
    <w:rsid w:val="009726D0"/>
    <w:rsid w:val="00972A88"/>
    <w:rsid w:val="00972B00"/>
    <w:rsid w:val="00972B71"/>
    <w:rsid w:val="00972C11"/>
    <w:rsid w:val="00972C43"/>
    <w:rsid w:val="0097302D"/>
    <w:rsid w:val="009730CF"/>
    <w:rsid w:val="009732EB"/>
    <w:rsid w:val="00973395"/>
    <w:rsid w:val="00973476"/>
    <w:rsid w:val="00973478"/>
    <w:rsid w:val="009738F2"/>
    <w:rsid w:val="00973A5A"/>
    <w:rsid w:val="00973C94"/>
    <w:rsid w:val="00973EED"/>
    <w:rsid w:val="0097417E"/>
    <w:rsid w:val="0097463D"/>
    <w:rsid w:val="0097472C"/>
    <w:rsid w:val="00974871"/>
    <w:rsid w:val="00974A9A"/>
    <w:rsid w:val="00974BC2"/>
    <w:rsid w:val="00974CB9"/>
    <w:rsid w:val="00974FF1"/>
    <w:rsid w:val="009751ED"/>
    <w:rsid w:val="00975253"/>
    <w:rsid w:val="00975319"/>
    <w:rsid w:val="009753F4"/>
    <w:rsid w:val="009755A2"/>
    <w:rsid w:val="009757DF"/>
    <w:rsid w:val="00975908"/>
    <w:rsid w:val="00975937"/>
    <w:rsid w:val="00975A0F"/>
    <w:rsid w:val="00975A2D"/>
    <w:rsid w:val="00975CE2"/>
    <w:rsid w:val="00975E25"/>
    <w:rsid w:val="00976098"/>
    <w:rsid w:val="009761C4"/>
    <w:rsid w:val="00976276"/>
    <w:rsid w:val="009763C4"/>
    <w:rsid w:val="00976547"/>
    <w:rsid w:val="009766ED"/>
    <w:rsid w:val="00976A43"/>
    <w:rsid w:val="00976BA7"/>
    <w:rsid w:val="00976DFA"/>
    <w:rsid w:val="0097700D"/>
    <w:rsid w:val="0097709B"/>
    <w:rsid w:val="009770D0"/>
    <w:rsid w:val="009770DF"/>
    <w:rsid w:val="009772E9"/>
    <w:rsid w:val="0097737E"/>
    <w:rsid w:val="00977453"/>
    <w:rsid w:val="0097749F"/>
    <w:rsid w:val="00977698"/>
    <w:rsid w:val="00977717"/>
    <w:rsid w:val="00977925"/>
    <w:rsid w:val="0097796D"/>
    <w:rsid w:val="00977A3C"/>
    <w:rsid w:val="00977AD2"/>
    <w:rsid w:val="00977C25"/>
    <w:rsid w:val="00977D09"/>
    <w:rsid w:val="00977DE8"/>
    <w:rsid w:val="00977F2E"/>
    <w:rsid w:val="0098000A"/>
    <w:rsid w:val="0098008D"/>
    <w:rsid w:val="009800D8"/>
    <w:rsid w:val="009801A1"/>
    <w:rsid w:val="009801A7"/>
    <w:rsid w:val="00980356"/>
    <w:rsid w:val="009803B0"/>
    <w:rsid w:val="009803DB"/>
    <w:rsid w:val="00980469"/>
    <w:rsid w:val="009804FD"/>
    <w:rsid w:val="0098054D"/>
    <w:rsid w:val="009806E2"/>
    <w:rsid w:val="00980F6D"/>
    <w:rsid w:val="00980F7B"/>
    <w:rsid w:val="00981042"/>
    <w:rsid w:val="00981137"/>
    <w:rsid w:val="0098127E"/>
    <w:rsid w:val="009813E3"/>
    <w:rsid w:val="009816E3"/>
    <w:rsid w:val="00981727"/>
    <w:rsid w:val="00981833"/>
    <w:rsid w:val="00981A33"/>
    <w:rsid w:val="00981ABB"/>
    <w:rsid w:val="00981B09"/>
    <w:rsid w:val="00981B5A"/>
    <w:rsid w:val="00981B70"/>
    <w:rsid w:val="00981CD1"/>
    <w:rsid w:val="00981D1D"/>
    <w:rsid w:val="00981DC6"/>
    <w:rsid w:val="00982355"/>
    <w:rsid w:val="0098236F"/>
    <w:rsid w:val="009823E1"/>
    <w:rsid w:val="00982460"/>
    <w:rsid w:val="0098255C"/>
    <w:rsid w:val="00982688"/>
    <w:rsid w:val="00982B28"/>
    <w:rsid w:val="00982B3E"/>
    <w:rsid w:val="00982B55"/>
    <w:rsid w:val="00982B5F"/>
    <w:rsid w:val="00982D46"/>
    <w:rsid w:val="00982E3F"/>
    <w:rsid w:val="00982F71"/>
    <w:rsid w:val="00983126"/>
    <w:rsid w:val="009833DB"/>
    <w:rsid w:val="00983668"/>
    <w:rsid w:val="009838CD"/>
    <w:rsid w:val="009839C7"/>
    <w:rsid w:val="00983D27"/>
    <w:rsid w:val="00983F72"/>
    <w:rsid w:val="0098401D"/>
    <w:rsid w:val="00984067"/>
    <w:rsid w:val="009843A7"/>
    <w:rsid w:val="00984418"/>
    <w:rsid w:val="0098462E"/>
    <w:rsid w:val="00984780"/>
    <w:rsid w:val="00984C07"/>
    <w:rsid w:val="00984C9A"/>
    <w:rsid w:val="00985080"/>
    <w:rsid w:val="00985141"/>
    <w:rsid w:val="009855B4"/>
    <w:rsid w:val="009855CD"/>
    <w:rsid w:val="00985657"/>
    <w:rsid w:val="0098568F"/>
    <w:rsid w:val="00985792"/>
    <w:rsid w:val="009857CA"/>
    <w:rsid w:val="00985829"/>
    <w:rsid w:val="009858A5"/>
    <w:rsid w:val="00985A27"/>
    <w:rsid w:val="00985B64"/>
    <w:rsid w:val="00985C3D"/>
    <w:rsid w:val="00985C50"/>
    <w:rsid w:val="00985E2B"/>
    <w:rsid w:val="00985EF1"/>
    <w:rsid w:val="0098600B"/>
    <w:rsid w:val="00986015"/>
    <w:rsid w:val="0098610E"/>
    <w:rsid w:val="00986178"/>
    <w:rsid w:val="00986221"/>
    <w:rsid w:val="00986275"/>
    <w:rsid w:val="009862A9"/>
    <w:rsid w:val="009864E9"/>
    <w:rsid w:val="0098650A"/>
    <w:rsid w:val="009868FB"/>
    <w:rsid w:val="00986900"/>
    <w:rsid w:val="00986952"/>
    <w:rsid w:val="0098696F"/>
    <w:rsid w:val="009869C0"/>
    <w:rsid w:val="00986EAF"/>
    <w:rsid w:val="00986EFC"/>
    <w:rsid w:val="0098701C"/>
    <w:rsid w:val="00987212"/>
    <w:rsid w:val="00987283"/>
    <w:rsid w:val="00987329"/>
    <w:rsid w:val="009875BA"/>
    <w:rsid w:val="009877CF"/>
    <w:rsid w:val="00987850"/>
    <w:rsid w:val="00987884"/>
    <w:rsid w:val="009879CF"/>
    <w:rsid w:val="00987BEF"/>
    <w:rsid w:val="00987C80"/>
    <w:rsid w:val="00987E66"/>
    <w:rsid w:val="009901E8"/>
    <w:rsid w:val="009901FB"/>
    <w:rsid w:val="009902D7"/>
    <w:rsid w:val="0099037B"/>
    <w:rsid w:val="00990862"/>
    <w:rsid w:val="00990C23"/>
    <w:rsid w:val="00990CD9"/>
    <w:rsid w:val="00990F1D"/>
    <w:rsid w:val="00991176"/>
    <w:rsid w:val="0099132D"/>
    <w:rsid w:val="00991412"/>
    <w:rsid w:val="0099150F"/>
    <w:rsid w:val="00991554"/>
    <w:rsid w:val="00991592"/>
    <w:rsid w:val="009915D5"/>
    <w:rsid w:val="0099172E"/>
    <w:rsid w:val="009917A1"/>
    <w:rsid w:val="0099195A"/>
    <w:rsid w:val="00991BB5"/>
    <w:rsid w:val="00991BD3"/>
    <w:rsid w:val="00991D0B"/>
    <w:rsid w:val="00991D67"/>
    <w:rsid w:val="00991EE8"/>
    <w:rsid w:val="00991F20"/>
    <w:rsid w:val="009921D3"/>
    <w:rsid w:val="00992226"/>
    <w:rsid w:val="009922A8"/>
    <w:rsid w:val="00992400"/>
    <w:rsid w:val="00992540"/>
    <w:rsid w:val="00992578"/>
    <w:rsid w:val="00992646"/>
    <w:rsid w:val="00992885"/>
    <w:rsid w:val="00992922"/>
    <w:rsid w:val="0099295A"/>
    <w:rsid w:val="00992A0E"/>
    <w:rsid w:val="00992ED6"/>
    <w:rsid w:val="00993093"/>
    <w:rsid w:val="00993301"/>
    <w:rsid w:val="00993343"/>
    <w:rsid w:val="00993464"/>
    <w:rsid w:val="009936BC"/>
    <w:rsid w:val="009936D1"/>
    <w:rsid w:val="00993997"/>
    <w:rsid w:val="00993D7B"/>
    <w:rsid w:val="00993FB5"/>
    <w:rsid w:val="009943C3"/>
    <w:rsid w:val="009943FD"/>
    <w:rsid w:val="00994489"/>
    <w:rsid w:val="009946AF"/>
    <w:rsid w:val="00994764"/>
    <w:rsid w:val="0099494F"/>
    <w:rsid w:val="009950DF"/>
    <w:rsid w:val="009951A6"/>
    <w:rsid w:val="009952F8"/>
    <w:rsid w:val="00995384"/>
    <w:rsid w:val="009956F5"/>
    <w:rsid w:val="00995993"/>
    <w:rsid w:val="00995CE9"/>
    <w:rsid w:val="00995E6E"/>
    <w:rsid w:val="00995E7D"/>
    <w:rsid w:val="00995F9C"/>
    <w:rsid w:val="009961FB"/>
    <w:rsid w:val="00996296"/>
    <w:rsid w:val="00996337"/>
    <w:rsid w:val="00996339"/>
    <w:rsid w:val="009963E8"/>
    <w:rsid w:val="00996469"/>
    <w:rsid w:val="00996566"/>
    <w:rsid w:val="009965B8"/>
    <w:rsid w:val="0099692F"/>
    <w:rsid w:val="0099693B"/>
    <w:rsid w:val="00996960"/>
    <w:rsid w:val="00996A1F"/>
    <w:rsid w:val="00996C07"/>
    <w:rsid w:val="00996CA7"/>
    <w:rsid w:val="0099708C"/>
    <w:rsid w:val="00997159"/>
    <w:rsid w:val="00997256"/>
    <w:rsid w:val="0099758D"/>
    <w:rsid w:val="00997607"/>
    <w:rsid w:val="0099766C"/>
    <w:rsid w:val="009976C6"/>
    <w:rsid w:val="00997753"/>
    <w:rsid w:val="0099783A"/>
    <w:rsid w:val="009978D6"/>
    <w:rsid w:val="00997AD7"/>
    <w:rsid w:val="00997AE8"/>
    <w:rsid w:val="009A005C"/>
    <w:rsid w:val="009A022A"/>
    <w:rsid w:val="009A052F"/>
    <w:rsid w:val="009A0768"/>
    <w:rsid w:val="009A07FC"/>
    <w:rsid w:val="009A0C8D"/>
    <w:rsid w:val="009A0E4F"/>
    <w:rsid w:val="009A0EE8"/>
    <w:rsid w:val="009A109F"/>
    <w:rsid w:val="009A1272"/>
    <w:rsid w:val="009A127C"/>
    <w:rsid w:val="009A12DC"/>
    <w:rsid w:val="009A1337"/>
    <w:rsid w:val="009A167F"/>
    <w:rsid w:val="009A1719"/>
    <w:rsid w:val="009A177C"/>
    <w:rsid w:val="009A196C"/>
    <w:rsid w:val="009A1A7B"/>
    <w:rsid w:val="009A1B6A"/>
    <w:rsid w:val="009A1C64"/>
    <w:rsid w:val="009A1D4E"/>
    <w:rsid w:val="009A1DA3"/>
    <w:rsid w:val="009A1E1E"/>
    <w:rsid w:val="009A2082"/>
    <w:rsid w:val="009A248E"/>
    <w:rsid w:val="009A25E3"/>
    <w:rsid w:val="009A2B9A"/>
    <w:rsid w:val="009A2BFC"/>
    <w:rsid w:val="009A31C0"/>
    <w:rsid w:val="009A33D0"/>
    <w:rsid w:val="009A3400"/>
    <w:rsid w:val="009A34CB"/>
    <w:rsid w:val="009A34D6"/>
    <w:rsid w:val="009A3508"/>
    <w:rsid w:val="009A3605"/>
    <w:rsid w:val="009A364A"/>
    <w:rsid w:val="009A372E"/>
    <w:rsid w:val="009A3936"/>
    <w:rsid w:val="009A3949"/>
    <w:rsid w:val="009A3AD6"/>
    <w:rsid w:val="009A3B57"/>
    <w:rsid w:val="009A3EB5"/>
    <w:rsid w:val="009A4216"/>
    <w:rsid w:val="009A42FF"/>
    <w:rsid w:val="009A438C"/>
    <w:rsid w:val="009A462D"/>
    <w:rsid w:val="009A46C5"/>
    <w:rsid w:val="009A47FC"/>
    <w:rsid w:val="009A4804"/>
    <w:rsid w:val="009A48E1"/>
    <w:rsid w:val="009A4928"/>
    <w:rsid w:val="009A49E5"/>
    <w:rsid w:val="009A4C29"/>
    <w:rsid w:val="009A4D9A"/>
    <w:rsid w:val="009A4EB2"/>
    <w:rsid w:val="009A4FC5"/>
    <w:rsid w:val="009A5286"/>
    <w:rsid w:val="009A54EE"/>
    <w:rsid w:val="009A5515"/>
    <w:rsid w:val="009A5646"/>
    <w:rsid w:val="009A581F"/>
    <w:rsid w:val="009A59EA"/>
    <w:rsid w:val="009A5A56"/>
    <w:rsid w:val="009A5BEA"/>
    <w:rsid w:val="009A5C60"/>
    <w:rsid w:val="009A5E78"/>
    <w:rsid w:val="009A6175"/>
    <w:rsid w:val="009A666D"/>
    <w:rsid w:val="009A6C19"/>
    <w:rsid w:val="009A6C99"/>
    <w:rsid w:val="009A6F50"/>
    <w:rsid w:val="009A6F9F"/>
    <w:rsid w:val="009A6FB1"/>
    <w:rsid w:val="009A6FFC"/>
    <w:rsid w:val="009A7727"/>
    <w:rsid w:val="009A7784"/>
    <w:rsid w:val="009A77E7"/>
    <w:rsid w:val="009A793E"/>
    <w:rsid w:val="009A7AC9"/>
    <w:rsid w:val="009A7C27"/>
    <w:rsid w:val="009A7CB9"/>
    <w:rsid w:val="009A7D2B"/>
    <w:rsid w:val="009A7E2A"/>
    <w:rsid w:val="009A7ED1"/>
    <w:rsid w:val="009B021A"/>
    <w:rsid w:val="009B025A"/>
    <w:rsid w:val="009B028D"/>
    <w:rsid w:val="009B03CF"/>
    <w:rsid w:val="009B04BE"/>
    <w:rsid w:val="009B0632"/>
    <w:rsid w:val="009B065A"/>
    <w:rsid w:val="009B07F2"/>
    <w:rsid w:val="009B08FD"/>
    <w:rsid w:val="009B0996"/>
    <w:rsid w:val="009B0A2A"/>
    <w:rsid w:val="009B0B08"/>
    <w:rsid w:val="009B0BA2"/>
    <w:rsid w:val="009B0C07"/>
    <w:rsid w:val="009B0C28"/>
    <w:rsid w:val="009B0D2D"/>
    <w:rsid w:val="009B0DB8"/>
    <w:rsid w:val="009B0DC3"/>
    <w:rsid w:val="009B0E37"/>
    <w:rsid w:val="009B0F13"/>
    <w:rsid w:val="009B1089"/>
    <w:rsid w:val="009B1145"/>
    <w:rsid w:val="009B19AB"/>
    <w:rsid w:val="009B19B7"/>
    <w:rsid w:val="009B1A5E"/>
    <w:rsid w:val="009B1B2A"/>
    <w:rsid w:val="009B1D0E"/>
    <w:rsid w:val="009B1F0A"/>
    <w:rsid w:val="009B1F38"/>
    <w:rsid w:val="009B2279"/>
    <w:rsid w:val="009B2289"/>
    <w:rsid w:val="009B2404"/>
    <w:rsid w:val="009B24EF"/>
    <w:rsid w:val="009B2549"/>
    <w:rsid w:val="009B27C5"/>
    <w:rsid w:val="009B2A65"/>
    <w:rsid w:val="009B2C45"/>
    <w:rsid w:val="009B2CB8"/>
    <w:rsid w:val="009B2D95"/>
    <w:rsid w:val="009B2E42"/>
    <w:rsid w:val="009B2F59"/>
    <w:rsid w:val="009B2F6A"/>
    <w:rsid w:val="009B3016"/>
    <w:rsid w:val="009B330A"/>
    <w:rsid w:val="009B338F"/>
    <w:rsid w:val="009B3668"/>
    <w:rsid w:val="009B373B"/>
    <w:rsid w:val="009B374A"/>
    <w:rsid w:val="009B3769"/>
    <w:rsid w:val="009B37F4"/>
    <w:rsid w:val="009B380F"/>
    <w:rsid w:val="009B3E6A"/>
    <w:rsid w:val="009B3F1D"/>
    <w:rsid w:val="009B3F40"/>
    <w:rsid w:val="009B3F7D"/>
    <w:rsid w:val="009B422F"/>
    <w:rsid w:val="009B427D"/>
    <w:rsid w:val="009B43DB"/>
    <w:rsid w:val="009B44E0"/>
    <w:rsid w:val="009B4583"/>
    <w:rsid w:val="009B4A59"/>
    <w:rsid w:val="009B4A87"/>
    <w:rsid w:val="009B4D23"/>
    <w:rsid w:val="009B4F30"/>
    <w:rsid w:val="009B5792"/>
    <w:rsid w:val="009B5BA5"/>
    <w:rsid w:val="009B5BAD"/>
    <w:rsid w:val="009B5BD7"/>
    <w:rsid w:val="009B5D18"/>
    <w:rsid w:val="009B5FA7"/>
    <w:rsid w:val="009B602F"/>
    <w:rsid w:val="009B60DC"/>
    <w:rsid w:val="009B6136"/>
    <w:rsid w:val="009B6618"/>
    <w:rsid w:val="009B66EA"/>
    <w:rsid w:val="009B677B"/>
    <w:rsid w:val="009B696B"/>
    <w:rsid w:val="009B6A68"/>
    <w:rsid w:val="009B6E3D"/>
    <w:rsid w:val="009B70CC"/>
    <w:rsid w:val="009B724D"/>
    <w:rsid w:val="009B7279"/>
    <w:rsid w:val="009B74B9"/>
    <w:rsid w:val="009B75BF"/>
    <w:rsid w:val="009B76B9"/>
    <w:rsid w:val="009B77B2"/>
    <w:rsid w:val="009B7A05"/>
    <w:rsid w:val="009B7C52"/>
    <w:rsid w:val="009B7CD0"/>
    <w:rsid w:val="009B7D2C"/>
    <w:rsid w:val="009B7E55"/>
    <w:rsid w:val="009B7F53"/>
    <w:rsid w:val="009C00B1"/>
    <w:rsid w:val="009C022A"/>
    <w:rsid w:val="009C02D0"/>
    <w:rsid w:val="009C0381"/>
    <w:rsid w:val="009C0396"/>
    <w:rsid w:val="009C0625"/>
    <w:rsid w:val="009C0697"/>
    <w:rsid w:val="009C0751"/>
    <w:rsid w:val="009C0B93"/>
    <w:rsid w:val="009C0B9E"/>
    <w:rsid w:val="009C0C50"/>
    <w:rsid w:val="009C0ECB"/>
    <w:rsid w:val="009C1113"/>
    <w:rsid w:val="009C1277"/>
    <w:rsid w:val="009C1370"/>
    <w:rsid w:val="009C13C7"/>
    <w:rsid w:val="009C1503"/>
    <w:rsid w:val="009C161F"/>
    <w:rsid w:val="009C166C"/>
    <w:rsid w:val="009C1763"/>
    <w:rsid w:val="009C19E5"/>
    <w:rsid w:val="009C1AF5"/>
    <w:rsid w:val="009C1B2C"/>
    <w:rsid w:val="009C1CB1"/>
    <w:rsid w:val="009C1CB4"/>
    <w:rsid w:val="009C1DE3"/>
    <w:rsid w:val="009C1F2D"/>
    <w:rsid w:val="009C1F72"/>
    <w:rsid w:val="009C2037"/>
    <w:rsid w:val="009C2139"/>
    <w:rsid w:val="009C2191"/>
    <w:rsid w:val="009C26E6"/>
    <w:rsid w:val="009C27C8"/>
    <w:rsid w:val="009C2992"/>
    <w:rsid w:val="009C2994"/>
    <w:rsid w:val="009C2A95"/>
    <w:rsid w:val="009C2AFC"/>
    <w:rsid w:val="009C2C3F"/>
    <w:rsid w:val="009C2C56"/>
    <w:rsid w:val="009C2D7A"/>
    <w:rsid w:val="009C2D98"/>
    <w:rsid w:val="009C2F6C"/>
    <w:rsid w:val="009C3165"/>
    <w:rsid w:val="009C3391"/>
    <w:rsid w:val="009C3419"/>
    <w:rsid w:val="009C3612"/>
    <w:rsid w:val="009C3819"/>
    <w:rsid w:val="009C38C7"/>
    <w:rsid w:val="009C3960"/>
    <w:rsid w:val="009C3A2E"/>
    <w:rsid w:val="009C3C2D"/>
    <w:rsid w:val="009C3C49"/>
    <w:rsid w:val="009C3FB6"/>
    <w:rsid w:val="009C4022"/>
    <w:rsid w:val="009C422A"/>
    <w:rsid w:val="009C4441"/>
    <w:rsid w:val="009C446C"/>
    <w:rsid w:val="009C45E7"/>
    <w:rsid w:val="009C46B3"/>
    <w:rsid w:val="009C4D0B"/>
    <w:rsid w:val="009C4D9F"/>
    <w:rsid w:val="009C4DE0"/>
    <w:rsid w:val="009C4DE7"/>
    <w:rsid w:val="009C4E0E"/>
    <w:rsid w:val="009C4F66"/>
    <w:rsid w:val="009C5289"/>
    <w:rsid w:val="009C53E6"/>
    <w:rsid w:val="009C542F"/>
    <w:rsid w:val="009C54E8"/>
    <w:rsid w:val="009C5619"/>
    <w:rsid w:val="009C561A"/>
    <w:rsid w:val="009C56E1"/>
    <w:rsid w:val="009C5832"/>
    <w:rsid w:val="009C596F"/>
    <w:rsid w:val="009C5BAA"/>
    <w:rsid w:val="009C5C9A"/>
    <w:rsid w:val="009C5D2C"/>
    <w:rsid w:val="009C5E68"/>
    <w:rsid w:val="009C5F11"/>
    <w:rsid w:val="009C6125"/>
    <w:rsid w:val="009C634A"/>
    <w:rsid w:val="009C636D"/>
    <w:rsid w:val="009C6434"/>
    <w:rsid w:val="009C66C2"/>
    <w:rsid w:val="009C66F1"/>
    <w:rsid w:val="009C6851"/>
    <w:rsid w:val="009C68BE"/>
    <w:rsid w:val="009C69B7"/>
    <w:rsid w:val="009C6A8E"/>
    <w:rsid w:val="009C6C58"/>
    <w:rsid w:val="009C6D1C"/>
    <w:rsid w:val="009C6E13"/>
    <w:rsid w:val="009C70E7"/>
    <w:rsid w:val="009C72B7"/>
    <w:rsid w:val="009C7589"/>
    <w:rsid w:val="009C77DC"/>
    <w:rsid w:val="009C7802"/>
    <w:rsid w:val="009C78F3"/>
    <w:rsid w:val="009C7925"/>
    <w:rsid w:val="009C79FA"/>
    <w:rsid w:val="009C7B53"/>
    <w:rsid w:val="009C7C90"/>
    <w:rsid w:val="009C7D6D"/>
    <w:rsid w:val="009C7EE4"/>
    <w:rsid w:val="009D0021"/>
    <w:rsid w:val="009D004F"/>
    <w:rsid w:val="009D04C0"/>
    <w:rsid w:val="009D082A"/>
    <w:rsid w:val="009D0C81"/>
    <w:rsid w:val="009D0F28"/>
    <w:rsid w:val="009D11C1"/>
    <w:rsid w:val="009D12A9"/>
    <w:rsid w:val="009D12CA"/>
    <w:rsid w:val="009D130B"/>
    <w:rsid w:val="009D136B"/>
    <w:rsid w:val="009D15CF"/>
    <w:rsid w:val="009D1664"/>
    <w:rsid w:val="009D18B5"/>
    <w:rsid w:val="009D1C21"/>
    <w:rsid w:val="009D1D94"/>
    <w:rsid w:val="009D1E22"/>
    <w:rsid w:val="009D1F1A"/>
    <w:rsid w:val="009D2176"/>
    <w:rsid w:val="009D21B2"/>
    <w:rsid w:val="009D24F2"/>
    <w:rsid w:val="009D2535"/>
    <w:rsid w:val="009D2687"/>
    <w:rsid w:val="009D26C4"/>
    <w:rsid w:val="009D2A8C"/>
    <w:rsid w:val="009D2BD7"/>
    <w:rsid w:val="009D2D06"/>
    <w:rsid w:val="009D2E37"/>
    <w:rsid w:val="009D2E71"/>
    <w:rsid w:val="009D3136"/>
    <w:rsid w:val="009D3576"/>
    <w:rsid w:val="009D3644"/>
    <w:rsid w:val="009D36E0"/>
    <w:rsid w:val="009D3739"/>
    <w:rsid w:val="009D39DF"/>
    <w:rsid w:val="009D3A23"/>
    <w:rsid w:val="009D43B2"/>
    <w:rsid w:val="009D46C5"/>
    <w:rsid w:val="009D47C9"/>
    <w:rsid w:val="009D48AF"/>
    <w:rsid w:val="009D4A44"/>
    <w:rsid w:val="009D4B39"/>
    <w:rsid w:val="009D4B6A"/>
    <w:rsid w:val="009D4C95"/>
    <w:rsid w:val="009D4E03"/>
    <w:rsid w:val="009D4F6D"/>
    <w:rsid w:val="009D4FF5"/>
    <w:rsid w:val="009D506E"/>
    <w:rsid w:val="009D5162"/>
    <w:rsid w:val="009D53E3"/>
    <w:rsid w:val="009D54E6"/>
    <w:rsid w:val="009D5688"/>
    <w:rsid w:val="009D56A9"/>
    <w:rsid w:val="009D57D1"/>
    <w:rsid w:val="009D5985"/>
    <w:rsid w:val="009D5B7D"/>
    <w:rsid w:val="009D5C65"/>
    <w:rsid w:val="009D5C8D"/>
    <w:rsid w:val="009D5E70"/>
    <w:rsid w:val="009D64B3"/>
    <w:rsid w:val="009D655B"/>
    <w:rsid w:val="009D675D"/>
    <w:rsid w:val="009D683C"/>
    <w:rsid w:val="009D6A51"/>
    <w:rsid w:val="009D6DFD"/>
    <w:rsid w:val="009D6F6E"/>
    <w:rsid w:val="009D6FBD"/>
    <w:rsid w:val="009D6FBE"/>
    <w:rsid w:val="009D7182"/>
    <w:rsid w:val="009D74CB"/>
    <w:rsid w:val="009D756A"/>
    <w:rsid w:val="009D77B3"/>
    <w:rsid w:val="009D77C7"/>
    <w:rsid w:val="009D77DF"/>
    <w:rsid w:val="009D78D8"/>
    <w:rsid w:val="009E0044"/>
    <w:rsid w:val="009E0391"/>
    <w:rsid w:val="009E043E"/>
    <w:rsid w:val="009E0671"/>
    <w:rsid w:val="009E0886"/>
    <w:rsid w:val="009E0B25"/>
    <w:rsid w:val="009E0B57"/>
    <w:rsid w:val="009E0E7B"/>
    <w:rsid w:val="009E1041"/>
    <w:rsid w:val="009E1125"/>
    <w:rsid w:val="009E114E"/>
    <w:rsid w:val="009E117F"/>
    <w:rsid w:val="009E122E"/>
    <w:rsid w:val="009E13DA"/>
    <w:rsid w:val="009E164A"/>
    <w:rsid w:val="009E1755"/>
    <w:rsid w:val="009E19B5"/>
    <w:rsid w:val="009E1A2E"/>
    <w:rsid w:val="009E1B75"/>
    <w:rsid w:val="009E1C84"/>
    <w:rsid w:val="009E1C91"/>
    <w:rsid w:val="009E1EB4"/>
    <w:rsid w:val="009E1F9A"/>
    <w:rsid w:val="009E202D"/>
    <w:rsid w:val="009E2173"/>
    <w:rsid w:val="009E21FD"/>
    <w:rsid w:val="009E2347"/>
    <w:rsid w:val="009E2396"/>
    <w:rsid w:val="009E23A3"/>
    <w:rsid w:val="009E2475"/>
    <w:rsid w:val="009E260F"/>
    <w:rsid w:val="009E274D"/>
    <w:rsid w:val="009E2770"/>
    <w:rsid w:val="009E2790"/>
    <w:rsid w:val="009E2962"/>
    <w:rsid w:val="009E2A6A"/>
    <w:rsid w:val="009E2C4E"/>
    <w:rsid w:val="009E2CC3"/>
    <w:rsid w:val="009E2D3F"/>
    <w:rsid w:val="009E2EA5"/>
    <w:rsid w:val="009E2EBE"/>
    <w:rsid w:val="009E2FA7"/>
    <w:rsid w:val="009E3035"/>
    <w:rsid w:val="009E303A"/>
    <w:rsid w:val="009E322F"/>
    <w:rsid w:val="009E332E"/>
    <w:rsid w:val="009E364B"/>
    <w:rsid w:val="009E39AC"/>
    <w:rsid w:val="009E39E7"/>
    <w:rsid w:val="009E3B96"/>
    <w:rsid w:val="009E3CCE"/>
    <w:rsid w:val="009E3D85"/>
    <w:rsid w:val="009E3E3A"/>
    <w:rsid w:val="009E3EC1"/>
    <w:rsid w:val="009E43A9"/>
    <w:rsid w:val="009E44D3"/>
    <w:rsid w:val="009E480C"/>
    <w:rsid w:val="009E484D"/>
    <w:rsid w:val="009E4913"/>
    <w:rsid w:val="009E4975"/>
    <w:rsid w:val="009E4982"/>
    <w:rsid w:val="009E4AB0"/>
    <w:rsid w:val="009E4CDA"/>
    <w:rsid w:val="009E4D2E"/>
    <w:rsid w:val="009E5215"/>
    <w:rsid w:val="009E53B1"/>
    <w:rsid w:val="009E5809"/>
    <w:rsid w:val="009E5811"/>
    <w:rsid w:val="009E583D"/>
    <w:rsid w:val="009E58A2"/>
    <w:rsid w:val="009E5919"/>
    <w:rsid w:val="009E5D9A"/>
    <w:rsid w:val="009E5DF9"/>
    <w:rsid w:val="009E5FD1"/>
    <w:rsid w:val="009E61FE"/>
    <w:rsid w:val="009E62C2"/>
    <w:rsid w:val="009E6315"/>
    <w:rsid w:val="009E655E"/>
    <w:rsid w:val="009E657A"/>
    <w:rsid w:val="009E65A7"/>
    <w:rsid w:val="009E6688"/>
    <w:rsid w:val="009E6864"/>
    <w:rsid w:val="009E6A0B"/>
    <w:rsid w:val="009E6C70"/>
    <w:rsid w:val="009E6CD0"/>
    <w:rsid w:val="009E6D2E"/>
    <w:rsid w:val="009E6F02"/>
    <w:rsid w:val="009E718A"/>
    <w:rsid w:val="009E759D"/>
    <w:rsid w:val="009E784D"/>
    <w:rsid w:val="009E78DA"/>
    <w:rsid w:val="009E7A1A"/>
    <w:rsid w:val="009E7AB4"/>
    <w:rsid w:val="009E7CB3"/>
    <w:rsid w:val="009E7CF5"/>
    <w:rsid w:val="009E7F8A"/>
    <w:rsid w:val="009F0140"/>
    <w:rsid w:val="009F0273"/>
    <w:rsid w:val="009F037F"/>
    <w:rsid w:val="009F06B2"/>
    <w:rsid w:val="009F06CF"/>
    <w:rsid w:val="009F0831"/>
    <w:rsid w:val="009F089D"/>
    <w:rsid w:val="009F0C97"/>
    <w:rsid w:val="009F0CA0"/>
    <w:rsid w:val="009F0D71"/>
    <w:rsid w:val="009F0F83"/>
    <w:rsid w:val="009F122C"/>
    <w:rsid w:val="009F14CE"/>
    <w:rsid w:val="009F16EF"/>
    <w:rsid w:val="009F1907"/>
    <w:rsid w:val="009F196E"/>
    <w:rsid w:val="009F19BD"/>
    <w:rsid w:val="009F1CCE"/>
    <w:rsid w:val="009F205F"/>
    <w:rsid w:val="009F2215"/>
    <w:rsid w:val="009F227C"/>
    <w:rsid w:val="009F22DF"/>
    <w:rsid w:val="009F2394"/>
    <w:rsid w:val="009F2500"/>
    <w:rsid w:val="009F2512"/>
    <w:rsid w:val="009F2578"/>
    <w:rsid w:val="009F26C5"/>
    <w:rsid w:val="009F2787"/>
    <w:rsid w:val="009F2891"/>
    <w:rsid w:val="009F29B5"/>
    <w:rsid w:val="009F2C08"/>
    <w:rsid w:val="009F2C7F"/>
    <w:rsid w:val="009F2CF1"/>
    <w:rsid w:val="009F2DF1"/>
    <w:rsid w:val="009F2FF9"/>
    <w:rsid w:val="009F306F"/>
    <w:rsid w:val="009F31AE"/>
    <w:rsid w:val="009F3315"/>
    <w:rsid w:val="009F3382"/>
    <w:rsid w:val="009F339A"/>
    <w:rsid w:val="009F33C4"/>
    <w:rsid w:val="009F34FD"/>
    <w:rsid w:val="009F37AA"/>
    <w:rsid w:val="009F3887"/>
    <w:rsid w:val="009F39D6"/>
    <w:rsid w:val="009F3A30"/>
    <w:rsid w:val="009F3B63"/>
    <w:rsid w:val="009F3CF3"/>
    <w:rsid w:val="009F3D7F"/>
    <w:rsid w:val="009F3F2A"/>
    <w:rsid w:val="009F3F98"/>
    <w:rsid w:val="009F4206"/>
    <w:rsid w:val="009F4417"/>
    <w:rsid w:val="009F4546"/>
    <w:rsid w:val="009F4645"/>
    <w:rsid w:val="009F476B"/>
    <w:rsid w:val="009F4A61"/>
    <w:rsid w:val="009F4A88"/>
    <w:rsid w:val="009F4B3E"/>
    <w:rsid w:val="009F4E02"/>
    <w:rsid w:val="009F4EFE"/>
    <w:rsid w:val="009F4F14"/>
    <w:rsid w:val="009F4FB2"/>
    <w:rsid w:val="009F536D"/>
    <w:rsid w:val="009F5496"/>
    <w:rsid w:val="009F54F9"/>
    <w:rsid w:val="009F56AB"/>
    <w:rsid w:val="009F56CC"/>
    <w:rsid w:val="009F575B"/>
    <w:rsid w:val="009F57DE"/>
    <w:rsid w:val="009F5803"/>
    <w:rsid w:val="009F5BCB"/>
    <w:rsid w:val="009F5CC9"/>
    <w:rsid w:val="009F5D51"/>
    <w:rsid w:val="009F5DD6"/>
    <w:rsid w:val="009F5ED8"/>
    <w:rsid w:val="009F5FC2"/>
    <w:rsid w:val="009F6002"/>
    <w:rsid w:val="009F6132"/>
    <w:rsid w:val="009F6412"/>
    <w:rsid w:val="009F6649"/>
    <w:rsid w:val="009F66C2"/>
    <w:rsid w:val="009F678B"/>
    <w:rsid w:val="009F680D"/>
    <w:rsid w:val="009F6A23"/>
    <w:rsid w:val="009F6CA2"/>
    <w:rsid w:val="009F703A"/>
    <w:rsid w:val="009F74A2"/>
    <w:rsid w:val="009F74F6"/>
    <w:rsid w:val="009F7538"/>
    <w:rsid w:val="009F7562"/>
    <w:rsid w:val="009F7626"/>
    <w:rsid w:val="009F7B0E"/>
    <w:rsid w:val="009F7C59"/>
    <w:rsid w:val="009F7C6E"/>
    <w:rsid w:val="009F7CC4"/>
    <w:rsid w:val="009F7DB3"/>
    <w:rsid w:val="009F7F8A"/>
    <w:rsid w:val="009F7FFA"/>
    <w:rsid w:val="00A00151"/>
    <w:rsid w:val="00A001B8"/>
    <w:rsid w:val="00A00388"/>
    <w:rsid w:val="00A0039A"/>
    <w:rsid w:val="00A00648"/>
    <w:rsid w:val="00A00BA2"/>
    <w:rsid w:val="00A010D8"/>
    <w:rsid w:val="00A0114F"/>
    <w:rsid w:val="00A01184"/>
    <w:rsid w:val="00A011C4"/>
    <w:rsid w:val="00A01207"/>
    <w:rsid w:val="00A0120F"/>
    <w:rsid w:val="00A01238"/>
    <w:rsid w:val="00A01333"/>
    <w:rsid w:val="00A01368"/>
    <w:rsid w:val="00A01387"/>
    <w:rsid w:val="00A0140C"/>
    <w:rsid w:val="00A01739"/>
    <w:rsid w:val="00A01904"/>
    <w:rsid w:val="00A01A0B"/>
    <w:rsid w:val="00A01BD1"/>
    <w:rsid w:val="00A01FB3"/>
    <w:rsid w:val="00A0201C"/>
    <w:rsid w:val="00A020DA"/>
    <w:rsid w:val="00A0232A"/>
    <w:rsid w:val="00A0234B"/>
    <w:rsid w:val="00A02464"/>
    <w:rsid w:val="00A025BE"/>
    <w:rsid w:val="00A025F5"/>
    <w:rsid w:val="00A027D0"/>
    <w:rsid w:val="00A02ADF"/>
    <w:rsid w:val="00A02B35"/>
    <w:rsid w:val="00A037F3"/>
    <w:rsid w:val="00A0391B"/>
    <w:rsid w:val="00A03935"/>
    <w:rsid w:val="00A03A18"/>
    <w:rsid w:val="00A03B08"/>
    <w:rsid w:val="00A03C4D"/>
    <w:rsid w:val="00A03D44"/>
    <w:rsid w:val="00A03DE6"/>
    <w:rsid w:val="00A03DF0"/>
    <w:rsid w:val="00A03F1D"/>
    <w:rsid w:val="00A0404A"/>
    <w:rsid w:val="00A04065"/>
    <w:rsid w:val="00A04707"/>
    <w:rsid w:val="00A0481A"/>
    <w:rsid w:val="00A04D71"/>
    <w:rsid w:val="00A04DA3"/>
    <w:rsid w:val="00A051D7"/>
    <w:rsid w:val="00A05260"/>
    <w:rsid w:val="00A0529A"/>
    <w:rsid w:val="00A05485"/>
    <w:rsid w:val="00A057FC"/>
    <w:rsid w:val="00A0591B"/>
    <w:rsid w:val="00A05933"/>
    <w:rsid w:val="00A05A36"/>
    <w:rsid w:val="00A05F1C"/>
    <w:rsid w:val="00A05FBC"/>
    <w:rsid w:val="00A05FD0"/>
    <w:rsid w:val="00A06046"/>
    <w:rsid w:val="00A060B0"/>
    <w:rsid w:val="00A06277"/>
    <w:rsid w:val="00A063AF"/>
    <w:rsid w:val="00A06471"/>
    <w:rsid w:val="00A06477"/>
    <w:rsid w:val="00A064A5"/>
    <w:rsid w:val="00A0672F"/>
    <w:rsid w:val="00A06764"/>
    <w:rsid w:val="00A068C3"/>
    <w:rsid w:val="00A068EB"/>
    <w:rsid w:val="00A069C0"/>
    <w:rsid w:val="00A06A01"/>
    <w:rsid w:val="00A06BB4"/>
    <w:rsid w:val="00A06BCF"/>
    <w:rsid w:val="00A06C3D"/>
    <w:rsid w:val="00A06D16"/>
    <w:rsid w:val="00A06EFB"/>
    <w:rsid w:val="00A070AD"/>
    <w:rsid w:val="00A0718F"/>
    <w:rsid w:val="00A072AB"/>
    <w:rsid w:val="00A074AF"/>
    <w:rsid w:val="00A075B9"/>
    <w:rsid w:val="00A075E6"/>
    <w:rsid w:val="00A07626"/>
    <w:rsid w:val="00A076EA"/>
    <w:rsid w:val="00A07817"/>
    <w:rsid w:val="00A078BF"/>
    <w:rsid w:val="00A078D6"/>
    <w:rsid w:val="00A07AB2"/>
    <w:rsid w:val="00A07AC7"/>
    <w:rsid w:val="00A07E83"/>
    <w:rsid w:val="00A10102"/>
    <w:rsid w:val="00A1022C"/>
    <w:rsid w:val="00A10234"/>
    <w:rsid w:val="00A103F0"/>
    <w:rsid w:val="00A1048C"/>
    <w:rsid w:val="00A104DB"/>
    <w:rsid w:val="00A104DE"/>
    <w:rsid w:val="00A105F0"/>
    <w:rsid w:val="00A1068C"/>
    <w:rsid w:val="00A108B9"/>
    <w:rsid w:val="00A10965"/>
    <w:rsid w:val="00A10A47"/>
    <w:rsid w:val="00A10CBE"/>
    <w:rsid w:val="00A10E6D"/>
    <w:rsid w:val="00A10F56"/>
    <w:rsid w:val="00A112FD"/>
    <w:rsid w:val="00A11409"/>
    <w:rsid w:val="00A11448"/>
    <w:rsid w:val="00A11468"/>
    <w:rsid w:val="00A1179E"/>
    <w:rsid w:val="00A11850"/>
    <w:rsid w:val="00A118E6"/>
    <w:rsid w:val="00A11BA4"/>
    <w:rsid w:val="00A11CFF"/>
    <w:rsid w:val="00A11D5B"/>
    <w:rsid w:val="00A11DA2"/>
    <w:rsid w:val="00A12295"/>
    <w:rsid w:val="00A12592"/>
    <w:rsid w:val="00A12A50"/>
    <w:rsid w:val="00A12B00"/>
    <w:rsid w:val="00A12B4D"/>
    <w:rsid w:val="00A12B50"/>
    <w:rsid w:val="00A12E80"/>
    <w:rsid w:val="00A13229"/>
    <w:rsid w:val="00A13398"/>
    <w:rsid w:val="00A133C4"/>
    <w:rsid w:val="00A135CC"/>
    <w:rsid w:val="00A1370A"/>
    <w:rsid w:val="00A13934"/>
    <w:rsid w:val="00A13A23"/>
    <w:rsid w:val="00A13BCE"/>
    <w:rsid w:val="00A13D2F"/>
    <w:rsid w:val="00A13FAD"/>
    <w:rsid w:val="00A13FFA"/>
    <w:rsid w:val="00A14041"/>
    <w:rsid w:val="00A140C0"/>
    <w:rsid w:val="00A14347"/>
    <w:rsid w:val="00A14395"/>
    <w:rsid w:val="00A14468"/>
    <w:rsid w:val="00A145E4"/>
    <w:rsid w:val="00A1482C"/>
    <w:rsid w:val="00A14A70"/>
    <w:rsid w:val="00A14AE5"/>
    <w:rsid w:val="00A14B4E"/>
    <w:rsid w:val="00A14EC0"/>
    <w:rsid w:val="00A14EEC"/>
    <w:rsid w:val="00A14FC1"/>
    <w:rsid w:val="00A152F8"/>
    <w:rsid w:val="00A153C7"/>
    <w:rsid w:val="00A156FF"/>
    <w:rsid w:val="00A157CC"/>
    <w:rsid w:val="00A15853"/>
    <w:rsid w:val="00A1588D"/>
    <w:rsid w:val="00A158A9"/>
    <w:rsid w:val="00A15AB1"/>
    <w:rsid w:val="00A15B30"/>
    <w:rsid w:val="00A15C2D"/>
    <w:rsid w:val="00A15F55"/>
    <w:rsid w:val="00A16178"/>
    <w:rsid w:val="00A161DA"/>
    <w:rsid w:val="00A16270"/>
    <w:rsid w:val="00A16395"/>
    <w:rsid w:val="00A16424"/>
    <w:rsid w:val="00A1642A"/>
    <w:rsid w:val="00A16598"/>
    <w:rsid w:val="00A165DD"/>
    <w:rsid w:val="00A167E3"/>
    <w:rsid w:val="00A168C5"/>
    <w:rsid w:val="00A16ABC"/>
    <w:rsid w:val="00A16B6E"/>
    <w:rsid w:val="00A16B82"/>
    <w:rsid w:val="00A16CF7"/>
    <w:rsid w:val="00A16E48"/>
    <w:rsid w:val="00A16F0A"/>
    <w:rsid w:val="00A16FEC"/>
    <w:rsid w:val="00A1713D"/>
    <w:rsid w:val="00A17333"/>
    <w:rsid w:val="00A174D2"/>
    <w:rsid w:val="00A1779E"/>
    <w:rsid w:val="00A178A9"/>
    <w:rsid w:val="00A179D3"/>
    <w:rsid w:val="00A17D3A"/>
    <w:rsid w:val="00A17D43"/>
    <w:rsid w:val="00A17D9D"/>
    <w:rsid w:val="00A20508"/>
    <w:rsid w:val="00A20800"/>
    <w:rsid w:val="00A209A9"/>
    <w:rsid w:val="00A20B65"/>
    <w:rsid w:val="00A20DDF"/>
    <w:rsid w:val="00A20E1B"/>
    <w:rsid w:val="00A20F6C"/>
    <w:rsid w:val="00A2107B"/>
    <w:rsid w:val="00A212DC"/>
    <w:rsid w:val="00A2145C"/>
    <w:rsid w:val="00A21787"/>
    <w:rsid w:val="00A2180C"/>
    <w:rsid w:val="00A21848"/>
    <w:rsid w:val="00A21AF0"/>
    <w:rsid w:val="00A21F69"/>
    <w:rsid w:val="00A21F9D"/>
    <w:rsid w:val="00A22064"/>
    <w:rsid w:val="00A22144"/>
    <w:rsid w:val="00A222B7"/>
    <w:rsid w:val="00A225E9"/>
    <w:rsid w:val="00A22747"/>
    <w:rsid w:val="00A2277C"/>
    <w:rsid w:val="00A22B09"/>
    <w:rsid w:val="00A22D9B"/>
    <w:rsid w:val="00A22E15"/>
    <w:rsid w:val="00A22F9D"/>
    <w:rsid w:val="00A23152"/>
    <w:rsid w:val="00A2315D"/>
    <w:rsid w:val="00A233A2"/>
    <w:rsid w:val="00A235BE"/>
    <w:rsid w:val="00A237E2"/>
    <w:rsid w:val="00A23805"/>
    <w:rsid w:val="00A23A74"/>
    <w:rsid w:val="00A23B22"/>
    <w:rsid w:val="00A23B86"/>
    <w:rsid w:val="00A23BDB"/>
    <w:rsid w:val="00A23CCB"/>
    <w:rsid w:val="00A23E0B"/>
    <w:rsid w:val="00A23F8D"/>
    <w:rsid w:val="00A24435"/>
    <w:rsid w:val="00A246AF"/>
    <w:rsid w:val="00A248FD"/>
    <w:rsid w:val="00A24D8B"/>
    <w:rsid w:val="00A24DC8"/>
    <w:rsid w:val="00A250B5"/>
    <w:rsid w:val="00A25195"/>
    <w:rsid w:val="00A25289"/>
    <w:rsid w:val="00A25307"/>
    <w:rsid w:val="00A25336"/>
    <w:rsid w:val="00A25392"/>
    <w:rsid w:val="00A25410"/>
    <w:rsid w:val="00A25523"/>
    <w:rsid w:val="00A2563E"/>
    <w:rsid w:val="00A25645"/>
    <w:rsid w:val="00A2565D"/>
    <w:rsid w:val="00A256E8"/>
    <w:rsid w:val="00A2574B"/>
    <w:rsid w:val="00A258C4"/>
    <w:rsid w:val="00A259FB"/>
    <w:rsid w:val="00A25B3A"/>
    <w:rsid w:val="00A25B9F"/>
    <w:rsid w:val="00A25C50"/>
    <w:rsid w:val="00A25D9D"/>
    <w:rsid w:val="00A25DD6"/>
    <w:rsid w:val="00A25DDF"/>
    <w:rsid w:val="00A25F01"/>
    <w:rsid w:val="00A25FAC"/>
    <w:rsid w:val="00A26079"/>
    <w:rsid w:val="00A2622B"/>
    <w:rsid w:val="00A2627F"/>
    <w:rsid w:val="00A26384"/>
    <w:rsid w:val="00A263C5"/>
    <w:rsid w:val="00A2644E"/>
    <w:rsid w:val="00A2697B"/>
    <w:rsid w:val="00A26B60"/>
    <w:rsid w:val="00A26BCF"/>
    <w:rsid w:val="00A26C58"/>
    <w:rsid w:val="00A26EDE"/>
    <w:rsid w:val="00A26FD3"/>
    <w:rsid w:val="00A270CC"/>
    <w:rsid w:val="00A27207"/>
    <w:rsid w:val="00A27453"/>
    <w:rsid w:val="00A27768"/>
    <w:rsid w:val="00A279FC"/>
    <w:rsid w:val="00A27A71"/>
    <w:rsid w:val="00A27C17"/>
    <w:rsid w:val="00A27D41"/>
    <w:rsid w:val="00A300E6"/>
    <w:rsid w:val="00A3010F"/>
    <w:rsid w:val="00A30187"/>
    <w:rsid w:val="00A302C6"/>
    <w:rsid w:val="00A3038B"/>
    <w:rsid w:val="00A3064B"/>
    <w:rsid w:val="00A306F1"/>
    <w:rsid w:val="00A30AB3"/>
    <w:rsid w:val="00A30D95"/>
    <w:rsid w:val="00A30EAD"/>
    <w:rsid w:val="00A311CA"/>
    <w:rsid w:val="00A315F3"/>
    <w:rsid w:val="00A317EA"/>
    <w:rsid w:val="00A31B39"/>
    <w:rsid w:val="00A31B8A"/>
    <w:rsid w:val="00A31C15"/>
    <w:rsid w:val="00A31C16"/>
    <w:rsid w:val="00A31DB0"/>
    <w:rsid w:val="00A32092"/>
    <w:rsid w:val="00A32331"/>
    <w:rsid w:val="00A32344"/>
    <w:rsid w:val="00A32648"/>
    <w:rsid w:val="00A327BB"/>
    <w:rsid w:val="00A32AAE"/>
    <w:rsid w:val="00A32BC6"/>
    <w:rsid w:val="00A32C6A"/>
    <w:rsid w:val="00A32CFB"/>
    <w:rsid w:val="00A32D21"/>
    <w:rsid w:val="00A32DD5"/>
    <w:rsid w:val="00A32FAD"/>
    <w:rsid w:val="00A33297"/>
    <w:rsid w:val="00A33342"/>
    <w:rsid w:val="00A33365"/>
    <w:rsid w:val="00A33805"/>
    <w:rsid w:val="00A33B03"/>
    <w:rsid w:val="00A33C0F"/>
    <w:rsid w:val="00A33CEA"/>
    <w:rsid w:val="00A33CED"/>
    <w:rsid w:val="00A33D05"/>
    <w:rsid w:val="00A33EE5"/>
    <w:rsid w:val="00A33F33"/>
    <w:rsid w:val="00A33F4A"/>
    <w:rsid w:val="00A33F68"/>
    <w:rsid w:val="00A33FC3"/>
    <w:rsid w:val="00A344A2"/>
    <w:rsid w:val="00A3458A"/>
    <w:rsid w:val="00A34BB9"/>
    <w:rsid w:val="00A34C96"/>
    <w:rsid w:val="00A34D47"/>
    <w:rsid w:val="00A352A1"/>
    <w:rsid w:val="00A355A9"/>
    <w:rsid w:val="00A3570B"/>
    <w:rsid w:val="00A357A6"/>
    <w:rsid w:val="00A35ACC"/>
    <w:rsid w:val="00A35B83"/>
    <w:rsid w:val="00A35C17"/>
    <w:rsid w:val="00A35D9B"/>
    <w:rsid w:val="00A35E64"/>
    <w:rsid w:val="00A35FD4"/>
    <w:rsid w:val="00A35FD8"/>
    <w:rsid w:val="00A3600C"/>
    <w:rsid w:val="00A360DF"/>
    <w:rsid w:val="00A3629D"/>
    <w:rsid w:val="00A362BF"/>
    <w:rsid w:val="00A363BF"/>
    <w:rsid w:val="00A366C4"/>
    <w:rsid w:val="00A367DC"/>
    <w:rsid w:val="00A36B26"/>
    <w:rsid w:val="00A36B5D"/>
    <w:rsid w:val="00A36D34"/>
    <w:rsid w:val="00A370D7"/>
    <w:rsid w:val="00A3714A"/>
    <w:rsid w:val="00A371F2"/>
    <w:rsid w:val="00A37505"/>
    <w:rsid w:val="00A37541"/>
    <w:rsid w:val="00A37643"/>
    <w:rsid w:val="00A37812"/>
    <w:rsid w:val="00A37A0D"/>
    <w:rsid w:val="00A37D2A"/>
    <w:rsid w:val="00A37E2D"/>
    <w:rsid w:val="00A40029"/>
    <w:rsid w:val="00A4021A"/>
    <w:rsid w:val="00A40248"/>
    <w:rsid w:val="00A40461"/>
    <w:rsid w:val="00A4055A"/>
    <w:rsid w:val="00A4055B"/>
    <w:rsid w:val="00A4055C"/>
    <w:rsid w:val="00A405E2"/>
    <w:rsid w:val="00A405EB"/>
    <w:rsid w:val="00A405F6"/>
    <w:rsid w:val="00A40B0A"/>
    <w:rsid w:val="00A40B8A"/>
    <w:rsid w:val="00A40BA8"/>
    <w:rsid w:val="00A40BF8"/>
    <w:rsid w:val="00A40C50"/>
    <w:rsid w:val="00A40D83"/>
    <w:rsid w:val="00A40EC7"/>
    <w:rsid w:val="00A41097"/>
    <w:rsid w:val="00A4113C"/>
    <w:rsid w:val="00A41358"/>
    <w:rsid w:val="00A41391"/>
    <w:rsid w:val="00A41A4F"/>
    <w:rsid w:val="00A41C0B"/>
    <w:rsid w:val="00A41C0F"/>
    <w:rsid w:val="00A41C3F"/>
    <w:rsid w:val="00A41C40"/>
    <w:rsid w:val="00A41E3F"/>
    <w:rsid w:val="00A41F93"/>
    <w:rsid w:val="00A420D7"/>
    <w:rsid w:val="00A42314"/>
    <w:rsid w:val="00A423B5"/>
    <w:rsid w:val="00A423B9"/>
    <w:rsid w:val="00A423E7"/>
    <w:rsid w:val="00A42463"/>
    <w:rsid w:val="00A425FE"/>
    <w:rsid w:val="00A426F1"/>
    <w:rsid w:val="00A42924"/>
    <w:rsid w:val="00A42B08"/>
    <w:rsid w:val="00A42CEE"/>
    <w:rsid w:val="00A42D8C"/>
    <w:rsid w:val="00A42EE7"/>
    <w:rsid w:val="00A42F2A"/>
    <w:rsid w:val="00A42F94"/>
    <w:rsid w:val="00A4308D"/>
    <w:rsid w:val="00A4324F"/>
    <w:rsid w:val="00A4326F"/>
    <w:rsid w:val="00A43289"/>
    <w:rsid w:val="00A4329A"/>
    <w:rsid w:val="00A43404"/>
    <w:rsid w:val="00A4351E"/>
    <w:rsid w:val="00A435EA"/>
    <w:rsid w:val="00A43606"/>
    <w:rsid w:val="00A43755"/>
    <w:rsid w:val="00A437F5"/>
    <w:rsid w:val="00A438B0"/>
    <w:rsid w:val="00A43A84"/>
    <w:rsid w:val="00A43C4C"/>
    <w:rsid w:val="00A43CB4"/>
    <w:rsid w:val="00A440E9"/>
    <w:rsid w:val="00A44468"/>
    <w:rsid w:val="00A44544"/>
    <w:rsid w:val="00A4454A"/>
    <w:rsid w:val="00A447EB"/>
    <w:rsid w:val="00A44853"/>
    <w:rsid w:val="00A4497D"/>
    <w:rsid w:val="00A44C8B"/>
    <w:rsid w:val="00A44CFC"/>
    <w:rsid w:val="00A44DD9"/>
    <w:rsid w:val="00A44E6C"/>
    <w:rsid w:val="00A44F8D"/>
    <w:rsid w:val="00A4509C"/>
    <w:rsid w:val="00A450BB"/>
    <w:rsid w:val="00A4512A"/>
    <w:rsid w:val="00A4532A"/>
    <w:rsid w:val="00A459AF"/>
    <w:rsid w:val="00A45ABC"/>
    <w:rsid w:val="00A45B91"/>
    <w:rsid w:val="00A45DA4"/>
    <w:rsid w:val="00A45DF6"/>
    <w:rsid w:val="00A45EB7"/>
    <w:rsid w:val="00A45F19"/>
    <w:rsid w:val="00A4603D"/>
    <w:rsid w:val="00A460DA"/>
    <w:rsid w:val="00A461DC"/>
    <w:rsid w:val="00A46593"/>
    <w:rsid w:val="00A465A4"/>
    <w:rsid w:val="00A468A2"/>
    <w:rsid w:val="00A46A51"/>
    <w:rsid w:val="00A46AAD"/>
    <w:rsid w:val="00A46AD5"/>
    <w:rsid w:val="00A46F70"/>
    <w:rsid w:val="00A46FB3"/>
    <w:rsid w:val="00A46FE4"/>
    <w:rsid w:val="00A4710E"/>
    <w:rsid w:val="00A47246"/>
    <w:rsid w:val="00A473B4"/>
    <w:rsid w:val="00A4745F"/>
    <w:rsid w:val="00A47747"/>
    <w:rsid w:val="00A4786A"/>
    <w:rsid w:val="00A47950"/>
    <w:rsid w:val="00A479D6"/>
    <w:rsid w:val="00A47ACF"/>
    <w:rsid w:val="00A47AE2"/>
    <w:rsid w:val="00A47B9F"/>
    <w:rsid w:val="00A47BDA"/>
    <w:rsid w:val="00A47D89"/>
    <w:rsid w:val="00A47E0D"/>
    <w:rsid w:val="00A47E5D"/>
    <w:rsid w:val="00A500AD"/>
    <w:rsid w:val="00A500E9"/>
    <w:rsid w:val="00A500F7"/>
    <w:rsid w:val="00A501D4"/>
    <w:rsid w:val="00A501E0"/>
    <w:rsid w:val="00A501F1"/>
    <w:rsid w:val="00A50287"/>
    <w:rsid w:val="00A502FE"/>
    <w:rsid w:val="00A5045B"/>
    <w:rsid w:val="00A50745"/>
    <w:rsid w:val="00A5077A"/>
    <w:rsid w:val="00A50940"/>
    <w:rsid w:val="00A50A81"/>
    <w:rsid w:val="00A50BB4"/>
    <w:rsid w:val="00A50C89"/>
    <w:rsid w:val="00A50CE4"/>
    <w:rsid w:val="00A50D34"/>
    <w:rsid w:val="00A50D94"/>
    <w:rsid w:val="00A50E3E"/>
    <w:rsid w:val="00A50F32"/>
    <w:rsid w:val="00A5121B"/>
    <w:rsid w:val="00A51365"/>
    <w:rsid w:val="00A51497"/>
    <w:rsid w:val="00A51BEA"/>
    <w:rsid w:val="00A52092"/>
    <w:rsid w:val="00A520EE"/>
    <w:rsid w:val="00A52260"/>
    <w:rsid w:val="00A5252F"/>
    <w:rsid w:val="00A529EE"/>
    <w:rsid w:val="00A52AB0"/>
    <w:rsid w:val="00A52CC1"/>
    <w:rsid w:val="00A52E9A"/>
    <w:rsid w:val="00A52EA4"/>
    <w:rsid w:val="00A5316E"/>
    <w:rsid w:val="00A53299"/>
    <w:rsid w:val="00A534D0"/>
    <w:rsid w:val="00A5350B"/>
    <w:rsid w:val="00A535F5"/>
    <w:rsid w:val="00A5373D"/>
    <w:rsid w:val="00A53819"/>
    <w:rsid w:val="00A53A52"/>
    <w:rsid w:val="00A53C83"/>
    <w:rsid w:val="00A53E0C"/>
    <w:rsid w:val="00A53E99"/>
    <w:rsid w:val="00A53EB6"/>
    <w:rsid w:val="00A53F2E"/>
    <w:rsid w:val="00A53FBB"/>
    <w:rsid w:val="00A540BE"/>
    <w:rsid w:val="00A5420E"/>
    <w:rsid w:val="00A54292"/>
    <w:rsid w:val="00A542A1"/>
    <w:rsid w:val="00A54429"/>
    <w:rsid w:val="00A54465"/>
    <w:rsid w:val="00A5451F"/>
    <w:rsid w:val="00A5493B"/>
    <w:rsid w:val="00A54AD8"/>
    <w:rsid w:val="00A54E29"/>
    <w:rsid w:val="00A54E73"/>
    <w:rsid w:val="00A54EA2"/>
    <w:rsid w:val="00A55025"/>
    <w:rsid w:val="00A55132"/>
    <w:rsid w:val="00A556EE"/>
    <w:rsid w:val="00A55963"/>
    <w:rsid w:val="00A55C0E"/>
    <w:rsid w:val="00A55C38"/>
    <w:rsid w:val="00A55E21"/>
    <w:rsid w:val="00A55F99"/>
    <w:rsid w:val="00A560DD"/>
    <w:rsid w:val="00A5616D"/>
    <w:rsid w:val="00A562E7"/>
    <w:rsid w:val="00A5636A"/>
    <w:rsid w:val="00A5638F"/>
    <w:rsid w:val="00A56527"/>
    <w:rsid w:val="00A569B5"/>
    <w:rsid w:val="00A56AA9"/>
    <w:rsid w:val="00A56AE8"/>
    <w:rsid w:val="00A56B74"/>
    <w:rsid w:val="00A56D33"/>
    <w:rsid w:val="00A56E53"/>
    <w:rsid w:val="00A56F0E"/>
    <w:rsid w:val="00A57099"/>
    <w:rsid w:val="00A570F7"/>
    <w:rsid w:val="00A57272"/>
    <w:rsid w:val="00A574FD"/>
    <w:rsid w:val="00A5753E"/>
    <w:rsid w:val="00A57636"/>
    <w:rsid w:val="00A57D65"/>
    <w:rsid w:val="00A57F17"/>
    <w:rsid w:val="00A600B9"/>
    <w:rsid w:val="00A600BA"/>
    <w:rsid w:val="00A600FA"/>
    <w:rsid w:val="00A60433"/>
    <w:rsid w:val="00A604E0"/>
    <w:rsid w:val="00A6057C"/>
    <w:rsid w:val="00A605C8"/>
    <w:rsid w:val="00A605FC"/>
    <w:rsid w:val="00A606A0"/>
    <w:rsid w:val="00A6077D"/>
    <w:rsid w:val="00A60806"/>
    <w:rsid w:val="00A60845"/>
    <w:rsid w:val="00A60AC7"/>
    <w:rsid w:val="00A60B68"/>
    <w:rsid w:val="00A60DFC"/>
    <w:rsid w:val="00A60E14"/>
    <w:rsid w:val="00A60ED9"/>
    <w:rsid w:val="00A60EFE"/>
    <w:rsid w:val="00A61077"/>
    <w:rsid w:val="00A61130"/>
    <w:rsid w:val="00A6118C"/>
    <w:rsid w:val="00A611AA"/>
    <w:rsid w:val="00A611AD"/>
    <w:rsid w:val="00A612BB"/>
    <w:rsid w:val="00A612F0"/>
    <w:rsid w:val="00A6157A"/>
    <w:rsid w:val="00A615AD"/>
    <w:rsid w:val="00A6191A"/>
    <w:rsid w:val="00A61A3E"/>
    <w:rsid w:val="00A61B7F"/>
    <w:rsid w:val="00A61E78"/>
    <w:rsid w:val="00A61FB0"/>
    <w:rsid w:val="00A6201B"/>
    <w:rsid w:val="00A623B9"/>
    <w:rsid w:val="00A62744"/>
    <w:rsid w:val="00A62758"/>
    <w:rsid w:val="00A62782"/>
    <w:rsid w:val="00A62846"/>
    <w:rsid w:val="00A62A89"/>
    <w:rsid w:val="00A62B62"/>
    <w:rsid w:val="00A62BDE"/>
    <w:rsid w:val="00A62C30"/>
    <w:rsid w:val="00A62CB9"/>
    <w:rsid w:val="00A62D11"/>
    <w:rsid w:val="00A62E8B"/>
    <w:rsid w:val="00A62F6E"/>
    <w:rsid w:val="00A631A8"/>
    <w:rsid w:val="00A63255"/>
    <w:rsid w:val="00A63364"/>
    <w:rsid w:val="00A63431"/>
    <w:rsid w:val="00A6346B"/>
    <w:rsid w:val="00A6347D"/>
    <w:rsid w:val="00A63542"/>
    <w:rsid w:val="00A63704"/>
    <w:rsid w:val="00A638A7"/>
    <w:rsid w:val="00A63D94"/>
    <w:rsid w:val="00A63E82"/>
    <w:rsid w:val="00A63FCA"/>
    <w:rsid w:val="00A6444A"/>
    <w:rsid w:val="00A64458"/>
    <w:rsid w:val="00A6445B"/>
    <w:rsid w:val="00A64541"/>
    <w:rsid w:val="00A647A3"/>
    <w:rsid w:val="00A64998"/>
    <w:rsid w:val="00A64B0E"/>
    <w:rsid w:val="00A64C6C"/>
    <w:rsid w:val="00A64F26"/>
    <w:rsid w:val="00A64F6D"/>
    <w:rsid w:val="00A65066"/>
    <w:rsid w:val="00A650DE"/>
    <w:rsid w:val="00A652EC"/>
    <w:rsid w:val="00A652FE"/>
    <w:rsid w:val="00A653CF"/>
    <w:rsid w:val="00A654B2"/>
    <w:rsid w:val="00A654DA"/>
    <w:rsid w:val="00A65578"/>
    <w:rsid w:val="00A65658"/>
    <w:rsid w:val="00A65B16"/>
    <w:rsid w:val="00A65D25"/>
    <w:rsid w:val="00A65D6B"/>
    <w:rsid w:val="00A65DD8"/>
    <w:rsid w:val="00A65E79"/>
    <w:rsid w:val="00A65F6E"/>
    <w:rsid w:val="00A66009"/>
    <w:rsid w:val="00A660F0"/>
    <w:rsid w:val="00A6642F"/>
    <w:rsid w:val="00A66761"/>
    <w:rsid w:val="00A66780"/>
    <w:rsid w:val="00A66977"/>
    <w:rsid w:val="00A66B37"/>
    <w:rsid w:val="00A66CC1"/>
    <w:rsid w:val="00A66CCD"/>
    <w:rsid w:val="00A66CDC"/>
    <w:rsid w:val="00A6724F"/>
    <w:rsid w:val="00A672BF"/>
    <w:rsid w:val="00A67336"/>
    <w:rsid w:val="00A67462"/>
    <w:rsid w:val="00A675A3"/>
    <w:rsid w:val="00A675D5"/>
    <w:rsid w:val="00A676CA"/>
    <w:rsid w:val="00A67700"/>
    <w:rsid w:val="00A6782D"/>
    <w:rsid w:val="00A6783B"/>
    <w:rsid w:val="00A67A5C"/>
    <w:rsid w:val="00A67AC6"/>
    <w:rsid w:val="00A67C89"/>
    <w:rsid w:val="00A67DE9"/>
    <w:rsid w:val="00A67F66"/>
    <w:rsid w:val="00A67F74"/>
    <w:rsid w:val="00A67FDA"/>
    <w:rsid w:val="00A7008E"/>
    <w:rsid w:val="00A7011C"/>
    <w:rsid w:val="00A70154"/>
    <w:rsid w:val="00A70570"/>
    <w:rsid w:val="00A7075A"/>
    <w:rsid w:val="00A70778"/>
    <w:rsid w:val="00A70998"/>
    <w:rsid w:val="00A70C02"/>
    <w:rsid w:val="00A70E1B"/>
    <w:rsid w:val="00A70E1E"/>
    <w:rsid w:val="00A70E44"/>
    <w:rsid w:val="00A70F76"/>
    <w:rsid w:val="00A70FFF"/>
    <w:rsid w:val="00A7100D"/>
    <w:rsid w:val="00A7194E"/>
    <w:rsid w:val="00A71EAA"/>
    <w:rsid w:val="00A7219B"/>
    <w:rsid w:val="00A721A5"/>
    <w:rsid w:val="00A72253"/>
    <w:rsid w:val="00A722C2"/>
    <w:rsid w:val="00A722EE"/>
    <w:rsid w:val="00A7248C"/>
    <w:rsid w:val="00A725F3"/>
    <w:rsid w:val="00A727C6"/>
    <w:rsid w:val="00A729F7"/>
    <w:rsid w:val="00A72CC9"/>
    <w:rsid w:val="00A72D15"/>
    <w:rsid w:val="00A73090"/>
    <w:rsid w:val="00A7318F"/>
    <w:rsid w:val="00A7323D"/>
    <w:rsid w:val="00A7324C"/>
    <w:rsid w:val="00A73480"/>
    <w:rsid w:val="00A73796"/>
    <w:rsid w:val="00A73966"/>
    <w:rsid w:val="00A73A4A"/>
    <w:rsid w:val="00A73AED"/>
    <w:rsid w:val="00A73B35"/>
    <w:rsid w:val="00A73BD5"/>
    <w:rsid w:val="00A73D15"/>
    <w:rsid w:val="00A73DAC"/>
    <w:rsid w:val="00A74145"/>
    <w:rsid w:val="00A7417C"/>
    <w:rsid w:val="00A741D9"/>
    <w:rsid w:val="00A742B0"/>
    <w:rsid w:val="00A74516"/>
    <w:rsid w:val="00A74536"/>
    <w:rsid w:val="00A746B6"/>
    <w:rsid w:val="00A74884"/>
    <w:rsid w:val="00A74F75"/>
    <w:rsid w:val="00A75106"/>
    <w:rsid w:val="00A752B6"/>
    <w:rsid w:val="00A7532D"/>
    <w:rsid w:val="00A75429"/>
    <w:rsid w:val="00A75D9F"/>
    <w:rsid w:val="00A75E2F"/>
    <w:rsid w:val="00A75F28"/>
    <w:rsid w:val="00A76073"/>
    <w:rsid w:val="00A760BE"/>
    <w:rsid w:val="00A76153"/>
    <w:rsid w:val="00A762E0"/>
    <w:rsid w:val="00A764B0"/>
    <w:rsid w:val="00A767D6"/>
    <w:rsid w:val="00A7683F"/>
    <w:rsid w:val="00A769B4"/>
    <w:rsid w:val="00A769DE"/>
    <w:rsid w:val="00A76B57"/>
    <w:rsid w:val="00A76CC2"/>
    <w:rsid w:val="00A76E23"/>
    <w:rsid w:val="00A77003"/>
    <w:rsid w:val="00A771C5"/>
    <w:rsid w:val="00A77460"/>
    <w:rsid w:val="00A77580"/>
    <w:rsid w:val="00A77700"/>
    <w:rsid w:val="00A777D9"/>
    <w:rsid w:val="00A77ADB"/>
    <w:rsid w:val="00A77C53"/>
    <w:rsid w:val="00A77CA7"/>
    <w:rsid w:val="00A77DB7"/>
    <w:rsid w:val="00A800F5"/>
    <w:rsid w:val="00A80103"/>
    <w:rsid w:val="00A802CD"/>
    <w:rsid w:val="00A80453"/>
    <w:rsid w:val="00A805D3"/>
    <w:rsid w:val="00A80712"/>
    <w:rsid w:val="00A80898"/>
    <w:rsid w:val="00A80B89"/>
    <w:rsid w:val="00A80D60"/>
    <w:rsid w:val="00A81070"/>
    <w:rsid w:val="00A810A2"/>
    <w:rsid w:val="00A81115"/>
    <w:rsid w:val="00A8118F"/>
    <w:rsid w:val="00A816EF"/>
    <w:rsid w:val="00A81934"/>
    <w:rsid w:val="00A81A8D"/>
    <w:rsid w:val="00A81CDE"/>
    <w:rsid w:val="00A8256B"/>
    <w:rsid w:val="00A82578"/>
    <w:rsid w:val="00A8264E"/>
    <w:rsid w:val="00A8274E"/>
    <w:rsid w:val="00A8285E"/>
    <w:rsid w:val="00A828BB"/>
    <w:rsid w:val="00A82C53"/>
    <w:rsid w:val="00A82EB0"/>
    <w:rsid w:val="00A831DE"/>
    <w:rsid w:val="00A8341F"/>
    <w:rsid w:val="00A834AC"/>
    <w:rsid w:val="00A83560"/>
    <w:rsid w:val="00A83719"/>
    <w:rsid w:val="00A83974"/>
    <w:rsid w:val="00A8418A"/>
    <w:rsid w:val="00A84268"/>
    <w:rsid w:val="00A842D3"/>
    <w:rsid w:val="00A84338"/>
    <w:rsid w:val="00A845DC"/>
    <w:rsid w:val="00A84917"/>
    <w:rsid w:val="00A84A62"/>
    <w:rsid w:val="00A84A8E"/>
    <w:rsid w:val="00A84D43"/>
    <w:rsid w:val="00A84F26"/>
    <w:rsid w:val="00A84F70"/>
    <w:rsid w:val="00A856FE"/>
    <w:rsid w:val="00A85762"/>
    <w:rsid w:val="00A85A69"/>
    <w:rsid w:val="00A85CFD"/>
    <w:rsid w:val="00A85DBB"/>
    <w:rsid w:val="00A86552"/>
    <w:rsid w:val="00A86600"/>
    <w:rsid w:val="00A8662B"/>
    <w:rsid w:val="00A867AE"/>
    <w:rsid w:val="00A867C8"/>
    <w:rsid w:val="00A86824"/>
    <w:rsid w:val="00A86A2B"/>
    <w:rsid w:val="00A86BAF"/>
    <w:rsid w:val="00A86C49"/>
    <w:rsid w:val="00A86C51"/>
    <w:rsid w:val="00A86D9B"/>
    <w:rsid w:val="00A87291"/>
    <w:rsid w:val="00A8731A"/>
    <w:rsid w:val="00A875D8"/>
    <w:rsid w:val="00A8775D"/>
    <w:rsid w:val="00A87796"/>
    <w:rsid w:val="00A87803"/>
    <w:rsid w:val="00A8781D"/>
    <w:rsid w:val="00A8790A"/>
    <w:rsid w:val="00A87CE7"/>
    <w:rsid w:val="00A900C1"/>
    <w:rsid w:val="00A9025F"/>
    <w:rsid w:val="00A903DB"/>
    <w:rsid w:val="00A904B5"/>
    <w:rsid w:val="00A905B0"/>
    <w:rsid w:val="00A907E4"/>
    <w:rsid w:val="00A908C4"/>
    <w:rsid w:val="00A909E3"/>
    <w:rsid w:val="00A90A32"/>
    <w:rsid w:val="00A90B4F"/>
    <w:rsid w:val="00A90BBC"/>
    <w:rsid w:val="00A90C6A"/>
    <w:rsid w:val="00A90E84"/>
    <w:rsid w:val="00A91028"/>
    <w:rsid w:val="00A910D9"/>
    <w:rsid w:val="00A9138F"/>
    <w:rsid w:val="00A914A8"/>
    <w:rsid w:val="00A91544"/>
    <w:rsid w:val="00A91582"/>
    <w:rsid w:val="00A91769"/>
    <w:rsid w:val="00A91787"/>
    <w:rsid w:val="00A918A8"/>
    <w:rsid w:val="00A918B9"/>
    <w:rsid w:val="00A9193C"/>
    <w:rsid w:val="00A919D9"/>
    <w:rsid w:val="00A91B5E"/>
    <w:rsid w:val="00A91B61"/>
    <w:rsid w:val="00A91FE1"/>
    <w:rsid w:val="00A92004"/>
    <w:rsid w:val="00A9217C"/>
    <w:rsid w:val="00A92282"/>
    <w:rsid w:val="00A922BC"/>
    <w:rsid w:val="00A92311"/>
    <w:rsid w:val="00A92560"/>
    <w:rsid w:val="00A92750"/>
    <w:rsid w:val="00A927F6"/>
    <w:rsid w:val="00A92AEA"/>
    <w:rsid w:val="00A92BF1"/>
    <w:rsid w:val="00A92C6B"/>
    <w:rsid w:val="00A930F0"/>
    <w:rsid w:val="00A93188"/>
    <w:rsid w:val="00A93235"/>
    <w:rsid w:val="00A93250"/>
    <w:rsid w:val="00A93514"/>
    <w:rsid w:val="00A93589"/>
    <w:rsid w:val="00A935BA"/>
    <w:rsid w:val="00A935BF"/>
    <w:rsid w:val="00A936C0"/>
    <w:rsid w:val="00A93702"/>
    <w:rsid w:val="00A93E0C"/>
    <w:rsid w:val="00A93F78"/>
    <w:rsid w:val="00A9403E"/>
    <w:rsid w:val="00A941D1"/>
    <w:rsid w:val="00A94807"/>
    <w:rsid w:val="00A948DF"/>
    <w:rsid w:val="00A94A91"/>
    <w:rsid w:val="00A94AA4"/>
    <w:rsid w:val="00A94DE8"/>
    <w:rsid w:val="00A94F00"/>
    <w:rsid w:val="00A94F42"/>
    <w:rsid w:val="00A9501B"/>
    <w:rsid w:val="00A951A0"/>
    <w:rsid w:val="00A951B0"/>
    <w:rsid w:val="00A952CA"/>
    <w:rsid w:val="00A95468"/>
    <w:rsid w:val="00A9557C"/>
    <w:rsid w:val="00A9565C"/>
    <w:rsid w:val="00A95683"/>
    <w:rsid w:val="00A9569A"/>
    <w:rsid w:val="00A9587F"/>
    <w:rsid w:val="00A9594A"/>
    <w:rsid w:val="00A95D41"/>
    <w:rsid w:val="00A95FA6"/>
    <w:rsid w:val="00A96111"/>
    <w:rsid w:val="00A9628F"/>
    <w:rsid w:val="00A962CA"/>
    <w:rsid w:val="00A96355"/>
    <w:rsid w:val="00A963EF"/>
    <w:rsid w:val="00A96533"/>
    <w:rsid w:val="00A96788"/>
    <w:rsid w:val="00A96C50"/>
    <w:rsid w:val="00A96CA6"/>
    <w:rsid w:val="00A96DB4"/>
    <w:rsid w:val="00A96F94"/>
    <w:rsid w:val="00A9711F"/>
    <w:rsid w:val="00A97275"/>
    <w:rsid w:val="00A97340"/>
    <w:rsid w:val="00A973FA"/>
    <w:rsid w:val="00A9756A"/>
    <w:rsid w:val="00A97646"/>
    <w:rsid w:val="00A9782F"/>
    <w:rsid w:val="00A97C94"/>
    <w:rsid w:val="00A97D45"/>
    <w:rsid w:val="00A97D55"/>
    <w:rsid w:val="00A97EF9"/>
    <w:rsid w:val="00A97F8C"/>
    <w:rsid w:val="00AA00BD"/>
    <w:rsid w:val="00AA00C1"/>
    <w:rsid w:val="00AA0426"/>
    <w:rsid w:val="00AA055F"/>
    <w:rsid w:val="00AA05B7"/>
    <w:rsid w:val="00AA061F"/>
    <w:rsid w:val="00AA0753"/>
    <w:rsid w:val="00AA08CA"/>
    <w:rsid w:val="00AA0BE0"/>
    <w:rsid w:val="00AA0C33"/>
    <w:rsid w:val="00AA0DBD"/>
    <w:rsid w:val="00AA0E1A"/>
    <w:rsid w:val="00AA10A2"/>
    <w:rsid w:val="00AA11AE"/>
    <w:rsid w:val="00AA11C7"/>
    <w:rsid w:val="00AA12A7"/>
    <w:rsid w:val="00AA1448"/>
    <w:rsid w:val="00AA1949"/>
    <w:rsid w:val="00AA1ACB"/>
    <w:rsid w:val="00AA1C28"/>
    <w:rsid w:val="00AA1D96"/>
    <w:rsid w:val="00AA1E4D"/>
    <w:rsid w:val="00AA1EEA"/>
    <w:rsid w:val="00AA2575"/>
    <w:rsid w:val="00AA25FA"/>
    <w:rsid w:val="00AA267F"/>
    <w:rsid w:val="00AA29B1"/>
    <w:rsid w:val="00AA2B8F"/>
    <w:rsid w:val="00AA2C68"/>
    <w:rsid w:val="00AA2DF0"/>
    <w:rsid w:val="00AA3073"/>
    <w:rsid w:val="00AA30D6"/>
    <w:rsid w:val="00AA330A"/>
    <w:rsid w:val="00AA334D"/>
    <w:rsid w:val="00AA340B"/>
    <w:rsid w:val="00AA34FA"/>
    <w:rsid w:val="00AA3540"/>
    <w:rsid w:val="00AA391D"/>
    <w:rsid w:val="00AA3AA0"/>
    <w:rsid w:val="00AA3B10"/>
    <w:rsid w:val="00AA3C66"/>
    <w:rsid w:val="00AA3F67"/>
    <w:rsid w:val="00AA3FD0"/>
    <w:rsid w:val="00AA3FD6"/>
    <w:rsid w:val="00AA4008"/>
    <w:rsid w:val="00AA42C2"/>
    <w:rsid w:val="00AA4AB7"/>
    <w:rsid w:val="00AA4B35"/>
    <w:rsid w:val="00AA4B5A"/>
    <w:rsid w:val="00AA4BAD"/>
    <w:rsid w:val="00AA4CE9"/>
    <w:rsid w:val="00AA4ED9"/>
    <w:rsid w:val="00AA52A2"/>
    <w:rsid w:val="00AA52CB"/>
    <w:rsid w:val="00AA531B"/>
    <w:rsid w:val="00AA55A1"/>
    <w:rsid w:val="00AA57C3"/>
    <w:rsid w:val="00AA57CA"/>
    <w:rsid w:val="00AA58D7"/>
    <w:rsid w:val="00AA5902"/>
    <w:rsid w:val="00AA5AFD"/>
    <w:rsid w:val="00AA5D3D"/>
    <w:rsid w:val="00AA5E7E"/>
    <w:rsid w:val="00AA5F0C"/>
    <w:rsid w:val="00AA670A"/>
    <w:rsid w:val="00AA69C5"/>
    <w:rsid w:val="00AA6CB2"/>
    <w:rsid w:val="00AA6D3B"/>
    <w:rsid w:val="00AA71DE"/>
    <w:rsid w:val="00AA7349"/>
    <w:rsid w:val="00AA78EB"/>
    <w:rsid w:val="00AA7916"/>
    <w:rsid w:val="00AA7AA8"/>
    <w:rsid w:val="00AA7D9C"/>
    <w:rsid w:val="00AA7E0F"/>
    <w:rsid w:val="00AA7F78"/>
    <w:rsid w:val="00AB0074"/>
    <w:rsid w:val="00AB00B1"/>
    <w:rsid w:val="00AB0249"/>
    <w:rsid w:val="00AB02B1"/>
    <w:rsid w:val="00AB0377"/>
    <w:rsid w:val="00AB051C"/>
    <w:rsid w:val="00AB05CA"/>
    <w:rsid w:val="00AB0636"/>
    <w:rsid w:val="00AB0673"/>
    <w:rsid w:val="00AB06F9"/>
    <w:rsid w:val="00AB09C0"/>
    <w:rsid w:val="00AB0BB2"/>
    <w:rsid w:val="00AB0C38"/>
    <w:rsid w:val="00AB0CA2"/>
    <w:rsid w:val="00AB0EBC"/>
    <w:rsid w:val="00AB0F80"/>
    <w:rsid w:val="00AB108E"/>
    <w:rsid w:val="00AB1276"/>
    <w:rsid w:val="00AB136F"/>
    <w:rsid w:val="00AB13DF"/>
    <w:rsid w:val="00AB1424"/>
    <w:rsid w:val="00AB14FD"/>
    <w:rsid w:val="00AB16DB"/>
    <w:rsid w:val="00AB17D7"/>
    <w:rsid w:val="00AB18F0"/>
    <w:rsid w:val="00AB1A0D"/>
    <w:rsid w:val="00AB1BD2"/>
    <w:rsid w:val="00AB1C3E"/>
    <w:rsid w:val="00AB1EF6"/>
    <w:rsid w:val="00AB2054"/>
    <w:rsid w:val="00AB2730"/>
    <w:rsid w:val="00AB2907"/>
    <w:rsid w:val="00AB29A5"/>
    <w:rsid w:val="00AB2AD2"/>
    <w:rsid w:val="00AB2C51"/>
    <w:rsid w:val="00AB2DFA"/>
    <w:rsid w:val="00AB2E45"/>
    <w:rsid w:val="00AB30B7"/>
    <w:rsid w:val="00AB3105"/>
    <w:rsid w:val="00AB3114"/>
    <w:rsid w:val="00AB316D"/>
    <w:rsid w:val="00AB32FD"/>
    <w:rsid w:val="00AB36D2"/>
    <w:rsid w:val="00AB36F9"/>
    <w:rsid w:val="00AB37DC"/>
    <w:rsid w:val="00AB38B4"/>
    <w:rsid w:val="00AB3909"/>
    <w:rsid w:val="00AB3AF7"/>
    <w:rsid w:val="00AB3D29"/>
    <w:rsid w:val="00AB3DCB"/>
    <w:rsid w:val="00AB3E63"/>
    <w:rsid w:val="00AB3FFE"/>
    <w:rsid w:val="00AB4063"/>
    <w:rsid w:val="00AB43EF"/>
    <w:rsid w:val="00AB452D"/>
    <w:rsid w:val="00AB461A"/>
    <w:rsid w:val="00AB46D1"/>
    <w:rsid w:val="00AB46F3"/>
    <w:rsid w:val="00AB4745"/>
    <w:rsid w:val="00AB487D"/>
    <w:rsid w:val="00AB4BC1"/>
    <w:rsid w:val="00AB4C59"/>
    <w:rsid w:val="00AB4D2B"/>
    <w:rsid w:val="00AB4EFE"/>
    <w:rsid w:val="00AB4F14"/>
    <w:rsid w:val="00AB4FC3"/>
    <w:rsid w:val="00AB509F"/>
    <w:rsid w:val="00AB525A"/>
    <w:rsid w:val="00AB5270"/>
    <w:rsid w:val="00AB55BC"/>
    <w:rsid w:val="00AB55E4"/>
    <w:rsid w:val="00AB5729"/>
    <w:rsid w:val="00AB5BF6"/>
    <w:rsid w:val="00AB5C82"/>
    <w:rsid w:val="00AB5E85"/>
    <w:rsid w:val="00AB5F5D"/>
    <w:rsid w:val="00AB5F78"/>
    <w:rsid w:val="00AB5FCA"/>
    <w:rsid w:val="00AB6255"/>
    <w:rsid w:val="00AB6463"/>
    <w:rsid w:val="00AB6472"/>
    <w:rsid w:val="00AB64CA"/>
    <w:rsid w:val="00AB660F"/>
    <w:rsid w:val="00AB676E"/>
    <w:rsid w:val="00AB695E"/>
    <w:rsid w:val="00AB6A0E"/>
    <w:rsid w:val="00AB6D56"/>
    <w:rsid w:val="00AB7095"/>
    <w:rsid w:val="00AB70B0"/>
    <w:rsid w:val="00AB71C1"/>
    <w:rsid w:val="00AB721E"/>
    <w:rsid w:val="00AB7512"/>
    <w:rsid w:val="00AB7839"/>
    <w:rsid w:val="00AB78D5"/>
    <w:rsid w:val="00AB7E6D"/>
    <w:rsid w:val="00AB7FF6"/>
    <w:rsid w:val="00AC02B3"/>
    <w:rsid w:val="00AC02D2"/>
    <w:rsid w:val="00AC0400"/>
    <w:rsid w:val="00AC040C"/>
    <w:rsid w:val="00AC0421"/>
    <w:rsid w:val="00AC06AC"/>
    <w:rsid w:val="00AC06C0"/>
    <w:rsid w:val="00AC07D5"/>
    <w:rsid w:val="00AC0A8D"/>
    <w:rsid w:val="00AC0B46"/>
    <w:rsid w:val="00AC0D36"/>
    <w:rsid w:val="00AC0D93"/>
    <w:rsid w:val="00AC0DAC"/>
    <w:rsid w:val="00AC0DBF"/>
    <w:rsid w:val="00AC0F7B"/>
    <w:rsid w:val="00AC0FB5"/>
    <w:rsid w:val="00AC105A"/>
    <w:rsid w:val="00AC1066"/>
    <w:rsid w:val="00AC1341"/>
    <w:rsid w:val="00AC1711"/>
    <w:rsid w:val="00AC1A1E"/>
    <w:rsid w:val="00AC1AF1"/>
    <w:rsid w:val="00AC1BDA"/>
    <w:rsid w:val="00AC1E68"/>
    <w:rsid w:val="00AC1F79"/>
    <w:rsid w:val="00AC1FB7"/>
    <w:rsid w:val="00AC2139"/>
    <w:rsid w:val="00AC2292"/>
    <w:rsid w:val="00AC24FF"/>
    <w:rsid w:val="00AC25B1"/>
    <w:rsid w:val="00AC27AA"/>
    <w:rsid w:val="00AC2859"/>
    <w:rsid w:val="00AC28B8"/>
    <w:rsid w:val="00AC2926"/>
    <w:rsid w:val="00AC2B48"/>
    <w:rsid w:val="00AC3147"/>
    <w:rsid w:val="00AC31A7"/>
    <w:rsid w:val="00AC359B"/>
    <w:rsid w:val="00AC35EB"/>
    <w:rsid w:val="00AC3685"/>
    <w:rsid w:val="00AC37EE"/>
    <w:rsid w:val="00AC3840"/>
    <w:rsid w:val="00AC388E"/>
    <w:rsid w:val="00AC3A06"/>
    <w:rsid w:val="00AC3AF8"/>
    <w:rsid w:val="00AC3BEB"/>
    <w:rsid w:val="00AC3BFA"/>
    <w:rsid w:val="00AC3CA0"/>
    <w:rsid w:val="00AC3F7F"/>
    <w:rsid w:val="00AC406B"/>
    <w:rsid w:val="00AC4098"/>
    <w:rsid w:val="00AC411B"/>
    <w:rsid w:val="00AC41E1"/>
    <w:rsid w:val="00AC428C"/>
    <w:rsid w:val="00AC438B"/>
    <w:rsid w:val="00AC442E"/>
    <w:rsid w:val="00AC4608"/>
    <w:rsid w:val="00AC4AB3"/>
    <w:rsid w:val="00AC4B1E"/>
    <w:rsid w:val="00AC4C6E"/>
    <w:rsid w:val="00AC514C"/>
    <w:rsid w:val="00AC5219"/>
    <w:rsid w:val="00AC55C7"/>
    <w:rsid w:val="00AC5676"/>
    <w:rsid w:val="00AC59D2"/>
    <w:rsid w:val="00AC5AD0"/>
    <w:rsid w:val="00AC5CC7"/>
    <w:rsid w:val="00AC608C"/>
    <w:rsid w:val="00AC60BE"/>
    <w:rsid w:val="00AC62AA"/>
    <w:rsid w:val="00AC62FA"/>
    <w:rsid w:val="00AC638B"/>
    <w:rsid w:val="00AC6463"/>
    <w:rsid w:val="00AC66AB"/>
    <w:rsid w:val="00AC67B0"/>
    <w:rsid w:val="00AC6865"/>
    <w:rsid w:val="00AC6BD1"/>
    <w:rsid w:val="00AC6FA3"/>
    <w:rsid w:val="00AC7170"/>
    <w:rsid w:val="00AC7626"/>
    <w:rsid w:val="00AC7645"/>
    <w:rsid w:val="00AC7700"/>
    <w:rsid w:val="00AC7B49"/>
    <w:rsid w:val="00AC7B4C"/>
    <w:rsid w:val="00AC7C92"/>
    <w:rsid w:val="00AC7EB5"/>
    <w:rsid w:val="00AC7F48"/>
    <w:rsid w:val="00AC7F5F"/>
    <w:rsid w:val="00AC7FD9"/>
    <w:rsid w:val="00AD00C5"/>
    <w:rsid w:val="00AD02FE"/>
    <w:rsid w:val="00AD03E8"/>
    <w:rsid w:val="00AD051F"/>
    <w:rsid w:val="00AD0624"/>
    <w:rsid w:val="00AD07BA"/>
    <w:rsid w:val="00AD08BB"/>
    <w:rsid w:val="00AD09F8"/>
    <w:rsid w:val="00AD0E29"/>
    <w:rsid w:val="00AD0E79"/>
    <w:rsid w:val="00AD0F46"/>
    <w:rsid w:val="00AD0FCF"/>
    <w:rsid w:val="00AD1077"/>
    <w:rsid w:val="00AD1206"/>
    <w:rsid w:val="00AD1494"/>
    <w:rsid w:val="00AD16D6"/>
    <w:rsid w:val="00AD1711"/>
    <w:rsid w:val="00AD1861"/>
    <w:rsid w:val="00AD1B6C"/>
    <w:rsid w:val="00AD1BD9"/>
    <w:rsid w:val="00AD1C85"/>
    <w:rsid w:val="00AD1C9A"/>
    <w:rsid w:val="00AD1C9D"/>
    <w:rsid w:val="00AD1CE2"/>
    <w:rsid w:val="00AD1D91"/>
    <w:rsid w:val="00AD1F02"/>
    <w:rsid w:val="00AD1FB4"/>
    <w:rsid w:val="00AD2132"/>
    <w:rsid w:val="00AD2485"/>
    <w:rsid w:val="00AD24C3"/>
    <w:rsid w:val="00AD2786"/>
    <w:rsid w:val="00AD2820"/>
    <w:rsid w:val="00AD2AAC"/>
    <w:rsid w:val="00AD2BEF"/>
    <w:rsid w:val="00AD2E29"/>
    <w:rsid w:val="00AD3036"/>
    <w:rsid w:val="00AD30D2"/>
    <w:rsid w:val="00AD3249"/>
    <w:rsid w:val="00AD3289"/>
    <w:rsid w:val="00AD32BC"/>
    <w:rsid w:val="00AD33D3"/>
    <w:rsid w:val="00AD36B7"/>
    <w:rsid w:val="00AD392D"/>
    <w:rsid w:val="00AD3AF1"/>
    <w:rsid w:val="00AD3DA0"/>
    <w:rsid w:val="00AD3F8F"/>
    <w:rsid w:val="00AD3FB5"/>
    <w:rsid w:val="00AD415A"/>
    <w:rsid w:val="00AD42CE"/>
    <w:rsid w:val="00AD463F"/>
    <w:rsid w:val="00AD46ED"/>
    <w:rsid w:val="00AD4749"/>
    <w:rsid w:val="00AD4785"/>
    <w:rsid w:val="00AD479D"/>
    <w:rsid w:val="00AD4A5F"/>
    <w:rsid w:val="00AD4B25"/>
    <w:rsid w:val="00AD4B9F"/>
    <w:rsid w:val="00AD4C5B"/>
    <w:rsid w:val="00AD4EE6"/>
    <w:rsid w:val="00AD50CE"/>
    <w:rsid w:val="00AD51C5"/>
    <w:rsid w:val="00AD5372"/>
    <w:rsid w:val="00AD549D"/>
    <w:rsid w:val="00AD54E3"/>
    <w:rsid w:val="00AD554E"/>
    <w:rsid w:val="00AD5570"/>
    <w:rsid w:val="00AD558F"/>
    <w:rsid w:val="00AD56C1"/>
    <w:rsid w:val="00AD56D9"/>
    <w:rsid w:val="00AD5789"/>
    <w:rsid w:val="00AD58E1"/>
    <w:rsid w:val="00AD5A20"/>
    <w:rsid w:val="00AD5B57"/>
    <w:rsid w:val="00AD5B8F"/>
    <w:rsid w:val="00AD5CB2"/>
    <w:rsid w:val="00AD5CEF"/>
    <w:rsid w:val="00AD5E28"/>
    <w:rsid w:val="00AD5E8D"/>
    <w:rsid w:val="00AD5FF8"/>
    <w:rsid w:val="00AD6323"/>
    <w:rsid w:val="00AD63C6"/>
    <w:rsid w:val="00AD656D"/>
    <w:rsid w:val="00AD662E"/>
    <w:rsid w:val="00AD686C"/>
    <w:rsid w:val="00AD6B4B"/>
    <w:rsid w:val="00AD6CEF"/>
    <w:rsid w:val="00AD6D1E"/>
    <w:rsid w:val="00AD6E37"/>
    <w:rsid w:val="00AD6F92"/>
    <w:rsid w:val="00AD701C"/>
    <w:rsid w:val="00AD7056"/>
    <w:rsid w:val="00AD737B"/>
    <w:rsid w:val="00AD73CE"/>
    <w:rsid w:val="00AD7523"/>
    <w:rsid w:val="00AD759D"/>
    <w:rsid w:val="00AD7657"/>
    <w:rsid w:val="00AD79FB"/>
    <w:rsid w:val="00AD7A82"/>
    <w:rsid w:val="00AD7BE4"/>
    <w:rsid w:val="00AD7C60"/>
    <w:rsid w:val="00AD7EF1"/>
    <w:rsid w:val="00AE0324"/>
    <w:rsid w:val="00AE03DD"/>
    <w:rsid w:val="00AE059B"/>
    <w:rsid w:val="00AE0753"/>
    <w:rsid w:val="00AE07F6"/>
    <w:rsid w:val="00AE0A43"/>
    <w:rsid w:val="00AE0C78"/>
    <w:rsid w:val="00AE0E1E"/>
    <w:rsid w:val="00AE0F0D"/>
    <w:rsid w:val="00AE0F3C"/>
    <w:rsid w:val="00AE11FB"/>
    <w:rsid w:val="00AE1D20"/>
    <w:rsid w:val="00AE1D7C"/>
    <w:rsid w:val="00AE1EA3"/>
    <w:rsid w:val="00AE219E"/>
    <w:rsid w:val="00AE22B7"/>
    <w:rsid w:val="00AE22C4"/>
    <w:rsid w:val="00AE238C"/>
    <w:rsid w:val="00AE23B9"/>
    <w:rsid w:val="00AE245B"/>
    <w:rsid w:val="00AE2478"/>
    <w:rsid w:val="00AE260F"/>
    <w:rsid w:val="00AE2913"/>
    <w:rsid w:val="00AE293D"/>
    <w:rsid w:val="00AE2950"/>
    <w:rsid w:val="00AE2BDB"/>
    <w:rsid w:val="00AE2CCC"/>
    <w:rsid w:val="00AE2D39"/>
    <w:rsid w:val="00AE2D7D"/>
    <w:rsid w:val="00AE2F03"/>
    <w:rsid w:val="00AE308E"/>
    <w:rsid w:val="00AE349B"/>
    <w:rsid w:val="00AE35BC"/>
    <w:rsid w:val="00AE3732"/>
    <w:rsid w:val="00AE374B"/>
    <w:rsid w:val="00AE37DE"/>
    <w:rsid w:val="00AE3870"/>
    <w:rsid w:val="00AE3F2F"/>
    <w:rsid w:val="00AE3F56"/>
    <w:rsid w:val="00AE3F60"/>
    <w:rsid w:val="00AE4232"/>
    <w:rsid w:val="00AE42E7"/>
    <w:rsid w:val="00AE4329"/>
    <w:rsid w:val="00AE46C3"/>
    <w:rsid w:val="00AE499B"/>
    <w:rsid w:val="00AE49F1"/>
    <w:rsid w:val="00AE49F8"/>
    <w:rsid w:val="00AE4ACD"/>
    <w:rsid w:val="00AE4B26"/>
    <w:rsid w:val="00AE4CF6"/>
    <w:rsid w:val="00AE4D47"/>
    <w:rsid w:val="00AE4F38"/>
    <w:rsid w:val="00AE4FD7"/>
    <w:rsid w:val="00AE50AB"/>
    <w:rsid w:val="00AE51A0"/>
    <w:rsid w:val="00AE5540"/>
    <w:rsid w:val="00AE5992"/>
    <w:rsid w:val="00AE5C9A"/>
    <w:rsid w:val="00AE5DA2"/>
    <w:rsid w:val="00AE5EFB"/>
    <w:rsid w:val="00AE5FA4"/>
    <w:rsid w:val="00AE6181"/>
    <w:rsid w:val="00AE626F"/>
    <w:rsid w:val="00AE66D2"/>
    <w:rsid w:val="00AE69C2"/>
    <w:rsid w:val="00AE69C5"/>
    <w:rsid w:val="00AE6A01"/>
    <w:rsid w:val="00AE6A7E"/>
    <w:rsid w:val="00AE6D4D"/>
    <w:rsid w:val="00AE6F5B"/>
    <w:rsid w:val="00AE7170"/>
    <w:rsid w:val="00AE719E"/>
    <w:rsid w:val="00AE719F"/>
    <w:rsid w:val="00AE75BB"/>
    <w:rsid w:val="00AE7646"/>
    <w:rsid w:val="00AE771F"/>
    <w:rsid w:val="00AE779B"/>
    <w:rsid w:val="00AE77D0"/>
    <w:rsid w:val="00AE78AA"/>
    <w:rsid w:val="00AE7C26"/>
    <w:rsid w:val="00AE7DF8"/>
    <w:rsid w:val="00AF0161"/>
    <w:rsid w:val="00AF01C0"/>
    <w:rsid w:val="00AF057A"/>
    <w:rsid w:val="00AF05D8"/>
    <w:rsid w:val="00AF0651"/>
    <w:rsid w:val="00AF0673"/>
    <w:rsid w:val="00AF072E"/>
    <w:rsid w:val="00AF078C"/>
    <w:rsid w:val="00AF08B2"/>
    <w:rsid w:val="00AF08DC"/>
    <w:rsid w:val="00AF0994"/>
    <w:rsid w:val="00AF0A14"/>
    <w:rsid w:val="00AF0B47"/>
    <w:rsid w:val="00AF0D33"/>
    <w:rsid w:val="00AF0DC4"/>
    <w:rsid w:val="00AF0DDC"/>
    <w:rsid w:val="00AF0F1A"/>
    <w:rsid w:val="00AF1105"/>
    <w:rsid w:val="00AF13A4"/>
    <w:rsid w:val="00AF13AF"/>
    <w:rsid w:val="00AF13E0"/>
    <w:rsid w:val="00AF1462"/>
    <w:rsid w:val="00AF15AC"/>
    <w:rsid w:val="00AF1690"/>
    <w:rsid w:val="00AF1777"/>
    <w:rsid w:val="00AF1B36"/>
    <w:rsid w:val="00AF1B3B"/>
    <w:rsid w:val="00AF1B74"/>
    <w:rsid w:val="00AF1F2F"/>
    <w:rsid w:val="00AF2116"/>
    <w:rsid w:val="00AF2131"/>
    <w:rsid w:val="00AF21B3"/>
    <w:rsid w:val="00AF21CA"/>
    <w:rsid w:val="00AF2424"/>
    <w:rsid w:val="00AF2A73"/>
    <w:rsid w:val="00AF2C5D"/>
    <w:rsid w:val="00AF2DA1"/>
    <w:rsid w:val="00AF2DB8"/>
    <w:rsid w:val="00AF2F0C"/>
    <w:rsid w:val="00AF30CA"/>
    <w:rsid w:val="00AF32E9"/>
    <w:rsid w:val="00AF34DB"/>
    <w:rsid w:val="00AF34E8"/>
    <w:rsid w:val="00AF37A5"/>
    <w:rsid w:val="00AF37CA"/>
    <w:rsid w:val="00AF37F8"/>
    <w:rsid w:val="00AF384D"/>
    <w:rsid w:val="00AF38B0"/>
    <w:rsid w:val="00AF38FA"/>
    <w:rsid w:val="00AF3B02"/>
    <w:rsid w:val="00AF3C22"/>
    <w:rsid w:val="00AF3D39"/>
    <w:rsid w:val="00AF3D89"/>
    <w:rsid w:val="00AF47E6"/>
    <w:rsid w:val="00AF4870"/>
    <w:rsid w:val="00AF4A8E"/>
    <w:rsid w:val="00AF4ADF"/>
    <w:rsid w:val="00AF4B9F"/>
    <w:rsid w:val="00AF4D18"/>
    <w:rsid w:val="00AF5070"/>
    <w:rsid w:val="00AF507C"/>
    <w:rsid w:val="00AF5097"/>
    <w:rsid w:val="00AF5145"/>
    <w:rsid w:val="00AF5165"/>
    <w:rsid w:val="00AF52FD"/>
    <w:rsid w:val="00AF535C"/>
    <w:rsid w:val="00AF5535"/>
    <w:rsid w:val="00AF55C3"/>
    <w:rsid w:val="00AF57C1"/>
    <w:rsid w:val="00AF5843"/>
    <w:rsid w:val="00AF5A04"/>
    <w:rsid w:val="00AF6141"/>
    <w:rsid w:val="00AF61E7"/>
    <w:rsid w:val="00AF6384"/>
    <w:rsid w:val="00AF63F4"/>
    <w:rsid w:val="00AF670D"/>
    <w:rsid w:val="00AF6A07"/>
    <w:rsid w:val="00AF6F0E"/>
    <w:rsid w:val="00AF72DC"/>
    <w:rsid w:val="00AF74B6"/>
    <w:rsid w:val="00AF7781"/>
    <w:rsid w:val="00AF78F5"/>
    <w:rsid w:val="00AF7CE7"/>
    <w:rsid w:val="00AF7F18"/>
    <w:rsid w:val="00AF7F57"/>
    <w:rsid w:val="00B0014E"/>
    <w:rsid w:val="00B00183"/>
    <w:rsid w:val="00B00251"/>
    <w:rsid w:val="00B0027C"/>
    <w:rsid w:val="00B004C9"/>
    <w:rsid w:val="00B00872"/>
    <w:rsid w:val="00B00AB8"/>
    <w:rsid w:val="00B00B47"/>
    <w:rsid w:val="00B00E60"/>
    <w:rsid w:val="00B00E77"/>
    <w:rsid w:val="00B00FEF"/>
    <w:rsid w:val="00B0107A"/>
    <w:rsid w:val="00B0114E"/>
    <w:rsid w:val="00B0131D"/>
    <w:rsid w:val="00B01361"/>
    <w:rsid w:val="00B01380"/>
    <w:rsid w:val="00B0143B"/>
    <w:rsid w:val="00B01455"/>
    <w:rsid w:val="00B017B0"/>
    <w:rsid w:val="00B018DB"/>
    <w:rsid w:val="00B019A2"/>
    <w:rsid w:val="00B01D39"/>
    <w:rsid w:val="00B01D5C"/>
    <w:rsid w:val="00B01E42"/>
    <w:rsid w:val="00B02032"/>
    <w:rsid w:val="00B020B6"/>
    <w:rsid w:val="00B02200"/>
    <w:rsid w:val="00B02504"/>
    <w:rsid w:val="00B02578"/>
    <w:rsid w:val="00B02AA9"/>
    <w:rsid w:val="00B02B20"/>
    <w:rsid w:val="00B02BEC"/>
    <w:rsid w:val="00B02C5C"/>
    <w:rsid w:val="00B02D54"/>
    <w:rsid w:val="00B03319"/>
    <w:rsid w:val="00B036E8"/>
    <w:rsid w:val="00B036F4"/>
    <w:rsid w:val="00B03C3F"/>
    <w:rsid w:val="00B03D98"/>
    <w:rsid w:val="00B03E64"/>
    <w:rsid w:val="00B03ECE"/>
    <w:rsid w:val="00B03EEA"/>
    <w:rsid w:val="00B040BE"/>
    <w:rsid w:val="00B04272"/>
    <w:rsid w:val="00B04277"/>
    <w:rsid w:val="00B043C6"/>
    <w:rsid w:val="00B04517"/>
    <w:rsid w:val="00B045A7"/>
    <w:rsid w:val="00B045AB"/>
    <w:rsid w:val="00B04620"/>
    <w:rsid w:val="00B04872"/>
    <w:rsid w:val="00B048D7"/>
    <w:rsid w:val="00B04939"/>
    <w:rsid w:val="00B04B08"/>
    <w:rsid w:val="00B04C3E"/>
    <w:rsid w:val="00B04C50"/>
    <w:rsid w:val="00B04CDB"/>
    <w:rsid w:val="00B04CE9"/>
    <w:rsid w:val="00B04D24"/>
    <w:rsid w:val="00B0527D"/>
    <w:rsid w:val="00B0537B"/>
    <w:rsid w:val="00B056B3"/>
    <w:rsid w:val="00B05773"/>
    <w:rsid w:val="00B0595D"/>
    <w:rsid w:val="00B059F2"/>
    <w:rsid w:val="00B05A8B"/>
    <w:rsid w:val="00B05DEE"/>
    <w:rsid w:val="00B05E7F"/>
    <w:rsid w:val="00B06114"/>
    <w:rsid w:val="00B06146"/>
    <w:rsid w:val="00B061BE"/>
    <w:rsid w:val="00B063C8"/>
    <w:rsid w:val="00B064AC"/>
    <w:rsid w:val="00B06562"/>
    <w:rsid w:val="00B065A6"/>
    <w:rsid w:val="00B0681A"/>
    <w:rsid w:val="00B068AE"/>
    <w:rsid w:val="00B0696F"/>
    <w:rsid w:val="00B06A54"/>
    <w:rsid w:val="00B06A8E"/>
    <w:rsid w:val="00B06A9E"/>
    <w:rsid w:val="00B06B0E"/>
    <w:rsid w:val="00B06F20"/>
    <w:rsid w:val="00B0736A"/>
    <w:rsid w:val="00B07794"/>
    <w:rsid w:val="00B07A05"/>
    <w:rsid w:val="00B07AC2"/>
    <w:rsid w:val="00B07AD7"/>
    <w:rsid w:val="00B07AEC"/>
    <w:rsid w:val="00B07B14"/>
    <w:rsid w:val="00B07B4B"/>
    <w:rsid w:val="00B07E4C"/>
    <w:rsid w:val="00B07EC9"/>
    <w:rsid w:val="00B07F42"/>
    <w:rsid w:val="00B10253"/>
    <w:rsid w:val="00B10463"/>
    <w:rsid w:val="00B104CA"/>
    <w:rsid w:val="00B1052E"/>
    <w:rsid w:val="00B1056E"/>
    <w:rsid w:val="00B1060F"/>
    <w:rsid w:val="00B1061D"/>
    <w:rsid w:val="00B1099E"/>
    <w:rsid w:val="00B10A0E"/>
    <w:rsid w:val="00B10A22"/>
    <w:rsid w:val="00B10B24"/>
    <w:rsid w:val="00B10B51"/>
    <w:rsid w:val="00B10B99"/>
    <w:rsid w:val="00B10C18"/>
    <w:rsid w:val="00B10D1C"/>
    <w:rsid w:val="00B10FE3"/>
    <w:rsid w:val="00B11161"/>
    <w:rsid w:val="00B117B1"/>
    <w:rsid w:val="00B11848"/>
    <w:rsid w:val="00B11985"/>
    <w:rsid w:val="00B11C08"/>
    <w:rsid w:val="00B11DED"/>
    <w:rsid w:val="00B11E77"/>
    <w:rsid w:val="00B11FA3"/>
    <w:rsid w:val="00B121BB"/>
    <w:rsid w:val="00B1240D"/>
    <w:rsid w:val="00B12427"/>
    <w:rsid w:val="00B12491"/>
    <w:rsid w:val="00B124E7"/>
    <w:rsid w:val="00B1256B"/>
    <w:rsid w:val="00B12621"/>
    <w:rsid w:val="00B12736"/>
    <w:rsid w:val="00B12A00"/>
    <w:rsid w:val="00B12B5A"/>
    <w:rsid w:val="00B12C1D"/>
    <w:rsid w:val="00B12DE4"/>
    <w:rsid w:val="00B13042"/>
    <w:rsid w:val="00B13256"/>
    <w:rsid w:val="00B132A4"/>
    <w:rsid w:val="00B135A6"/>
    <w:rsid w:val="00B1375C"/>
    <w:rsid w:val="00B137BF"/>
    <w:rsid w:val="00B13872"/>
    <w:rsid w:val="00B1395C"/>
    <w:rsid w:val="00B13A60"/>
    <w:rsid w:val="00B13B85"/>
    <w:rsid w:val="00B13CC3"/>
    <w:rsid w:val="00B13CF5"/>
    <w:rsid w:val="00B14022"/>
    <w:rsid w:val="00B142C9"/>
    <w:rsid w:val="00B1436B"/>
    <w:rsid w:val="00B14534"/>
    <w:rsid w:val="00B1465F"/>
    <w:rsid w:val="00B146DC"/>
    <w:rsid w:val="00B14AE9"/>
    <w:rsid w:val="00B14E23"/>
    <w:rsid w:val="00B14E2C"/>
    <w:rsid w:val="00B14FD8"/>
    <w:rsid w:val="00B1510E"/>
    <w:rsid w:val="00B151F9"/>
    <w:rsid w:val="00B15242"/>
    <w:rsid w:val="00B15261"/>
    <w:rsid w:val="00B153E0"/>
    <w:rsid w:val="00B1546F"/>
    <w:rsid w:val="00B158F8"/>
    <w:rsid w:val="00B159A9"/>
    <w:rsid w:val="00B15B0C"/>
    <w:rsid w:val="00B16489"/>
    <w:rsid w:val="00B1652D"/>
    <w:rsid w:val="00B16735"/>
    <w:rsid w:val="00B167FE"/>
    <w:rsid w:val="00B16926"/>
    <w:rsid w:val="00B1698F"/>
    <w:rsid w:val="00B169FA"/>
    <w:rsid w:val="00B16AC1"/>
    <w:rsid w:val="00B16EFC"/>
    <w:rsid w:val="00B16FA5"/>
    <w:rsid w:val="00B16FDE"/>
    <w:rsid w:val="00B170E1"/>
    <w:rsid w:val="00B17131"/>
    <w:rsid w:val="00B17603"/>
    <w:rsid w:val="00B176B5"/>
    <w:rsid w:val="00B178D7"/>
    <w:rsid w:val="00B17FD4"/>
    <w:rsid w:val="00B20168"/>
    <w:rsid w:val="00B205FB"/>
    <w:rsid w:val="00B206E4"/>
    <w:rsid w:val="00B2087D"/>
    <w:rsid w:val="00B20916"/>
    <w:rsid w:val="00B20997"/>
    <w:rsid w:val="00B20B4F"/>
    <w:rsid w:val="00B21103"/>
    <w:rsid w:val="00B21117"/>
    <w:rsid w:val="00B21185"/>
    <w:rsid w:val="00B211D7"/>
    <w:rsid w:val="00B211F9"/>
    <w:rsid w:val="00B212D4"/>
    <w:rsid w:val="00B212F6"/>
    <w:rsid w:val="00B2178E"/>
    <w:rsid w:val="00B21B25"/>
    <w:rsid w:val="00B21B82"/>
    <w:rsid w:val="00B21DA4"/>
    <w:rsid w:val="00B21E6D"/>
    <w:rsid w:val="00B21FFD"/>
    <w:rsid w:val="00B22099"/>
    <w:rsid w:val="00B22100"/>
    <w:rsid w:val="00B22254"/>
    <w:rsid w:val="00B225C4"/>
    <w:rsid w:val="00B225CD"/>
    <w:rsid w:val="00B226AA"/>
    <w:rsid w:val="00B22711"/>
    <w:rsid w:val="00B2276A"/>
    <w:rsid w:val="00B22B82"/>
    <w:rsid w:val="00B22BB1"/>
    <w:rsid w:val="00B22CE0"/>
    <w:rsid w:val="00B22CFB"/>
    <w:rsid w:val="00B22DF0"/>
    <w:rsid w:val="00B22E6A"/>
    <w:rsid w:val="00B22F04"/>
    <w:rsid w:val="00B230FD"/>
    <w:rsid w:val="00B23560"/>
    <w:rsid w:val="00B23712"/>
    <w:rsid w:val="00B2371F"/>
    <w:rsid w:val="00B238FF"/>
    <w:rsid w:val="00B2397C"/>
    <w:rsid w:val="00B23C28"/>
    <w:rsid w:val="00B23CA2"/>
    <w:rsid w:val="00B23F2B"/>
    <w:rsid w:val="00B23F5A"/>
    <w:rsid w:val="00B2400E"/>
    <w:rsid w:val="00B2421F"/>
    <w:rsid w:val="00B2446E"/>
    <w:rsid w:val="00B246D0"/>
    <w:rsid w:val="00B247EE"/>
    <w:rsid w:val="00B2491E"/>
    <w:rsid w:val="00B249A0"/>
    <w:rsid w:val="00B24A6C"/>
    <w:rsid w:val="00B24ACA"/>
    <w:rsid w:val="00B24CC2"/>
    <w:rsid w:val="00B24FC8"/>
    <w:rsid w:val="00B254C5"/>
    <w:rsid w:val="00B256F2"/>
    <w:rsid w:val="00B25860"/>
    <w:rsid w:val="00B258B2"/>
    <w:rsid w:val="00B25903"/>
    <w:rsid w:val="00B25BF4"/>
    <w:rsid w:val="00B25D18"/>
    <w:rsid w:val="00B25FE3"/>
    <w:rsid w:val="00B26107"/>
    <w:rsid w:val="00B2627E"/>
    <w:rsid w:val="00B2632B"/>
    <w:rsid w:val="00B263B5"/>
    <w:rsid w:val="00B2663F"/>
    <w:rsid w:val="00B26663"/>
    <w:rsid w:val="00B26A2D"/>
    <w:rsid w:val="00B26B2E"/>
    <w:rsid w:val="00B26C46"/>
    <w:rsid w:val="00B275F2"/>
    <w:rsid w:val="00B2762E"/>
    <w:rsid w:val="00B27B4D"/>
    <w:rsid w:val="00B27C23"/>
    <w:rsid w:val="00B300CB"/>
    <w:rsid w:val="00B30288"/>
    <w:rsid w:val="00B30470"/>
    <w:rsid w:val="00B304D9"/>
    <w:rsid w:val="00B305A5"/>
    <w:rsid w:val="00B305EE"/>
    <w:rsid w:val="00B30612"/>
    <w:rsid w:val="00B30759"/>
    <w:rsid w:val="00B3078E"/>
    <w:rsid w:val="00B30839"/>
    <w:rsid w:val="00B308F5"/>
    <w:rsid w:val="00B309A2"/>
    <w:rsid w:val="00B30A6D"/>
    <w:rsid w:val="00B30AB2"/>
    <w:rsid w:val="00B30AF0"/>
    <w:rsid w:val="00B30B60"/>
    <w:rsid w:val="00B30B65"/>
    <w:rsid w:val="00B30BCB"/>
    <w:rsid w:val="00B30D78"/>
    <w:rsid w:val="00B30E20"/>
    <w:rsid w:val="00B311A9"/>
    <w:rsid w:val="00B311EC"/>
    <w:rsid w:val="00B3123E"/>
    <w:rsid w:val="00B312F7"/>
    <w:rsid w:val="00B31320"/>
    <w:rsid w:val="00B31553"/>
    <w:rsid w:val="00B315C8"/>
    <w:rsid w:val="00B3197B"/>
    <w:rsid w:val="00B31A0D"/>
    <w:rsid w:val="00B31ABB"/>
    <w:rsid w:val="00B31EAE"/>
    <w:rsid w:val="00B31F49"/>
    <w:rsid w:val="00B31F81"/>
    <w:rsid w:val="00B32293"/>
    <w:rsid w:val="00B322D4"/>
    <w:rsid w:val="00B324B9"/>
    <w:rsid w:val="00B32699"/>
    <w:rsid w:val="00B3274D"/>
    <w:rsid w:val="00B327C1"/>
    <w:rsid w:val="00B328DA"/>
    <w:rsid w:val="00B32961"/>
    <w:rsid w:val="00B329CF"/>
    <w:rsid w:val="00B32AAD"/>
    <w:rsid w:val="00B32B29"/>
    <w:rsid w:val="00B32BC9"/>
    <w:rsid w:val="00B32BFE"/>
    <w:rsid w:val="00B32C46"/>
    <w:rsid w:val="00B32C61"/>
    <w:rsid w:val="00B32E4E"/>
    <w:rsid w:val="00B32F59"/>
    <w:rsid w:val="00B3309F"/>
    <w:rsid w:val="00B331B3"/>
    <w:rsid w:val="00B332D4"/>
    <w:rsid w:val="00B332F2"/>
    <w:rsid w:val="00B333F7"/>
    <w:rsid w:val="00B3347C"/>
    <w:rsid w:val="00B334A6"/>
    <w:rsid w:val="00B334F3"/>
    <w:rsid w:val="00B33648"/>
    <w:rsid w:val="00B336A8"/>
    <w:rsid w:val="00B337D3"/>
    <w:rsid w:val="00B33B13"/>
    <w:rsid w:val="00B33EB1"/>
    <w:rsid w:val="00B3429E"/>
    <w:rsid w:val="00B34501"/>
    <w:rsid w:val="00B34598"/>
    <w:rsid w:val="00B345A9"/>
    <w:rsid w:val="00B345BF"/>
    <w:rsid w:val="00B3478F"/>
    <w:rsid w:val="00B34824"/>
    <w:rsid w:val="00B349B9"/>
    <w:rsid w:val="00B34B71"/>
    <w:rsid w:val="00B34C72"/>
    <w:rsid w:val="00B34DA9"/>
    <w:rsid w:val="00B34EB0"/>
    <w:rsid w:val="00B34EED"/>
    <w:rsid w:val="00B3500E"/>
    <w:rsid w:val="00B35035"/>
    <w:rsid w:val="00B35152"/>
    <w:rsid w:val="00B351D0"/>
    <w:rsid w:val="00B351F1"/>
    <w:rsid w:val="00B3525D"/>
    <w:rsid w:val="00B35389"/>
    <w:rsid w:val="00B35444"/>
    <w:rsid w:val="00B35502"/>
    <w:rsid w:val="00B3558B"/>
    <w:rsid w:val="00B356C2"/>
    <w:rsid w:val="00B35ADF"/>
    <w:rsid w:val="00B35BB6"/>
    <w:rsid w:val="00B35CC5"/>
    <w:rsid w:val="00B35D4E"/>
    <w:rsid w:val="00B35F34"/>
    <w:rsid w:val="00B361CC"/>
    <w:rsid w:val="00B36245"/>
    <w:rsid w:val="00B363EA"/>
    <w:rsid w:val="00B365F6"/>
    <w:rsid w:val="00B3668A"/>
    <w:rsid w:val="00B3675B"/>
    <w:rsid w:val="00B367DF"/>
    <w:rsid w:val="00B368FA"/>
    <w:rsid w:val="00B36903"/>
    <w:rsid w:val="00B36967"/>
    <w:rsid w:val="00B36ACF"/>
    <w:rsid w:val="00B36D96"/>
    <w:rsid w:val="00B36DB7"/>
    <w:rsid w:val="00B36F44"/>
    <w:rsid w:val="00B37012"/>
    <w:rsid w:val="00B37100"/>
    <w:rsid w:val="00B378B5"/>
    <w:rsid w:val="00B378F2"/>
    <w:rsid w:val="00B378FC"/>
    <w:rsid w:val="00B379D1"/>
    <w:rsid w:val="00B37B2D"/>
    <w:rsid w:val="00B37CB1"/>
    <w:rsid w:val="00B37E3B"/>
    <w:rsid w:val="00B37F20"/>
    <w:rsid w:val="00B40015"/>
    <w:rsid w:val="00B401FB"/>
    <w:rsid w:val="00B4036E"/>
    <w:rsid w:val="00B40641"/>
    <w:rsid w:val="00B406FC"/>
    <w:rsid w:val="00B40762"/>
    <w:rsid w:val="00B40815"/>
    <w:rsid w:val="00B408D4"/>
    <w:rsid w:val="00B409E6"/>
    <w:rsid w:val="00B40A1E"/>
    <w:rsid w:val="00B40C20"/>
    <w:rsid w:val="00B40C75"/>
    <w:rsid w:val="00B40E3B"/>
    <w:rsid w:val="00B40E9A"/>
    <w:rsid w:val="00B4111B"/>
    <w:rsid w:val="00B41257"/>
    <w:rsid w:val="00B4138C"/>
    <w:rsid w:val="00B413AB"/>
    <w:rsid w:val="00B414CC"/>
    <w:rsid w:val="00B417DE"/>
    <w:rsid w:val="00B4188B"/>
    <w:rsid w:val="00B4193F"/>
    <w:rsid w:val="00B41950"/>
    <w:rsid w:val="00B419CA"/>
    <w:rsid w:val="00B41AA0"/>
    <w:rsid w:val="00B41F3F"/>
    <w:rsid w:val="00B4228C"/>
    <w:rsid w:val="00B424F5"/>
    <w:rsid w:val="00B427F3"/>
    <w:rsid w:val="00B427FD"/>
    <w:rsid w:val="00B428A9"/>
    <w:rsid w:val="00B42EE8"/>
    <w:rsid w:val="00B42F59"/>
    <w:rsid w:val="00B42FB9"/>
    <w:rsid w:val="00B432BD"/>
    <w:rsid w:val="00B433CD"/>
    <w:rsid w:val="00B434BA"/>
    <w:rsid w:val="00B435F7"/>
    <w:rsid w:val="00B4366C"/>
    <w:rsid w:val="00B437B6"/>
    <w:rsid w:val="00B4384E"/>
    <w:rsid w:val="00B43A4B"/>
    <w:rsid w:val="00B43AC5"/>
    <w:rsid w:val="00B44340"/>
    <w:rsid w:val="00B4449F"/>
    <w:rsid w:val="00B445EA"/>
    <w:rsid w:val="00B446B7"/>
    <w:rsid w:val="00B44D5D"/>
    <w:rsid w:val="00B44DF8"/>
    <w:rsid w:val="00B44F1A"/>
    <w:rsid w:val="00B45475"/>
    <w:rsid w:val="00B45862"/>
    <w:rsid w:val="00B45990"/>
    <w:rsid w:val="00B45C3C"/>
    <w:rsid w:val="00B45F94"/>
    <w:rsid w:val="00B46558"/>
    <w:rsid w:val="00B465B4"/>
    <w:rsid w:val="00B467DD"/>
    <w:rsid w:val="00B468F0"/>
    <w:rsid w:val="00B468F1"/>
    <w:rsid w:val="00B46A01"/>
    <w:rsid w:val="00B46A99"/>
    <w:rsid w:val="00B46B38"/>
    <w:rsid w:val="00B46C3D"/>
    <w:rsid w:val="00B46EC6"/>
    <w:rsid w:val="00B470DD"/>
    <w:rsid w:val="00B47121"/>
    <w:rsid w:val="00B47135"/>
    <w:rsid w:val="00B4719B"/>
    <w:rsid w:val="00B47584"/>
    <w:rsid w:val="00B4758F"/>
    <w:rsid w:val="00B475A4"/>
    <w:rsid w:val="00B475AF"/>
    <w:rsid w:val="00B47AF2"/>
    <w:rsid w:val="00B47AFE"/>
    <w:rsid w:val="00B47C53"/>
    <w:rsid w:val="00B47CBA"/>
    <w:rsid w:val="00B47D3C"/>
    <w:rsid w:val="00B47FB6"/>
    <w:rsid w:val="00B501A4"/>
    <w:rsid w:val="00B501B7"/>
    <w:rsid w:val="00B502EF"/>
    <w:rsid w:val="00B506B2"/>
    <w:rsid w:val="00B50704"/>
    <w:rsid w:val="00B50910"/>
    <w:rsid w:val="00B50DA0"/>
    <w:rsid w:val="00B50FF0"/>
    <w:rsid w:val="00B51051"/>
    <w:rsid w:val="00B51086"/>
    <w:rsid w:val="00B51284"/>
    <w:rsid w:val="00B51388"/>
    <w:rsid w:val="00B51507"/>
    <w:rsid w:val="00B5164A"/>
    <w:rsid w:val="00B5195D"/>
    <w:rsid w:val="00B51BE7"/>
    <w:rsid w:val="00B51F88"/>
    <w:rsid w:val="00B52075"/>
    <w:rsid w:val="00B522DC"/>
    <w:rsid w:val="00B5262A"/>
    <w:rsid w:val="00B52A91"/>
    <w:rsid w:val="00B52CE1"/>
    <w:rsid w:val="00B52E54"/>
    <w:rsid w:val="00B52F42"/>
    <w:rsid w:val="00B52F99"/>
    <w:rsid w:val="00B530A5"/>
    <w:rsid w:val="00B531C3"/>
    <w:rsid w:val="00B53245"/>
    <w:rsid w:val="00B53307"/>
    <w:rsid w:val="00B53310"/>
    <w:rsid w:val="00B53471"/>
    <w:rsid w:val="00B53565"/>
    <w:rsid w:val="00B5379E"/>
    <w:rsid w:val="00B5381F"/>
    <w:rsid w:val="00B53827"/>
    <w:rsid w:val="00B53896"/>
    <w:rsid w:val="00B53A0D"/>
    <w:rsid w:val="00B53AFD"/>
    <w:rsid w:val="00B53B0B"/>
    <w:rsid w:val="00B53BA5"/>
    <w:rsid w:val="00B53DC3"/>
    <w:rsid w:val="00B54095"/>
    <w:rsid w:val="00B542B6"/>
    <w:rsid w:val="00B542DB"/>
    <w:rsid w:val="00B54324"/>
    <w:rsid w:val="00B5442C"/>
    <w:rsid w:val="00B5457D"/>
    <w:rsid w:val="00B547AF"/>
    <w:rsid w:val="00B5485D"/>
    <w:rsid w:val="00B54ACE"/>
    <w:rsid w:val="00B54B8D"/>
    <w:rsid w:val="00B54BD4"/>
    <w:rsid w:val="00B54E10"/>
    <w:rsid w:val="00B54F65"/>
    <w:rsid w:val="00B54FDD"/>
    <w:rsid w:val="00B55110"/>
    <w:rsid w:val="00B5516F"/>
    <w:rsid w:val="00B5526F"/>
    <w:rsid w:val="00B552A9"/>
    <w:rsid w:val="00B55333"/>
    <w:rsid w:val="00B5535A"/>
    <w:rsid w:val="00B5538D"/>
    <w:rsid w:val="00B553BD"/>
    <w:rsid w:val="00B559B7"/>
    <w:rsid w:val="00B55AB7"/>
    <w:rsid w:val="00B55AF7"/>
    <w:rsid w:val="00B55B51"/>
    <w:rsid w:val="00B55C0E"/>
    <w:rsid w:val="00B55C5F"/>
    <w:rsid w:val="00B55DC7"/>
    <w:rsid w:val="00B55E1F"/>
    <w:rsid w:val="00B55E78"/>
    <w:rsid w:val="00B5600B"/>
    <w:rsid w:val="00B56058"/>
    <w:rsid w:val="00B5642E"/>
    <w:rsid w:val="00B5647B"/>
    <w:rsid w:val="00B56854"/>
    <w:rsid w:val="00B56938"/>
    <w:rsid w:val="00B56C0F"/>
    <w:rsid w:val="00B56D2B"/>
    <w:rsid w:val="00B56DCB"/>
    <w:rsid w:val="00B57193"/>
    <w:rsid w:val="00B574DA"/>
    <w:rsid w:val="00B5757C"/>
    <w:rsid w:val="00B57585"/>
    <w:rsid w:val="00B57736"/>
    <w:rsid w:val="00B577CB"/>
    <w:rsid w:val="00B578A1"/>
    <w:rsid w:val="00B57D71"/>
    <w:rsid w:val="00B57DF9"/>
    <w:rsid w:val="00B57E2F"/>
    <w:rsid w:val="00B604B7"/>
    <w:rsid w:val="00B606D5"/>
    <w:rsid w:val="00B609BF"/>
    <w:rsid w:val="00B61053"/>
    <w:rsid w:val="00B610A3"/>
    <w:rsid w:val="00B610B5"/>
    <w:rsid w:val="00B61228"/>
    <w:rsid w:val="00B6124E"/>
    <w:rsid w:val="00B6126E"/>
    <w:rsid w:val="00B61423"/>
    <w:rsid w:val="00B618E8"/>
    <w:rsid w:val="00B61A47"/>
    <w:rsid w:val="00B61A5C"/>
    <w:rsid w:val="00B61AF0"/>
    <w:rsid w:val="00B61AF1"/>
    <w:rsid w:val="00B61BAB"/>
    <w:rsid w:val="00B61C6E"/>
    <w:rsid w:val="00B61E39"/>
    <w:rsid w:val="00B61E49"/>
    <w:rsid w:val="00B6216F"/>
    <w:rsid w:val="00B62668"/>
    <w:rsid w:val="00B6274B"/>
    <w:rsid w:val="00B62838"/>
    <w:rsid w:val="00B62B8D"/>
    <w:rsid w:val="00B62C55"/>
    <w:rsid w:val="00B62CF4"/>
    <w:rsid w:val="00B62E00"/>
    <w:rsid w:val="00B6303D"/>
    <w:rsid w:val="00B6307C"/>
    <w:rsid w:val="00B632B8"/>
    <w:rsid w:val="00B6334F"/>
    <w:rsid w:val="00B634D9"/>
    <w:rsid w:val="00B636A4"/>
    <w:rsid w:val="00B6372E"/>
    <w:rsid w:val="00B637DF"/>
    <w:rsid w:val="00B63826"/>
    <w:rsid w:val="00B63B03"/>
    <w:rsid w:val="00B63CB3"/>
    <w:rsid w:val="00B63F47"/>
    <w:rsid w:val="00B64141"/>
    <w:rsid w:val="00B64170"/>
    <w:rsid w:val="00B6426E"/>
    <w:rsid w:val="00B6445B"/>
    <w:rsid w:val="00B64552"/>
    <w:rsid w:val="00B64765"/>
    <w:rsid w:val="00B64E58"/>
    <w:rsid w:val="00B64E89"/>
    <w:rsid w:val="00B64F88"/>
    <w:rsid w:val="00B65020"/>
    <w:rsid w:val="00B65224"/>
    <w:rsid w:val="00B656AE"/>
    <w:rsid w:val="00B658AB"/>
    <w:rsid w:val="00B658D0"/>
    <w:rsid w:val="00B6596E"/>
    <w:rsid w:val="00B65997"/>
    <w:rsid w:val="00B65C7B"/>
    <w:rsid w:val="00B663D6"/>
    <w:rsid w:val="00B6653A"/>
    <w:rsid w:val="00B666EC"/>
    <w:rsid w:val="00B6681C"/>
    <w:rsid w:val="00B66836"/>
    <w:rsid w:val="00B668DF"/>
    <w:rsid w:val="00B6693B"/>
    <w:rsid w:val="00B66B72"/>
    <w:rsid w:val="00B66DE0"/>
    <w:rsid w:val="00B66DE9"/>
    <w:rsid w:val="00B66F82"/>
    <w:rsid w:val="00B66FFC"/>
    <w:rsid w:val="00B670D6"/>
    <w:rsid w:val="00B6711C"/>
    <w:rsid w:val="00B67421"/>
    <w:rsid w:val="00B67875"/>
    <w:rsid w:val="00B679EA"/>
    <w:rsid w:val="00B67AA4"/>
    <w:rsid w:val="00B67D42"/>
    <w:rsid w:val="00B67FA7"/>
    <w:rsid w:val="00B702C8"/>
    <w:rsid w:val="00B7046F"/>
    <w:rsid w:val="00B70786"/>
    <w:rsid w:val="00B70AFB"/>
    <w:rsid w:val="00B70BFB"/>
    <w:rsid w:val="00B70CDA"/>
    <w:rsid w:val="00B70E0F"/>
    <w:rsid w:val="00B70FA0"/>
    <w:rsid w:val="00B711FF"/>
    <w:rsid w:val="00B71520"/>
    <w:rsid w:val="00B7189E"/>
    <w:rsid w:val="00B718B3"/>
    <w:rsid w:val="00B71B69"/>
    <w:rsid w:val="00B71BE6"/>
    <w:rsid w:val="00B71C28"/>
    <w:rsid w:val="00B71E3D"/>
    <w:rsid w:val="00B71E79"/>
    <w:rsid w:val="00B71F82"/>
    <w:rsid w:val="00B72247"/>
    <w:rsid w:val="00B722B5"/>
    <w:rsid w:val="00B72306"/>
    <w:rsid w:val="00B727C9"/>
    <w:rsid w:val="00B72914"/>
    <w:rsid w:val="00B72A28"/>
    <w:rsid w:val="00B72AA8"/>
    <w:rsid w:val="00B72B07"/>
    <w:rsid w:val="00B72BA4"/>
    <w:rsid w:val="00B72C05"/>
    <w:rsid w:val="00B72E4E"/>
    <w:rsid w:val="00B72E69"/>
    <w:rsid w:val="00B73153"/>
    <w:rsid w:val="00B73383"/>
    <w:rsid w:val="00B73A42"/>
    <w:rsid w:val="00B73D18"/>
    <w:rsid w:val="00B73E5A"/>
    <w:rsid w:val="00B73F05"/>
    <w:rsid w:val="00B74085"/>
    <w:rsid w:val="00B74091"/>
    <w:rsid w:val="00B7411E"/>
    <w:rsid w:val="00B74300"/>
    <w:rsid w:val="00B74358"/>
    <w:rsid w:val="00B743CD"/>
    <w:rsid w:val="00B745AF"/>
    <w:rsid w:val="00B7468B"/>
    <w:rsid w:val="00B74AAA"/>
    <w:rsid w:val="00B74C13"/>
    <w:rsid w:val="00B74CF4"/>
    <w:rsid w:val="00B74D31"/>
    <w:rsid w:val="00B74ED2"/>
    <w:rsid w:val="00B75289"/>
    <w:rsid w:val="00B75584"/>
    <w:rsid w:val="00B756F2"/>
    <w:rsid w:val="00B759EA"/>
    <w:rsid w:val="00B75A8B"/>
    <w:rsid w:val="00B75BEB"/>
    <w:rsid w:val="00B75C87"/>
    <w:rsid w:val="00B75FE7"/>
    <w:rsid w:val="00B7610C"/>
    <w:rsid w:val="00B76167"/>
    <w:rsid w:val="00B76467"/>
    <w:rsid w:val="00B76491"/>
    <w:rsid w:val="00B7650C"/>
    <w:rsid w:val="00B767CD"/>
    <w:rsid w:val="00B768F1"/>
    <w:rsid w:val="00B76A49"/>
    <w:rsid w:val="00B76BC8"/>
    <w:rsid w:val="00B76FA6"/>
    <w:rsid w:val="00B770DF"/>
    <w:rsid w:val="00B77163"/>
    <w:rsid w:val="00B77207"/>
    <w:rsid w:val="00B772A2"/>
    <w:rsid w:val="00B772F0"/>
    <w:rsid w:val="00B77338"/>
    <w:rsid w:val="00B774CB"/>
    <w:rsid w:val="00B775BB"/>
    <w:rsid w:val="00B7778F"/>
    <w:rsid w:val="00B778DB"/>
    <w:rsid w:val="00B778F6"/>
    <w:rsid w:val="00B7798C"/>
    <w:rsid w:val="00B77CE3"/>
    <w:rsid w:val="00B80373"/>
    <w:rsid w:val="00B80375"/>
    <w:rsid w:val="00B803A7"/>
    <w:rsid w:val="00B80796"/>
    <w:rsid w:val="00B807F1"/>
    <w:rsid w:val="00B8082A"/>
    <w:rsid w:val="00B809BD"/>
    <w:rsid w:val="00B80A24"/>
    <w:rsid w:val="00B80C02"/>
    <w:rsid w:val="00B80D75"/>
    <w:rsid w:val="00B80D92"/>
    <w:rsid w:val="00B80DEB"/>
    <w:rsid w:val="00B80E28"/>
    <w:rsid w:val="00B80F5D"/>
    <w:rsid w:val="00B80FA3"/>
    <w:rsid w:val="00B80FD1"/>
    <w:rsid w:val="00B80FF8"/>
    <w:rsid w:val="00B81020"/>
    <w:rsid w:val="00B81082"/>
    <w:rsid w:val="00B8125B"/>
    <w:rsid w:val="00B81412"/>
    <w:rsid w:val="00B818AB"/>
    <w:rsid w:val="00B81A03"/>
    <w:rsid w:val="00B81C62"/>
    <w:rsid w:val="00B81C78"/>
    <w:rsid w:val="00B81EBE"/>
    <w:rsid w:val="00B81F5D"/>
    <w:rsid w:val="00B8205C"/>
    <w:rsid w:val="00B822B8"/>
    <w:rsid w:val="00B825E9"/>
    <w:rsid w:val="00B82619"/>
    <w:rsid w:val="00B826B4"/>
    <w:rsid w:val="00B82781"/>
    <w:rsid w:val="00B82A92"/>
    <w:rsid w:val="00B82B7B"/>
    <w:rsid w:val="00B82BC2"/>
    <w:rsid w:val="00B82C1A"/>
    <w:rsid w:val="00B82D24"/>
    <w:rsid w:val="00B82E3D"/>
    <w:rsid w:val="00B82EE3"/>
    <w:rsid w:val="00B82F39"/>
    <w:rsid w:val="00B82F51"/>
    <w:rsid w:val="00B830A2"/>
    <w:rsid w:val="00B8358F"/>
    <w:rsid w:val="00B8361B"/>
    <w:rsid w:val="00B83666"/>
    <w:rsid w:val="00B83684"/>
    <w:rsid w:val="00B8371E"/>
    <w:rsid w:val="00B83814"/>
    <w:rsid w:val="00B83A66"/>
    <w:rsid w:val="00B83B1D"/>
    <w:rsid w:val="00B83C09"/>
    <w:rsid w:val="00B83C44"/>
    <w:rsid w:val="00B83DEA"/>
    <w:rsid w:val="00B83EC7"/>
    <w:rsid w:val="00B83FCA"/>
    <w:rsid w:val="00B841AE"/>
    <w:rsid w:val="00B84486"/>
    <w:rsid w:val="00B84996"/>
    <w:rsid w:val="00B84A3E"/>
    <w:rsid w:val="00B84AC5"/>
    <w:rsid w:val="00B84B18"/>
    <w:rsid w:val="00B84BD8"/>
    <w:rsid w:val="00B84EC4"/>
    <w:rsid w:val="00B85302"/>
    <w:rsid w:val="00B85359"/>
    <w:rsid w:val="00B853A2"/>
    <w:rsid w:val="00B853BB"/>
    <w:rsid w:val="00B85435"/>
    <w:rsid w:val="00B85458"/>
    <w:rsid w:val="00B85460"/>
    <w:rsid w:val="00B8558B"/>
    <w:rsid w:val="00B85739"/>
    <w:rsid w:val="00B8597B"/>
    <w:rsid w:val="00B85987"/>
    <w:rsid w:val="00B85B2A"/>
    <w:rsid w:val="00B85B47"/>
    <w:rsid w:val="00B85C02"/>
    <w:rsid w:val="00B85FCA"/>
    <w:rsid w:val="00B85FE1"/>
    <w:rsid w:val="00B86075"/>
    <w:rsid w:val="00B86252"/>
    <w:rsid w:val="00B86373"/>
    <w:rsid w:val="00B864B5"/>
    <w:rsid w:val="00B8653F"/>
    <w:rsid w:val="00B86665"/>
    <w:rsid w:val="00B8670F"/>
    <w:rsid w:val="00B8677B"/>
    <w:rsid w:val="00B86944"/>
    <w:rsid w:val="00B86DDD"/>
    <w:rsid w:val="00B871E2"/>
    <w:rsid w:val="00B87367"/>
    <w:rsid w:val="00B8737E"/>
    <w:rsid w:val="00B873D3"/>
    <w:rsid w:val="00B874F5"/>
    <w:rsid w:val="00B8752C"/>
    <w:rsid w:val="00B8762C"/>
    <w:rsid w:val="00B87630"/>
    <w:rsid w:val="00B87706"/>
    <w:rsid w:val="00B879E2"/>
    <w:rsid w:val="00B87AC1"/>
    <w:rsid w:val="00B87CEF"/>
    <w:rsid w:val="00B87F95"/>
    <w:rsid w:val="00B90022"/>
    <w:rsid w:val="00B90177"/>
    <w:rsid w:val="00B906B0"/>
    <w:rsid w:val="00B906F5"/>
    <w:rsid w:val="00B90BDB"/>
    <w:rsid w:val="00B90D46"/>
    <w:rsid w:val="00B912F9"/>
    <w:rsid w:val="00B916B7"/>
    <w:rsid w:val="00B91839"/>
    <w:rsid w:val="00B91A5D"/>
    <w:rsid w:val="00B9213D"/>
    <w:rsid w:val="00B9239D"/>
    <w:rsid w:val="00B9243F"/>
    <w:rsid w:val="00B92686"/>
    <w:rsid w:val="00B926CC"/>
    <w:rsid w:val="00B92A2E"/>
    <w:rsid w:val="00B92D45"/>
    <w:rsid w:val="00B92E8B"/>
    <w:rsid w:val="00B92F0B"/>
    <w:rsid w:val="00B930EE"/>
    <w:rsid w:val="00B931D2"/>
    <w:rsid w:val="00B931E4"/>
    <w:rsid w:val="00B93313"/>
    <w:rsid w:val="00B936DA"/>
    <w:rsid w:val="00B937E2"/>
    <w:rsid w:val="00B937F9"/>
    <w:rsid w:val="00B93966"/>
    <w:rsid w:val="00B93A86"/>
    <w:rsid w:val="00B93B98"/>
    <w:rsid w:val="00B93CA5"/>
    <w:rsid w:val="00B94117"/>
    <w:rsid w:val="00B943E1"/>
    <w:rsid w:val="00B9441F"/>
    <w:rsid w:val="00B9464F"/>
    <w:rsid w:val="00B94785"/>
    <w:rsid w:val="00B948FE"/>
    <w:rsid w:val="00B94961"/>
    <w:rsid w:val="00B949A6"/>
    <w:rsid w:val="00B94A5C"/>
    <w:rsid w:val="00B94B0D"/>
    <w:rsid w:val="00B94B8A"/>
    <w:rsid w:val="00B95010"/>
    <w:rsid w:val="00B950A7"/>
    <w:rsid w:val="00B9514A"/>
    <w:rsid w:val="00B9540C"/>
    <w:rsid w:val="00B95524"/>
    <w:rsid w:val="00B955A8"/>
    <w:rsid w:val="00B9579C"/>
    <w:rsid w:val="00B9583C"/>
    <w:rsid w:val="00B95901"/>
    <w:rsid w:val="00B95916"/>
    <w:rsid w:val="00B95930"/>
    <w:rsid w:val="00B95A2B"/>
    <w:rsid w:val="00B95AC9"/>
    <w:rsid w:val="00B95D76"/>
    <w:rsid w:val="00B95DFA"/>
    <w:rsid w:val="00B9610C"/>
    <w:rsid w:val="00B9611C"/>
    <w:rsid w:val="00B962C1"/>
    <w:rsid w:val="00B9641C"/>
    <w:rsid w:val="00B96499"/>
    <w:rsid w:val="00B96616"/>
    <w:rsid w:val="00B9686E"/>
    <w:rsid w:val="00B96964"/>
    <w:rsid w:val="00B9697F"/>
    <w:rsid w:val="00B96C92"/>
    <w:rsid w:val="00B96CDC"/>
    <w:rsid w:val="00B96E6E"/>
    <w:rsid w:val="00B97341"/>
    <w:rsid w:val="00B974D2"/>
    <w:rsid w:val="00B97520"/>
    <w:rsid w:val="00B977D2"/>
    <w:rsid w:val="00B97861"/>
    <w:rsid w:val="00B97A20"/>
    <w:rsid w:val="00B97A4A"/>
    <w:rsid w:val="00B97DC1"/>
    <w:rsid w:val="00B97DD6"/>
    <w:rsid w:val="00B97E09"/>
    <w:rsid w:val="00B97E69"/>
    <w:rsid w:val="00B97F25"/>
    <w:rsid w:val="00BA00F4"/>
    <w:rsid w:val="00BA00F9"/>
    <w:rsid w:val="00BA0462"/>
    <w:rsid w:val="00BA05CA"/>
    <w:rsid w:val="00BA0B76"/>
    <w:rsid w:val="00BA0D50"/>
    <w:rsid w:val="00BA1180"/>
    <w:rsid w:val="00BA143C"/>
    <w:rsid w:val="00BA154A"/>
    <w:rsid w:val="00BA1599"/>
    <w:rsid w:val="00BA15D3"/>
    <w:rsid w:val="00BA16A1"/>
    <w:rsid w:val="00BA16D0"/>
    <w:rsid w:val="00BA1812"/>
    <w:rsid w:val="00BA18A5"/>
    <w:rsid w:val="00BA1967"/>
    <w:rsid w:val="00BA1A55"/>
    <w:rsid w:val="00BA1E3D"/>
    <w:rsid w:val="00BA1E6C"/>
    <w:rsid w:val="00BA1F4A"/>
    <w:rsid w:val="00BA1F4E"/>
    <w:rsid w:val="00BA203A"/>
    <w:rsid w:val="00BA2050"/>
    <w:rsid w:val="00BA24E0"/>
    <w:rsid w:val="00BA2574"/>
    <w:rsid w:val="00BA257A"/>
    <w:rsid w:val="00BA2637"/>
    <w:rsid w:val="00BA2768"/>
    <w:rsid w:val="00BA2AC6"/>
    <w:rsid w:val="00BA2B45"/>
    <w:rsid w:val="00BA2D6D"/>
    <w:rsid w:val="00BA2EDC"/>
    <w:rsid w:val="00BA303A"/>
    <w:rsid w:val="00BA3114"/>
    <w:rsid w:val="00BA34BE"/>
    <w:rsid w:val="00BA3577"/>
    <w:rsid w:val="00BA3648"/>
    <w:rsid w:val="00BA36BE"/>
    <w:rsid w:val="00BA384A"/>
    <w:rsid w:val="00BA3989"/>
    <w:rsid w:val="00BA39D0"/>
    <w:rsid w:val="00BA3C2B"/>
    <w:rsid w:val="00BA3D04"/>
    <w:rsid w:val="00BA4560"/>
    <w:rsid w:val="00BA459A"/>
    <w:rsid w:val="00BA483E"/>
    <w:rsid w:val="00BA489F"/>
    <w:rsid w:val="00BA495C"/>
    <w:rsid w:val="00BA4D82"/>
    <w:rsid w:val="00BA4FCF"/>
    <w:rsid w:val="00BA50B4"/>
    <w:rsid w:val="00BA50E7"/>
    <w:rsid w:val="00BA5386"/>
    <w:rsid w:val="00BA56C1"/>
    <w:rsid w:val="00BA57CA"/>
    <w:rsid w:val="00BA59B8"/>
    <w:rsid w:val="00BA5B59"/>
    <w:rsid w:val="00BA5DAA"/>
    <w:rsid w:val="00BA60B7"/>
    <w:rsid w:val="00BA60C8"/>
    <w:rsid w:val="00BA61D3"/>
    <w:rsid w:val="00BA62AB"/>
    <w:rsid w:val="00BA63AC"/>
    <w:rsid w:val="00BA6662"/>
    <w:rsid w:val="00BA678B"/>
    <w:rsid w:val="00BA6902"/>
    <w:rsid w:val="00BA6A9E"/>
    <w:rsid w:val="00BA6B35"/>
    <w:rsid w:val="00BA6BFF"/>
    <w:rsid w:val="00BA6E3C"/>
    <w:rsid w:val="00BA6EFE"/>
    <w:rsid w:val="00BA6F58"/>
    <w:rsid w:val="00BA7073"/>
    <w:rsid w:val="00BA70E6"/>
    <w:rsid w:val="00BA71B4"/>
    <w:rsid w:val="00BA7441"/>
    <w:rsid w:val="00BA74E7"/>
    <w:rsid w:val="00BA781B"/>
    <w:rsid w:val="00BA7DD8"/>
    <w:rsid w:val="00BA7E22"/>
    <w:rsid w:val="00BA7E5B"/>
    <w:rsid w:val="00BB01E5"/>
    <w:rsid w:val="00BB01F4"/>
    <w:rsid w:val="00BB0389"/>
    <w:rsid w:val="00BB0483"/>
    <w:rsid w:val="00BB0545"/>
    <w:rsid w:val="00BB0786"/>
    <w:rsid w:val="00BB08C9"/>
    <w:rsid w:val="00BB099C"/>
    <w:rsid w:val="00BB0AFE"/>
    <w:rsid w:val="00BB0C88"/>
    <w:rsid w:val="00BB0CE5"/>
    <w:rsid w:val="00BB0D0B"/>
    <w:rsid w:val="00BB1004"/>
    <w:rsid w:val="00BB1006"/>
    <w:rsid w:val="00BB1326"/>
    <w:rsid w:val="00BB13AB"/>
    <w:rsid w:val="00BB1482"/>
    <w:rsid w:val="00BB169C"/>
    <w:rsid w:val="00BB18E6"/>
    <w:rsid w:val="00BB1912"/>
    <w:rsid w:val="00BB23D6"/>
    <w:rsid w:val="00BB2735"/>
    <w:rsid w:val="00BB28FF"/>
    <w:rsid w:val="00BB2A8C"/>
    <w:rsid w:val="00BB2BEC"/>
    <w:rsid w:val="00BB2D78"/>
    <w:rsid w:val="00BB2DD6"/>
    <w:rsid w:val="00BB325D"/>
    <w:rsid w:val="00BB34C6"/>
    <w:rsid w:val="00BB3602"/>
    <w:rsid w:val="00BB3707"/>
    <w:rsid w:val="00BB392B"/>
    <w:rsid w:val="00BB39F2"/>
    <w:rsid w:val="00BB3ABA"/>
    <w:rsid w:val="00BB3B80"/>
    <w:rsid w:val="00BB3B8C"/>
    <w:rsid w:val="00BB3C22"/>
    <w:rsid w:val="00BB3CD0"/>
    <w:rsid w:val="00BB3E57"/>
    <w:rsid w:val="00BB4169"/>
    <w:rsid w:val="00BB42AF"/>
    <w:rsid w:val="00BB4327"/>
    <w:rsid w:val="00BB446E"/>
    <w:rsid w:val="00BB44A6"/>
    <w:rsid w:val="00BB45DC"/>
    <w:rsid w:val="00BB461C"/>
    <w:rsid w:val="00BB473C"/>
    <w:rsid w:val="00BB48EF"/>
    <w:rsid w:val="00BB4AB4"/>
    <w:rsid w:val="00BB4C44"/>
    <w:rsid w:val="00BB4D0B"/>
    <w:rsid w:val="00BB4E64"/>
    <w:rsid w:val="00BB5113"/>
    <w:rsid w:val="00BB5204"/>
    <w:rsid w:val="00BB5330"/>
    <w:rsid w:val="00BB53D9"/>
    <w:rsid w:val="00BB5417"/>
    <w:rsid w:val="00BB5809"/>
    <w:rsid w:val="00BB586F"/>
    <w:rsid w:val="00BB5912"/>
    <w:rsid w:val="00BB5A5D"/>
    <w:rsid w:val="00BB5BE3"/>
    <w:rsid w:val="00BB5C6C"/>
    <w:rsid w:val="00BB5FC6"/>
    <w:rsid w:val="00BB5FE2"/>
    <w:rsid w:val="00BB6257"/>
    <w:rsid w:val="00BB62C3"/>
    <w:rsid w:val="00BB6379"/>
    <w:rsid w:val="00BB6386"/>
    <w:rsid w:val="00BB6418"/>
    <w:rsid w:val="00BB6738"/>
    <w:rsid w:val="00BB6867"/>
    <w:rsid w:val="00BB6BD1"/>
    <w:rsid w:val="00BB6C62"/>
    <w:rsid w:val="00BB6FBB"/>
    <w:rsid w:val="00BB700D"/>
    <w:rsid w:val="00BB71D7"/>
    <w:rsid w:val="00BB74E8"/>
    <w:rsid w:val="00BB7604"/>
    <w:rsid w:val="00BB77E5"/>
    <w:rsid w:val="00BB792B"/>
    <w:rsid w:val="00BB7BC7"/>
    <w:rsid w:val="00BB7C7B"/>
    <w:rsid w:val="00BC02DA"/>
    <w:rsid w:val="00BC0387"/>
    <w:rsid w:val="00BC0659"/>
    <w:rsid w:val="00BC0768"/>
    <w:rsid w:val="00BC0778"/>
    <w:rsid w:val="00BC0873"/>
    <w:rsid w:val="00BC0A20"/>
    <w:rsid w:val="00BC0A9A"/>
    <w:rsid w:val="00BC0E55"/>
    <w:rsid w:val="00BC0E85"/>
    <w:rsid w:val="00BC1111"/>
    <w:rsid w:val="00BC1649"/>
    <w:rsid w:val="00BC183E"/>
    <w:rsid w:val="00BC19F9"/>
    <w:rsid w:val="00BC2218"/>
    <w:rsid w:val="00BC2307"/>
    <w:rsid w:val="00BC23C8"/>
    <w:rsid w:val="00BC2418"/>
    <w:rsid w:val="00BC248A"/>
    <w:rsid w:val="00BC248F"/>
    <w:rsid w:val="00BC25F1"/>
    <w:rsid w:val="00BC25F8"/>
    <w:rsid w:val="00BC264F"/>
    <w:rsid w:val="00BC2715"/>
    <w:rsid w:val="00BC27FA"/>
    <w:rsid w:val="00BC285E"/>
    <w:rsid w:val="00BC2936"/>
    <w:rsid w:val="00BC299F"/>
    <w:rsid w:val="00BC2DAD"/>
    <w:rsid w:val="00BC3023"/>
    <w:rsid w:val="00BC30E7"/>
    <w:rsid w:val="00BC321E"/>
    <w:rsid w:val="00BC34E1"/>
    <w:rsid w:val="00BC3531"/>
    <w:rsid w:val="00BC3604"/>
    <w:rsid w:val="00BC3726"/>
    <w:rsid w:val="00BC3727"/>
    <w:rsid w:val="00BC3759"/>
    <w:rsid w:val="00BC38CB"/>
    <w:rsid w:val="00BC38FB"/>
    <w:rsid w:val="00BC3E52"/>
    <w:rsid w:val="00BC3FEC"/>
    <w:rsid w:val="00BC405E"/>
    <w:rsid w:val="00BC409A"/>
    <w:rsid w:val="00BC414C"/>
    <w:rsid w:val="00BC41FD"/>
    <w:rsid w:val="00BC437B"/>
    <w:rsid w:val="00BC43A0"/>
    <w:rsid w:val="00BC43C9"/>
    <w:rsid w:val="00BC46AD"/>
    <w:rsid w:val="00BC47C1"/>
    <w:rsid w:val="00BC48E5"/>
    <w:rsid w:val="00BC4A9A"/>
    <w:rsid w:val="00BC4B89"/>
    <w:rsid w:val="00BC4C56"/>
    <w:rsid w:val="00BC4F32"/>
    <w:rsid w:val="00BC501E"/>
    <w:rsid w:val="00BC507F"/>
    <w:rsid w:val="00BC50D7"/>
    <w:rsid w:val="00BC5178"/>
    <w:rsid w:val="00BC51BF"/>
    <w:rsid w:val="00BC521B"/>
    <w:rsid w:val="00BC5231"/>
    <w:rsid w:val="00BC53E4"/>
    <w:rsid w:val="00BC5578"/>
    <w:rsid w:val="00BC558A"/>
    <w:rsid w:val="00BC5700"/>
    <w:rsid w:val="00BC5B28"/>
    <w:rsid w:val="00BC5B8F"/>
    <w:rsid w:val="00BC5ED5"/>
    <w:rsid w:val="00BC5F11"/>
    <w:rsid w:val="00BC5FCE"/>
    <w:rsid w:val="00BC64FF"/>
    <w:rsid w:val="00BC653C"/>
    <w:rsid w:val="00BC6652"/>
    <w:rsid w:val="00BC681D"/>
    <w:rsid w:val="00BC6B9C"/>
    <w:rsid w:val="00BC6C56"/>
    <w:rsid w:val="00BC6C6F"/>
    <w:rsid w:val="00BC6D44"/>
    <w:rsid w:val="00BC6D75"/>
    <w:rsid w:val="00BC7556"/>
    <w:rsid w:val="00BC7586"/>
    <w:rsid w:val="00BC7950"/>
    <w:rsid w:val="00BC799D"/>
    <w:rsid w:val="00BC7A8F"/>
    <w:rsid w:val="00BC7C48"/>
    <w:rsid w:val="00BC7C5E"/>
    <w:rsid w:val="00BC7E0E"/>
    <w:rsid w:val="00BD0027"/>
    <w:rsid w:val="00BD01F9"/>
    <w:rsid w:val="00BD04B9"/>
    <w:rsid w:val="00BD05A3"/>
    <w:rsid w:val="00BD06D1"/>
    <w:rsid w:val="00BD0826"/>
    <w:rsid w:val="00BD08E5"/>
    <w:rsid w:val="00BD09EE"/>
    <w:rsid w:val="00BD0AA9"/>
    <w:rsid w:val="00BD0ADC"/>
    <w:rsid w:val="00BD0B26"/>
    <w:rsid w:val="00BD0BE1"/>
    <w:rsid w:val="00BD0E6E"/>
    <w:rsid w:val="00BD0E73"/>
    <w:rsid w:val="00BD0F22"/>
    <w:rsid w:val="00BD0F59"/>
    <w:rsid w:val="00BD1434"/>
    <w:rsid w:val="00BD14C4"/>
    <w:rsid w:val="00BD15A0"/>
    <w:rsid w:val="00BD1A0D"/>
    <w:rsid w:val="00BD1C10"/>
    <w:rsid w:val="00BD1CC0"/>
    <w:rsid w:val="00BD1DBC"/>
    <w:rsid w:val="00BD1F4C"/>
    <w:rsid w:val="00BD1F7A"/>
    <w:rsid w:val="00BD1FF4"/>
    <w:rsid w:val="00BD2139"/>
    <w:rsid w:val="00BD21B1"/>
    <w:rsid w:val="00BD21CC"/>
    <w:rsid w:val="00BD229C"/>
    <w:rsid w:val="00BD247E"/>
    <w:rsid w:val="00BD26E7"/>
    <w:rsid w:val="00BD2714"/>
    <w:rsid w:val="00BD276C"/>
    <w:rsid w:val="00BD2813"/>
    <w:rsid w:val="00BD28EB"/>
    <w:rsid w:val="00BD2A77"/>
    <w:rsid w:val="00BD2A80"/>
    <w:rsid w:val="00BD2AA2"/>
    <w:rsid w:val="00BD2ADC"/>
    <w:rsid w:val="00BD2D18"/>
    <w:rsid w:val="00BD2D51"/>
    <w:rsid w:val="00BD2EED"/>
    <w:rsid w:val="00BD30F9"/>
    <w:rsid w:val="00BD3117"/>
    <w:rsid w:val="00BD3305"/>
    <w:rsid w:val="00BD3318"/>
    <w:rsid w:val="00BD356D"/>
    <w:rsid w:val="00BD35CD"/>
    <w:rsid w:val="00BD35D3"/>
    <w:rsid w:val="00BD36A8"/>
    <w:rsid w:val="00BD372C"/>
    <w:rsid w:val="00BD375A"/>
    <w:rsid w:val="00BD3774"/>
    <w:rsid w:val="00BD391D"/>
    <w:rsid w:val="00BD3ABA"/>
    <w:rsid w:val="00BD3BD7"/>
    <w:rsid w:val="00BD3C34"/>
    <w:rsid w:val="00BD3CB9"/>
    <w:rsid w:val="00BD3DAB"/>
    <w:rsid w:val="00BD3E26"/>
    <w:rsid w:val="00BD3F53"/>
    <w:rsid w:val="00BD404F"/>
    <w:rsid w:val="00BD413B"/>
    <w:rsid w:val="00BD42CA"/>
    <w:rsid w:val="00BD448D"/>
    <w:rsid w:val="00BD44D0"/>
    <w:rsid w:val="00BD45F9"/>
    <w:rsid w:val="00BD4969"/>
    <w:rsid w:val="00BD4E4E"/>
    <w:rsid w:val="00BD4E8C"/>
    <w:rsid w:val="00BD4EAF"/>
    <w:rsid w:val="00BD4F1F"/>
    <w:rsid w:val="00BD5061"/>
    <w:rsid w:val="00BD5093"/>
    <w:rsid w:val="00BD5598"/>
    <w:rsid w:val="00BD56B6"/>
    <w:rsid w:val="00BD56E1"/>
    <w:rsid w:val="00BD579C"/>
    <w:rsid w:val="00BD5972"/>
    <w:rsid w:val="00BD5995"/>
    <w:rsid w:val="00BD5BB4"/>
    <w:rsid w:val="00BD5C2D"/>
    <w:rsid w:val="00BD5D3C"/>
    <w:rsid w:val="00BD5DC8"/>
    <w:rsid w:val="00BD5EF2"/>
    <w:rsid w:val="00BD5F47"/>
    <w:rsid w:val="00BD6239"/>
    <w:rsid w:val="00BD6287"/>
    <w:rsid w:val="00BD65B3"/>
    <w:rsid w:val="00BD69F8"/>
    <w:rsid w:val="00BD6B2E"/>
    <w:rsid w:val="00BD6B7D"/>
    <w:rsid w:val="00BD6CD8"/>
    <w:rsid w:val="00BD6D92"/>
    <w:rsid w:val="00BD6DA7"/>
    <w:rsid w:val="00BD7007"/>
    <w:rsid w:val="00BD707E"/>
    <w:rsid w:val="00BD71EC"/>
    <w:rsid w:val="00BD736D"/>
    <w:rsid w:val="00BD7526"/>
    <w:rsid w:val="00BD7685"/>
    <w:rsid w:val="00BD7785"/>
    <w:rsid w:val="00BD7907"/>
    <w:rsid w:val="00BD7931"/>
    <w:rsid w:val="00BD7932"/>
    <w:rsid w:val="00BD7D7B"/>
    <w:rsid w:val="00BD7DA9"/>
    <w:rsid w:val="00BD7E5F"/>
    <w:rsid w:val="00BD7F84"/>
    <w:rsid w:val="00BD7FF1"/>
    <w:rsid w:val="00BE00D2"/>
    <w:rsid w:val="00BE0315"/>
    <w:rsid w:val="00BE0478"/>
    <w:rsid w:val="00BE04B0"/>
    <w:rsid w:val="00BE0835"/>
    <w:rsid w:val="00BE0B1E"/>
    <w:rsid w:val="00BE0B46"/>
    <w:rsid w:val="00BE0C11"/>
    <w:rsid w:val="00BE0CD8"/>
    <w:rsid w:val="00BE0D41"/>
    <w:rsid w:val="00BE102F"/>
    <w:rsid w:val="00BE10A6"/>
    <w:rsid w:val="00BE1116"/>
    <w:rsid w:val="00BE1275"/>
    <w:rsid w:val="00BE1399"/>
    <w:rsid w:val="00BE16F6"/>
    <w:rsid w:val="00BE177F"/>
    <w:rsid w:val="00BE1A4A"/>
    <w:rsid w:val="00BE1B82"/>
    <w:rsid w:val="00BE1C1F"/>
    <w:rsid w:val="00BE1CD4"/>
    <w:rsid w:val="00BE205F"/>
    <w:rsid w:val="00BE2079"/>
    <w:rsid w:val="00BE2337"/>
    <w:rsid w:val="00BE2350"/>
    <w:rsid w:val="00BE2399"/>
    <w:rsid w:val="00BE2948"/>
    <w:rsid w:val="00BE2959"/>
    <w:rsid w:val="00BE2BF8"/>
    <w:rsid w:val="00BE2C39"/>
    <w:rsid w:val="00BE30D4"/>
    <w:rsid w:val="00BE3410"/>
    <w:rsid w:val="00BE34E0"/>
    <w:rsid w:val="00BE3578"/>
    <w:rsid w:val="00BE38B6"/>
    <w:rsid w:val="00BE3972"/>
    <w:rsid w:val="00BE3D2E"/>
    <w:rsid w:val="00BE3DB5"/>
    <w:rsid w:val="00BE3F76"/>
    <w:rsid w:val="00BE3FB9"/>
    <w:rsid w:val="00BE4274"/>
    <w:rsid w:val="00BE42C4"/>
    <w:rsid w:val="00BE461D"/>
    <w:rsid w:val="00BE4793"/>
    <w:rsid w:val="00BE4822"/>
    <w:rsid w:val="00BE4C3C"/>
    <w:rsid w:val="00BE4DDD"/>
    <w:rsid w:val="00BE4EF4"/>
    <w:rsid w:val="00BE5340"/>
    <w:rsid w:val="00BE569D"/>
    <w:rsid w:val="00BE5908"/>
    <w:rsid w:val="00BE5AC3"/>
    <w:rsid w:val="00BE5D0C"/>
    <w:rsid w:val="00BE5D68"/>
    <w:rsid w:val="00BE5D94"/>
    <w:rsid w:val="00BE5E08"/>
    <w:rsid w:val="00BE5E8F"/>
    <w:rsid w:val="00BE607D"/>
    <w:rsid w:val="00BE621E"/>
    <w:rsid w:val="00BE643C"/>
    <w:rsid w:val="00BE65AD"/>
    <w:rsid w:val="00BE65B5"/>
    <w:rsid w:val="00BE6691"/>
    <w:rsid w:val="00BE6702"/>
    <w:rsid w:val="00BE682E"/>
    <w:rsid w:val="00BE6947"/>
    <w:rsid w:val="00BE6B1B"/>
    <w:rsid w:val="00BE6B2D"/>
    <w:rsid w:val="00BE6B99"/>
    <w:rsid w:val="00BE6C2A"/>
    <w:rsid w:val="00BE6C48"/>
    <w:rsid w:val="00BE6DBA"/>
    <w:rsid w:val="00BE7106"/>
    <w:rsid w:val="00BE7128"/>
    <w:rsid w:val="00BE7354"/>
    <w:rsid w:val="00BE7641"/>
    <w:rsid w:val="00BE76E5"/>
    <w:rsid w:val="00BE77A8"/>
    <w:rsid w:val="00BE792D"/>
    <w:rsid w:val="00BE7B5F"/>
    <w:rsid w:val="00BE7ED5"/>
    <w:rsid w:val="00BF00FA"/>
    <w:rsid w:val="00BF0456"/>
    <w:rsid w:val="00BF045A"/>
    <w:rsid w:val="00BF05E4"/>
    <w:rsid w:val="00BF06EF"/>
    <w:rsid w:val="00BF085E"/>
    <w:rsid w:val="00BF08F7"/>
    <w:rsid w:val="00BF0E9B"/>
    <w:rsid w:val="00BF105F"/>
    <w:rsid w:val="00BF130F"/>
    <w:rsid w:val="00BF14AA"/>
    <w:rsid w:val="00BF1661"/>
    <w:rsid w:val="00BF185D"/>
    <w:rsid w:val="00BF1D0F"/>
    <w:rsid w:val="00BF1FE4"/>
    <w:rsid w:val="00BF20A0"/>
    <w:rsid w:val="00BF211D"/>
    <w:rsid w:val="00BF221C"/>
    <w:rsid w:val="00BF22E8"/>
    <w:rsid w:val="00BF2313"/>
    <w:rsid w:val="00BF2331"/>
    <w:rsid w:val="00BF23AF"/>
    <w:rsid w:val="00BF25BB"/>
    <w:rsid w:val="00BF25F6"/>
    <w:rsid w:val="00BF2665"/>
    <w:rsid w:val="00BF2770"/>
    <w:rsid w:val="00BF280E"/>
    <w:rsid w:val="00BF28DE"/>
    <w:rsid w:val="00BF2E70"/>
    <w:rsid w:val="00BF30B3"/>
    <w:rsid w:val="00BF30DF"/>
    <w:rsid w:val="00BF3120"/>
    <w:rsid w:val="00BF313E"/>
    <w:rsid w:val="00BF31A7"/>
    <w:rsid w:val="00BF3249"/>
    <w:rsid w:val="00BF363C"/>
    <w:rsid w:val="00BF3728"/>
    <w:rsid w:val="00BF37EF"/>
    <w:rsid w:val="00BF37F1"/>
    <w:rsid w:val="00BF37F4"/>
    <w:rsid w:val="00BF3AA5"/>
    <w:rsid w:val="00BF3C72"/>
    <w:rsid w:val="00BF3D12"/>
    <w:rsid w:val="00BF3DC4"/>
    <w:rsid w:val="00BF3FF4"/>
    <w:rsid w:val="00BF426D"/>
    <w:rsid w:val="00BF42BA"/>
    <w:rsid w:val="00BF42FC"/>
    <w:rsid w:val="00BF4515"/>
    <w:rsid w:val="00BF47E4"/>
    <w:rsid w:val="00BF4824"/>
    <w:rsid w:val="00BF487C"/>
    <w:rsid w:val="00BF4A16"/>
    <w:rsid w:val="00BF4A9F"/>
    <w:rsid w:val="00BF4C05"/>
    <w:rsid w:val="00BF4D9F"/>
    <w:rsid w:val="00BF4F11"/>
    <w:rsid w:val="00BF4F4A"/>
    <w:rsid w:val="00BF509A"/>
    <w:rsid w:val="00BF52BF"/>
    <w:rsid w:val="00BF53D4"/>
    <w:rsid w:val="00BF545D"/>
    <w:rsid w:val="00BF5556"/>
    <w:rsid w:val="00BF5623"/>
    <w:rsid w:val="00BF5650"/>
    <w:rsid w:val="00BF5857"/>
    <w:rsid w:val="00BF58E1"/>
    <w:rsid w:val="00BF5C33"/>
    <w:rsid w:val="00BF5CFC"/>
    <w:rsid w:val="00BF5D25"/>
    <w:rsid w:val="00BF5D98"/>
    <w:rsid w:val="00BF5DAF"/>
    <w:rsid w:val="00BF5F2F"/>
    <w:rsid w:val="00BF6066"/>
    <w:rsid w:val="00BF60A8"/>
    <w:rsid w:val="00BF637F"/>
    <w:rsid w:val="00BF66E7"/>
    <w:rsid w:val="00BF670F"/>
    <w:rsid w:val="00BF69F7"/>
    <w:rsid w:val="00BF7055"/>
    <w:rsid w:val="00BF765D"/>
    <w:rsid w:val="00BF7842"/>
    <w:rsid w:val="00BF7B44"/>
    <w:rsid w:val="00BF7BC3"/>
    <w:rsid w:val="00BF7C17"/>
    <w:rsid w:val="00BF7C35"/>
    <w:rsid w:val="00C00337"/>
    <w:rsid w:val="00C003B6"/>
    <w:rsid w:val="00C004C8"/>
    <w:rsid w:val="00C007DF"/>
    <w:rsid w:val="00C0081E"/>
    <w:rsid w:val="00C008B0"/>
    <w:rsid w:val="00C008C2"/>
    <w:rsid w:val="00C00911"/>
    <w:rsid w:val="00C00D72"/>
    <w:rsid w:val="00C00DEB"/>
    <w:rsid w:val="00C00E14"/>
    <w:rsid w:val="00C01179"/>
    <w:rsid w:val="00C011AB"/>
    <w:rsid w:val="00C0126B"/>
    <w:rsid w:val="00C012FC"/>
    <w:rsid w:val="00C013F8"/>
    <w:rsid w:val="00C01719"/>
    <w:rsid w:val="00C017F7"/>
    <w:rsid w:val="00C01AA7"/>
    <w:rsid w:val="00C01AC2"/>
    <w:rsid w:val="00C01C9F"/>
    <w:rsid w:val="00C01CB1"/>
    <w:rsid w:val="00C01E42"/>
    <w:rsid w:val="00C01EA5"/>
    <w:rsid w:val="00C01F85"/>
    <w:rsid w:val="00C01F9D"/>
    <w:rsid w:val="00C02087"/>
    <w:rsid w:val="00C02247"/>
    <w:rsid w:val="00C0281B"/>
    <w:rsid w:val="00C0281F"/>
    <w:rsid w:val="00C02A86"/>
    <w:rsid w:val="00C02AD4"/>
    <w:rsid w:val="00C02B20"/>
    <w:rsid w:val="00C02D03"/>
    <w:rsid w:val="00C02DE5"/>
    <w:rsid w:val="00C02ED6"/>
    <w:rsid w:val="00C031FD"/>
    <w:rsid w:val="00C033A8"/>
    <w:rsid w:val="00C03401"/>
    <w:rsid w:val="00C03786"/>
    <w:rsid w:val="00C03914"/>
    <w:rsid w:val="00C0394F"/>
    <w:rsid w:val="00C03AAA"/>
    <w:rsid w:val="00C03C5D"/>
    <w:rsid w:val="00C03DE7"/>
    <w:rsid w:val="00C04007"/>
    <w:rsid w:val="00C04101"/>
    <w:rsid w:val="00C041CB"/>
    <w:rsid w:val="00C0435F"/>
    <w:rsid w:val="00C04576"/>
    <w:rsid w:val="00C045DF"/>
    <w:rsid w:val="00C04661"/>
    <w:rsid w:val="00C04741"/>
    <w:rsid w:val="00C047D8"/>
    <w:rsid w:val="00C047F6"/>
    <w:rsid w:val="00C04857"/>
    <w:rsid w:val="00C0490C"/>
    <w:rsid w:val="00C04959"/>
    <w:rsid w:val="00C04AF9"/>
    <w:rsid w:val="00C04CE8"/>
    <w:rsid w:val="00C04FDB"/>
    <w:rsid w:val="00C050DF"/>
    <w:rsid w:val="00C05312"/>
    <w:rsid w:val="00C0531A"/>
    <w:rsid w:val="00C05375"/>
    <w:rsid w:val="00C055B5"/>
    <w:rsid w:val="00C0575C"/>
    <w:rsid w:val="00C05780"/>
    <w:rsid w:val="00C05828"/>
    <w:rsid w:val="00C05842"/>
    <w:rsid w:val="00C0590C"/>
    <w:rsid w:val="00C05923"/>
    <w:rsid w:val="00C059D3"/>
    <w:rsid w:val="00C059F9"/>
    <w:rsid w:val="00C05A96"/>
    <w:rsid w:val="00C05B1A"/>
    <w:rsid w:val="00C05C98"/>
    <w:rsid w:val="00C05D30"/>
    <w:rsid w:val="00C05DA3"/>
    <w:rsid w:val="00C05DCF"/>
    <w:rsid w:val="00C05EC0"/>
    <w:rsid w:val="00C05F6A"/>
    <w:rsid w:val="00C05FFD"/>
    <w:rsid w:val="00C0609D"/>
    <w:rsid w:val="00C061FD"/>
    <w:rsid w:val="00C062EC"/>
    <w:rsid w:val="00C06528"/>
    <w:rsid w:val="00C065CE"/>
    <w:rsid w:val="00C06848"/>
    <w:rsid w:val="00C068E4"/>
    <w:rsid w:val="00C0690C"/>
    <w:rsid w:val="00C06AEC"/>
    <w:rsid w:val="00C06AED"/>
    <w:rsid w:val="00C06D58"/>
    <w:rsid w:val="00C06D64"/>
    <w:rsid w:val="00C06E31"/>
    <w:rsid w:val="00C06F7C"/>
    <w:rsid w:val="00C06F95"/>
    <w:rsid w:val="00C07132"/>
    <w:rsid w:val="00C07215"/>
    <w:rsid w:val="00C075B0"/>
    <w:rsid w:val="00C07643"/>
    <w:rsid w:val="00C076DF"/>
    <w:rsid w:val="00C077C1"/>
    <w:rsid w:val="00C07973"/>
    <w:rsid w:val="00C07CED"/>
    <w:rsid w:val="00C07CF6"/>
    <w:rsid w:val="00C07D4B"/>
    <w:rsid w:val="00C07DAB"/>
    <w:rsid w:val="00C07E02"/>
    <w:rsid w:val="00C07F4D"/>
    <w:rsid w:val="00C101BF"/>
    <w:rsid w:val="00C101F1"/>
    <w:rsid w:val="00C10385"/>
    <w:rsid w:val="00C10661"/>
    <w:rsid w:val="00C106A0"/>
    <w:rsid w:val="00C107B4"/>
    <w:rsid w:val="00C108B3"/>
    <w:rsid w:val="00C10931"/>
    <w:rsid w:val="00C10944"/>
    <w:rsid w:val="00C1094D"/>
    <w:rsid w:val="00C109F3"/>
    <w:rsid w:val="00C10A3B"/>
    <w:rsid w:val="00C10AB3"/>
    <w:rsid w:val="00C10BDB"/>
    <w:rsid w:val="00C10CDA"/>
    <w:rsid w:val="00C10F40"/>
    <w:rsid w:val="00C11010"/>
    <w:rsid w:val="00C1124B"/>
    <w:rsid w:val="00C113B0"/>
    <w:rsid w:val="00C1159C"/>
    <w:rsid w:val="00C11760"/>
    <w:rsid w:val="00C11872"/>
    <w:rsid w:val="00C1187A"/>
    <w:rsid w:val="00C11B38"/>
    <w:rsid w:val="00C11BD0"/>
    <w:rsid w:val="00C11BD9"/>
    <w:rsid w:val="00C11FA6"/>
    <w:rsid w:val="00C12120"/>
    <w:rsid w:val="00C12726"/>
    <w:rsid w:val="00C12893"/>
    <w:rsid w:val="00C1289C"/>
    <w:rsid w:val="00C12A93"/>
    <w:rsid w:val="00C12ECC"/>
    <w:rsid w:val="00C12EF4"/>
    <w:rsid w:val="00C13033"/>
    <w:rsid w:val="00C13332"/>
    <w:rsid w:val="00C13493"/>
    <w:rsid w:val="00C1351A"/>
    <w:rsid w:val="00C13569"/>
    <w:rsid w:val="00C13668"/>
    <w:rsid w:val="00C13773"/>
    <w:rsid w:val="00C1379D"/>
    <w:rsid w:val="00C137B8"/>
    <w:rsid w:val="00C13960"/>
    <w:rsid w:val="00C139F1"/>
    <w:rsid w:val="00C13D8D"/>
    <w:rsid w:val="00C13EF4"/>
    <w:rsid w:val="00C140D0"/>
    <w:rsid w:val="00C142B3"/>
    <w:rsid w:val="00C142D1"/>
    <w:rsid w:val="00C142D7"/>
    <w:rsid w:val="00C14331"/>
    <w:rsid w:val="00C144D1"/>
    <w:rsid w:val="00C14569"/>
    <w:rsid w:val="00C145C6"/>
    <w:rsid w:val="00C147AD"/>
    <w:rsid w:val="00C149F1"/>
    <w:rsid w:val="00C14A45"/>
    <w:rsid w:val="00C14C80"/>
    <w:rsid w:val="00C14CA1"/>
    <w:rsid w:val="00C14DB9"/>
    <w:rsid w:val="00C14F45"/>
    <w:rsid w:val="00C15059"/>
    <w:rsid w:val="00C150E1"/>
    <w:rsid w:val="00C152F9"/>
    <w:rsid w:val="00C15365"/>
    <w:rsid w:val="00C1537D"/>
    <w:rsid w:val="00C158A5"/>
    <w:rsid w:val="00C15925"/>
    <w:rsid w:val="00C15BAB"/>
    <w:rsid w:val="00C15C19"/>
    <w:rsid w:val="00C15D49"/>
    <w:rsid w:val="00C15EEE"/>
    <w:rsid w:val="00C15F87"/>
    <w:rsid w:val="00C16160"/>
    <w:rsid w:val="00C1625A"/>
    <w:rsid w:val="00C164C3"/>
    <w:rsid w:val="00C166E6"/>
    <w:rsid w:val="00C16819"/>
    <w:rsid w:val="00C16862"/>
    <w:rsid w:val="00C1686A"/>
    <w:rsid w:val="00C16950"/>
    <w:rsid w:val="00C169A1"/>
    <w:rsid w:val="00C16A7A"/>
    <w:rsid w:val="00C16AFD"/>
    <w:rsid w:val="00C16C16"/>
    <w:rsid w:val="00C16CBA"/>
    <w:rsid w:val="00C17084"/>
    <w:rsid w:val="00C17130"/>
    <w:rsid w:val="00C17387"/>
    <w:rsid w:val="00C175B3"/>
    <w:rsid w:val="00C176B5"/>
    <w:rsid w:val="00C179E0"/>
    <w:rsid w:val="00C179FE"/>
    <w:rsid w:val="00C17A61"/>
    <w:rsid w:val="00C17B31"/>
    <w:rsid w:val="00C17B7F"/>
    <w:rsid w:val="00C17B8D"/>
    <w:rsid w:val="00C201BB"/>
    <w:rsid w:val="00C2020A"/>
    <w:rsid w:val="00C20363"/>
    <w:rsid w:val="00C20424"/>
    <w:rsid w:val="00C204E2"/>
    <w:rsid w:val="00C20534"/>
    <w:rsid w:val="00C2060B"/>
    <w:rsid w:val="00C206EF"/>
    <w:rsid w:val="00C2075A"/>
    <w:rsid w:val="00C2094C"/>
    <w:rsid w:val="00C20A7B"/>
    <w:rsid w:val="00C20C03"/>
    <w:rsid w:val="00C20C8F"/>
    <w:rsid w:val="00C20D0F"/>
    <w:rsid w:val="00C20EF3"/>
    <w:rsid w:val="00C2141A"/>
    <w:rsid w:val="00C2141D"/>
    <w:rsid w:val="00C21742"/>
    <w:rsid w:val="00C21790"/>
    <w:rsid w:val="00C217BE"/>
    <w:rsid w:val="00C21B30"/>
    <w:rsid w:val="00C21CDE"/>
    <w:rsid w:val="00C21CEE"/>
    <w:rsid w:val="00C21D5F"/>
    <w:rsid w:val="00C21D90"/>
    <w:rsid w:val="00C21E4A"/>
    <w:rsid w:val="00C21EBC"/>
    <w:rsid w:val="00C21F6E"/>
    <w:rsid w:val="00C21FE3"/>
    <w:rsid w:val="00C2209F"/>
    <w:rsid w:val="00C22559"/>
    <w:rsid w:val="00C225B8"/>
    <w:rsid w:val="00C227EA"/>
    <w:rsid w:val="00C22997"/>
    <w:rsid w:val="00C22B9C"/>
    <w:rsid w:val="00C22D91"/>
    <w:rsid w:val="00C22E62"/>
    <w:rsid w:val="00C22FD3"/>
    <w:rsid w:val="00C23046"/>
    <w:rsid w:val="00C23069"/>
    <w:rsid w:val="00C2328C"/>
    <w:rsid w:val="00C23409"/>
    <w:rsid w:val="00C23417"/>
    <w:rsid w:val="00C2363F"/>
    <w:rsid w:val="00C237A6"/>
    <w:rsid w:val="00C2397D"/>
    <w:rsid w:val="00C23B3A"/>
    <w:rsid w:val="00C23B7E"/>
    <w:rsid w:val="00C23C93"/>
    <w:rsid w:val="00C23EFE"/>
    <w:rsid w:val="00C24261"/>
    <w:rsid w:val="00C24458"/>
    <w:rsid w:val="00C24554"/>
    <w:rsid w:val="00C24676"/>
    <w:rsid w:val="00C24862"/>
    <w:rsid w:val="00C2490A"/>
    <w:rsid w:val="00C2496F"/>
    <w:rsid w:val="00C24B9F"/>
    <w:rsid w:val="00C24C30"/>
    <w:rsid w:val="00C24CC7"/>
    <w:rsid w:val="00C24ECC"/>
    <w:rsid w:val="00C25074"/>
    <w:rsid w:val="00C25190"/>
    <w:rsid w:val="00C25191"/>
    <w:rsid w:val="00C251E1"/>
    <w:rsid w:val="00C2526A"/>
    <w:rsid w:val="00C2553F"/>
    <w:rsid w:val="00C255DE"/>
    <w:rsid w:val="00C255EB"/>
    <w:rsid w:val="00C25650"/>
    <w:rsid w:val="00C2583C"/>
    <w:rsid w:val="00C25943"/>
    <w:rsid w:val="00C25DC3"/>
    <w:rsid w:val="00C25DCE"/>
    <w:rsid w:val="00C26141"/>
    <w:rsid w:val="00C2616B"/>
    <w:rsid w:val="00C26565"/>
    <w:rsid w:val="00C2675E"/>
    <w:rsid w:val="00C268D2"/>
    <w:rsid w:val="00C26B2D"/>
    <w:rsid w:val="00C26C0D"/>
    <w:rsid w:val="00C26D92"/>
    <w:rsid w:val="00C2739E"/>
    <w:rsid w:val="00C27561"/>
    <w:rsid w:val="00C276CE"/>
    <w:rsid w:val="00C277DC"/>
    <w:rsid w:val="00C2795C"/>
    <w:rsid w:val="00C27B30"/>
    <w:rsid w:val="00C27BB3"/>
    <w:rsid w:val="00C27BD2"/>
    <w:rsid w:val="00C27C7B"/>
    <w:rsid w:val="00C27CD0"/>
    <w:rsid w:val="00C27E29"/>
    <w:rsid w:val="00C27F29"/>
    <w:rsid w:val="00C27F5A"/>
    <w:rsid w:val="00C27FF8"/>
    <w:rsid w:val="00C30291"/>
    <w:rsid w:val="00C302DF"/>
    <w:rsid w:val="00C30321"/>
    <w:rsid w:val="00C30590"/>
    <w:rsid w:val="00C30783"/>
    <w:rsid w:val="00C30829"/>
    <w:rsid w:val="00C3094A"/>
    <w:rsid w:val="00C3095D"/>
    <w:rsid w:val="00C309E6"/>
    <w:rsid w:val="00C30B5A"/>
    <w:rsid w:val="00C30B69"/>
    <w:rsid w:val="00C30B84"/>
    <w:rsid w:val="00C30F1B"/>
    <w:rsid w:val="00C31366"/>
    <w:rsid w:val="00C31457"/>
    <w:rsid w:val="00C3150A"/>
    <w:rsid w:val="00C3158A"/>
    <w:rsid w:val="00C315D7"/>
    <w:rsid w:val="00C315D8"/>
    <w:rsid w:val="00C3179F"/>
    <w:rsid w:val="00C31800"/>
    <w:rsid w:val="00C319B3"/>
    <w:rsid w:val="00C31C5B"/>
    <w:rsid w:val="00C31D20"/>
    <w:rsid w:val="00C32093"/>
    <w:rsid w:val="00C32689"/>
    <w:rsid w:val="00C327CD"/>
    <w:rsid w:val="00C327CF"/>
    <w:rsid w:val="00C32ABA"/>
    <w:rsid w:val="00C32B3E"/>
    <w:rsid w:val="00C32CE3"/>
    <w:rsid w:val="00C32D95"/>
    <w:rsid w:val="00C32E57"/>
    <w:rsid w:val="00C32FCD"/>
    <w:rsid w:val="00C33477"/>
    <w:rsid w:val="00C33523"/>
    <w:rsid w:val="00C3352A"/>
    <w:rsid w:val="00C3368A"/>
    <w:rsid w:val="00C337B8"/>
    <w:rsid w:val="00C33924"/>
    <w:rsid w:val="00C33B4B"/>
    <w:rsid w:val="00C33B76"/>
    <w:rsid w:val="00C33E79"/>
    <w:rsid w:val="00C33F82"/>
    <w:rsid w:val="00C34038"/>
    <w:rsid w:val="00C34155"/>
    <w:rsid w:val="00C34419"/>
    <w:rsid w:val="00C34750"/>
    <w:rsid w:val="00C348D3"/>
    <w:rsid w:val="00C34923"/>
    <w:rsid w:val="00C34A79"/>
    <w:rsid w:val="00C34A99"/>
    <w:rsid w:val="00C34AA7"/>
    <w:rsid w:val="00C34AB4"/>
    <w:rsid w:val="00C34C73"/>
    <w:rsid w:val="00C3526C"/>
    <w:rsid w:val="00C35291"/>
    <w:rsid w:val="00C3530F"/>
    <w:rsid w:val="00C3545F"/>
    <w:rsid w:val="00C35A19"/>
    <w:rsid w:val="00C35B9B"/>
    <w:rsid w:val="00C35D99"/>
    <w:rsid w:val="00C3604F"/>
    <w:rsid w:val="00C360E1"/>
    <w:rsid w:val="00C36126"/>
    <w:rsid w:val="00C36262"/>
    <w:rsid w:val="00C364BE"/>
    <w:rsid w:val="00C36539"/>
    <w:rsid w:val="00C36744"/>
    <w:rsid w:val="00C3690E"/>
    <w:rsid w:val="00C369D9"/>
    <w:rsid w:val="00C36CB2"/>
    <w:rsid w:val="00C36D88"/>
    <w:rsid w:val="00C37087"/>
    <w:rsid w:val="00C37175"/>
    <w:rsid w:val="00C372D9"/>
    <w:rsid w:val="00C3734B"/>
    <w:rsid w:val="00C37764"/>
    <w:rsid w:val="00C37A73"/>
    <w:rsid w:val="00C37C2F"/>
    <w:rsid w:val="00C37CE8"/>
    <w:rsid w:val="00C37DEC"/>
    <w:rsid w:val="00C37FF2"/>
    <w:rsid w:val="00C4025E"/>
    <w:rsid w:val="00C40317"/>
    <w:rsid w:val="00C404D7"/>
    <w:rsid w:val="00C404DD"/>
    <w:rsid w:val="00C407D8"/>
    <w:rsid w:val="00C40C5E"/>
    <w:rsid w:val="00C40C8E"/>
    <w:rsid w:val="00C40DFA"/>
    <w:rsid w:val="00C41305"/>
    <w:rsid w:val="00C413A9"/>
    <w:rsid w:val="00C417AC"/>
    <w:rsid w:val="00C41845"/>
    <w:rsid w:val="00C4192B"/>
    <w:rsid w:val="00C41A9E"/>
    <w:rsid w:val="00C41B48"/>
    <w:rsid w:val="00C41C26"/>
    <w:rsid w:val="00C42069"/>
    <w:rsid w:val="00C4216A"/>
    <w:rsid w:val="00C421FD"/>
    <w:rsid w:val="00C4229E"/>
    <w:rsid w:val="00C429DE"/>
    <w:rsid w:val="00C42E34"/>
    <w:rsid w:val="00C42F0A"/>
    <w:rsid w:val="00C431AE"/>
    <w:rsid w:val="00C4339D"/>
    <w:rsid w:val="00C433BE"/>
    <w:rsid w:val="00C4343F"/>
    <w:rsid w:val="00C436AD"/>
    <w:rsid w:val="00C43716"/>
    <w:rsid w:val="00C437DF"/>
    <w:rsid w:val="00C439F5"/>
    <w:rsid w:val="00C43A25"/>
    <w:rsid w:val="00C43C1F"/>
    <w:rsid w:val="00C43EA7"/>
    <w:rsid w:val="00C4423F"/>
    <w:rsid w:val="00C443D4"/>
    <w:rsid w:val="00C443D9"/>
    <w:rsid w:val="00C44472"/>
    <w:rsid w:val="00C4478B"/>
    <w:rsid w:val="00C44815"/>
    <w:rsid w:val="00C44896"/>
    <w:rsid w:val="00C44963"/>
    <w:rsid w:val="00C44B03"/>
    <w:rsid w:val="00C44B1C"/>
    <w:rsid w:val="00C44B65"/>
    <w:rsid w:val="00C44C41"/>
    <w:rsid w:val="00C44D31"/>
    <w:rsid w:val="00C44D84"/>
    <w:rsid w:val="00C44E6C"/>
    <w:rsid w:val="00C44EB4"/>
    <w:rsid w:val="00C4554B"/>
    <w:rsid w:val="00C45621"/>
    <w:rsid w:val="00C45666"/>
    <w:rsid w:val="00C4571A"/>
    <w:rsid w:val="00C458F6"/>
    <w:rsid w:val="00C45BC0"/>
    <w:rsid w:val="00C45CA4"/>
    <w:rsid w:val="00C45CD8"/>
    <w:rsid w:val="00C45CE7"/>
    <w:rsid w:val="00C45D39"/>
    <w:rsid w:val="00C45DAA"/>
    <w:rsid w:val="00C45DE3"/>
    <w:rsid w:val="00C45DF6"/>
    <w:rsid w:val="00C45F69"/>
    <w:rsid w:val="00C460DB"/>
    <w:rsid w:val="00C4611B"/>
    <w:rsid w:val="00C4654A"/>
    <w:rsid w:val="00C46592"/>
    <w:rsid w:val="00C465E9"/>
    <w:rsid w:val="00C466C8"/>
    <w:rsid w:val="00C46778"/>
    <w:rsid w:val="00C468CF"/>
    <w:rsid w:val="00C46B98"/>
    <w:rsid w:val="00C46BF2"/>
    <w:rsid w:val="00C46D59"/>
    <w:rsid w:val="00C46D6A"/>
    <w:rsid w:val="00C46EDA"/>
    <w:rsid w:val="00C46EDC"/>
    <w:rsid w:val="00C46F80"/>
    <w:rsid w:val="00C46FFF"/>
    <w:rsid w:val="00C471DE"/>
    <w:rsid w:val="00C472F7"/>
    <w:rsid w:val="00C47525"/>
    <w:rsid w:val="00C47798"/>
    <w:rsid w:val="00C4788B"/>
    <w:rsid w:val="00C47B7A"/>
    <w:rsid w:val="00C47C0F"/>
    <w:rsid w:val="00C47D31"/>
    <w:rsid w:val="00C47FF1"/>
    <w:rsid w:val="00C500C8"/>
    <w:rsid w:val="00C503A0"/>
    <w:rsid w:val="00C503A2"/>
    <w:rsid w:val="00C506D0"/>
    <w:rsid w:val="00C5088F"/>
    <w:rsid w:val="00C50912"/>
    <w:rsid w:val="00C50AA5"/>
    <w:rsid w:val="00C50BA0"/>
    <w:rsid w:val="00C50C1A"/>
    <w:rsid w:val="00C50DCD"/>
    <w:rsid w:val="00C50F29"/>
    <w:rsid w:val="00C51009"/>
    <w:rsid w:val="00C51073"/>
    <w:rsid w:val="00C51194"/>
    <w:rsid w:val="00C511B2"/>
    <w:rsid w:val="00C511F7"/>
    <w:rsid w:val="00C51248"/>
    <w:rsid w:val="00C51274"/>
    <w:rsid w:val="00C51410"/>
    <w:rsid w:val="00C5149E"/>
    <w:rsid w:val="00C514F5"/>
    <w:rsid w:val="00C51513"/>
    <w:rsid w:val="00C515E0"/>
    <w:rsid w:val="00C51797"/>
    <w:rsid w:val="00C51901"/>
    <w:rsid w:val="00C519B6"/>
    <w:rsid w:val="00C51AF8"/>
    <w:rsid w:val="00C51B92"/>
    <w:rsid w:val="00C51C9B"/>
    <w:rsid w:val="00C51D4F"/>
    <w:rsid w:val="00C51E3F"/>
    <w:rsid w:val="00C51F9B"/>
    <w:rsid w:val="00C52262"/>
    <w:rsid w:val="00C52350"/>
    <w:rsid w:val="00C52512"/>
    <w:rsid w:val="00C52A1E"/>
    <w:rsid w:val="00C52AF6"/>
    <w:rsid w:val="00C52BC5"/>
    <w:rsid w:val="00C52CB3"/>
    <w:rsid w:val="00C52EB7"/>
    <w:rsid w:val="00C5311C"/>
    <w:rsid w:val="00C5314A"/>
    <w:rsid w:val="00C5317B"/>
    <w:rsid w:val="00C532E9"/>
    <w:rsid w:val="00C533F3"/>
    <w:rsid w:val="00C5363F"/>
    <w:rsid w:val="00C53948"/>
    <w:rsid w:val="00C53A69"/>
    <w:rsid w:val="00C53D5A"/>
    <w:rsid w:val="00C53EA9"/>
    <w:rsid w:val="00C542EF"/>
    <w:rsid w:val="00C54324"/>
    <w:rsid w:val="00C5446B"/>
    <w:rsid w:val="00C54541"/>
    <w:rsid w:val="00C545D9"/>
    <w:rsid w:val="00C54694"/>
    <w:rsid w:val="00C5477A"/>
    <w:rsid w:val="00C5485F"/>
    <w:rsid w:val="00C54CEE"/>
    <w:rsid w:val="00C54D65"/>
    <w:rsid w:val="00C54D88"/>
    <w:rsid w:val="00C54E66"/>
    <w:rsid w:val="00C55058"/>
    <w:rsid w:val="00C55246"/>
    <w:rsid w:val="00C5541C"/>
    <w:rsid w:val="00C55437"/>
    <w:rsid w:val="00C5561D"/>
    <w:rsid w:val="00C558AD"/>
    <w:rsid w:val="00C55982"/>
    <w:rsid w:val="00C55995"/>
    <w:rsid w:val="00C55CD2"/>
    <w:rsid w:val="00C55E6C"/>
    <w:rsid w:val="00C56178"/>
    <w:rsid w:val="00C56360"/>
    <w:rsid w:val="00C56694"/>
    <w:rsid w:val="00C56B7C"/>
    <w:rsid w:val="00C56DF0"/>
    <w:rsid w:val="00C56ED5"/>
    <w:rsid w:val="00C56FD4"/>
    <w:rsid w:val="00C57041"/>
    <w:rsid w:val="00C571BC"/>
    <w:rsid w:val="00C5725E"/>
    <w:rsid w:val="00C57462"/>
    <w:rsid w:val="00C57537"/>
    <w:rsid w:val="00C57538"/>
    <w:rsid w:val="00C57780"/>
    <w:rsid w:val="00C5790E"/>
    <w:rsid w:val="00C57A28"/>
    <w:rsid w:val="00C57CBE"/>
    <w:rsid w:val="00C57D22"/>
    <w:rsid w:val="00C57E06"/>
    <w:rsid w:val="00C57EB7"/>
    <w:rsid w:val="00C6000D"/>
    <w:rsid w:val="00C60214"/>
    <w:rsid w:val="00C602CF"/>
    <w:rsid w:val="00C6040E"/>
    <w:rsid w:val="00C60490"/>
    <w:rsid w:val="00C60714"/>
    <w:rsid w:val="00C60747"/>
    <w:rsid w:val="00C60916"/>
    <w:rsid w:val="00C6097B"/>
    <w:rsid w:val="00C60A89"/>
    <w:rsid w:val="00C60BEE"/>
    <w:rsid w:val="00C60F7A"/>
    <w:rsid w:val="00C61144"/>
    <w:rsid w:val="00C61255"/>
    <w:rsid w:val="00C6126A"/>
    <w:rsid w:val="00C614D6"/>
    <w:rsid w:val="00C61576"/>
    <w:rsid w:val="00C61652"/>
    <w:rsid w:val="00C61770"/>
    <w:rsid w:val="00C619DD"/>
    <w:rsid w:val="00C621D9"/>
    <w:rsid w:val="00C62347"/>
    <w:rsid w:val="00C62361"/>
    <w:rsid w:val="00C6240C"/>
    <w:rsid w:val="00C625A5"/>
    <w:rsid w:val="00C62624"/>
    <w:rsid w:val="00C62A79"/>
    <w:rsid w:val="00C62C5D"/>
    <w:rsid w:val="00C62D5E"/>
    <w:rsid w:val="00C62DDA"/>
    <w:rsid w:val="00C62FCB"/>
    <w:rsid w:val="00C63074"/>
    <w:rsid w:val="00C632A8"/>
    <w:rsid w:val="00C6335E"/>
    <w:rsid w:val="00C633EE"/>
    <w:rsid w:val="00C6344B"/>
    <w:rsid w:val="00C63454"/>
    <w:rsid w:val="00C634C2"/>
    <w:rsid w:val="00C63564"/>
    <w:rsid w:val="00C637A0"/>
    <w:rsid w:val="00C637E2"/>
    <w:rsid w:val="00C638CC"/>
    <w:rsid w:val="00C63AAE"/>
    <w:rsid w:val="00C63B68"/>
    <w:rsid w:val="00C63C7A"/>
    <w:rsid w:val="00C63DA7"/>
    <w:rsid w:val="00C63EA3"/>
    <w:rsid w:val="00C64371"/>
    <w:rsid w:val="00C644B0"/>
    <w:rsid w:val="00C645CB"/>
    <w:rsid w:val="00C64C4C"/>
    <w:rsid w:val="00C64D6D"/>
    <w:rsid w:val="00C64D74"/>
    <w:rsid w:val="00C64F4A"/>
    <w:rsid w:val="00C64FBC"/>
    <w:rsid w:val="00C651BB"/>
    <w:rsid w:val="00C653CF"/>
    <w:rsid w:val="00C657C2"/>
    <w:rsid w:val="00C658B8"/>
    <w:rsid w:val="00C6591F"/>
    <w:rsid w:val="00C65AEE"/>
    <w:rsid w:val="00C65BEA"/>
    <w:rsid w:val="00C65C84"/>
    <w:rsid w:val="00C65E1F"/>
    <w:rsid w:val="00C65F82"/>
    <w:rsid w:val="00C6607F"/>
    <w:rsid w:val="00C662DD"/>
    <w:rsid w:val="00C66313"/>
    <w:rsid w:val="00C666BB"/>
    <w:rsid w:val="00C666E5"/>
    <w:rsid w:val="00C6672B"/>
    <w:rsid w:val="00C66882"/>
    <w:rsid w:val="00C6696F"/>
    <w:rsid w:val="00C66B0C"/>
    <w:rsid w:val="00C66C0E"/>
    <w:rsid w:val="00C66CB5"/>
    <w:rsid w:val="00C66D34"/>
    <w:rsid w:val="00C66D3D"/>
    <w:rsid w:val="00C67515"/>
    <w:rsid w:val="00C6765E"/>
    <w:rsid w:val="00C676D7"/>
    <w:rsid w:val="00C6790E"/>
    <w:rsid w:val="00C67C63"/>
    <w:rsid w:val="00C67D5C"/>
    <w:rsid w:val="00C67DDA"/>
    <w:rsid w:val="00C70035"/>
    <w:rsid w:val="00C700B2"/>
    <w:rsid w:val="00C700F3"/>
    <w:rsid w:val="00C70246"/>
    <w:rsid w:val="00C705A8"/>
    <w:rsid w:val="00C706BA"/>
    <w:rsid w:val="00C70864"/>
    <w:rsid w:val="00C70A9C"/>
    <w:rsid w:val="00C70B01"/>
    <w:rsid w:val="00C70BF4"/>
    <w:rsid w:val="00C70C2F"/>
    <w:rsid w:val="00C70DBA"/>
    <w:rsid w:val="00C71061"/>
    <w:rsid w:val="00C71281"/>
    <w:rsid w:val="00C7136D"/>
    <w:rsid w:val="00C7143C"/>
    <w:rsid w:val="00C717CA"/>
    <w:rsid w:val="00C718D2"/>
    <w:rsid w:val="00C719FB"/>
    <w:rsid w:val="00C71A0E"/>
    <w:rsid w:val="00C71F3E"/>
    <w:rsid w:val="00C72180"/>
    <w:rsid w:val="00C72383"/>
    <w:rsid w:val="00C72864"/>
    <w:rsid w:val="00C72899"/>
    <w:rsid w:val="00C728EB"/>
    <w:rsid w:val="00C729F5"/>
    <w:rsid w:val="00C72B97"/>
    <w:rsid w:val="00C72E26"/>
    <w:rsid w:val="00C72E41"/>
    <w:rsid w:val="00C73069"/>
    <w:rsid w:val="00C73082"/>
    <w:rsid w:val="00C731B6"/>
    <w:rsid w:val="00C73210"/>
    <w:rsid w:val="00C7323A"/>
    <w:rsid w:val="00C73256"/>
    <w:rsid w:val="00C73365"/>
    <w:rsid w:val="00C733C3"/>
    <w:rsid w:val="00C7341F"/>
    <w:rsid w:val="00C73439"/>
    <w:rsid w:val="00C735CD"/>
    <w:rsid w:val="00C736F9"/>
    <w:rsid w:val="00C7375A"/>
    <w:rsid w:val="00C73CE0"/>
    <w:rsid w:val="00C73EAF"/>
    <w:rsid w:val="00C73F41"/>
    <w:rsid w:val="00C73FF3"/>
    <w:rsid w:val="00C74129"/>
    <w:rsid w:val="00C741DB"/>
    <w:rsid w:val="00C741F2"/>
    <w:rsid w:val="00C74439"/>
    <w:rsid w:val="00C745CB"/>
    <w:rsid w:val="00C7461C"/>
    <w:rsid w:val="00C74B75"/>
    <w:rsid w:val="00C74BCF"/>
    <w:rsid w:val="00C74D19"/>
    <w:rsid w:val="00C74D39"/>
    <w:rsid w:val="00C74D58"/>
    <w:rsid w:val="00C74FEF"/>
    <w:rsid w:val="00C752C3"/>
    <w:rsid w:val="00C752CE"/>
    <w:rsid w:val="00C754DB"/>
    <w:rsid w:val="00C757DF"/>
    <w:rsid w:val="00C75817"/>
    <w:rsid w:val="00C75A11"/>
    <w:rsid w:val="00C75C12"/>
    <w:rsid w:val="00C75CFC"/>
    <w:rsid w:val="00C75D7F"/>
    <w:rsid w:val="00C75D85"/>
    <w:rsid w:val="00C75DEB"/>
    <w:rsid w:val="00C75F39"/>
    <w:rsid w:val="00C75F77"/>
    <w:rsid w:val="00C75F8C"/>
    <w:rsid w:val="00C76027"/>
    <w:rsid w:val="00C763E2"/>
    <w:rsid w:val="00C76462"/>
    <w:rsid w:val="00C764D1"/>
    <w:rsid w:val="00C7650A"/>
    <w:rsid w:val="00C76622"/>
    <w:rsid w:val="00C76623"/>
    <w:rsid w:val="00C7666E"/>
    <w:rsid w:val="00C76816"/>
    <w:rsid w:val="00C7690C"/>
    <w:rsid w:val="00C76A55"/>
    <w:rsid w:val="00C76B23"/>
    <w:rsid w:val="00C76E6D"/>
    <w:rsid w:val="00C76EE6"/>
    <w:rsid w:val="00C77286"/>
    <w:rsid w:val="00C773EA"/>
    <w:rsid w:val="00C7747A"/>
    <w:rsid w:val="00C774A3"/>
    <w:rsid w:val="00C77578"/>
    <w:rsid w:val="00C7765B"/>
    <w:rsid w:val="00C776A2"/>
    <w:rsid w:val="00C77A7C"/>
    <w:rsid w:val="00C77AE2"/>
    <w:rsid w:val="00C800BF"/>
    <w:rsid w:val="00C80295"/>
    <w:rsid w:val="00C80420"/>
    <w:rsid w:val="00C804B7"/>
    <w:rsid w:val="00C805F7"/>
    <w:rsid w:val="00C8060F"/>
    <w:rsid w:val="00C80728"/>
    <w:rsid w:val="00C807CA"/>
    <w:rsid w:val="00C8080D"/>
    <w:rsid w:val="00C80A54"/>
    <w:rsid w:val="00C80BD2"/>
    <w:rsid w:val="00C80C44"/>
    <w:rsid w:val="00C80CD6"/>
    <w:rsid w:val="00C80D78"/>
    <w:rsid w:val="00C80E37"/>
    <w:rsid w:val="00C80E89"/>
    <w:rsid w:val="00C80F70"/>
    <w:rsid w:val="00C81139"/>
    <w:rsid w:val="00C81364"/>
    <w:rsid w:val="00C81408"/>
    <w:rsid w:val="00C8147F"/>
    <w:rsid w:val="00C817C9"/>
    <w:rsid w:val="00C81962"/>
    <w:rsid w:val="00C819BE"/>
    <w:rsid w:val="00C81BFA"/>
    <w:rsid w:val="00C81EED"/>
    <w:rsid w:val="00C81F17"/>
    <w:rsid w:val="00C8204D"/>
    <w:rsid w:val="00C824D3"/>
    <w:rsid w:val="00C82571"/>
    <w:rsid w:val="00C82663"/>
    <w:rsid w:val="00C82707"/>
    <w:rsid w:val="00C8278C"/>
    <w:rsid w:val="00C828F8"/>
    <w:rsid w:val="00C8296E"/>
    <w:rsid w:val="00C829FD"/>
    <w:rsid w:val="00C82A05"/>
    <w:rsid w:val="00C82CE9"/>
    <w:rsid w:val="00C82DAB"/>
    <w:rsid w:val="00C82EB5"/>
    <w:rsid w:val="00C82F27"/>
    <w:rsid w:val="00C832C7"/>
    <w:rsid w:val="00C833A9"/>
    <w:rsid w:val="00C8345E"/>
    <w:rsid w:val="00C8372F"/>
    <w:rsid w:val="00C83928"/>
    <w:rsid w:val="00C83A8A"/>
    <w:rsid w:val="00C83B0B"/>
    <w:rsid w:val="00C83C17"/>
    <w:rsid w:val="00C83DE4"/>
    <w:rsid w:val="00C83E5C"/>
    <w:rsid w:val="00C83ECD"/>
    <w:rsid w:val="00C83FE0"/>
    <w:rsid w:val="00C84508"/>
    <w:rsid w:val="00C8469C"/>
    <w:rsid w:val="00C84B05"/>
    <w:rsid w:val="00C84B23"/>
    <w:rsid w:val="00C84D57"/>
    <w:rsid w:val="00C84D87"/>
    <w:rsid w:val="00C84DB8"/>
    <w:rsid w:val="00C85066"/>
    <w:rsid w:val="00C851C2"/>
    <w:rsid w:val="00C8525E"/>
    <w:rsid w:val="00C85397"/>
    <w:rsid w:val="00C85771"/>
    <w:rsid w:val="00C85819"/>
    <w:rsid w:val="00C858C5"/>
    <w:rsid w:val="00C85BDE"/>
    <w:rsid w:val="00C85C2B"/>
    <w:rsid w:val="00C85CC9"/>
    <w:rsid w:val="00C85D57"/>
    <w:rsid w:val="00C85EC3"/>
    <w:rsid w:val="00C85F44"/>
    <w:rsid w:val="00C86071"/>
    <w:rsid w:val="00C860A5"/>
    <w:rsid w:val="00C860ED"/>
    <w:rsid w:val="00C8625E"/>
    <w:rsid w:val="00C86AC5"/>
    <w:rsid w:val="00C86B3B"/>
    <w:rsid w:val="00C86B44"/>
    <w:rsid w:val="00C86C56"/>
    <w:rsid w:val="00C86CA6"/>
    <w:rsid w:val="00C86E13"/>
    <w:rsid w:val="00C86E79"/>
    <w:rsid w:val="00C86F5F"/>
    <w:rsid w:val="00C86F67"/>
    <w:rsid w:val="00C86F8E"/>
    <w:rsid w:val="00C87276"/>
    <w:rsid w:val="00C873F9"/>
    <w:rsid w:val="00C877E0"/>
    <w:rsid w:val="00C87CDE"/>
    <w:rsid w:val="00C87D6D"/>
    <w:rsid w:val="00C9010C"/>
    <w:rsid w:val="00C90157"/>
    <w:rsid w:val="00C901DE"/>
    <w:rsid w:val="00C9037D"/>
    <w:rsid w:val="00C903CF"/>
    <w:rsid w:val="00C90858"/>
    <w:rsid w:val="00C90989"/>
    <w:rsid w:val="00C9099A"/>
    <w:rsid w:val="00C90B27"/>
    <w:rsid w:val="00C90BFC"/>
    <w:rsid w:val="00C90D1B"/>
    <w:rsid w:val="00C90E59"/>
    <w:rsid w:val="00C90FCF"/>
    <w:rsid w:val="00C913A0"/>
    <w:rsid w:val="00C91551"/>
    <w:rsid w:val="00C91609"/>
    <w:rsid w:val="00C9185A"/>
    <w:rsid w:val="00C9190F"/>
    <w:rsid w:val="00C91AF3"/>
    <w:rsid w:val="00C91E6B"/>
    <w:rsid w:val="00C9219C"/>
    <w:rsid w:val="00C92228"/>
    <w:rsid w:val="00C923E9"/>
    <w:rsid w:val="00C92792"/>
    <w:rsid w:val="00C92981"/>
    <w:rsid w:val="00C92C18"/>
    <w:rsid w:val="00C933F1"/>
    <w:rsid w:val="00C93452"/>
    <w:rsid w:val="00C935C5"/>
    <w:rsid w:val="00C93929"/>
    <w:rsid w:val="00C93B6B"/>
    <w:rsid w:val="00C93C35"/>
    <w:rsid w:val="00C93E76"/>
    <w:rsid w:val="00C93F55"/>
    <w:rsid w:val="00C93F8A"/>
    <w:rsid w:val="00C940AD"/>
    <w:rsid w:val="00C94387"/>
    <w:rsid w:val="00C943B6"/>
    <w:rsid w:val="00C94443"/>
    <w:rsid w:val="00C9488F"/>
    <w:rsid w:val="00C94967"/>
    <w:rsid w:val="00C949AD"/>
    <w:rsid w:val="00C94BD7"/>
    <w:rsid w:val="00C94C3A"/>
    <w:rsid w:val="00C94D27"/>
    <w:rsid w:val="00C94FA2"/>
    <w:rsid w:val="00C95059"/>
    <w:rsid w:val="00C9521E"/>
    <w:rsid w:val="00C9528D"/>
    <w:rsid w:val="00C95376"/>
    <w:rsid w:val="00C95490"/>
    <w:rsid w:val="00C9566B"/>
    <w:rsid w:val="00C956CC"/>
    <w:rsid w:val="00C9571E"/>
    <w:rsid w:val="00C95BA8"/>
    <w:rsid w:val="00C95CC0"/>
    <w:rsid w:val="00C95D32"/>
    <w:rsid w:val="00C95E10"/>
    <w:rsid w:val="00C96170"/>
    <w:rsid w:val="00C962BB"/>
    <w:rsid w:val="00C965FF"/>
    <w:rsid w:val="00C96B06"/>
    <w:rsid w:val="00C96CFC"/>
    <w:rsid w:val="00C96D1C"/>
    <w:rsid w:val="00C96E18"/>
    <w:rsid w:val="00C9714F"/>
    <w:rsid w:val="00C9729E"/>
    <w:rsid w:val="00C9740F"/>
    <w:rsid w:val="00C978BE"/>
    <w:rsid w:val="00C97B90"/>
    <w:rsid w:val="00C97BC5"/>
    <w:rsid w:val="00C97C3D"/>
    <w:rsid w:val="00C97E94"/>
    <w:rsid w:val="00C97ED4"/>
    <w:rsid w:val="00CA065B"/>
    <w:rsid w:val="00CA069D"/>
    <w:rsid w:val="00CA0914"/>
    <w:rsid w:val="00CA0935"/>
    <w:rsid w:val="00CA094D"/>
    <w:rsid w:val="00CA0A83"/>
    <w:rsid w:val="00CA0AC7"/>
    <w:rsid w:val="00CA0B15"/>
    <w:rsid w:val="00CA0C3E"/>
    <w:rsid w:val="00CA0CA3"/>
    <w:rsid w:val="00CA0CC2"/>
    <w:rsid w:val="00CA0D4C"/>
    <w:rsid w:val="00CA0DA4"/>
    <w:rsid w:val="00CA0E09"/>
    <w:rsid w:val="00CA0FE2"/>
    <w:rsid w:val="00CA12EF"/>
    <w:rsid w:val="00CA1362"/>
    <w:rsid w:val="00CA13DA"/>
    <w:rsid w:val="00CA1473"/>
    <w:rsid w:val="00CA1A7C"/>
    <w:rsid w:val="00CA1E57"/>
    <w:rsid w:val="00CA1F62"/>
    <w:rsid w:val="00CA209B"/>
    <w:rsid w:val="00CA214A"/>
    <w:rsid w:val="00CA217E"/>
    <w:rsid w:val="00CA2194"/>
    <w:rsid w:val="00CA2208"/>
    <w:rsid w:val="00CA2359"/>
    <w:rsid w:val="00CA25EB"/>
    <w:rsid w:val="00CA2720"/>
    <w:rsid w:val="00CA29F3"/>
    <w:rsid w:val="00CA2AAD"/>
    <w:rsid w:val="00CA34EB"/>
    <w:rsid w:val="00CA358A"/>
    <w:rsid w:val="00CA3723"/>
    <w:rsid w:val="00CA3879"/>
    <w:rsid w:val="00CA3978"/>
    <w:rsid w:val="00CA39B9"/>
    <w:rsid w:val="00CA3A34"/>
    <w:rsid w:val="00CA3BB6"/>
    <w:rsid w:val="00CA3BB8"/>
    <w:rsid w:val="00CA3C41"/>
    <w:rsid w:val="00CA3E17"/>
    <w:rsid w:val="00CA3FF8"/>
    <w:rsid w:val="00CA41BB"/>
    <w:rsid w:val="00CA4382"/>
    <w:rsid w:val="00CA4AB9"/>
    <w:rsid w:val="00CA4B6E"/>
    <w:rsid w:val="00CA4B81"/>
    <w:rsid w:val="00CA4BDE"/>
    <w:rsid w:val="00CA4BFB"/>
    <w:rsid w:val="00CA5009"/>
    <w:rsid w:val="00CA5152"/>
    <w:rsid w:val="00CA56BB"/>
    <w:rsid w:val="00CA575A"/>
    <w:rsid w:val="00CA5799"/>
    <w:rsid w:val="00CA5853"/>
    <w:rsid w:val="00CA58F7"/>
    <w:rsid w:val="00CA595B"/>
    <w:rsid w:val="00CA5985"/>
    <w:rsid w:val="00CA5A56"/>
    <w:rsid w:val="00CA5A89"/>
    <w:rsid w:val="00CA5D37"/>
    <w:rsid w:val="00CA5DAD"/>
    <w:rsid w:val="00CA5EE9"/>
    <w:rsid w:val="00CA6425"/>
    <w:rsid w:val="00CA6510"/>
    <w:rsid w:val="00CA6833"/>
    <w:rsid w:val="00CA68D8"/>
    <w:rsid w:val="00CA694F"/>
    <w:rsid w:val="00CA6E2D"/>
    <w:rsid w:val="00CA6EA2"/>
    <w:rsid w:val="00CA7022"/>
    <w:rsid w:val="00CA7900"/>
    <w:rsid w:val="00CA793C"/>
    <w:rsid w:val="00CA7B63"/>
    <w:rsid w:val="00CA7CB3"/>
    <w:rsid w:val="00CB0081"/>
    <w:rsid w:val="00CB0087"/>
    <w:rsid w:val="00CB00E8"/>
    <w:rsid w:val="00CB0208"/>
    <w:rsid w:val="00CB022B"/>
    <w:rsid w:val="00CB02EE"/>
    <w:rsid w:val="00CB0326"/>
    <w:rsid w:val="00CB0395"/>
    <w:rsid w:val="00CB04F8"/>
    <w:rsid w:val="00CB063F"/>
    <w:rsid w:val="00CB0680"/>
    <w:rsid w:val="00CB06F8"/>
    <w:rsid w:val="00CB0856"/>
    <w:rsid w:val="00CB093D"/>
    <w:rsid w:val="00CB098A"/>
    <w:rsid w:val="00CB0A6F"/>
    <w:rsid w:val="00CB0C16"/>
    <w:rsid w:val="00CB0CA0"/>
    <w:rsid w:val="00CB0D8F"/>
    <w:rsid w:val="00CB0DE0"/>
    <w:rsid w:val="00CB0EA5"/>
    <w:rsid w:val="00CB0ED2"/>
    <w:rsid w:val="00CB1062"/>
    <w:rsid w:val="00CB12EC"/>
    <w:rsid w:val="00CB1464"/>
    <w:rsid w:val="00CB1514"/>
    <w:rsid w:val="00CB154E"/>
    <w:rsid w:val="00CB19A5"/>
    <w:rsid w:val="00CB1AF2"/>
    <w:rsid w:val="00CB1B46"/>
    <w:rsid w:val="00CB1C66"/>
    <w:rsid w:val="00CB1DAC"/>
    <w:rsid w:val="00CB1F38"/>
    <w:rsid w:val="00CB2079"/>
    <w:rsid w:val="00CB2182"/>
    <w:rsid w:val="00CB233E"/>
    <w:rsid w:val="00CB235B"/>
    <w:rsid w:val="00CB2389"/>
    <w:rsid w:val="00CB245B"/>
    <w:rsid w:val="00CB2496"/>
    <w:rsid w:val="00CB24F4"/>
    <w:rsid w:val="00CB2535"/>
    <w:rsid w:val="00CB256E"/>
    <w:rsid w:val="00CB29F3"/>
    <w:rsid w:val="00CB2A14"/>
    <w:rsid w:val="00CB2B21"/>
    <w:rsid w:val="00CB2B70"/>
    <w:rsid w:val="00CB2B89"/>
    <w:rsid w:val="00CB2B93"/>
    <w:rsid w:val="00CB2CEE"/>
    <w:rsid w:val="00CB2E20"/>
    <w:rsid w:val="00CB307A"/>
    <w:rsid w:val="00CB3237"/>
    <w:rsid w:val="00CB32A4"/>
    <w:rsid w:val="00CB3493"/>
    <w:rsid w:val="00CB3797"/>
    <w:rsid w:val="00CB3976"/>
    <w:rsid w:val="00CB3AE0"/>
    <w:rsid w:val="00CB3B77"/>
    <w:rsid w:val="00CB3F37"/>
    <w:rsid w:val="00CB40CA"/>
    <w:rsid w:val="00CB41B6"/>
    <w:rsid w:val="00CB41C0"/>
    <w:rsid w:val="00CB41C5"/>
    <w:rsid w:val="00CB42B3"/>
    <w:rsid w:val="00CB42ED"/>
    <w:rsid w:val="00CB44B9"/>
    <w:rsid w:val="00CB4556"/>
    <w:rsid w:val="00CB465C"/>
    <w:rsid w:val="00CB4AA5"/>
    <w:rsid w:val="00CB4C0E"/>
    <w:rsid w:val="00CB4CA6"/>
    <w:rsid w:val="00CB4E58"/>
    <w:rsid w:val="00CB5185"/>
    <w:rsid w:val="00CB5294"/>
    <w:rsid w:val="00CB52AE"/>
    <w:rsid w:val="00CB55DD"/>
    <w:rsid w:val="00CB55F7"/>
    <w:rsid w:val="00CB575D"/>
    <w:rsid w:val="00CB59A4"/>
    <w:rsid w:val="00CB5AED"/>
    <w:rsid w:val="00CB6318"/>
    <w:rsid w:val="00CB64AD"/>
    <w:rsid w:val="00CB656D"/>
    <w:rsid w:val="00CB65BE"/>
    <w:rsid w:val="00CB65F9"/>
    <w:rsid w:val="00CB67AC"/>
    <w:rsid w:val="00CB684D"/>
    <w:rsid w:val="00CB690E"/>
    <w:rsid w:val="00CB6913"/>
    <w:rsid w:val="00CB6BBF"/>
    <w:rsid w:val="00CB6D2D"/>
    <w:rsid w:val="00CB6D30"/>
    <w:rsid w:val="00CB6E64"/>
    <w:rsid w:val="00CB6F6C"/>
    <w:rsid w:val="00CB700B"/>
    <w:rsid w:val="00CB7050"/>
    <w:rsid w:val="00CB72B0"/>
    <w:rsid w:val="00CB74F6"/>
    <w:rsid w:val="00CB7733"/>
    <w:rsid w:val="00CB77F7"/>
    <w:rsid w:val="00CB78F5"/>
    <w:rsid w:val="00CB7908"/>
    <w:rsid w:val="00CB7A14"/>
    <w:rsid w:val="00CB7AF7"/>
    <w:rsid w:val="00CB7BB9"/>
    <w:rsid w:val="00CB7C8E"/>
    <w:rsid w:val="00CB7C91"/>
    <w:rsid w:val="00CB7CD3"/>
    <w:rsid w:val="00CC024B"/>
    <w:rsid w:val="00CC032D"/>
    <w:rsid w:val="00CC0456"/>
    <w:rsid w:val="00CC05C8"/>
    <w:rsid w:val="00CC0D63"/>
    <w:rsid w:val="00CC0F10"/>
    <w:rsid w:val="00CC1031"/>
    <w:rsid w:val="00CC15BA"/>
    <w:rsid w:val="00CC15C5"/>
    <w:rsid w:val="00CC1619"/>
    <w:rsid w:val="00CC169F"/>
    <w:rsid w:val="00CC18A4"/>
    <w:rsid w:val="00CC1B20"/>
    <w:rsid w:val="00CC1E3A"/>
    <w:rsid w:val="00CC1E68"/>
    <w:rsid w:val="00CC1F1A"/>
    <w:rsid w:val="00CC1FE6"/>
    <w:rsid w:val="00CC2120"/>
    <w:rsid w:val="00CC2162"/>
    <w:rsid w:val="00CC2BCA"/>
    <w:rsid w:val="00CC2C0D"/>
    <w:rsid w:val="00CC2E5C"/>
    <w:rsid w:val="00CC2E63"/>
    <w:rsid w:val="00CC30AA"/>
    <w:rsid w:val="00CC3100"/>
    <w:rsid w:val="00CC316C"/>
    <w:rsid w:val="00CC320F"/>
    <w:rsid w:val="00CC364E"/>
    <w:rsid w:val="00CC3751"/>
    <w:rsid w:val="00CC39F6"/>
    <w:rsid w:val="00CC420A"/>
    <w:rsid w:val="00CC4340"/>
    <w:rsid w:val="00CC44BA"/>
    <w:rsid w:val="00CC49D2"/>
    <w:rsid w:val="00CC49F2"/>
    <w:rsid w:val="00CC4A35"/>
    <w:rsid w:val="00CC4A7E"/>
    <w:rsid w:val="00CC4A80"/>
    <w:rsid w:val="00CC4AE3"/>
    <w:rsid w:val="00CC4B10"/>
    <w:rsid w:val="00CC4F85"/>
    <w:rsid w:val="00CC4F87"/>
    <w:rsid w:val="00CC5221"/>
    <w:rsid w:val="00CC5340"/>
    <w:rsid w:val="00CC5514"/>
    <w:rsid w:val="00CC5596"/>
    <w:rsid w:val="00CC572F"/>
    <w:rsid w:val="00CC5AC4"/>
    <w:rsid w:val="00CC5CFC"/>
    <w:rsid w:val="00CC5F3E"/>
    <w:rsid w:val="00CC6104"/>
    <w:rsid w:val="00CC619D"/>
    <w:rsid w:val="00CC622F"/>
    <w:rsid w:val="00CC6239"/>
    <w:rsid w:val="00CC6433"/>
    <w:rsid w:val="00CC64F9"/>
    <w:rsid w:val="00CC694F"/>
    <w:rsid w:val="00CC6ABF"/>
    <w:rsid w:val="00CC6BD3"/>
    <w:rsid w:val="00CC6E10"/>
    <w:rsid w:val="00CC6E7C"/>
    <w:rsid w:val="00CC704B"/>
    <w:rsid w:val="00CC726F"/>
    <w:rsid w:val="00CC7345"/>
    <w:rsid w:val="00CC746F"/>
    <w:rsid w:val="00CC74C7"/>
    <w:rsid w:val="00CC7569"/>
    <w:rsid w:val="00CC76C6"/>
    <w:rsid w:val="00CC77B1"/>
    <w:rsid w:val="00CC799D"/>
    <w:rsid w:val="00CC7BEE"/>
    <w:rsid w:val="00CC7D21"/>
    <w:rsid w:val="00CD0002"/>
    <w:rsid w:val="00CD00E0"/>
    <w:rsid w:val="00CD01F1"/>
    <w:rsid w:val="00CD0350"/>
    <w:rsid w:val="00CD0497"/>
    <w:rsid w:val="00CD0537"/>
    <w:rsid w:val="00CD073D"/>
    <w:rsid w:val="00CD076F"/>
    <w:rsid w:val="00CD0D00"/>
    <w:rsid w:val="00CD0DD7"/>
    <w:rsid w:val="00CD11D8"/>
    <w:rsid w:val="00CD1311"/>
    <w:rsid w:val="00CD1697"/>
    <w:rsid w:val="00CD18DF"/>
    <w:rsid w:val="00CD18FA"/>
    <w:rsid w:val="00CD1913"/>
    <w:rsid w:val="00CD1AD5"/>
    <w:rsid w:val="00CD1C1F"/>
    <w:rsid w:val="00CD1C2A"/>
    <w:rsid w:val="00CD1E4B"/>
    <w:rsid w:val="00CD1F51"/>
    <w:rsid w:val="00CD1F7A"/>
    <w:rsid w:val="00CD2126"/>
    <w:rsid w:val="00CD21D4"/>
    <w:rsid w:val="00CD260E"/>
    <w:rsid w:val="00CD268E"/>
    <w:rsid w:val="00CD269B"/>
    <w:rsid w:val="00CD276C"/>
    <w:rsid w:val="00CD2825"/>
    <w:rsid w:val="00CD2ADF"/>
    <w:rsid w:val="00CD2E85"/>
    <w:rsid w:val="00CD2EC5"/>
    <w:rsid w:val="00CD2EF5"/>
    <w:rsid w:val="00CD3583"/>
    <w:rsid w:val="00CD36B5"/>
    <w:rsid w:val="00CD3708"/>
    <w:rsid w:val="00CD3A27"/>
    <w:rsid w:val="00CD3AA9"/>
    <w:rsid w:val="00CD3AB6"/>
    <w:rsid w:val="00CD3AF7"/>
    <w:rsid w:val="00CD3BE3"/>
    <w:rsid w:val="00CD3BFC"/>
    <w:rsid w:val="00CD3C15"/>
    <w:rsid w:val="00CD3E1D"/>
    <w:rsid w:val="00CD3E5E"/>
    <w:rsid w:val="00CD3E7A"/>
    <w:rsid w:val="00CD3ED6"/>
    <w:rsid w:val="00CD3F5B"/>
    <w:rsid w:val="00CD3F96"/>
    <w:rsid w:val="00CD402D"/>
    <w:rsid w:val="00CD40A0"/>
    <w:rsid w:val="00CD4495"/>
    <w:rsid w:val="00CD496E"/>
    <w:rsid w:val="00CD4DF4"/>
    <w:rsid w:val="00CD514C"/>
    <w:rsid w:val="00CD516D"/>
    <w:rsid w:val="00CD53A5"/>
    <w:rsid w:val="00CD53FF"/>
    <w:rsid w:val="00CD5625"/>
    <w:rsid w:val="00CD5974"/>
    <w:rsid w:val="00CD5B71"/>
    <w:rsid w:val="00CD5C5C"/>
    <w:rsid w:val="00CD6261"/>
    <w:rsid w:val="00CD6A91"/>
    <w:rsid w:val="00CD6A94"/>
    <w:rsid w:val="00CD6C01"/>
    <w:rsid w:val="00CD6C65"/>
    <w:rsid w:val="00CD6D05"/>
    <w:rsid w:val="00CD6F01"/>
    <w:rsid w:val="00CD705F"/>
    <w:rsid w:val="00CD706D"/>
    <w:rsid w:val="00CD71D4"/>
    <w:rsid w:val="00CD72C7"/>
    <w:rsid w:val="00CD7617"/>
    <w:rsid w:val="00CD76E6"/>
    <w:rsid w:val="00CD78A0"/>
    <w:rsid w:val="00CD7923"/>
    <w:rsid w:val="00CD7C64"/>
    <w:rsid w:val="00CD7C7A"/>
    <w:rsid w:val="00CD7D83"/>
    <w:rsid w:val="00CD7E01"/>
    <w:rsid w:val="00CD7F66"/>
    <w:rsid w:val="00CE0412"/>
    <w:rsid w:val="00CE043F"/>
    <w:rsid w:val="00CE0489"/>
    <w:rsid w:val="00CE0529"/>
    <w:rsid w:val="00CE0608"/>
    <w:rsid w:val="00CE0700"/>
    <w:rsid w:val="00CE079E"/>
    <w:rsid w:val="00CE08B9"/>
    <w:rsid w:val="00CE0AF5"/>
    <w:rsid w:val="00CE0C21"/>
    <w:rsid w:val="00CE0CAB"/>
    <w:rsid w:val="00CE0DFB"/>
    <w:rsid w:val="00CE1116"/>
    <w:rsid w:val="00CE115C"/>
    <w:rsid w:val="00CE11F3"/>
    <w:rsid w:val="00CE120B"/>
    <w:rsid w:val="00CE1236"/>
    <w:rsid w:val="00CE124E"/>
    <w:rsid w:val="00CE1641"/>
    <w:rsid w:val="00CE1654"/>
    <w:rsid w:val="00CE16A3"/>
    <w:rsid w:val="00CE178A"/>
    <w:rsid w:val="00CE188D"/>
    <w:rsid w:val="00CE1B3E"/>
    <w:rsid w:val="00CE1B9B"/>
    <w:rsid w:val="00CE1DF3"/>
    <w:rsid w:val="00CE1F2C"/>
    <w:rsid w:val="00CE2205"/>
    <w:rsid w:val="00CE22C1"/>
    <w:rsid w:val="00CE23C3"/>
    <w:rsid w:val="00CE252E"/>
    <w:rsid w:val="00CE2582"/>
    <w:rsid w:val="00CE259E"/>
    <w:rsid w:val="00CE2633"/>
    <w:rsid w:val="00CE2858"/>
    <w:rsid w:val="00CE2E49"/>
    <w:rsid w:val="00CE2F06"/>
    <w:rsid w:val="00CE31B7"/>
    <w:rsid w:val="00CE3632"/>
    <w:rsid w:val="00CE36B0"/>
    <w:rsid w:val="00CE36BC"/>
    <w:rsid w:val="00CE3724"/>
    <w:rsid w:val="00CE386E"/>
    <w:rsid w:val="00CE3A12"/>
    <w:rsid w:val="00CE3AE4"/>
    <w:rsid w:val="00CE3DCD"/>
    <w:rsid w:val="00CE3DD0"/>
    <w:rsid w:val="00CE408D"/>
    <w:rsid w:val="00CE40D0"/>
    <w:rsid w:val="00CE4346"/>
    <w:rsid w:val="00CE4354"/>
    <w:rsid w:val="00CE43F0"/>
    <w:rsid w:val="00CE44C4"/>
    <w:rsid w:val="00CE457A"/>
    <w:rsid w:val="00CE4580"/>
    <w:rsid w:val="00CE4967"/>
    <w:rsid w:val="00CE4B9F"/>
    <w:rsid w:val="00CE4E0E"/>
    <w:rsid w:val="00CE4F10"/>
    <w:rsid w:val="00CE4F5F"/>
    <w:rsid w:val="00CE5315"/>
    <w:rsid w:val="00CE571F"/>
    <w:rsid w:val="00CE573C"/>
    <w:rsid w:val="00CE57D2"/>
    <w:rsid w:val="00CE57F4"/>
    <w:rsid w:val="00CE583D"/>
    <w:rsid w:val="00CE5856"/>
    <w:rsid w:val="00CE5859"/>
    <w:rsid w:val="00CE585D"/>
    <w:rsid w:val="00CE589C"/>
    <w:rsid w:val="00CE5EDA"/>
    <w:rsid w:val="00CE5F40"/>
    <w:rsid w:val="00CE6009"/>
    <w:rsid w:val="00CE601D"/>
    <w:rsid w:val="00CE6267"/>
    <w:rsid w:val="00CE62B3"/>
    <w:rsid w:val="00CE63FC"/>
    <w:rsid w:val="00CE67B5"/>
    <w:rsid w:val="00CE6805"/>
    <w:rsid w:val="00CE682F"/>
    <w:rsid w:val="00CE6A47"/>
    <w:rsid w:val="00CE6CBA"/>
    <w:rsid w:val="00CE7114"/>
    <w:rsid w:val="00CE74B5"/>
    <w:rsid w:val="00CE7939"/>
    <w:rsid w:val="00CE795C"/>
    <w:rsid w:val="00CE7A4E"/>
    <w:rsid w:val="00CE7C25"/>
    <w:rsid w:val="00CE7DEB"/>
    <w:rsid w:val="00CE7F54"/>
    <w:rsid w:val="00CF019E"/>
    <w:rsid w:val="00CF06B7"/>
    <w:rsid w:val="00CF0AB8"/>
    <w:rsid w:val="00CF0AE2"/>
    <w:rsid w:val="00CF0B10"/>
    <w:rsid w:val="00CF0B23"/>
    <w:rsid w:val="00CF0B33"/>
    <w:rsid w:val="00CF0B81"/>
    <w:rsid w:val="00CF0C7B"/>
    <w:rsid w:val="00CF0CE5"/>
    <w:rsid w:val="00CF1087"/>
    <w:rsid w:val="00CF11DB"/>
    <w:rsid w:val="00CF1236"/>
    <w:rsid w:val="00CF1265"/>
    <w:rsid w:val="00CF12D0"/>
    <w:rsid w:val="00CF13EA"/>
    <w:rsid w:val="00CF144D"/>
    <w:rsid w:val="00CF15C8"/>
    <w:rsid w:val="00CF17A5"/>
    <w:rsid w:val="00CF19BF"/>
    <w:rsid w:val="00CF1DBA"/>
    <w:rsid w:val="00CF1EA4"/>
    <w:rsid w:val="00CF2120"/>
    <w:rsid w:val="00CF2394"/>
    <w:rsid w:val="00CF23C4"/>
    <w:rsid w:val="00CF2757"/>
    <w:rsid w:val="00CF29E9"/>
    <w:rsid w:val="00CF2B4C"/>
    <w:rsid w:val="00CF2C1E"/>
    <w:rsid w:val="00CF2C3F"/>
    <w:rsid w:val="00CF2C55"/>
    <w:rsid w:val="00CF2CAB"/>
    <w:rsid w:val="00CF2DC3"/>
    <w:rsid w:val="00CF31A1"/>
    <w:rsid w:val="00CF3286"/>
    <w:rsid w:val="00CF32C3"/>
    <w:rsid w:val="00CF3419"/>
    <w:rsid w:val="00CF34D3"/>
    <w:rsid w:val="00CF375C"/>
    <w:rsid w:val="00CF3A98"/>
    <w:rsid w:val="00CF3B3B"/>
    <w:rsid w:val="00CF3BD8"/>
    <w:rsid w:val="00CF3D2D"/>
    <w:rsid w:val="00CF3D6B"/>
    <w:rsid w:val="00CF3E29"/>
    <w:rsid w:val="00CF3FAC"/>
    <w:rsid w:val="00CF408F"/>
    <w:rsid w:val="00CF4286"/>
    <w:rsid w:val="00CF45BB"/>
    <w:rsid w:val="00CF46B0"/>
    <w:rsid w:val="00CF49F1"/>
    <w:rsid w:val="00CF4B26"/>
    <w:rsid w:val="00CF4B5A"/>
    <w:rsid w:val="00CF4B92"/>
    <w:rsid w:val="00CF4CFC"/>
    <w:rsid w:val="00CF4D35"/>
    <w:rsid w:val="00CF4DA0"/>
    <w:rsid w:val="00CF52DD"/>
    <w:rsid w:val="00CF5402"/>
    <w:rsid w:val="00CF5477"/>
    <w:rsid w:val="00CF5556"/>
    <w:rsid w:val="00CF573C"/>
    <w:rsid w:val="00CF58A4"/>
    <w:rsid w:val="00CF5989"/>
    <w:rsid w:val="00CF59D3"/>
    <w:rsid w:val="00CF5B3B"/>
    <w:rsid w:val="00CF5B62"/>
    <w:rsid w:val="00CF5B6E"/>
    <w:rsid w:val="00CF5B91"/>
    <w:rsid w:val="00CF5DD5"/>
    <w:rsid w:val="00CF5E40"/>
    <w:rsid w:val="00CF5F74"/>
    <w:rsid w:val="00CF5FF1"/>
    <w:rsid w:val="00CF6183"/>
    <w:rsid w:val="00CF62CF"/>
    <w:rsid w:val="00CF6300"/>
    <w:rsid w:val="00CF6323"/>
    <w:rsid w:val="00CF636B"/>
    <w:rsid w:val="00CF6428"/>
    <w:rsid w:val="00CF645C"/>
    <w:rsid w:val="00CF64F4"/>
    <w:rsid w:val="00CF67AE"/>
    <w:rsid w:val="00CF6895"/>
    <w:rsid w:val="00CF6CB6"/>
    <w:rsid w:val="00CF6CC1"/>
    <w:rsid w:val="00CF709E"/>
    <w:rsid w:val="00CF70E1"/>
    <w:rsid w:val="00CF7205"/>
    <w:rsid w:val="00CF7240"/>
    <w:rsid w:val="00CF739A"/>
    <w:rsid w:val="00CF74A1"/>
    <w:rsid w:val="00CF77CF"/>
    <w:rsid w:val="00CF7978"/>
    <w:rsid w:val="00CF79F8"/>
    <w:rsid w:val="00CF7CF9"/>
    <w:rsid w:val="00CF7EFF"/>
    <w:rsid w:val="00CF7FCB"/>
    <w:rsid w:val="00D00168"/>
    <w:rsid w:val="00D002CF"/>
    <w:rsid w:val="00D00323"/>
    <w:rsid w:val="00D0043D"/>
    <w:rsid w:val="00D00511"/>
    <w:rsid w:val="00D00A9C"/>
    <w:rsid w:val="00D00BE3"/>
    <w:rsid w:val="00D00C8D"/>
    <w:rsid w:val="00D00C9A"/>
    <w:rsid w:val="00D00E1C"/>
    <w:rsid w:val="00D00E31"/>
    <w:rsid w:val="00D00FA8"/>
    <w:rsid w:val="00D0120A"/>
    <w:rsid w:val="00D013A3"/>
    <w:rsid w:val="00D013E9"/>
    <w:rsid w:val="00D0156B"/>
    <w:rsid w:val="00D01931"/>
    <w:rsid w:val="00D01A1F"/>
    <w:rsid w:val="00D01A67"/>
    <w:rsid w:val="00D01B24"/>
    <w:rsid w:val="00D01F05"/>
    <w:rsid w:val="00D02617"/>
    <w:rsid w:val="00D02678"/>
    <w:rsid w:val="00D026CF"/>
    <w:rsid w:val="00D0273B"/>
    <w:rsid w:val="00D027DF"/>
    <w:rsid w:val="00D02824"/>
    <w:rsid w:val="00D029A4"/>
    <w:rsid w:val="00D029C1"/>
    <w:rsid w:val="00D02A83"/>
    <w:rsid w:val="00D02D50"/>
    <w:rsid w:val="00D02FE1"/>
    <w:rsid w:val="00D0358B"/>
    <w:rsid w:val="00D03591"/>
    <w:rsid w:val="00D0359F"/>
    <w:rsid w:val="00D036AD"/>
    <w:rsid w:val="00D03750"/>
    <w:rsid w:val="00D0386F"/>
    <w:rsid w:val="00D03A66"/>
    <w:rsid w:val="00D03DA7"/>
    <w:rsid w:val="00D03E82"/>
    <w:rsid w:val="00D03EDB"/>
    <w:rsid w:val="00D03FCE"/>
    <w:rsid w:val="00D03FE4"/>
    <w:rsid w:val="00D04147"/>
    <w:rsid w:val="00D0416D"/>
    <w:rsid w:val="00D043B8"/>
    <w:rsid w:val="00D04720"/>
    <w:rsid w:val="00D0480E"/>
    <w:rsid w:val="00D048C3"/>
    <w:rsid w:val="00D04A02"/>
    <w:rsid w:val="00D04BAA"/>
    <w:rsid w:val="00D04D33"/>
    <w:rsid w:val="00D04DD0"/>
    <w:rsid w:val="00D04E37"/>
    <w:rsid w:val="00D04F51"/>
    <w:rsid w:val="00D0521E"/>
    <w:rsid w:val="00D05252"/>
    <w:rsid w:val="00D0539E"/>
    <w:rsid w:val="00D055FE"/>
    <w:rsid w:val="00D0574E"/>
    <w:rsid w:val="00D0576D"/>
    <w:rsid w:val="00D05821"/>
    <w:rsid w:val="00D05CD7"/>
    <w:rsid w:val="00D05CDF"/>
    <w:rsid w:val="00D05D26"/>
    <w:rsid w:val="00D05DE2"/>
    <w:rsid w:val="00D05E24"/>
    <w:rsid w:val="00D05EC3"/>
    <w:rsid w:val="00D05F10"/>
    <w:rsid w:val="00D05FCC"/>
    <w:rsid w:val="00D06012"/>
    <w:rsid w:val="00D062A5"/>
    <w:rsid w:val="00D0658B"/>
    <w:rsid w:val="00D06603"/>
    <w:rsid w:val="00D06967"/>
    <w:rsid w:val="00D06B4B"/>
    <w:rsid w:val="00D06C80"/>
    <w:rsid w:val="00D070FD"/>
    <w:rsid w:val="00D073A0"/>
    <w:rsid w:val="00D07456"/>
    <w:rsid w:val="00D07483"/>
    <w:rsid w:val="00D0748C"/>
    <w:rsid w:val="00D074F0"/>
    <w:rsid w:val="00D076CB"/>
    <w:rsid w:val="00D0777B"/>
    <w:rsid w:val="00D078F3"/>
    <w:rsid w:val="00D07904"/>
    <w:rsid w:val="00D07908"/>
    <w:rsid w:val="00D0790E"/>
    <w:rsid w:val="00D0792F"/>
    <w:rsid w:val="00D079B8"/>
    <w:rsid w:val="00D07B7D"/>
    <w:rsid w:val="00D07C38"/>
    <w:rsid w:val="00D07CAC"/>
    <w:rsid w:val="00D07FA3"/>
    <w:rsid w:val="00D07FC9"/>
    <w:rsid w:val="00D102BD"/>
    <w:rsid w:val="00D1035B"/>
    <w:rsid w:val="00D10391"/>
    <w:rsid w:val="00D104FC"/>
    <w:rsid w:val="00D1090B"/>
    <w:rsid w:val="00D109BF"/>
    <w:rsid w:val="00D10CA6"/>
    <w:rsid w:val="00D10D83"/>
    <w:rsid w:val="00D10E55"/>
    <w:rsid w:val="00D10EE2"/>
    <w:rsid w:val="00D10FD2"/>
    <w:rsid w:val="00D1127F"/>
    <w:rsid w:val="00D112F7"/>
    <w:rsid w:val="00D11463"/>
    <w:rsid w:val="00D1157E"/>
    <w:rsid w:val="00D1168D"/>
    <w:rsid w:val="00D116F6"/>
    <w:rsid w:val="00D11F1A"/>
    <w:rsid w:val="00D1205E"/>
    <w:rsid w:val="00D1227B"/>
    <w:rsid w:val="00D12294"/>
    <w:rsid w:val="00D1245E"/>
    <w:rsid w:val="00D12469"/>
    <w:rsid w:val="00D128F2"/>
    <w:rsid w:val="00D12B36"/>
    <w:rsid w:val="00D12BC5"/>
    <w:rsid w:val="00D12DDE"/>
    <w:rsid w:val="00D12E0D"/>
    <w:rsid w:val="00D12EB8"/>
    <w:rsid w:val="00D12FC0"/>
    <w:rsid w:val="00D12FCF"/>
    <w:rsid w:val="00D1301C"/>
    <w:rsid w:val="00D1309A"/>
    <w:rsid w:val="00D130C9"/>
    <w:rsid w:val="00D13412"/>
    <w:rsid w:val="00D13567"/>
    <w:rsid w:val="00D1389D"/>
    <w:rsid w:val="00D13BD7"/>
    <w:rsid w:val="00D13D24"/>
    <w:rsid w:val="00D14043"/>
    <w:rsid w:val="00D14090"/>
    <w:rsid w:val="00D14220"/>
    <w:rsid w:val="00D142BF"/>
    <w:rsid w:val="00D14365"/>
    <w:rsid w:val="00D143E8"/>
    <w:rsid w:val="00D14555"/>
    <w:rsid w:val="00D14586"/>
    <w:rsid w:val="00D14591"/>
    <w:rsid w:val="00D14606"/>
    <w:rsid w:val="00D14914"/>
    <w:rsid w:val="00D14933"/>
    <w:rsid w:val="00D1499C"/>
    <w:rsid w:val="00D14AB6"/>
    <w:rsid w:val="00D14AFB"/>
    <w:rsid w:val="00D14DBA"/>
    <w:rsid w:val="00D14EB5"/>
    <w:rsid w:val="00D14F83"/>
    <w:rsid w:val="00D153D6"/>
    <w:rsid w:val="00D15402"/>
    <w:rsid w:val="00D15798"/>
    <w:rsid w:val="00D157BE"/>
    <w:rsid w:val="00D15D5B"/>
    <w:rsid w:val="00D15D98"/>
    <w:rsid w:val="00D15E9F"/>
    <w:rsid w:val="00D15EE5"/>
    <w:rsid w:val="00D15EF8"/>
    <w:rsid w:val="00D160B8"/>
    <w:rsid w:val="00D161CF"/>
    <w:rsid w:val="00D16448"/>
    <w:rsid w:val="00D16628"/>
    <w:rsid w:val="00D16690"/>
    <w:rsid w:val="00D1682F"/>
    <w:rsid w:val="00D169C8"/>
    <w:rsid w:val="00D16A1F"/>
    <w:rsid w:val="00D16AF6"/>
    <w:rsid w:val="00D16B26"/>
    <w:rsid w:val="00D16B62"/>
    <w:rsid w:val="00D16C52"/>
    <w:rsid w:val="00D16E28"/>
    <w:rsid w:val="00D16E52"/>
    <w:rsid w:val="00D16E7D"/>
    <w:rsid w:val="00D16ED0"/>
    <w:rsid w:val="00D16EDA"/>
    <w:rsid w:val="00D17025"/>
    <w:rsid w:val="00D17172"/>
    <w:rsid w:val="00D17180"/>
    <w:rsid w:val="00D173EB"/>
    <w:rsid w:val="00D1747D"/>
    <w:rsid w:val="00D176E3"/>
    <w:rsid w:val="00D17854"/>
    <w:rsid w:val="00D17C17"/>
    <w:rsid w:val="00D17C5E"/>
    <w:rsid w:val="00D17C92"/>
    <w:rsid w:val="00D17FF9"/>
    <w:rsid w:val="00D202FE"/>
    <w:rsid w:val="00D20338"/>
    <w:rsid w:val="00D2033C"/>
    <w:rsid w:val="00D20641"/>
    <w:rsid w:val="00D206C0"/>
    <w:rsid w:val="00D20860"/>
    <w:rsid w:val="00D20B5D"/>
    <w:rsid w:val="00D20C2F"/>
    <w:rsid w:val="00D20F76"/>
    <w:rsid w:val="00D2104E"/>
    <w:rsid w:val="00D21145"/>
    <w:rsid w:val="00D21148"/>
    <w:rsid w:val="00D21182"/>
    <w:rsid w:val="00D211B8"/>
    <w:rsid w:val="00D2134C"/>
    <w:rsid w:val="00D21384"/>
    <w:rsid w:val="00D21388"/>
    <w:rsid w:val="00D213E3"/>
    <w:rsid w:val="00D21417"/>
    <w:rsid w:val="00D21447"/>
    <w:rsid w:val="00D21460"/>
    <w:rsid w:val="00D21470"/>
    <w:rsid w:val="00D216B9"/>
    <w:rsid w:val="00D21807"/>
    <w:rsid w:val="00D218B9"/>
    <w:rsid w:val="00D21B26"/>
    <w:rsid w:val="00D21C68"/>
    <w:rsid w:val="00D21CF9"/>
    <w:rsid w:val="00D21E1E"/>
    <w:rsid w:val="00D21F5C"/>
    <w:rsid w:val="00D21FB5"/>
    <w:rsid w:val="00D2220E"/>
    <w:rsid w:val="00D224A7"/>
    <w:rsid w:val="00D22658"/>
    <w:rsid w:val="00D227E0"/>
    <w:rsid w:val="00D2297D"/>
    <w:rsid w:val="00D22AF8"/>
    <w:rsid w:val="00D22BFD"/>
    <w:rsid w:val="00D2302D"/>
    <w:rsid w:val="00D231E1"/>
    <w:rsid w:val="00D232B0"/>
    <w:rsid w:val="00D232D2"/>
    <w:rsid w:val="00D23443"/>
    <w:rsid w:val="00D237DD"/>
    <w:rsid w:val="00D237E6"/>
    <w:rsid w:val="00D2384F"/>
    <w:rsid w:val="00D2386A"/>
    <w:rsid w:val="00D238B1"/>
    <w:rsid w:val="00D238FC"/>
    <w:rsid w:val="00D23B77"/>
    <w:rsid w:val="00D23BA8"/>
    <w:rsid w:val="00D23C42"/>
    <w:rsid w:val="00D23C70"/>
    <w:rsid w:val="00D23D6D"/>
    <w:rsid w:val="00D23E5F"/>
    <w:rsid w:val="00D24260"/>
    <w:rsid w:val="00D242F5"/>
    <w:rsid w:val="00D24325"/>
    <w:rsid w:val="00D24410"/>
    <w:rsid w:val="00D2442F"/>
    <w:rsid w:val="00D24798"/>
    <w:rsid w:val="00D2495B"/>
    <w:rsid w:val="00D24A72"/>
    <w:rsid w:val="00D24D83"/>
    <w:rsid w:val="00D2594D"/>
    <w:rsid w:val="00D25CF8"/>
    <w:rsid w:val="00D25D16"/>
    <w:rsid w:val="00D25DB9"/>
    <w:rsid w:val="00D25EC1"/>
    <w:rsid w:val="00D25F3C"/>
    <w:rsid w:val="00D25F43"/>
    <w:rsid w:val="00D2613C"/>
    <w:rsid w:val="00D261C6"/>
    <w:rsid w:val="00D26318"/>
    <w:rsid w:val="00D263E3"/>
    <w:rsid w:val="00D263F1"/>
    <w:rsid w:val="00D263FE"/>
    <w:rsid w:val="00D26519"/>
    <w:rsid w:val="00D26614"/>
    <w:rsid w:val="00D26633"/>
    <w:rsid w:val="00D266CE"/>
    <w:rsid w:val="00D26700"/>
    <w:rsid w:val="00D2680C"/>
    <w:rsid w:val="00D26ACC"/>
    <w:rsid w:val="00D26AF7"/>
    <w:rsid w:val="00D26C19"/>
    <w:rsid w:val="00D26C1B"/>
    <w:rsid w:val="00D26CAF"/>
    <w:rsid w:val="00D26CE3"/>
    <w:rsid w:val="00D26E9D"/>
    <w:rsid w:val="00D26EB1"/>
    <w:rsid w:val="00D2706D"/>
    <w:rsid w:val="00D27271"/>
    <w:rsid w:val="00D27582"/>
    <w:rsid w:val="00D2783A"/>
    <w:rsid w:val="00D27B43"/>
    <w:rsid w:val="00D27E13"/>
    <w:rsid w:val="00D27F4C"/>
    <w:rsid w:val="00D27F57"/>
    <w:rsid w:val="00D27F74"/>
    <w:rsid w:val="00D30020"/>
    <w:rsid w:val="00D30439"/>
    <w:rsid w:val="00D30554"/>
    <w:rsid w:val="00D305F9"/>
    <w:rsid w:val="00D30699"/>
    <w:rsid w:val="00D30AAC"/>
    <w:rsid w:val="00D30B11"/>
    <w:rsid w:val="00D30BEE"/>
    <w:rsid w:val="00D30C7D"/>
    <w:rsid w:val="00D30FAB"/>
    <w:rsid w:val="00D31191"/>
    <w:rsid w:val="00D31524"/>
    <w:rsid w:val="00D3161C"/>
    <w:rsid w:val="00D317EE"/>
    <w:rsid w:val="00D31860"/>
    <w:rsid w:val="00D31B68"/>
    <w:rsid w:val="00D31CCB"/>
    <w:rsid w:val="00D321BF"/>
    <w:rsid w:val="00D321D1"/>
    <w:rsid w:val="00D32229"/>
    <w:rsid w:val="00D32407"/>
    <w:rsid w:val="00D32518"/>
    <w:rsid w:val="00D3257C"/>
    <w:rsid w:val="00D32580"/>
    <w:rsid w:val="00D32A40"/>
    <w:rsid w:val="00D32BC3"/>
    <w:rsid w:val="00D32BFA"/>
    <w:rsid w:val="00D32E43"/>
    <w:rsid w:val="00D32F0E"/>
    <w:rsid w:val="00D32F75"/>
    <w:rsid w:val="00D3308F"/>
    <w:rsid w:val="00D33374"/>
    <w:rsid w:val="00D333D6"/>
    <w:rsid w:val="00D3346A"/>
    <w:rsid w:val="00D33802"/>
    <w:rsid w:val="00D338AB"/>
    <w:rsid w:val="00D338F6"/>
    <w:rsid w:val="00D339A5"/>
    <w:rsid w:val="00D339D6"/>
    <w:rsid w:val="00D33A5D"/>
    <w:rsid w:val="00D33CB5"/>
    <w:rsid w:val="00D33E06"/>
    <w:rsid w:val="00D33F4D"/>
    <w:rsid w:val="00D33FDE"/>
    <w:rsid w:val="00D34282"/>
    <w:rsid w:val="00D342DA"/>
    <w:rsid w:val="00D345A0"/>
    <w:rsid w:val="00D34649"/>
    <w:rsid w:val="00D34686"/>
    <w:rsid w:val="00D34902"/>
    <w:rsid w:val="00D3492F"/>
    <w:rsid w:val="00D34984"/>
    <w:rsid w:val="00D34A8C"/>
    <w:rsid w:val="00D34AC1"/>
    <w:rsid w:val="00D34BEC"/>
    <w:rsid w:val="00D34CD3"/>
    <w:rsid w:val="00D34D0C"/>
    <w:rsid w:val="00D34D0D"/>
    <w:rsid w:val="00D34E14"/>
    <w:rsid w:val="00D35347"/>
    <w:rsid w:val="00D355C7"/>
    <w:rsid w:val="00D355CF"/>
    <w:rsid w:val="00D355EF"/>
    <w:rsid w:val="00D3560C"/>
    <w:rsid w:val="00D35630"/>
    <w:rsid w:val="00D359E4"/>
    <w:rsid w:val="00D35E90"/>
    <w:rsid w:val="00D35FAE"/>
    <w:rsid w:val="00D36185"/>
    <w:rsid w:val="00D3636F"/>
    <w:rsid w:val="00D363D1"/>
    <w:rsid w:val="00D36485"/>
    <w:rsid w:val="00D364F3"/>
    <w:rsid w:val="00D364F4"/>
    <w:rsid w:val="00D36529"/>
    <w:rsid w:val="00D3657A"/>
    <w:rsid w:val="00D36862"/>
    <w:rsid w:val="00D3695F"/>
    <w:rsid w:val="00D36B74"/>
    <w:rsid w:val="00D36C09"/>
    <w:rsid w:val="00D36C52"/>
    <w:rsid w:val="00D36CB8"/>
    <w:rsid w:val="00D36D19"/>
    <w:rsid w:val="00D36ED9"/>
    <w:rsid w:val="00D36F18"/>
    <w:rsid w:val="00D37323"/>
    <w:rsid w:val="00D37607"/>
    <w:rsid w:val="00D37798"/>
    <w:rsid w:val="00D378CE"/>
    <w:rsid w:val="00D37A9B"/>
    <w:rsid w:val="00D37CFB"/>
    <w:rsid w:val="00D37FF3"/>
    <w:rsid w:val="00D401C4"/>
    <w:rsid w:val="00D40209"/>
    <w:rsid w:val="00D404E1"/>
    <w:rsid w:val="00D405AF"/>
    <w:rsid w:val="00D405B9"/>
    <w:rsid w:val="00D4087C"/>
    <w:rsid w:val="00D40D08"/>
    <w:rsid w:val="00D40DA4"/>
    <w:rsid w:val="00D40FAE"/>
    <w:rsid w:val="00D4120D"/>
    <w:rsid w:val="00D41586"/>
    <w:rsid w:val="00D416B0"/>
    <w:rsid w:val="00D41740"/>
    <w:rsid w:val="00D41BAF"/>
    <w:rsid w:val="00D41C62"/>
    <w:rsid w:val="00D41C6A"/>
    <w:rsid w:val="00D41CD7"/>
    <w:rsid w:val="00D42048"/>
    <w:rsid w:val="00D420B3"/>
    <w:rsid w:val="00D420F6"/>
    <w:rsid w:val="00D42253"/>
    <w:rsid w:val="00D424E5"/>
    <w:rsid w:val="00D426D9"/>
    <w:rsid w:val="00D42890"/>
    <w:rsid w:val="00D428F0"/>
    <w:rsid w:val="00D4290D"/>
    <w:rsid w:val="00D4299E"/>
    <w:rsid w:val="00D429A5"/>
    <w:rsid w:val="00D429B2"/>
    <w:rsid w:val="00D42BB7"/>
    <w:rsid w:val="00D42D70"/>
    <w:rsid w:val="00D42D77"/>
    <w:rsid w:val="00D42F73"/>
    <w:rsid w:val="00D432C9"/>
    <w:rsid w:val="00D43579"/>
    <w:rsid w:val="00D436BA"/>
    <w:rsid w:val="00D43898"/>
    <w:rsid w:val="00D43977"/>
    <w:rsid w:val="00D43DDB"/>
    <w:rsid w:val="00D43F5A"/>
    <w:rsid w:val="00D43FA6"/>
    <w:rsid w:val="00D43FE7"/>
    <w:rsid w:val="00D44058"/>
    <w:rsid w:val="00D4410F"/>
    <w:rsid w:val="00D44202"/>
    <w:rsid w:val="00D44220"/>
    <w:rsid w:val="00D44242"/>
    <w:rsid w:val="00D4432C"/>
    <w:rsid w:val="00D44346"/>
    <w:rsid w:val="00D443B2"/>
    <w:rsid w:val="00D44540"/>
    <w:rsid w:val="00D44542"/>
    <w:rsid w:val="00D4473C"/>
    <w:rsid w:val="00D44828"/>
    <w:rsid w:val="00D4485D"/>
    <w:rsid w:val="00D448F6"/>
    <w:rsid w:val="00D44A13"/>
    <w:rsid w:val="00D44AC9"/>
    <w:rsid w:val="00D44C17"/>
    <w:rsid w:val="00D44DBB"/>
    <w:rsid w:val="00D44F11"/>
    <w:rsid w:val="00D44F1F"/>
    <w:rsid w:val="00D45173"/>
    <w:rsid w:val="00D453B4"/>
    <w:rsid w:val="00D456CA"/>
    <w:rsid w:val="00D458B4"/>
    <w:rsid w:val="00D45911"/>
    <w:rsid w:val="00D45A86"/>
    <w:rsid w:val="00D45B6C"/>
    <w:rsid w:val="00D45C0E"/>
    <w:rsid w:val="00D4606A"/>
    <w:rsid w:val="00D4652F"/>
    <w:rsid w:val="00D4661D"/>
    <w:rsid w:val="00D46842"/>
    <w:rsid w:val="00D4697A"/>
    <w:rsid w:val="00D469CC"/>
    <w:rsid w:val="00D46BA8"/>
    <w:rsid w:val="00D46C78"/>
    <w:rsid w:val="00D46D85"/>
    <w:rsid w:val="00D4710F"/>
    <w:rsid w:val="00D472CD"/>
    <w:rsid w:val="00D472E1"/>
    <w:rsid w:val="00D47362"/>
    <w:rsid w:val="00D47695"/>
    <w:rsid w:val="00D478E6"/>
    <w:rsid w:val="00D47ABF"/>
    <w:rsid w:val="00D47B0E"/>
    <w:rsid w:val="00D47BA4"/>
    <w:rsid w:val="00D47BAB"/>
    <w:rsid w:val="00D47C05"/>
    <w:rsid w:val="00D47F83"/>
    <w:rsid w:val="00D47FC8"/>
    <w:rsid w:val="00D47FEF"/>
    <w:rsid w:val="00D5015F"/>
    <w:rsid w:val="00D50176"/>
    <w:rsid w:val="00D5032D"/>
    <w:rsid w:val="00D50489"/>
    <w:rsid w:val="00D5057E"/>
    <w:rsid w:val="00D50606"/>
    <w:rsid w:val="00D50677"/>
    <w:rsid w:val="00D507E6"/>
    <w:rsid w:val="00D508E7"/>
    <w:rsid w:val="00D50A26"/>
    <w:rsid w:val="00D50C5D"/>
    <w:rsid w:val="00D50E34"/>
    <w:rsid w:val="00D50F20"/>
    <w:rsid w:val="00D50FD0"/>
    <w:rsid w:val="00D51024"/>
    <w:rsid w:val="00D510C4"/>
    <w:rsid w:val="00D51393"/>
    <w:rsid w:val="00D517E0"/>
    <w:rsid w:val="00D51A96"/>
    <w:rsid w:val="00D51C65"/>
    <w:rsid w:val="00D51D6F"/>
    <w:rsid w:val="00D51ED6"/>
    <w:rsid w:val="00D5208D"/>
    <w:rsid w:val="00D5218E"/>
    <w:rsid w:val="00D521BF"/>
    <w:rsid w:val="00D522B2"/>
    <w:rsid w:val="00D523E0"/>
    <w:rsid w:val="00D52461"/>
    <w:rsid w:val="00D5247D"/>
    <w:rsid w:val="00D52677"/>
    <w:rsid w:val="00D5282B"/>
    <w:rsid w:val="00D52848"/>
    <w:rsid w:val="00D52A84"/>
    <w:rsid w:val="00D52ADD"/>
    <w:rsid w:val="00D52B41"/>
    <w:rsid w:val="00D52B86"/>
    <w:rsid w:val="00D52D07"/>
    <w:rsid w:val="00D52E3A"/>
    <w:rsid w:val="00D52ED4"/>
    <w:rsid w:val="00D52FA6"/>
    <w:rsid w:val="00D530DE"/>
    <w:rsid w:val="00D530E3"/>
    <w:rsid w:val="00D53336"/>
    <w:rsid w:val="00D53406"/>
    <w:rsid w:val="00D5354D"/>
    <w:rsid w:val="00D535E6"/>
    <w:rsid w:val="00D53869"/>
    <w:rsid w:val="00D538E2"/>
    <w:rsid w:val="00D538E4"/>
    <w:rsid w:val="00D5395C"/>
    <w:rsid w:val="00D5396C"/>
    <w:rsid w:val="00D539C5"/>
    <w:rsid w:val="00D539E5"/>
    <w:rsid w:val="00D53A61"/>
    <w:rsid w:val="00D53FFF"/>
    <w:rsid w:val="00D54095"/>
    <w:rsid w:val="00D5419B"/>
    <w:rsid w:val="00D54288"/>
    <w:rsid w:val="00D5430C"/>
    <w:rsid w:val="00D5437A"/>
    <w:rsid w:val="00D54381"/>
    <w:rsid w:val="00D5441C"/>
    <w:rsid w:val="00D545BB"/>
    <w:rsid w:val="00D54682"/>
    <w:rsid w:val="00D5475E"/>
    <w:rsid w:val="00D5477C"/>
    <w:rsid w:val="00D54850"/>
    <w:rsid w:val="00D54909"/>
    <w:rsid w:val="00D549A2"/>
    <w:rsid w:val="00D54AE0"/>
    <w:rsid w:val="00D54BED"/>
    <w:rsid w:val="00D54CAD"/>
    <w:rsid w:val="00D54CB1"/>
    <w:rsid w:val="00D54D34"/>
    <w:rsid w:val="00D54D59"/>
    <w:rsid w:val="00D5504C"/>
    <w:rsid w:val="00D5551E"/>
    <w:rsid w:val="00D556E9"/>
    <w:rsid w:val="00D55780"/>
    <w:rsid w:val="00D557DE"/>
    <w:rsid w:val="00D557F9"/>
    <w:rsid w:val="00D558FE"/>
    <w:rsid w:val="00D559B0"/>
    <w:rsid w:val="00D55A0C"/>
    <w:rsid w:val="00D55F1E"/>
    <w:rsid w:val="00D55FC5"/>
    <w:rsid w:val="00D5603C"/>
    <w:rsid w:val="00D56068"/>
    <w:rsid w:val="00D56179"/>
    <w:rsid w:val="00D56308"/>
    <w:rsid w:val="00D56371"/>
    <w:rsid w:val="00D56488"/>
    <w:rsid w:val="00D564A5"/>
    <w:rsid w:val="00D564D5"/>
    <w:rsid w:val="00D5650D"/>
    <w:rsid w:val="00D565DB"/>
    <w:rsid w:val="00D565FF"/>
    <w:rsid w:val="00D566B7"/>
    <w:rsid w:val="00D568FF"/>
    <w:rsid w:val="00D5693B"/>
    <w:rsid w:val="00D56970"/>
    <w:rsid w:val="00D56E7A"/>
    <w:rsid w:val="00D56E88"/>
    <w:rsid w:val="00D56EF9"/>
    <w:rsid w:val="00D56FA2"/>
    <w:rsid w:val="00D5730D"/>
    <w:rsid w:val="00D57342"/>
    <w:rsid w:val="00D5737B"/>
    <w:rsid w:val="00D5758E"/>
    <w:rsid w:val="00D57709"/>
    <w:rsid w:val="00D578C8"/>
    <w:rsid w:val="00D578F2"/>
    <w:rsid w:val="00D57CF8"/>
    <w:rsid w:val="00D57E44"/>
    <w:rsid w:val="00D57E70"/>
    <w:rsid w:val="00D57FF1"/>
    <w:rsid w:val="00D60030"/>
    <w:rsid w:val="00D60252"/>
    <w:rsid w:val="00D6032B"/>
    <w:rsid w:val="00D6060B"/>
    <w:rsid w:val="00D60701"/>
    <w:rsid w:val="00D607AE"/>
    <w:rsid w:val="00D6089A"/>
    <w:rsid w:val="00D609B6"/>
    <w:rsid w:val="00D60DD3"/>
    <w:rsid w:val="00D61102"/>
    <w:rsid w:val="00D612BA"/>
    <w:rsid w:val="00D61317"/>
    <w:rsid w:val="00D6135E"/>
    <w:rsid w:val="00D6138A"/>
    <w:rsid w:val="00D6146E"/>
    <w:rsid w:val="00D614F3"/>
    <w:rsid w:val="00D61555"/>
    <w:rsid w:val="00D615B8"/>
    <w:rsid w:val="00D615BD"/>
    <w:rsid w:val="00D615EC"/>
    <w:rsid w:val="00D61ADD"/>
    <w:rsid w:val="00D61CD8"/>
    <w:rsid w:val="00D61DC2"/>
    <w:rsid w:val="00D61DC5"/>
    <w:rsid w:val="00D61EFC"/>
    <w:rsid w:val="00D61FFB"/>
    <w:rsid w:val="00D620B1"/>
    <w:rsid w:val="00D622B9"/>
    <w:rsid w:val="00D622EB"/>
    <w:rsid w:val="00D623F3"/>
    <w:rsid w:val="00D626CB"/>
    <w:rsid w:val="00D62794"/>
    <w:rsid w:val="00D62B75"/>
    <w:rsid w:val="00D62C04"/>
    <w:rsid w:val="00D62C3E"/>
    <w:rsid w:val="00D62C40"/>
    <w:rsid w:val="00D62D5F"/>
    <w:rsid w:val="00D6300B"/>
    <w:rsid w:val="00D6310B"/>
    <w:rsid w:val="00D63121"/>
    <w:rsid w:val="00D63275"/>
    <w:rsid w:val="00D632AC"/>
    <w:rsid w:val="00D632F3"/>
    <w:rsid w:val="00D6337A"/>
    <w:rsid w:val="00D634C8"/>
    <w:rsid w:val="00D636DA"/>
    <w:rsid w:val="00D63B3A"/>
    <w:rsid w:val="00D63B9A"/>
    <w:rsid w:val="00D64151"/>
    <w:rsid w:val="00D6422C"/>
    <w:rsid w:val="00D64359"/>
    <w:rsid w:val="00D643AC"/>
    <w:rsid w:val="00D64684"/>
    <w:rsid w:val="00D646D2"/>
    <w:rsid w:val="00D6481B"/>
    <w:rsid w:val="00D6487F"/>
    <w:rsid w:val="00D64A56"/>
    <w:rsid w:val="00D64B4B"/>
    <w:rsid w:val="00D64C16"/>
    <w:rsid w:val="00D64C8F"/>
    <w:rsid w:val="00D64CBE"/>
    <w:rsid w:val="00D64DDC"/>
    <w:rsid w:val="00D651DE"/>
    <w:rsid w:val="00D6528E"/>
    <w:rsid w:val="00D6545C"/>
    <w:rsid w:val="00D65471"/>
    <w:rsid w:val="00D655A6"/>
    <w:rsid w:val="00D65731"/>
    <w:rsid w:val="00D65774"/>
    <w:rsid w:val="00D65D82"/>
    <w:rsid w:val="00D6606D"/>
    <w:rsid w:val="00D661F3"/>
    <w:rsid w:val="00D66220"/>
    <w:rsid w:val="00D66353"/>
    <w:rsid w:val="00D663C2"/>
    <w:rsid w:val="00D66581"/>
    <w:rsid w:val="00D66631"/>
    <w:rsid w:val="00D66946"/>
    <w:rsid w:val="00D669A0"/>
    <w:rsid w:val="00D66A4B"/>
    <w:rsid w:val="00D66C6F"/>
    <w:rsid w:val="00D66EDB"/>
    <w:rsid w:val="00D67096"/>
    <w:rsid w:val="00D67315"/>
    <w:rsid w:val="00D67321"/>
    <w:rsid w:val="00D6741A"/>
    <w:rsid w:val="00D679EB"/>
    <w:rsid w:val="00D67AFC"/>
    <w:rsid w:val="00D67F72"/>
    <w:rsid w:val="00D70145"/>
    <w:rsid w:val="00D70357"/>
    <w:rsid w:val="00D703A7"/>
    <w:rsid w:val="00D704AC"/>
    <w:rsid w:val="00D70634"/>
    <w:rsid w:val="00D70906"/>
    <w:rsid w:val="00D70943"/>
    <w:rsid w:val="00D70A3E"/>
    <w:rsid w:val="00D70A77"/>
    <w:rsid w:val="00D70AC3"/>
    <w:rsid w:val="00D70BFA"/>
    <w:rsid w:val="00D70C6A"/>
    <w:rsid w:val="00D70DF1"/>
    <w:rsid w:val="00D70EEA"/>
    <w:rsid w:val="00D7103D"/>
    <w:rsid w:val="00D710B5"/>
    <w:rsid w:val="00D71410"/>
    <w:rsid w:val="00D714DD"/>
    <w:rsid w:val="00D718CE"/>
    <w:rsid w:val="00D71923"/>
    <w:rsid w:val="00D71A9D"/>
    <w:rsid w:val="00D71AF8"/>
    <w:rsid w:val="00D71B41"/>
    <w:rsid w:val="00D71BFA"/>
    <w:rsid w:val="00D71D43"/>
    <w:rsid w:val="00D71DC9"/>
    <w:rsid w:val="00D71F20"/>
    <w:rsid w:val="00D71FB4"/>
    <w:rsid w:val="00D72324"/>
    <w:rsid w:val="00D723C6"/>
    <w:rsid w:val="00D7249B"/>
    <w:rsid w:val="00D725E0"/>
    <w:rsid w:val="00D72666"/>
    <w:rsid w:val="00D72795"/>
    <w:rsid w:val="00D727F7"/>
    <w:rsid w:val="00D72AE5"/>
    <w:rsid w:val="00D72B55"/>
    <w:rsid w:val="00D72D57"/>
    <w:rsid w:val="00D72E87"/>
    <w:rsid w:val="00D730D0"/>
    <w:rsid w:val="00D7311E"/>
    <w:rsid w:val="00D73394"/>
    <w:rsid w:val="00D73588"/>
    <w:rsid w:val="00D73611"/>
    <w:rsid w:val="00D73614"/>
    <w:rsid w:val="00D73841"/>
    <w:rsid w:val="00D73A9A"/>
    <w:rsid w:val="00D73AF1"/>
    <w:rsid w:val="00D73B67"/>
    <w:rsid w:val="00D73C27"/>
    <w:rsid w:val="00D73C78"/>
    <w:rsid w:val="00D73DCD"/>
    <w:rsid w:val="00D73E2C"/>
    <w:rsid w:val="00D73F46"/>
    <w:rsid w:val="00D74001"/>
    <w:rsid w:val="00D74054"/>
    <w:rsid w:val="00D740BB"/>
    <w:rsid w:val="00D74297"/>
    <w:rsid w:val="00D7430E"/>
    <w:rsid w:val="00D74328"/>
    <w:rsid w:val="00D7455B"/>
    <w:rsid w:val="00D747F1"/>
    <w:rsid w:val="00D74866"/>
    <w:rsid w:val="00D748A1"/>
    <w:rsid w:val="00D74908"/>
    <w:rsid w:val="00D74BDD"/>
    <w:rsid w:val="00D74E07"/>
    <w:rsid w:val="00D74FCD"/>
    <w:rsid w:val="00D7507A"/>
    <w:rsid w:val="00D75083"/>
    <w:rsid w:val="00D75122"/>
    <w:rsid w:val="00D75188"/>
    <w:rsid w:val="00D75196"/>
    <w:rsid w:val="00D75293"/>
    <w:rsid w:val="00D753CF"/>
    <w:rsid w:val="00D756BD"/>
    <w:rsid w:val="00D757AF"/>
    <w:rsid w:val="00D75A47"/>
    <w:rsid w:val="00D75C4E"/>
    <w:rsid w:val="00D75D74"/>
    <w:rsid w:val="00D75D8C"/>
    <w:rsid w:val="00D75E18"/>
    <w:rsid w:val="00D75EE4"/>
    <w:rsid w:val="00D761BB"/>
    <w:rsid w:val="00D76380"/>
    <w:rsid w:val="00D763F1"/>
    <w:rsid w:val="00D763FD"/>
    <w:rsid w:val="00D7645D"/>
    <w:rsid w:val="00D76555"/>
    <w:rsid w:val="00D7655B"/>
    <w:rsid w:val="00D765E5"/>
    <w:rsid w:val="00D76741"/>
    <w:rsid w:val="00D76799"/>
    <w:rsid w:val="00D76930"/>
    <w:rsid w:val="00D76998"/>
    <w:rsid w:val="00D76A97"/>
    <w:rsid w:val="00D76CDB"/>
    <w:rsid w:val="00D76CED"/>
    <w:rsid w:val="00D76E5A"/>
    <w:rsid w:val="00D76EB9"/>
    <w:rsid w:val="00D76ED8"/>
    <w:rsid w:val="00D76F64"/>
    <w:rsid w:val="00D76FB0"/>
    <w:rsid w:val="00D77009"/>
    <w:rsid w:val="00D77039"/>
    <w:rsid w:val="00D7713E"/>
    <w:rsid w:val="00D77326"/>
    <w:rsid w:val="00D77377"/>
    <w:rsid w:val="00D77492"/>
    <w:rsid w:val="00D775DD"/>
    <w:rsid w:val="00D77839"/>
    <w:rsid w:val="00D778F5"/>
    <w:rsid w:val="00D7794E"/>
    <w:rsid w:val="00D77A06"/>
    <w:rsid w:val="00D77CE5"/>
    <w:rsid w:val="00D77F0B"/>
    <w:rsid w:val="00D8006B"/>
    <w:rsid w:val="00D8014A"/>
    <w:rsid w:val="00D80259"/>
    <w:rsid w:val="00D803BA"/>
    <w:rsid w:val="00D803EF"/>
    <w:rsid w:val="00D80754"/>
    <w:rsid w:val="00D8075F"/>
    <w:rsid w:val="00D80A5F"/>
    <w:rsid w:val="00D80B8A"/>
    <w:rsid w:val="00D80B90"/>
    <w:rsid w:val="00D80D4C"/>
    <w:rsid w:val="00D811F0"/>
    <w:rsid w:val="00D81258"/>
    <w:rsid w:val="00D812C7"/>
    <w:rsid w:val="00D812DB"/>
    <w:rsid w:val="00D8134E"/>
    <w:rsid w:val="00D8142C"/>
    <w:rsid w:val="00D81469"/>
    <w:rsid w:val="00D81476"/>
    <w:rsid w:val="00D81518"/>
    <w:rsid w:val="00D81578"/>
    <w:rsid w:val="00D815FE"/>
    <w:rsid w:val="00D81632"/>
    <w:rsid w:val="00D818DF"/>
    <w:rsid w:val="00D81962"/>
    <w:rsid w:val="00D819D9"/>
    <w:rsid w:val="00D81A69"/>
    <w:rsid w:val="00D81C74"/>
    <w:rsid w:val="00D81CDD"/>
    <w:rsid w:val="00D81FE6"/>
    <w:rsid w:val="00D8202D"/>
    <w:rsid w:val="00D82163"/>
    <w:rsid w:val="00D821C2"/>
    <w:rsid w:val="00D821D9"/>
    <w:rsid w:val="00D82251"/>
    <w:rsid w:val="00D823BF"/>
    <w:rsid w:val="00D82702"/>
    <w:rsid w:val="00D827EF"/>
    <w:rsid w:val="00D82807"/>
    <w:rsid w:val="00D82925"/>
    <w:rsid w:val="00D829DD"/>
    <w:rsid w:val="00D82AA0"/>
    <w:rsid w:val="00D82B54"/>
    <w:rsid w:val="00D82CD3"/>
    <w:rsid w:val="00D82CD6"/>
    <w:rsid w:val="00D82D34"/>
    <w:rsid w:val="00D82EF0"/>
    <w:rsid w:val="00D830A7"/>
    <w:rsid w:val="00D83679"/>
    <w:rsid w:val="00D836B2"/>
    <w:rsid w:val="00D83767"/>
    <w:rsid w:val="00D837D3"/>
    <w:rsid w:val="00D83B79"/>
    <w:rsid w:val="00D83C1E"/>
    <w:rsid w:val="00D83CFA"/>
    <w:rsid w:val="00D83E7E"/>
    <w:rsid w:val="00D840CB"/>
    <w:rsid w:val="00D841EB"/>
    <w:rsid w:val="00D843FD"/>
    <w:rsid w:val="00D84505"/>
    <w:rsid w:val="00D84517"/>
    <w:rsid w:val="00D84B01"/>
    <w:rsid w:val="00D84C8E"/>
    <w:rsid w:val="00D84EEC"/>
    <w:rsid w:val="00D84FA9"/>
    <w:rsid w:val="00D85021"/>
    <w:rsid w:val="00D85061"/>
    <w:rsid w:val="00D85186"/>
    <w:rsid w:val="00D85193"/>
    <w:rsid w:val="00D851BC"/>
    <w:rsid w:val="00D85290"/>
    <w:rsid w:val="00D8529D"/>
    <w:rsid w:val="00D852E3"/>
    <w:rsid w:val="00D8561C"/>
    <w:rsid w:val="00D8588C"/>
    <w:rsid w:val="00D85C60"/>
    <w:rsid w:val="00D85D57"/>
    <w:rsid w:val="00D860F2"/>
    <w:rsid w:val="00D8631E"/>
    <w:rsid w:val="00D865F2"/>
    <w:rsid w:val="00D8674C"/>
    <w:rsid w:val="00D86813"/>
    <w:rsid w:val="00D86CDE"/>
    <w:rsid w:val="00D86EC2"/>
    <w:rsid w:val="00D86F57"/>
    <w:rsid w:val="00D870C1"/>
    <w:rsid w:val="00D870E8"/>
    <w:rsid w:val="00D8725B"/>
    <w:rsid w:val="00D87276"/>
    <w:rsid w:val="00D87283"/>
    <w:rsid w:val="00D872D3"/>
    <w:rsid w:val="00D87669"/>
    <w:rsid w:val="00D876C7"/>
    <w:rsid w:val="00D8785C"/>
    <w:rsid w:val="00D87997"/>
    <w:rsid w:val="00D87AE4"/>
    <w:rsid w:val="00D87C11"/>
    <w:rsid w:val="00D87CF0"/>
    <w:rsid w:val="00D87DEE"/>
    <w:rsid w:val="00D87F2A"/>
    <w:rsid w:val="00D87FAF"/>
    <w:rsid w:val="00D9001B"/>
    <w:rsid w:val="00D90061"/>
    <w:rsid w:val="00D90075"/>
    <w:rsid w:val="00D90088"/>
    <w:rsid w:val="00D90290"/>
    <w:rsid w:val="00D9047B"/>
    <w:rsid w:val="00D90588"/>
    <w:rsid w:val="00D9068D"/>
    <w:rsid w:val="00D906E3"/>
    <w:rsid w:val="00D90834"/>
    <w:rsid w:val="00D90AB5"/>
    <w:rsid w:val="00D90D2A"/>
    <w:rsid w:val="00D90D9B"/>
    <w:rsid w:val="00D90E27"/>
    <w:rsid w:val="00D90FB4"/>
    <w:rsid w:val="00D9103B"/>
    <w:rsid w:val="00D913E0"/>
    <w:rsid w:val="00D913ED"/>
    <w:rsid w:val="00D91FD9"/>
    <w:rsid w:val="00D9200C"/>
    <w:rsid w:val="00D920F1"/>
    <w:rsid w:val="00D92183"/>
    <w:rsid w:val="00D92198"/>
    <w:rsid w:val="00D9225E"/>
    <w:rsid w:val="00D9231C"/>
    <w:rsid w:val="00D9251E"/>
    <w:rsid w:val="00D92777"/>
    <w:rsid w:val="00D9280B"/>
    <w:rsid w:val="00D92C50"/>
    <w:rsid w:val="00D92D57"/>
    <w:rsid w:val="00D93153"/>
    <w:rsid w:val="00D93215"/>
    <w:rsid w:val="00D93364"/>
    <w:rsid w:val="00D933AC"/>
    <w:rsid w:val="00D93770"/>
    <w:rsid w:val="00D938C0"/>
    <w:rsid w:val="00D93BF1"/>
    <w:rsid w:val="00D93C67"/>
    <w:rsid w:val="00D93FFC"/>
    <w:rsid w:val="00D94579"/>
    <w:rsid w:val="00D94723"/>
    <w:rsid w:val="00D94756"/>
    <w:rsid w:val="00D9477B"/>
    <w:rsid w:val="00D949A5"/>
    <w:rsid w:val="00D94AF2"/>
    <w:rsid w:val="00D94DEB"/>
    <w:rsid w:val="00D94EAE"/>
    <w:rsid w:val="00D94FB7"/>
    <w:rsid w:val="00D950FE"/>
    <w:rsid w:val="00D9520C"/>
    <w:rsid w:val="00D952DC"/>
    <w:rsid w:val="00D9532A"/>
    <w:rsid w:val="00D954B1"/>
    <w:rsid w:val="00D958A3"/>
    <w:rsid w:val="00D958DE"/>
    <w:rsid w:val="00D959EA"/>
    <w:rsid w:val="00D95A2A"/>
    <w:rsid w:val="00D95BD1"/>
    <w:rsid w:val="00D95C97"/>
    <w:rsid w:val="00D95CEA"/>
    <w:rsid w:val="00D95F09"/>
    <w:rsid w:val="00D95F52"/>
    <w:rsid w:val="00D9624A"/>
    <w:rsid w:val="00D96273"/>
    <w:rsid w:val="00D963B1"/>
    <w:rsid w:val="00D96470"/>
    <w:rsid w:val="00D9656A"/>
    <w:rsid w:val="00D966F9"/>
    <w:rsid w:val="00D96728"/>
    <w:rsid w:val="00D967A5"/>
    <w:rsid w:val="00D968E4"/>
    <w:rsid w:val="00D96ACD"/>
    <w:rsid w:val="00D96D4E"/>
    <w:rsid w:val="00D96DD3"/>
    <w:rsid w:val="00D96E8F"/>
    <w:rsid w:val="00D96F9E"/>
    <w:rsid w:val="00D9705E"/>
    <w:rsid w:val="00D9713E"/>
    <w:rsid w:val="00D97233"/>
    <w:rsid w:val="00D974AE"/>
    <w:rsid w:val="00D97AB5"/>
    <w:rsid w:val="00D97EF3"/>
    <w:rsid w:val="00D97EF4"/>
    <w:rsid w:val="00D97F6E"/>
    <w:rsid w:val="00DA006A"/>
    <w:rsid w:val="00DA021B"/>
    <w:rsid w:val="00DA0223"/>
    <w:rsid w:val="00DA02A8"/>
    <w:rsid w:val="00DA0778"/>
    <w:rsid w:val="00DA088C"/>
    <w:rsid w:val="00DA0903"/>
    <w:rsid w:val="00DA0993"/>
    <w:rsid w:val="00DA0C2C"/>
    <w:rsid w:val="00DA0C2F"/>
    <w:rsid w:val="00DA0D23"/>
    <w:rsid w:val="00DA0DAA"/>
    <w:rsid w:val="00DA0DF5"/>
    <w:rsid w:val="00DA0F6F"/>
    <w:rsid w:val="00DA0FE6"/>
    <w:rsid w:val="00DA10A3"/>
    <w:rsid w:val="00DA1108"/>
    <w:rsid w:val="00DA12E3"/>
    <w:rsid w:val="00DA12F2"/>
    <w:rsid w:val="00DA136B"/>
    <w:rsid w:val="00DA16F7"/>
    <w:rsid w:val="00DA1776"/>
    <w:rsid w:val="00DA1850"/>
    <w:rsid w:val="00DA18C6"/>
    <w:rsid w:val="00DA18D0"/>
    <w:rsid w:val="00DA1A60"/>
    <w:rsid w:val="00DA1A9F"/>
    <w:rsid w:val="00DA1AB5"/>
    <w:rsid w:val="00DA1AB9"/>
    <w:rsid w:val="00DA1F78"/>
    <w:rsid w:val="00DA218B"/>
    <w:rsid w:val="00DA23DA"/>
    <w:rsid w:val="00DA241C"/>
    <w:rsid w:val="00DA24A6"/>
    <w:rsid w:val="00DA24BB"/>
    <w:rsid w:val="00DA25C8"/>
    <w:rsid w:val="00DA2906"/>
    <w:rsid w:val="00DA2A3C"/>
    <w:rsid w:val="00DA2C5E"/>
    <w:rsid w:val="00DA2CB3"/>
    <w:rsid w:val="00DA2CE2"/>
    <w:rsid w:val="00DA2CF7"/>
    <w:rsid w:val="00DA2E13"/>
    <w:rsid w:val="00DA2F0E"/>
    <w:rsid w:val="00DA2F5E"/>
    <w:rsid w:val="00DA2FF7"/>
    <w:rsid w:val="00DA3186"/>
    <w:rsid w:val="00DA31A4"/>
    <w:rsid w:val="00DA32B9"/>
    <w:rsid w:val="00DA34FC"/>
    <w:rsid w:val="00DA3642"/>
    <w:rsid w:val="00DA37F3"/>
    <w:rsid w:val="00DA38ED"/>
    <w:rsid w:val="00DA399F"/>
    <w:rsid w:val="00DA3B16"/>
    <w:rsid w:val="00DA3B8F"/>
    <w:rsid w:val="00DA3CFD"/>
    <w:rsid w:val="00DA3DEA"/>
    <w:rsid w:val="00DA3E1A"/>
    <w:rsid w:val="00DA3E64"/>
    <w:rsid w:val="00DA3EA8"/>
    <w:rsid w:val="00DA3EDA"/>
    <w:rsid w:val="00DA3EE3"/>
    <w:rsid w:val="00DA3F12"/>
    <w:rsid w:val="00DA3FC3"/>
    <w:rsid w:val="00DA432D"/>
    <w:rsid w:val="00DA43C0"/>
    <w:rsid w:val="00DA444B"/>
    <w:rsid w:val="00DA44EE"/>
    <w:rsid w:val="00DA4590"/>
    <w:rsid w:val="00DA45A8"/>
    <w:rsid w:val="00DA45BC"/>
    <w:rsid w:val="00DA467A"/>
    <w:rsid w:val="00DA470B"/>
    <w:rsid w:val="00DA48C3"/>
    <w:rsid w:val="00DA49E3"/>
    <w:rsid w:val="00DA4A22"/>
    <w:rsid w:val="00DA4A7E"/>
    <w:rsid w:val="00DA4D49"/>
    <w:rsid w:val="00DA4FD8"/>
    <w:rsid w:val="00DA4FEE"/>
    <w:rsid w:val="00DA5019"/>
    <w:rsid w:val="00DA5181"/>
    <w:rsid w:val="00DA5286"/>
    <w:rsid w:val="00DA5287"/>
    <w:rsid w:val="00DA52ED"/>
    <w:rsid w:val="00DA536B"/>
    <w:rsid w:val="00DA5391"/>
    <w:rsid w:val="00DA54DE"/>
    <w:rsid w:val="00DA54E9"/>
    <w:rsid w:val="00DA568C"/>
    <w:rsid w:val="00DA5863"/>
    <w:rsid w:val="00DA5884"/>
    <w:rsid w:val="00DA58BF"/>
    <w:rsid w:val="00DA59F9"/>
    <w:rsid w:val="00DA5B21"/>
    <w:rsid w:val="00DA5C50"/>
    <w:rsid w:val="00DA5E58"/>
    <w:rsid w:val="00DA60BD"/>
    <w:rsid w:val="00DA60D8"/>
    <w:rsid w:val="00DA62BB"/>
    <w:rsid w:val="00DA62E5"/>
    <w:rsid w:val="00DA64B9"/>
    <w:rsid w:val="00DA6581"/>
    <w:rsid w:val="00DA6897"/>
    <w:rsid w:val="00DA6A43"/>
    <w:rsid w:val="00DA6AD8"/>
    <w:rsid w:val="00DA6AF9"/>
    <w:rsid w:val="00DA6B24"/>
    <w:rsid w:val="00DA6DA2"/>
    <w:rsid w:val="00DA6E0D"/>
    <w:rsid w:val="00DA7099"/>
    <w:rsid w:val="00DA7687"/>
    <w:rsid w:val="00DA7772"/>
    <w:rsid w:val="00DA7819"/>
    <w:rsid w:val="00DA798A"/>
    <w:rsid w:val="00DA7B9E"/>
    <w:rsid w:val="00DA7D5A"/>
    <w:rsid w:val="00DA7E53"/>
    <w:rsid w:val="00DB002D"/>
    <w:rsid w:val="00DB0132"/>
    <w:rsid w:val="00DB018C"/>
    <w:rsid w:val="00DB02A6"/>
    <w:rsid w:val="00DB0561"/>
    <w:rsid w:val="00DB078C"/>
    <w:rsid w:val="00DB0899"/>
    <w:rsid w:val="00DB08EE"/>
    <w:rsid w:val="00DB0A21"/>
    <w:rsid w:val="00DB0A4D"/>
    <w:rsid w:val="00DB0B1F"/>
    <w:rsid w:val="00DB0D99"/>
    <w:rsid w:val="00DB0FB7"/>
    <w:rsid w:val="00DB122E"/>
    <w:rsid w:val="00DB1368"/>
    <w:rsid w:val="00DB1530"/>
    <w:rsid w:val="00DB155D"/>
    <w:rsid w:val="00DB159B"/>
    <w:rsid w:val="00DB1773"/>
    <w:rsid w:val="00DB180A"/>
    <w:rsid w:val="00DB1B1F"/>
    <w:rsid w:val="00DB1B2D"/>
    <w:rsid w:val="00DB1C07"/>
    <w:rsid w:val="00DB1C9F"/>
    <w:rsid w:val="00DB1CBA"/>
    <w:rsid w:val="00DB1CCD"/>
    <w:rsid w:val="00DB1DC4"/>
    <w:rsid w:val="00DB2099"/>
    <w:rsid w:val="00DB2161"/>
    <w:rsid w:val="00DB2226"/>
    <w:rsid w:val="00DB238D"/>
    <w:rsid w:val="00DB243D"/>
    <w:rsid w:val="00DB2526"/>
    <w:rsid w:val="00DB28F4"/>
    <w:rsid w:val="00DB2ABD"/>
    <w:rsid w:val="00DB2B74"/>
    <w:rsid w:val="00DB2BBB"/>
    <w:rsid w:val="00DB2CE3"/>
    <w:rsid w:val="00DB2F49"/>
    <w:rsid w:val="00DB303C"/>
    <w:rsid w:val="00DB30E7"/>
    <w:rsid w:val="00DB346D"/>
    <w:rsid w:val="00DB34E7"/>
    <w:rsid w:val="00DB3571"/>
    <w:rsid w:val="00DB367E"/>
    <w:rsid w:val="00DB3757"/>
    <w:rsid w:val="00DB38AF"/>
    <w:rsid w:val="00DB3A31"/>
    <w:rsid w:val="00DB3A5D"/>
    <w:rsid w:val="00DB3B8E"/>
    <w:rsid w:val="00DB3BBA"/>
    <w:rsid w:val="00DB3D94"/>
    <w:rsid w:val="00DB3DF5"/>
    <w:rsid w:val="00DB40B7"/>
    <w:rsid w:val="00DB41F6"/>
    <w:rsid w:val="00DB42A4"/>
    <w:rsid w:val="00DB44FA"/>
    <w:rsid w:val="00DB455D"/>
    <w:rsid w:val="00DB45AF"/>
    <w:rsid w:val="00DB4614"/>
    <w:rsid w:val="00DB474E"/>
    <w:rsid w:val="00DB47A4"/>
    <w:rsid w:val="00DB48E9"/>
    <w:rsid w:val="00DB5013"/>
    <w:rsid w:val="00DB5062"/>
    <w:rsid w:val="00DB5161"/>
    <w:rsid w:val="00DB5404"/>
    <w:rsid w:val="00DB546C"/>
    <w:rsid w:val="00DB56BC"/>
    <w:rsid w:val="00DB5703"/>
    <w:rsid w:val="00DB5856"/>
    <w:rsid w:val="00DB5A75"/>
    <w:rsid w:val="00DB5B8C"/>
    <w:rsid w:val="00DB5C04"/>
    <w:rsid w:val="00DB5E8E"/>
    <w:rsid w:val="00DB5E92"/>
    <w:rsid w:val="00DB5F31"/>
    <w:rsid w:val="00DB5F7D"/>
    <w:rsid w:val="00DB5FE5"/>
    <w:rsid w:val="00DB6107"/>
    <w:rsid w:val="00DB6144"/>
    <w:rsid w:val="00DB61CD"/>
    <w:rsid w:val="00DB6346"/>
    <w:rsid w:val="00DB64B9"/>
    <w:rsid w:val="00DB6550"/>
    <w:rsid w:val="00DB6565"/>
    <w:rsid w:val="00DB6802"/>
    <w:rsid w:val="00DB688D"/>
    <w:rsid w:val="00DB68F6"/>
    <w:rsid w:val="00DB6995"/>
    <w:rsid w:val="00DB69BC"/>
    <w:rsid w:val="00DB6CB9"/>
    <w:rsid w:val="00DB6CDE"/>
    <w:rsid w:val="00DB6EB8"/>
    <w:rsid w:val="00DB6FBB"/>
    <w:rsid w:val="00DB7054"/>
    <w:rsid w:val="00DB7055"/>
    <w:rsid w:val="00DB7155"/>
    <w:rsid w:val="00DB7171"/>
    <w:rsid w:val="00DB725D"/>
    <w:rsid w:val="00DB7598"/>
    <w:rsid w:val="00DB76D0"/>
    <w:rsid w:val="00DB79F4"/>
    <w:rsid w:val="00DB7A06"/>
    <w:rsid w:val="00DB7B10"/>
    <w:rsid w:val="00DB7B3D"/>
    <w:rsid w:val="00DB7BED"/>
    <w:rsid w:val="00DB7D93"/>
    <w:rsid w:val="00DC0046"/>
    <w:rsid w:val="00DC01A3"/>
    <w:rsid w:val="00DC01FB"/>
    <w:rsid w:val="00DC0374"/>
    <w:rsid w:val="00DC0482"/>
    <w:rsid w:val="00DC04BD"/>
    <w:rsid w:val="00DC0514"/>
    <w:rsid w:val="00DC0817"/>
    <w:rsid w:val="00DC08E9"/>
    <w:rsid w:val="00DC093E"/>
    <w:rsid w:val="00DC0E14"/>
    <w:rsid w:val="00DC0E9E"/>
    <w:rsid w:val="00DC0F3B"/>
    <w:rsid w:val="00DC100B"/>
    <w:rsid w:val="00DC106D"/>
    <w:rsid w:val="00DC10B1"/>
    <w:rsid w:val="00DC111C"/>
    <w:rsid w:val="00DC112A"/>
    <w:rsid w:val="00DC12FE"/>
    <w:rsid w:val="00DC13CA"/>
    <w:rsid w:val="00DC1524"/>
    <w:rsid w:val="00DC15F4"/>
    <w:rsid w:val="00DC169A"/>
    <w:rsid w:val="00DC17E4"/>
    <w:rsid w:val="00DC1F6F"/>
    <w:rsid w:val="00DC2219"/>
    <w:rsid w:val="00DC2295"/>
    <w:rsid w:val="00DC2475"/>
    <w:rsid w:val="00DC2738"/>
    <w:rsid w:val="00DC274C"/>
    <w:rsid w:val="00DC27B9"/>
    <w:rsid w:val="00DC2E8E"/>
    <w:rsid w:val="00DC31C3"/>
    <w:rsid w:val="00DC32EA"/>
    <w:rsid w:val="00DC336F"/>
    <w:rsid w:val="00DC3388"/>
    <w:rsid w:val="00DC341E"/>
    <w:rsid w:val="00DC346F"/>
    <w:rsid w:val="00DC34F5"/>
    <w:rsid w:val="00DC3541"/>
    <w:rsid w:val="00DC358E"/>
    <w:rsid w:val="00DC3650"/>
    <w:rsid w:val="00DC36D0"/>
    <w:rsid w:val="00DC3876"/>
    <w:rsid w:val="00DC3955"/>
    <w:rsid w:val="00DC3A30"/>
    <w:rsid w:val="00DC3A31"/>
    <w:rsid w:val="00DC3AAE"/>
    <w:rsid w:val="00DC3E42"/>
    <w:rsid w:val="00DC4019"/>
    <w:rsid w:val="00DC44DF"/>
    <w:rsid w:val="00DC44F2"/>
    <w:rsid w:val="00DC450B"/>
    <w:rsid w:val="00DC475D"/>
    <w:rsid w:val="00DC48FA"/>
    <w:rsid w:val="00DC4AF3"/>
    <w:rsid w:val="00DC512D"/>
    <w:rsid w:val="00DC5400"/>
    <w:rsid w:val="00DC54B6"/>
    <w:rsid w:val="00DC5567"/>
    <w:rsid w:val="00DC594C"/>
    <w:rsid w:val="00DC5ABC"/>
    <w:rsid w:val="00DC5AD1"/>
    <w:rsid w:val="00DC5BFD"/>
    <w:rsid w:val="00DC5CA5"/>
    <w:rsid w:val="00DC5CE4"/>
    <w:rsid w:val="00DC5E77"/>
    <w:rsid w:val="00DC5F9A"/>
    <w:rsid w:val="00DC6070"/>
    <w:rsid w:val="00DC60AD"/>
    <w:rsid w:val="00DC6148"/>
    <w:rsid w:val="00DC6242"/>
    <w:rsid w:val="00DC63D9"/>
    <w:rsid w:val="00DC63E2"/>
    <w:rsid w:val="00DC6451"/>
    <w:rsid w:val="00DC6645"/>
    <w:rsid w:val="00DC689B"/>
    <w:rsid w:val="00DC6929"/>
    <w:rsid w:val="00DC6AB8"/>
    <w:rsid w:val="00DC6BA4"/>
    <w:rsid w:val="00DC6E2A"/>
    <w:rsid w:val="00DC6EF6"/>
    <w:rsid w:val="00DC6F4B"/>
    <w:rsid w:val="00DC7391"/>
    <w:rsid w:val="00DC7397"/>
    <w:rsid w:val="00DC74DE"/>
    <w:rsid w:val="00DC74E1"/>
    <w:rsid w:val="00DC771A"/>
    <w:rsid w:val="00DC77D8"/>
    <w:rsid w:val="00DC78CD"/>
    <w:rsid w:val="00DC791C"/>
    <w:rsid w:val="00DC7B42"/>
    <w:rsid w:val="00DD00BF"/>
    <w:rsid w:val="00DD016B"/>
    <w:rsid w:val="00DD0392"/>
    <w:rsid w:val="00DD03B0"/>
    <w:rsid w:val="00DD0529"/>
    <w:rsid w:val="00DD0550"/>
    <w:rsid w:val="00DD0636"/>
    <w:rsid w:val="00DD0716"/>
    <w:rsid w:val="00DD07D6"/>
    <w:rsid w:val="00DD0DCA"/>
    <w:rsid w:val="00DD0E01"/>
    <w:rsid w:val="00DD1362"/>
    <w:rsid w:val="00DD149B"/>
    <w:rsid w:val="00DD171D"/>
    <w:rsid w:val="00DD17D4"/>
    <w:rsid w:val="00DD1A32"/>
    <w:rsid w:val="00DD1B33"/>
    <w:rsid w:val="00DD1E1C"/>
    <w:rsid w:val="00DD2098"/>
    <w:rsid w:val="00DD2101"/>
    <w:rsid w:val="00DD21E2"/>
    <w:rsid w:val="00DD237F"/>
    <w:rsid w:val="00DD23AA"/>
    <w:rsid w:val="00DD273F"/>
    <w:rsid w:val="00DD27C3"/>
    <w:rsid w:val="00DD2B4A"/>
    <w:rsid w:val="00DD2CCB"/>
    <w:rsid w:val="00DD31C3"/>
    <w:rsid w:val="00DD31D8"/>
    <w:rsid w:val="00DD31E1"/>
    <w:rsid w:val="00DD31F5"/>
    <w:rsid w:val="00DD3399"/>
    <w:rsid w:val="00DD36C3"/>
    <w:rsid w:val="00DD3974"/>
    <w:rsid w:val="00DD3E38"/>
    <w:rsid w:val="00DD3E60"/>
    <w:rsid w:val="00DD4175"/>
    <w:rsid w:val="00DD41C7"/>
    <w:rsid w:val="00DD4267"/>
    <w:rsid w:val="00DD43A5"/>
    <w:rsid w:val="00DD44FA"/>
    <w:rsid w:val="00DD4539"/>
    <w:rsid w:val="00DD4556"/>
    <w:rsid w:val="00DD4749"/>
    <w:rsid w:val="00DD48D8"/>
    <w:rsid w:val="00DD4A8B"/>
    <w:rsid w:val="00DD4AFB"/>
    <w:rsid w:val="00DD4B46"/>
    <w:rsid w:val="00DD4B57"/>
    <w:rsid w:val="00DD4C2C"/>
    <w:rsid w:val="00DD4C9A"/>
    <w:rsid w:val="00DD4CE2"/>
    <w:rsid w:val="00DD4F84"/>
    <w:rsid w:val="00DD507D"/>
    <w:rsid w:val="00DD52F4"/>
    <w:rsid w:val="00DD547C"/>
    <w:rsid w:val="00DD57E3"/>
    <w:rsid w:val="00DD57FF"/>
    <w:rsid w:val="00DD5867"/>
    <w:rsid w:val="00DD58DE"/>
    <w:rsid w:val="00DD59AE"/>
    <w:rsid w:val="00DD5B5C"/>
    <w:rsid w:val="00DD5CD9"/>
    <w:rsid w:val="00DD5CDD"/>
    <w:rsid w:val="00DD5DF9"/>
    <w:rsid w:val="00DD5EE5"/>
    <w:rsid w:val="00DD5EE9"/>
    <w:rsid w:val="00DD60A7"/>
    <w:rsid w:val="00DD61AC"/>
    <w:rsid w:val="00DD62E1"/>
    <w:rsid w:val="00DD6426"/>
    <w:rsid w:val="00DD64F0"/>
    <w:rsid w:val="00DD66C2"/>
    <w:rsid w:val="00DD6BE8"/>
    <w:rsid w:val="00DD6CF4"/>
    <w:rsid w:val="00DD6D01"/>
    <w:rsid w:val="00DD6DDB"/>
    <w:rsid w:val="00DD6E04"/>
    <w:rsid w:val="00DD7012"/>
    <w:rsid w:val="00DD70C8"/>
    <w:rsid w:val="00DD713A"/>
    <w:rsid w:val="00DD7146"/>
    <w:rsid w:val="00DD73D6"/>
    <w:rsid w:val="00DD74ED"/>
    <w:rsid w:val="00DD7571"/>
    <w:rsid w:val="00DD7576"/>
    <w:rsid w:val="00DD7744"/>
    <w:rsid w:val="00DD7763"/>
    <w:rsid w:val="00DD776B"/>
    <w:rsid w:val="00DD7A1D"/>
    <w:rsid w:val="00DD7A38"/>
    <w:rsid w:val="00DD7DBE"/>
    <w:rsid w:val="00DD7E57"/>
    <w:rsid w:val="00DD7F4F"/>
    <w:rsid w:val="00DD7FF0"/>
    <w:rsid w:val="00DE006C"/>
    <w:rsid w:val="00DE028C"/>
    <w:rsid w:val="00DE02B1"/>
    <w:rsid w:val="00DE06C2"/>
    <w:rsid w:val="00DE09BE"/>
    <w:rsid w:val="00DE0AB0"/>
    <w:rsid w:val="00DE0ABE"/>
    <w:rsid w:val="00DE0CD8"/>
    <w:rsid w:val="00DE0D25"/>
    <w:rsid w:val="00DE0F32"/>
    <w:rsid w:val="00DE0F7B"/>
    <w:rsid w:val="00DE13E2"/>
    <w:rsid w:val="00DE15D1"/>
    <w:rsid w:val="00DE1714"/>
    <w:rsid w:val="00DE1762"/>
    <w:rsid w:val="00DE1786"/>
    <w:rsid w:val="00DE191B"/>
    <w:rsid w:val="00DE1A21"/>
    <w:rsid w:val="00DE1A31"/>
    <w:rsid w:val="00DE1BD9"/>
    <w:rsid w:val="00DE1C15"/>
    <w:rsid w:val="00DE1D6F"/>
    <w:rsid w:val="00DE1DED"/>
    <w:rsid w:val="00DE1F15"/>
    <w:rsid w:val="00DE1F26"/>
    <w:rsid w:val="00DE1F96"/>
    <w:rsid w:val="00DE210F"/>
    <w:rsid w:val="00DE212F"/>
    <w:rsid w:val="00DE21E1"/>
    <w:rsid w:val="00DE23C6"/>
    <w:rsid w:val="00DE2419"/>
    <w:rsid w:val="00DE24E0"/>
    <w:rsid w:val="00DE26DD"/>
    <w:rsid w:val="00DE26E9"/>
    <w:rsid w:val="00DE29C8"/>
    <w:rsid w:val="00DE2A88"/>
    <w:rsid w:val="00DE2B18"/>
    <w:rsid w:val="00DE2D91"/>
    <w:rsid w:val="00DE2E08"/>
    <w:rsid w:val="00DE2E88"/>
    <w:rsid w:val="00DE30F3"/>
    <w:rsid w:val="00DE3116"/>
    <w:rsid w:val="00DE3217"/>
    <w:rsid w:val="00DE339B"/>
    <w:rsid w:val="00DE33C7"/>
    <w:rsid w:val="00DE35B3"/>
    <w:rsid w:val="00DE3609"/>
    <w:rsid w:val="00DE369C"/>
    <w:rsid w:val="00DE3827"/>
    <w:rsid w:val="00DE3B1F"/>
    <w:rsid w:val="00DE3F40"/>
    <w:rsid w:val="00DE3F8B"/>
    <w:rsid w:val="00DE4012"/>
    <w:rsid w:val="00DE426E"/>
    <w:rsid w:val="00DE4331"/>
    <w:rsid w:val="00DE4388"/>
    <w:rsid w:val="00DE44FC"/>
    <w:rsid w:val="00DE465D"/>
    <w:rsid w:val="00DE5057"/>
    <w:rsid w:val="00DE5149"/>
    <w:rsid w:val="00DE518C"/>
    <w:rsid w:val="00DE5215"/>
    <w:rsid w:val="00DE55EE"/>
    <w:rsid w:val="00DE58A0"/>
    <w:rsid w:val="00DE5B43"/>
    <w:rsid w:val="00DE5CE2"/>
    <w:rsid w:val="00DE5E6E"/>
    <w:rsid w:val="00DE6094"/>
    <w:rsid w:val="00DE623D"/>
    <w:rsid w:val="00DE6251"/>
    <w:rsid w:val="00DE6273"/>
    <w:rsid w:val="00DE62F3"/>
    <w:rsid w:val="00DE63BD"/>
    <w:rsid w:val="00DE6720"/>
    <w:rsid w:val="00DE6858"/>
    <w:rsid w:val="00DE686F"/>
    <w:rsid w:val="00DE6BF0"/>
    <w:rsid w:val="00DE6D34"/>
    <w:rsid w:val="00DE6DC3"/>
    <w:rsid w:val="00DE6EA1"/>
    <w:rsid w:val="00DE6F67"/>
    <w:rsid w:val="00DE7106"/>
    <w:rsid w:val="00DE7256"/>
    <w:rsid w:val="00DE7425"/>
    <w:rsid w:val="00DE74DB"/>
    <w:rsid w:val="00DE74E0"/>
    <w:rsid w:val="00DE7875"/>
    <w:rsid w:val="00DE788E"/>
    <w:rsid w:val="00DE7CA7"/>
    <w:rsid w:val="00DE7D9C"/>
    <w:rsid w:val="00DF00BF"/>
    <w:rsid w:val="00DF0183"/>
    <w:rsid w:val="00DF01B9"/>
    <w:rsid w:val="00DF0486"/>
    <w:rsid w:val="00DF0538"/>
    <w:rsid w:val="00DF06F6"/>
    <w:rsid w:val="00DF072A"/>
    <w:rsid w:val="00DF091B"/>
    <w:rsid w:val="00DF0A01"/>
    <w:rsid w:val="00DF0AA5"/>
    <w:rsid w:val="00DF0C93"/>
    <w:rsid w:val="00DF0C9A"/>
    <w:rsid w:val="00DF0E77"/>
    <w:rsid w:val="00DF0F39"/>
    <w:rsid w:val="00DF1067"/>
    <w:rsid w:val="00DF1343"/>
    <w:rsid w:val="00DF13EC"/>
    <w:rsid w:val="00DF143E"/>
    <w:rsid w:val="00DF16A2"/>
    <w:rsid w:val="00DF1949"/>
    <w:rsid w:val="00DF1A96"/>
    <w:rsid w:val="00DF1B92"/>
    <w:rsid w:val="00DF1BCE"/>
    <w:rsid w:val="00DF1C67"/>
    <w:rsid w:val="00DF203E"/>
    <w:rsid w:val="00DF2401"/>
    <w:rsid w:val="00DF24C4"/>
    <w:rsid w:val="00DF25EC"/>
    <w:rsid w:val="00DF27D9"/>
    <w:rsid w:val="00DF2AF9"/>
    <w:rsid w:val="00DF2BA9"/>
    <w:rsid w:val="00DF2DBC"/>
    <w:rsid w:val="00DF2EB8"/>
    <w:rsid w:val="00DF2FA2"/>
    <w:rsid w:val="00DF2FC1"/>
    <w:rsid w:val="00DF3082"/>
    <w:rsid w:val="00DF3300"/>
    <w:rsid w:val="00DF3311"/>
    <w:rsid w:val="00DF33D5"/>
    <w:rsid w:val="00DF33DA"/>
    <w:rsid w:val="00DF346A"/>
    <w:rsid w:val="00DF3554"/>
    <w:rsid w:val="00DF375B"/>
    <w:rsid w:val="00DF3784"/>
    <w:rsid w:val="00DF387E"/>
    <w:rsid w:val="00DF38B4"/>
    <w:rsid w:val="00DF38D9"/>
    <w:rsid w:val="00DF3B8F"/>
    <w:rsid w:val="00DF4018"/>
    <w:rsid w:val="00DF427B"/>
    <w:rsid w:val="00DF455B"/>
    <w:rsid w:val="00DF4638"/>
    <w:rsid w:val="00DF494A"/>
    <w:rsid w:val="00DF4992"/>
    <w:rsid w:val="00DF4BD4"/>
    <w:rsid w:val="00DF4D8C"/>
    <w:rsid w:val="00DF4E15"/>
    <w:rsid w:val="00DF4E3E"/>
    <w:rsid w:val="00DF4F5C"/>
    <w:rsid w:val="00DF5151"/>
    <w:rsid w:val="00DF5175"/>
    <w:rsid w:val="00DF519E"/>
    <w:rsid w:val="00DF51BA"/>
    <w:rsid w:val="00DF5328"/>
    <w:rsid w:val="00DF54FF"/>
    <w:rsid w:val="00DF5889"/>
    <w:rsid w:val="00DF5A4C"/>
    <w:rsid w:val="00DF5A6F"/>
    <w:rsid w:val="00DF5B25"/>
    <w:rsid w:val="00DF5B84"/>
    <w:rsid w:val="00DF5C03"/>
    <w:rsid w:val="00DF5D33"/>
    <w:rsid w:val="00DF5E01"/>
    <w:rsid w:val="00DF5F65"/>
    <w:rsid w:val="00DF610E"/>
    <w:rsid w:val="00DF616F"/>
    <w:rsid w:val="00DF618C"/>
    <w:rsid w:val="00DF6210"/>
    <w:rsid w:val="00DF627D"/>
    <w:rsid w:val="00DF6505"/>
    <w:rsid w:val="00DF66BD"/>
    <w:rsid w:val="00DF671D"/>
    <w:rsid w:val="00DF686C"/>
    <w:rsid w:val="00DF6921"/>
    <w:rsid w:val="00DF6B86"/>
    <w:rsid w:val="00DF6B88"/>
    <w:rsid w:val="00DF6BE0"/>
    <w:rsid w:val="00DF6BED"/>
    <w:rsid w:val="00DF6E7D"/>
    <w:rsid w:val="00DF7079"/>
    <w:rsid w:val="00DF73FC"/>
    <w:rsid w:val="00DF7488"/>
    <w:rsid w:val="00DF74F7"/>
    <w:rsid w:val="00DF7566"/>
    <w:rsid w:val="00DF7613"/>
    <w:rsid w:val="00DF778A"/>
    <w:rsid w:val="00DF7863"/>
    <w:rsid w:val="00DF7CEB"/>
    <w:rsid w:val="00DF7DA5"/>
    <w:rsid w:val="00DF7E69"/>
    <w:rsid w:val="00E000A4"/>
    <w:rsid w:val="00E0012F"/>
    <w:rsid w:val="00E00167"/>
    <w:rsid w:val="00E00484"/>
    <w:rsid w:val="00E00489"/>
    <w:rsid w:val="00E006E3"/>
    <w:rsid w:val="00E0076F"/>
    <w:rsid w:val="00E007CC"/>
    <w:rsid w:val="00E00922"/>
    <w:rsid w:val="00E00B90"/>
    <w:rsid w:val="00E00CCB"/>
    <w:rsid w:val="00E00D58"/>
    <w:rsid w:val="00E00E40"/>
    <w:rsid w:val="00E00FF4"/>
    <w:rsid w:val="00E01046"/>
    <w:rsid w:val="00E0106A"/>
    <w:rsid w:val="00E010D7"/>
    <w:rsid w:val="00E01574"/>
    <w:rsid w:val="00E017D7"/>
    <w:rsid w:val="00E01850"/>
    <w:rsid w:val="00E018A4"/>
    <w:rsid w:val="00E018C9"/>
    <w:rsid w:val="00E01917"/>
    <w:rsid w:val="00E019E9"/>
    <w:rsid w:val="00E01AA3"/>
    <w:rsid w:val="00E01BA5"/>
    <w:rsid w:val="00E01C3B"/>
    <w:rsid w:val="00E01CD0"/>
    <w:rsid w:val="00E01E70"/>
    <w:rsid w:val="00E01F4F"/>
    <w:rsid w:val="00E02454"/>
    <w:rsid w:val="00E0259A"/>
    <w:rsid w:val="00E0264B"/>
    <w:rsid w:val="00E02907"/>
    <w:rsid w:val="00E02BE0"/>
    <w:rsid w:val="00E02EBA"/>
    <w:rsid w:val="00E0317E"/>
    <w:rsid w:val="00E031F3"/>
    <w:rsid w:val="00E032D9"/>
    <w:rsid w:val="00E033CA"/>
    <w:rsid w:val="00E033D7"/>
    <w:rsid w:val="00E038D3"/>
    <w:rsid w:val="00E03A0A"/>
    <w:rsid w:val="00E03A1B"/>
    <w:rsid w:val="00E03C99"/>
    <w:rsid w:val="00E03D00"/>
    <w:rsid w:val="00E03D21"/>
    <w:rsid w:val="00E03DAB"/>
    <w:rsid w:val="00E03EA5"/>
    <w:rsid w:val="00E03EFB"/>
    <w:rsid w:val="00E04008"/>
    <w:rsid w:val="00E0446E"/>
    <w:rsid w:val="00E044EA"/>
    <w:rsid w:val="00E04A64"/>
    <w:rsid w:val="00E04AB6"/>
    <w:rsid w:val="00E04E4E"/>
    <w:rsid w:val="00E0512E"/>
    <w:rsid w:val="00E05443"/>
    <w:rsid w:val="00E0547C"/>
    <w:rsid w:val="00E055BD"/>
    <w:rsid w:val="00E05825"/>
    <w:rsid w:val="00E0582F"/>
    <w:rsid w:val="00E05B53"/>
    <w:rsid w:val="00E05B82"/>
    <w:rsid w:val="00E05C4C"/>
    <w:rsid w:val="00E05C87"/>
    <w:rsid w:val="00E05FD7"/>
    <w:rsid w:val="00E06157"/>
    <w:rsid w:val="00E06489"/>
    <w:rsid w:val="00E0669B"/>
    <w:rsid w:val="00E0671E"/>
    <w:rsid w:val="00E067EE"/>
    <w:rsid w:val="00E0697E"/>
    <w:rsid w:val="00E06B34"/>
    <w:rsid w:val="00E070A0"/>
    <w:rsid w:val="00E070F8"/>
    <w:rsid w:val="00E0717C"/>
    <w:rsid w:val="00E07431"/>
    <w:rsid w:val="00E075D3"/>
    <w:rsid w:val="00E07B83"/>
    <w:rsid w:val="00E07BEB"/>
    <w:rsid w:val="00E07CA3"/>
    <w:rsid w:val="00E07EDA"/>
    <w:rsid w:val="00E1008A"/>
    <w:rsid w:val="00E10109"/>
    <w:rsid w:val="00E10162"/>
    <w:rsid w:val="00E1028A"/>
    <w:rsid w:val="00E10491"/>
    <w:rsid w:val="00E10671"/>
    <w:rsid w:val="00E109F6"/>
    <w:rsid w:val="00E10B2F"/>
    <w:rsid w:val="00E10C38"/>
    <w:rsid w:val="00E10C45"/>
    <w:rsid w:val="00E10CAF"/>
    <w:rsid w:val="00E10E2C"/>
    <w:rsid w:val="00E10FDB"/>
    <w:rsid w:val="00E11017"/>
    <w:rsid w:val="00E11080"/>
    <w:rsid w:val="00E110EF"/>
    <w:rsid w:val="00E113CF"/>
    <w:rsid w:val="00E11412"/>
    <w:rsid w:val="00E116E9"/>
    <w:rsid w:val="00E117B6"/>
    <w:rsid w:val="00E11846"/>
    <w:rsid w:val="00E11871"/>
    <w:rsid w:val="00E118C0"/>
    <w:rsid w:val="00E11AE6"/>
    <w:rsid w:val="00E11C51"/>
    <w:rsid w:val="00E11F3F"/>
    <w:rsid w:val="00E11FAE"/>
    <w:rsid w:val="00E12024"/>
    <w:rsid w:val="00E12150"/>
    <w:rsid w:val="00E125E2"/>
    <w:rsid w:val="00E1265B"/>
    <w:rsid w:val="00E127F7"/>
    <w:rsid w:val="00E12893"/>
    <w:rsid w:val="00E12A65"/>
    <w:rsid w:val="00E12B11"/>
    <w:rsid w:val="00E12B59"/>
    <w:rsid w:val="00E12BED"/>
    <w:rsid w:val="00E12DD4"/>
    <w:rsid w:val="00E1318F"/>
    <w:rsid w:val="00E134E6"/>
    <w:rsid w:val="00E13686"/>
    <w:rsid w:val="00E1377B"/>
    <w:rsid w:val="00E137ED"/>
    <w:rsid w:val="00E1397F"/>
    <w:rsid w:val="00E13B72"/>
    <w:rsid w:val="00E13CEF"/>
    <w:rsid w:val="00E13D3F"/>
    <w:rsid w:val="00E13D79"/>
    <w:rsid w:val="00E13D93"/>
    <w:rsid w:val="00E13E62"/>
    <w:rsid w:val="00E13F1D"/>
    <w:rsid w:val="00E14139"/>
    <w:rsid w:val="00E1415C"/>
    <w:rsid w:val="00E141CC"/>
    <w:rsid w:val="00E14268"/>
    <w:rsid w:val="00E14341"/>
    <w:rsid w:val="00E14441"/>
    <w:rsid w:val="00E14642"/>
    <w:rsid w:val="00E14825"/>
    <w:rsid w:val="00E14954"/>
    <w:rsid w:val="00E1496A"/>
    <w:rsid w:val="00E14B79"/>
    <w:rsid w:val="00E14BE3"/>
    <w:rsid w:val="00E14BF5"/>
    <w:rsid w:val="00E14F66"/>
    <w:rsid w:val="00E14F72"/>
    <w:rsid w:val="00E1500A"/>
    <w:rsid w:val="00E15146"/>
    <w:rsid w:val="00E152BD"/>
    <w:rsid w:val="00E152F6"/>
    <w:rsid w:val="00E1539A"/>
    <w:rsid w:val="00E153A0"/>
    <w:rsid w:val="00E1567A"/>
    <w:rsid w:val="00E157D4"/>
    <w:rsid w:val="00E15AD3"/>
    <w:rsid w:val="00E15BBC"/>
    <w:rsid w:val="00E15CD8"/>
    <w:rsid w:val="00E15FCA"/>
    <w:rsid w:val="00E15FE5"/>
    <w:rsid w:val="00E15FE7"/>
    <w:rsid w:val="00E161DB"/>
    <w:rsid w:val="00E16373"/>
    <w:rsid w:val="00E1638B"/>
    <w:rsid w:val="00E163FD"/>
    <w:rsid w:val="00E16408"/>
    <w:rsid w:val="00E16444"/>
    <w:rsid w:val="00E1656A"/>
    <w:rsid w:val="00E1659F"/>
    <w:rsid w:val="00E165DF"/>
    <w:rsid w:val="00E16628"/>
    <w:rsid w:val="00E1669F"/>
    <w:rsid w:val="00E16773"/>
    <w:rsid w:val="00E167CB"/>
    <w:rsid w:val="00E168EB"/>
    <w:rsid w:val="00E16984"/>
    <w:rsid w:val="00E169F1"/>
    <w:rsid w:val="00E16BE3"/>
    <w:rsid w:val="00E16F73"/>
    <w:rsid w:val="00E16F96"/>
    <w:rsid w:val="00E170A7"/>
    <w:rsid w:val="00E17158"/>
    <w:rsid w:val="00E1724C"/>
    <w:rsid w:val="00E17257"/>
    <w:rsid w:val="00E17587"/>
    <w:rsid w:val="00E175D2"/>
    <w:rsid w:val="00E175F0"/>
    <w:rsid w:val="00E17857"/>
    <w:rsid w:val="00E17A25"/>
    <w:rsid w:val="00E17D29"/>
    <w:rsid w:val="00E17E0B"/>
    <w:rsid w:val="00E17EBC"/>
    <w:rsid w:val="00E20213"/>
    <w:rsid w:val="00E2035B"/>
    <w:rsid w:val="00E205ED"/>
    <w:rsid w:val="00E2087B"/>
    <w:rsid w:val="00E20BD7"/>
    <w:rsid w:val="00E20C21"/>
    <w:rsid w:val="00E20C3C"/>
    <w:rsid w:val="00E20D61"/>
    <w:rsid w:val="00E20FA4"/>
    <w:rsid w:val="00E21504"/>
    <w:rsid w:val="00E21517"/>
    <w:rsid w:val="00E216DB"/>
    <w:rsid w:val="00E2181F"/>
    <w:rsid w:val="00E21C5A"/>
    <w:rsid w:val="00E21CE2"/>
    <w:rsid w:val="00E21E88"/>
    <w:rsid w:val="00E21EE5"/>
    <w:rsid w:val="00E21F4E"/>
    <w:rsid w:val="00E21F51"/>
    <w:rsid w:val="00E2248E"/>
    <w:rsid w:val="00E224C5"/>
    <w:rsid w:val="00E225EA"/>
    <w:rsid w:val="00E227EE"/>
    <w:rsid w:val="00E2286C"/>
    <w:rsid w:val="00E2292C"/>
    <w:rsid w:val="00E22B87"/>
    <w:rsid w:val="00E22C17"/>
    <w:rsid w:val="00E22F91"/>
    <w:rsid w:val="00E2303B"/>
    <w:rsid w:val="00E2309F"/>
    <w:rsid w:val="00E2310C"/>
    <w:rsid w:val="00E2321E"/>
    <w:rsid w:val="00E23279"/>
    <w:rsid w:val="00E232E1"/>
    <w:rsid w:val="00E23499"/>
    <w:rsid w:val="00E236A2"/>
    <w:rsid w:val="00E2388B"/>
    <w:rsid w:val="00E23DAF"/>
    <w:rsid w:val="00E23FC6"/>
    <w:rsid w:val="00E23FD4"/>
    <w:rsid w:val="00E243DC"/>
    <w:rsid w:val="00E24428"/>
    <w:rsid w:val="00E24797"/>
    <w:rsid w:val="00E24891"/>
    <w:rsid w:val="00E24A75"/>
    <w:rsid w:val="00E24F88"/>
    <w:rsid w:val="00E251C9"/>
    <w:rsid w:val="00E25202"/>
    <w:rsid w:val="00E25289"/>
    <w:rsid w:val="00E2541A"/>
    <w:rsid w:val="00E25575"/>
    <w:rsid w:val="00E255EB"/>
    <w:rsid w:val="00E25B83"/>
    <w:rsid w:val="00E25BC5"/>
    <w:rsid w:val="00E25BCF"/>
    <w:rsid w:val="00E25DEE"/>
    <w:rsid w:val="00E25E83"/>
    <w:rsid w:val="00E2628B"/>
    <w:rsid w:val="00E262AC"/>
    <w:rsid w:val="00E262F6"/>
    <w:rsid w:val="00E26320"/>
    <w:rsid w:val="00E263B5"/>
    <w:rsid w:val="00E26525"/>
    <w:rsid w:val="00E265F7"/>
    <w:rsid w:val="00E26658"/>
    <w:rsid w:val="00E266D4"/>
    <w:rsid w:val="00E26756"/>
    <w:rsid w:val="00E2675D"/>
    <w:rsid w:val="00E26A66"/>
    <w:rsid w:val="00E26D5B"/>
    <w:rsid w:val="00E26E60"/>
    <w:rsid w:val="00E26EA1"/>
    <w:rsid w:val="00E26FAB"/>
    <w:rsid w:val="00E26FF1"/>
    <w:rsid w:val="00E27106"/>
    <w:rsid w:val="00E271B0"/>
    <w:rsid w:val="00E27218"/>
    <w:rsid w:val="00E2730F"/>
    <w:rsid w:val="00E2778C"/>
    <w:rsid w:val="00E2779E"/>
    <w:rsid w:val="00E277CE"/>
    <w:rsid w:val="00E2787C"/>
    <w:rsid w:val="00E27AED"/>
    <w:rsid w:val="00E27C02"/>
    <w:rsid w:val="00E27D19"/>
    <w:rsid w:val="00E27EC6"/>
    <w:rsid w:val="00E30067"/>
    <w:rsid w:val="00E3012F"/>
    <w:rsid w:val="00E301C6"/>
    <w:rsid w:val="00E30293"/>
    <w:rsid w:val="00E3041A"/>
    <w:rsid w:val="00E30629"/>
    <w:rsid w:val="00E306AC"/>
    <w:rsid w:val="00E30850"/>
    <w:rsid w:val="00E30A5D"/>
    <w:rsid w:val="00E30AC5"/>
    <w:rsid w:val="00E30AEF"/>
    <w:rsid w:val="00E30C6C"/>
    <w:rsid w:val="00E30F13"/>
    <w:rsid w:val="00E3105E"/>
    <w:rsid w:val="00E31198"/>
    <w:rsid w:val="00E312E1"/>
    <w:rsid w:val="00E31308"/>
    <w:rsid w:val="00E313B4"/>
    <w:rsid w:val="00E31486"/>
    <w:rsid w:val="00E31540"/>
    <w:rsid w:val="00E31755"/>
    <w:rsid w:val="00E319D7"/>
    <w:rsid w:val="00E319E6"/>
    <w:rsid w:val="00E31A4C"/>
    <w:rsid w:val="00E31C1C"/>
    <w:rsid w:val="00E31CDC"/>
    <w:rsid w:val="00E31CF0"/>
    <w:rsid w:val="00E31ECD"/>
    <w:rsid w:val="00E32138"/>
    <w:rsid w:val="00E323A5"/>
    <w:rsid w:val="00E323B1"/>
    <w:rsid w:val="00E3240C"/>
    <w:rsid w:val="00E32414"/>
    <w:rsid w:val="00E3245A"/>
    <w:rsid w:val="00E32A0A"/>
    <w:rsid w:val="00E32B0B"/>
    <w:rsid w:val="00E32B25"/>
    <w:rsid w:val="00E32F71"/>
    <w:rsid w:val="00E330B5"/>
    <w:rsid w:val="00E331B1"/>
    <w:rsid w:val="00E334A9"/>
    <w:rsid w:val="00E335E6"/>
    <w:rsid w:val="00E33A2B"/>
    <w:rsid w:val="00E33D4F"/>
    <w:rsid w:val="00E33E69"/>
    <w:rsid w:val="00E33F24"/>
    <w:rsid w:val="00E3415B"/>
    <w:rsid w:val="00E34220"/>
    <w:rsid w:val="00E3458F"/>
    <w:rsid w:val="00E34590"/>
    <w:rsid w:val="00E345ED"/>
    <w:rsid w:val="00E349FA"/>
    <w:rsid w:val="00E34DDC"/>
    <w:rsid w:val="00E34FB1"/>
    <w:rsid w:val="00E35094"/>
    <w:rsid w:val="00E350BF"/>
    <w:rsid w:val="00E3513B"/>
    <w:rsid w:val="00E35252"/>
    <w:rsid w:val="00E3547D"/>
    <w:rsid w:val="00E35783"/>
    <w:rsid w:val="00E357CF"/>
    <w:rsid w:val="00E357F0"/>
    <w:rsid w:val="00E35BD8"/>
    <w:rsid w:val="00E35D5F"/>
    <w:rsid w:val="00E36184"/>
    <w:rsid w:val="00E361F1"/>
    <w:rsid w:val="00E3625B"/>
    <w:rsid w:val="00E36335"/>
    <w:rsid w:val="00E363E6"/>
    <w:rsid w:val="00E3653C"/>
    <w:rsid w:val="00E3662C"/>
    <w:rsid w:val="00E3688C"/>
    <w:rsid w:val="00E368F1"/>
    <w:rsid w:val="00E36B22"/>
    <w:rsid w:val="00E36B64"/>
    <w:rsid w:val="00E36D93"/>
    <w:rsid w:val="00E36E3A"/>
    <w:rsid w:val="00E3731A"/>
    <w:rsid w:val="00E376F5"/>
    <w:rsid w:val="00E379FA"/>
    <w:rsid w:val="00E37DD4"/>
    <w:rsid w:val="00E40146"/>
    <w:rsid w:val="00E40373"/>
    <w:rsid w:val="00E40880"/>
    <w:rsid w:val="00E408A6"/>
    <w:rsid w:val="00E40F39"/>
    <w:rsid w:val="00E40F3B"/>
    <w:rsid w:val="00E41252"/>
    <w:rsid w:val="00E415B0"/>
    <w:rsid w:val="00E417C5"/>
    <w:rsid w:val="00E419D2"/>
    <w:rsid w:val="00E419F4"/>
    <w:rsid w:val="00E41A05"/>
    <w:rsid w:val="00E41BBB"/>
    <w:rsid w:val="00E41C41"/>
    <w:rsid w:val="00E41CB4"/>
    <w:rsid w:val="00E41CF2"/>
    <w:rsid w:val="00E41DB4"/>
    <w:rsid w:val="00E41FB5"/>
    <w:rsid w:val="00E42178"/>
    <w:rsid w:val="00E422D9"/>
    <w:rsid w:val="00E429E4"/>
    <w:rsid w:val="00E42C22"/>
    <w:rsid w:val="00E430CE"/>
    <w:rsid w:val="00E43260"/>
    <w:rsid w:val="00E433C7"/>
    <w:rsid w:val="00E4343D"/>
    <w:rsid w:val="00E43449"/>
    <w:rsid w:val="00E4344C"/>
    <w:rsid w:val="00E4389B"/>
    <w:rsid w:val="00E438D4"/>
    <w:rsid w:val="00E438F5"/>
    <w:rsid w:val="00E43D07"/>
    <w:rsid w:val="00E43E11"/>
    <w:rsid w:val="00E43E24"/>
    <w:rsid w:val="00E43F6B"/>
    <w:rsid w:val="00E44072"/>
    <w:rsid w:val="00E4441D"/>
    <w:rsid w:val="00E445FB"/>
    <w:rsid w:val="00E449FA"/>
    <w:rsid w:val="00E44C70"/>
    <w:rsid w:val="00E44C9D"/>
    <w:rsid w:val="00E450AB"/>
    <w:rsid w:val="00E451C8"/>
    <w:rsid w:val="00E454C3"/>
    <w:rsid w:val="00E455AC"/>
    <w:rsid w:val="00E45721"/>
    <w:rsid w:val="00E457B6"/>
    <w:rsid w:val="00E45C12"/>
    <w:rsid w:val="00E45FB0"/>
    <w:rsid w:val="00E46263"/>
    <w:rsid w:val="00E462BF"/>
    <w:rsid w:val="00E4652E"/>
    <w:rsid w:val="00E46531"/>
    <w:rsid w:val="00E4660D"/>
    <w:rsid w:val="00E46699"/>
    <w:rsid w:val="00E4679A"/>
    <w:rsid w:val="00E46806"/>
    <w:rsid w:val="00E46878"/>
    <w:rsid w:val="00E46955"/>
    <w:rsid w:val="00E46AD7"/>
    <w:rsid w:val="00E46B04"/>
    <w:rsid w:val="00E46CE5"/>
    <w:rsid w:val="00E46D83"/>
    <w:rsid w:val="00E46DC4"/>
    <w:rsid w:val="00E46DC9"/>
    <w:rsid w:val="00E46DD6"/>
    <w:rsid w:val="00E46F2F"/>
    <w:rsid w:val="00E470E5"/>
    <w:rsid w:val="00E4719D"/>
    <w:rsid w:val="00E471E1"/>
    <w:rsid w:val="00E47213"/>
    <w:rsid w:val="00E47388"/>
    <w:rsid w:val="00E4741B"/>
    <w:rsid w:val="00E475AD"/>
    <w:rsid w:val="00E47811"/>
    <w:rsid w:val="00E47904"/>
    <w:rsid w:val="00E47966"/>
    <w:rsid w:val="00E47AE4"/>
    <w:rsid w:val="00E47C9F"/>
    <w:rsid w:val="00E47D5B"/>
    <w:rsid w:val="00E47E37"/>
    <w:rsid w:val="00E47F89"/>
    <w:rsid w:val="00E50165"/>
    <w:rsid w:val="00E505F9"/>
    <w:rsid w:val="00E50644"/>
    <w:rsid w:val="00E50789"/>
    <w:rsid w:val="00E507EA"/>
    <w:rsid w:val="00E50BCE"/>
    <w:rsid w:val="00E50C2B"/>
    <w:rsid w:val="00E50CC3"/>
    <w:rsid w:val="00E50CCC"/>
    <w:rsid w:val="00E50D3D"/>
    <w:rsid w:val="00E50DC1"/>
    <w:rsid w:val="00E50E76"/>
    <w:rsid w:val="00E50EC3"/>
    <w:rsid w:val="00E50F6F"/>
    <w:rsid w:val="00E50FA8"/>
    <w:rsid w:val="00E51009"/>
    <w:rsid w:val="00E51287"/>
    <w:rsid w:val="00E5166E"/>
    <w:rsid w:val="00E51BA0"/>
    <w:rsid w:val="00E51C72"/>
    <w:rsid w:val="00E51F04"/>
    <w:rsid w:val="00E520DA"/>
    <w:rsid w:val="00E520E9"/>
    <w:rsid w:val="00E52114"/>
    <w:rsid w:val="00E52369"/>
    <w:rsid w:val="00E523AA"/>
    <w:rsid w:val="00E523ED"/>
    <w:rsid w:val="00E52759"/>
    <w:rsid w:val="00E528C2"/>
    <w:rsid w:val="00E529D5"/>
    <w:rsid w:val="00E52A60"/>
    <w:rsid w:val="00E52CCD"/>
    <w:rsid w:val="00E52D6A"/>
    <w:rsid w:val="00E52DE4"/>
    <w:rsid w:val="00E52EED"/>
    <w:rsid w:val="00E52F28"/>
    <w:rsid w:val="00E52F42"/>
    <w:rsid w:val="00E53015"/>
    <w:rsid w:val="00E53098"/>
    <w:rsid w:val="00E53293"/>
    <w:rsid w:val="00E533BA"/>
    <w:rsid w:val="00E5343B"/>
    <w:rsid w:val="00E53600"/>
    <w:rsid w:val="00E53742"/>
    <w:rsid w:val="00E53746"/>
    <w:rsid w:val="00E53749"/>
    <w:rsid w:val="00E5387C"/>
    <w:rsid w:val="00E538CF"/>
    <w:rsid w:val="00E53ACA"/>
    <w:rsid w:val="00E53B3D"/>
    <w:rsid w:val="00E53CCC"/>
    <w:rsid w:val="00E53DFF"/>
    <w:rsid w:val="00E5405C"/>
    <w:rsid w:val="00E54086"/>
    <w:rsid w:val="00E54179"/>
    <w:rsid w:val="00E5419D"/>
    <w:rsid w:val="00E5423C"/>
    <w:rsid w:val="00E54282"/>
    <w:rsid w:val="00E543C3"/>
    <w:rsid w:val="00E548C2"/>
    <w:rsid w:val="00E5492A"/>
    <w:rsid w:val="00E54C02"/>
    <w:rsid w:val="00E54D12"/>
    <w:rsid w:val="00E54D22"/>
    <w:rsid w:val="00E54F71"/>
    <w:rsid w:val="00E5502C"/>
    <w:rsid w:val="00E55066"/>
    <w:rsid w:val="00E55281"/>
    <w:rsid w:val="00E556A3"/>
    <w:rsid w:val="00E55859"/>
    <w:rsid w:val="00E55962"/>
    <w:rsid w:val="00E55A84"/>
    <w:rsid w:val="00E55AB9"/>
    <w:rsid w:val="00E55B03"/>
    <w:rsid w:val="00E55C10"/>
    <w:rsid w:val="00E55C58"/>
    <w:rsid w:val="00E55FEF"/>
    <w:rsid w:val="00E562C4"/>
    <w:rsid w:val="00E56520"/>
    <w:rsid w:val="00E56673"/>
    <w:rsid w:val="00E56783"/>
    <w:rsid w:val="00E567F9"/>
    <w:rsid w:val="00E56B56"/>
    <w:rsid w:val="00E56C2E"/>
    <w:rsid w:val="00E56D03"/>
    <w:rsid w:val="00E56ED9"/>
    <w:rsid w:val="00E5714F"/>
    <w:rsid w:val="00E57184"/>
    <w:rsid w:val="00E57417"/>
    <w:rsid w:val="00E57442"/>
    <w:rsid w:val="00E57483"/>
    <w:rsid w:val="00E57491"/>
    <w:rsid w:val="00E576B6"/>
    <w:rsid w:val="00E57A3A"/>
    <w:rsid w:val="00E57B85"/>
    <w:rsid w:val="00E57BA5"/>
    <w:rsid w:val="00E57D44"/>
    <w:rsid w:val="00E57E65"/>
    <w:rsid w:val="00E57E82"/>
    <w:rsid w:val="00E57F0E"/>
    <w:rsid w:val="00E57F3A"/>
    <w:rsid w:val="00E57F64"/>
    <w:rsid w:val="00E60315"/>
    <w:rsid w:val="00E603DB"/>
    <w:rsid w:val="00E6041B"/>
    <w:rsid w:val="00E6053D"/>
    <w:rsid w:val="00E608CF"/>
    <w:rsid w:val="00E60988"/>
    <w:rsid w:val="00E60E26"/>
    <w:rsid w:val="00E60FD0"/>
    <w:rsid w:val="00E60FF5"/>
    <w:rsid w:val="00E61045"/>
    <w:rsid w:val="00E61114"/>
    <w:rsid w:val="00E61ABC"/>
    <w:rsid w:val="00E61C81"/>
    <w:rsid w:val="00E61D8A"/>
    <w:rsid w:val="00E620BB"/>
    <w:rsid w:val="00E62313"/>
    <w:rsid w:val="00E62608"/>
    <w:rsid w:val="00E62949"/>
    <w:rsid w:val="00E629D9"/>
    <w:rsid w:val="00E62B39"/>
    <w:rsid w:val="00E62B68"/>
    <w:rsid w:val="00E62C6A"/>
    <w:rsid w:val="00E62CFD"/>
    <w:rsid w:val="00E62D4D"/>
    <w:rsid w:val="00E62EE0"/>
    <w:rsid w:val="00E62EEF"/>
    <w:rsid w:val="00E63087"/>
    <w:rsid w:val="00E630ED"/>
    <w:rsid w:val="00E63131"/>
    <w:rsid w:val="00E631FC"/>
    <w:rsid w:val="00E63267"/>
    <w:rsid w:val="00E63552"/>
    <w:rsid w:val="00E63795"/>
    <w:rsid w:val="00E637A5"/>
    <w:rsid w:val="00E6382D"/>
    <w:rsid w:val="00E6383C"/>
    <w:rsid w:val="00E63AFB"/>
    <w:rsid w:val="00E63E13"/>
    <w:rsid w:val="00E642D0"/>
    <w:rsid w:val="00E64568"/>
    <w:rsid w:val="00E64578"/>
    <w:rsid w:val="00E647D5"/>
    <w:rsid w:val="00E64A79"/>
    <w:rsid w:val="00E64B9A"/>
    <w:rsid w:val="00E64CC2"/>
    <w:rsid w:val="00E64D2A"/>
    <w:rsid w:val="00E64DB8"/>
    <w:rsid w:val="00E64E33"/>
    <w:rsid w:val="00E64E61"/>
    <w:rsid w:val="00E65004"/>
    <w:rsid w:val="00E650DE"/>
    <w:rsid w:val="00E651A9"/>
    <w:rsid w:val="00E656E4"/>
    <w:rsid w:val="00E65726"/>
    <w:rsid w:val="00E6575D"/>
    <w:rsid w:val="00E658C2"/>
    <w:rsid w:val="00E65932"/>
    <w:rsid w:val="00E65994"/>
    <w:rsid w:val="00E65AAB"/>
    <w:rsid w:val="00E65B28"/>
    <w:rsid w:val="00E65B2C"/>
    <w:rsid w:val="00E65BC4"/>
    <w:rsid w:val="00E65CFC"/>
    <w:rsid w:val="00E65E0B"/>
    <w:rsid w:val="00E65E36"/>
    <w:rsid w:val="00E662D0"/>
    <w:rsid w:val="00E66374"/>
    <w:rsid w:val="00E663EA"/>
    <w:rsid w:val="00E6641F"/>
    <w:rsid w:val="00E6656B"/>
    <w:rsid w:val="00E665C3"/>
    <w:rsid w:val="00E66A30"/>
    <w:rsid w:val="00E66CBB"/>
    <w:rsid w:val="00E66FBC"/>
    <w:rsid w:val="00E6704E"/>
    <w:rsid w:val="00E672D1"/>
    <w:rsid w:val="00E679A2"/>
    <w:rsid w:val="00E67A8F"/>
    <w:rsid w:val="00E67B93"/>
    <w:rsid w:val="00E67D85"/>
    <w:rsid w:val="00E67FC8"/>
    <w:rsid w:val="00E7003C"/>
    <w:rsid w:val="00E70048"/>
    <w:rsid w:val="00E7004A"/>
    <w:rsid w:val="00E7015A"/>
    <w:rsid w:val="00E70481"/>
    <w:rsid w:val="00E706A3"/>
    <w:rsid w:val="00E70888"/>
    <w:rsid w:val="00E708F9"/>
    <w:rsid w:val="00E70AA4"/>
    <w:rsid w:val="00E70AED"/>
    <w:rsid w:val="00E71095"/>
    <w:rsid w:val="00E710A1"/>
    <w:rsid w:val="00E7165F"/>
    <w:rsid w:val="00E716BC"/>
    <w:rsid w:val="00E7173B"/>
    <w:rsid w:val="00E7180D"/>
    <w:rsid w:val="00E7189E"/>
    <w:rsid w:val="00E71BD5"/>
    <w:rsid w:val="00E71C22"/>
    <w:rsid w:val="00E71C7A"/>
    <w:rsid w:val="00E71D7F"/>
    <w:rsid w:val="00E71DD1"/>
    <w:rsid w:val="00E71E28"/>
    <w:rsid w:val="00E720B2"/>
    <w:rsid w:val="00E721CD"/>
    <w:rsid w:val="00E722E7"/>
    <w:rsid w:val="00E7243D"/>
    <w:rsid w:val="00E725A5"/>
    <w:rsid w:val="00E72600"/>
    <w:rsid w:val="00E72681"/>
    <w:rsid w:val="00E72927"/>
    <w:rsid w:val="00E72C4A"/>
    <w:rsid w:val="00E72C51"/>
    <w:rsid w:val="00E72DCD"/>
    <w:rsid w:val="00E72E0B"/>
    <w:rsid w:val="00E72FD9"/>
    <w:rsid w:val="00E73078"/>
    <w:rsid w:val="00E732EA"/>
    <w:rsid w:val="00E7371C"/>
    <w:rsid w:val="00E7379F"/>
    <w:rsid w:val="00E73B69"/>
    <w:rsid w:val="00E73C98"/>
    <w:rsid w:val="00E73CA6"/>
    <w:rsid w:val="00E7428A"/>
    <w:rsid w:val="00E7464E"/>
    <w:rsid w:val="00E74899"/>
    <w:rsid w:val="00E7491A"/>
    <w:rsid w:val="00E74A26"/>
    <w:rsid w:val="00E74A39"/>
    <w:rsid w:val="00E74AA7"/>
    <w:rsid w:val="00E74B37"/>
    <w:rsid w:val="00E74CC3"/>
    <w:rsid w:val="00E74D29"/>
    <w:rsid w:val="00E74DD6"/>
    <w:rsid w:val="00E74FBA"/>
    <w:rsid w:val="00E7535E"/>
    <w:rsid w:val="00E755FB"/>
    <w:rsid w:val="00E7591B"/>
    <w:rsid w:val="00E75C20"/>
    <w:rsid w:val="00E75DED"/>
    <w:rsid w:val="00E7605C"/>
    <w:rsid w:val="00E76085"/>
    <w:rsid w:val="00E760A8"/>
    <w:rsid w:val="00E7615C"/>
    <w:rsid w:val="00E76345"/>
    <w:rsid w:val="00E763BF"/>
    <w:rsid w:val="00E76402"/>
    <w:rsid w:val="00E7642B"/>
    <w:rsid w:val="00E767AD"/>
    <w:rsid w:val="00E768C2"/>
    <w:rsid w:val="00E769B7"/>
    <w:rsid w:val="00E76AE3"/>
    <w:rsid w:val="00E76B67"/>
    <w:rsid w:val="00E76B91"/>
    <w:rsid w:val="00E76BC7"/>
    <w:rsid w:val="00E76E1C"/>
    <w:rsid w:val="00E76E90"/>
    <w:rsid w:val="00E76EBF"/>
    <w:rsid w:val="00E7716E"/>
    <w:rsid w:val="00E771BA"/>
    <w:rsid w:val="00E771F2"/>
    <w:rsid w:val="00E7724B"/>
    <w:rsid w:val="00E77404"/>
    <w:rsid w:val="00E77471"/>
    <w:rsid w:val="00E77508"/>
    <w:rsid w:val="00E77576"/>
    <w:rsid w:val="00E778DA"/>
    <w:rsid w:val="00E77ED9"/>
    <w:rsid w:val="00E801F4"/>
    <w:rsid w:val="00E80302"/>
    <w:rsid w:val="00E8031B"/>
    <w:rsid w:val="00E803D2"/>
    <w:rsid w:val="00E80465"/>
    <w:rsid w:val="00E80554"/>
    <w:rsid w:val="00E808BA"/>
    <w:rsid w:val="00E80CAB"/>
    <w:rsid w:val="00E80D9E"/>
    <w:rsid w:val="00E80E41"/>
    <w:rsid w:val="00E80E79"/>
    <w:rsid w:val="00E81115"/>
    <w:rsid w:val="00E81194"/>
    <w:rsid w:val="00E81441"/>
    <w:rsid w:val="00E8148F"/>
    <w:rsid w:val="00E81597"/>
    <w:rsid w:val="00E81798"/>
    <w:rsid w:val="00E81A66"/>
    <w:rsid w:val="00E81AEE"/>
    <w:rsid w:val="00E81DC4"/>
    <w:rsid w:val="00E81E45"/>
    <w:rsid w:val="00E81E7A"/>
    <w:rsid w:val="00E8211B"/>
    <w:rsid w:val="00E821FD"/>
    <w:rsid w:val="00E822CE"/>
    <w:rsid w:val="00E82456"/>
    <w:rsid w:val="00E82689"/>
    <w:rsid w:val="00E82B39"/>
    <w:rsid w:val="00E82CFD"/>
    <w:rsid w:val="00E82E10"/>
    <w:rsid w:val="00E8314A"/>
    <w:rsid w:val="00E8316E"/>
    <w:rsid w:val="00E8354D"/>
    <w:rsid w:val="00E835CD"/>
    <w:rsid w:val="00E835EE"/>
    <w:rsid w:val="00E83687"/>
    <w:rsid w:val="00E83765"/>
    <w:rsid w:val="00E83826"/>
    <w:rsid w:val="00E8384A"/>
    <w:rsid w:val="00E83859"/>
    <w:rsid w:val="00E83EB8"/>
    <w:rsid w:val="00E83F0B"/>
    <w:rsid w:val="00E83F7B"/>
    <w:rsid w:val="00E83F95"/>
    <w:rsid w:val="00E840A4"/>
    <w:rsid w:val="00E841EA"/>
    <w:rsid w:val="00E84223"/>
    <w:rsid w:val="00E8434D"/>
    <w:rsid w:val="00E8441B"/>
    <w:rsid w:val="00E844F8"/>
    <w:rsid w:val="00E846EC"/>
    <w:rsid w:val="00E84706"/>
    <w:rsid w:val="00E84719"/>
    <w:rsid w:val="00E84743"/>
    <w:rsid w:val="00E84744"/>
    <w:rsid w:val="00E84874"/>
    <w:rsid w:val="00E8488C"/>
    <w:rsid w:val="00E848BE"/>
    <w:rsid w:val="00E84B1F"/>
    <w:rsid w:val="00E84D1F"/>
    <w:rsid w:val="00E84D40"/>
    <w:rsid w:val="00E84F17"/>
    <w:rsid w:val="00E85028"/>
    <w:rsid w:val="00E85080"/>
    <w:rsid w:val="00E85081"/>
    <w:rsid w:val="00E851CF"/>
    <w:rsid w:val="00E851DD"/>
    <w:rsid w:val="00E852BD"/>
    <w:rsid w:val="00E85644"/>
    <w:rsid w:val="00E856D9"/>
    <w:rsid w:val="00E85761"/>
    <w:rsid w:val="00E858FF"/>
    <w:rsid w:val="00E85ABA"/>
    <w:rsid w:val="00E85BBE"/>
    <w:rsid w:val="00E85C4C"/>
    <w:rsid w:val="00E85CC6"/>
    <w:rsid w:val="00E85E5F"/>
    <w:rsid w:val="00E85ED8"/>
    <w:rsid w:val="00E85F6A"/>
    <w:rsid w:val="00E86248"/>
    <w:rsid w:val="00E86432"/>
    <w:rsid w:val="00E8677D"/>
    <w:rsid w:val="00E869E1"/>
    <w:rsid w:val="00E86B85"/>
    <w:rsid w:val="00E86C72"/>
    <w:rsid w:val="00E86E11"/>
    <w:rsid w:val="00E86E98"/>
    <w:rsid w:val="00E86EB4"/>
    <w:rsid w:val="00E870DC"/>
    <w:rsid w:val="00E873B3"/>
    <w:rsid w:val="00E8741C"/>
    <w:rsid w:val="00E87645"/>
    <w:rsid w:val="00E87BFF"/>
    <w:rsid w:val="00E87D90"/>
    <w:rsid w:val="00E87D91"/>
    <w:rsid w:val="00E87FCE"/>
    <w:rsid w:val="00E90104"/>
    <w:rsid w:val="00E903AC"/>
    <w:rsid w:val="00E904A6"/>
    <w:rsid w:val="00E9055B"/>
    <w:rsid w:val="00E9061C"/>
    <w:rsid w:val="00E9071D"/>
    <w:rsid w:val="00E90C63"/>
    <w:rsid w:val="00E90CBF"/>
    <w:rsid w:val="00E90EC3"/>
    <w:rsid w:val="00E9105C"/>
    <w:rsid w:val="00E9117F"/>
    <w:rsid w:val="00E9145B"/>
    <w:rsid w:val="00E914BC"/>
    <w:rsid w:val="00E91548"/>
    <w:rsid w:val="00E91589"/>
    <w:rsid w:val="00E9164F"/>
    <w:rsid w:val="00E9169A"/>
    <w:rsid w:val="00E916E6"/>
    <w:rsid w:val="00E91753"/>
    <w:rsid w:val="00E917B8"/>
    <w:rsid w:val="00E91A26"/>
    <w:rsid w:val="00E91A58"/>
    <w:rsid w:val="00E91CB0"/>
    <w:rsid w:val="00E91E0D"/>
    <w:rsid w:val="00E91E8B"/>
    <w:rsid w:val="00E91EF4"/>
    <w:rsid w:val="00E92211"/>
    <w:rsid w:val="00E92285"/>
    <w:rsid w:val="00E9254F"/>
    <w:rsid w:val="00E926A6"/>
    <w:rsid w:val="00E92835"/>
    <w:rsid w:val="00E928E3"/>
    <w:rsid w:val="00E929B1"/>
    <w:rsid w:val="00E92B85"/>
    <w:rsid w:val="00E92BC5"/>
    <w:rsid w:val="00E92C05"/>
    <w:rsid w:val="00E92F1A"/>
    <w:rsid w:val="00E932C9"/>
    <w:rsid w:val="00E93578"/>
    <w:rsid w:val="00E935A6"/>
    <w:rsid w:val="00E935AA"/>
    <w:rsid w:val="00E936B1"/>
    <w:rsid w:val="00E93761"/>
    <w:rsid w:val="00E938AA"/>
    <w:rsid w:val="00E9398E"/>
    <w:rsid w:val="00E93BAE"/>
    <w:rsid w:val="00E93F17"/>
    <w:rsid w:val="00E93F52"/>
    <w:rsid w:val="00E93F7C"/>
    <w:rsid w:val="00E93FAE"/>
    <w:rsid w:val="00E94011"/>
    <w:rsid w:val="00E940B8"/>
    <w:rsid w:val="00E94149"/>
    <w:rsid w:val="00E943C9"/>
    <w:rsid w:val="00E9445F"/>
    <w:rsid w:val="00E9456E"/>
    <w:rsid w:val="00E94718"/>
    <w:rsid w:val="00E94726"/>
    <w:rsid w:val="00E949B0"/>
    <w:rsid w:val="00E94A06"/>
    <w:rsid w:val="00E94B3A"/>
    <w:rsid w:val="00E94BAF"/>
    <w:rsid w:val="00E94C10"/>
    <w:rsid w:val="00E94C5F"/>
    <w:rsid w:val="00E94D3F"/>
    <w:rsid w:val="00E94DF8"/>
    <w:rsid w:val="00E94EF7"/>
    <w:rsid w:val="00E94F74"/>
    <w:rsid w:val="00E9508A"/>
    <w:rsid w:val="00E95162"/>
    <w:rsid w:val="00E9520E"/>
    <w:rsid w:val="00E95478"/>
    <w:rsid w:val="00E956F7"/>
    <w:rsid w:val="00E95968"/>
    <w:rsid w:val="00E95B05"/>
    <w:rsid w:val="00E95FAC"/>
    <w:rsid w:val="00E95FF5"/>
    <w:rsid w:val="00E96041"/>
    <w:rsid w:val="00E960DB"/>
    <w:rsid w:val="00E96498"/>
    <w:rsid w:val="00E9657C"/>
    <w:rsid w:val="00E967F9"/>
    <w:rsid w:val="00E969C8"/>
    <w:rsid w:val="00E96C2D"/>
    <w:rsid w:val="00E96C5C"/>
    <w:rsid w:val="00E96F97"/>
    <w:rsid w:val="00E97445"/>
    <w:rsid w:val="00E9744C"/>
    <w:rsid w:val="00E9746D"/>
    <w:rsid w:val="00E977D6"/>
    <w:rsid w:val="00E978D7"/>
    <w:rsid w:val="00E97A30"/>
    <w:rsid w:val="00E97A40"/>
    <w:rsid w:val="00E97B05"/>
    <w:rsid w:val="00E97C7C"/>
    <w:rsid w:val="00E97CE0"/>
    <w:rsid w:val="00EA00F0"/>
    <w:rsid w:val="00EA016F"/>
    <w:rsid w:val="00EA02F3"/>
    <w:rsid w:val="00EA033F"/>
    <w:rsid w:val="00EA068C"/>
    <w:rsid w:val="00EA0826"/>
    <w:rsid w:val="00EA08B1"/>
    <w:rsid w:val="00EA0C4F"/>
    <w:rsid w:val="00EA0E69"/>
    <w:rsid w:val="00EA1227"/>
    <w:rsid w:val="00EA126E"/>
    <w:rsid w:val="00EA1377"/>
    <w:rsid w:val="00EA156F"/>
    <w:rsid w:val="00EA18F4"/>
    <w:rsid w:val="00EA18FF"/>
    <w:rsid w:val="00EA190B"/>
    <w:rsid w:val="00EA19EE"/>
    <w:rsid w:val="00EA1B3B"/>
    <w:rsid w:val="00EA1E06"/>
    <w:rsid w:val="00EA1E35"/>
    <w:rsid w:val="00EA214D"/>
    <w:rsid w:val="00EA2177"/>
    <w:rsid w:val="00EA2356"/>
    <w:rsid w:val="00EA23FD"/>
    <w:rsid w:val="00EA241B"/>
    <w:rsid w:val="00EA2527"/>
    <w:rsid w:val="00EA25DA"/>
    <w:rsid w:val="00EA2642"/>
    <w:rsid w:val="00EA273D"/>
    <w:rsid w:val="00EA27C8"/>
    <w:rsid w:val="00EA2885"/>
    <w:rsid w:val="00EA2890"/>
    <w:rsid w:val="00EA2A15"/>
    <w:rsid w:val="00EA2C6B"/>
    <w:rsid w:val="00EA2DE4"/>
    <w:rsid w:val="00EA2E82"/>
    <w:rsid w:val="00EA2F08"/>
    <w:rsid w:val="00EA30A2"/>
    <w:rsid w:val="00EA30E6"/>
    <w:rsid w:val="00EA3535"/>
    <w:rsid w:val="00EA3693"/>
    <w:rsid w:val="00EA375C"/>
    <w:rsid w:val="00EA3DC2"/>
    <w:rsid w:val="00EA3DCA"/>
    <w:rsid w:val="00EA3DF1"/>
    <w:rsid w:val="00EA3E15"/>
    <w:rsid w:val="00EA3FB6"/>
    <w:rsid w:val="00EA4011"/>
    <w:rsid w:val="00EA402E"/>
    <w:rsid w:val="00EA426B"/>
    <w:rsid w:val="00EA46E1"/>
    <w:rsid w:val="00EA474A"/>
    <w:rsid w:val="00EA47DE"/>
    <w:rsid w:val="00EA49CA"/>
    <w:rsid w:val="00EA4B07"/>
    <w:rsid w:val="00EA4C28"/>
    <w:rsid w:val="00EA4CA3"/>
    <w:rsid w:val="00EA4F3C"/>
    <w:rsid w:val="00EA506C"/>
    <w:rsid w:val="00EA50F1"/>
    <w:rsid w:val="00EA5185"/>
    <w:rsid w:val="00EA5465"/>
    <w:rsid w:val="00EA56DD"/>
    <w:rsid w:val="00EA5762"/>
    <w:rsid w:val="00EA5900"/>
    <w:rsid w:val="00EA5914"/>
    <w:rsid w:val="00EA5AD9"/>
    <w:rsid w:val="00EA5C1D"/>
    <w:rsid w:val="00EA5C55"/>
    <w:rsid w:val="00EA5D69"/>
    <w:rsid w:val="00EA5E29"/>
    <w:rsid w:val="00EA5F05"/>
    <w:rsid w:val="00EA602D"/>
    <w:rsid w:val="00EA6141"/>
    <w:rsid w:val="00EA61A9"/>
    <w:rsid w:val="00EA625C"/>
    <w:rsid w:val="00EA6671"/>
    <w:rsid w:val="00EA677C"/>
    <w:rsid w:val="00EA67DF"/>
    <w:rsid w:val="00EA69B3"/>
    <w:rsid w:val="00EA69F2"/>
    <w:rsid w:val="00EA6A91"/>
    <w:rsid w:val="00EA6B2C"/>
    <w:rsid w:val="00EA6B97"/>
    <w:rsid w:val="00EA6E6B"/>
    <w:rsid w:val="00EA6E7F"/>
    <w:rsid w:val="00EA6F36"/>
    <w:rsid w:val="00EA7130"/>
    <w:rsid w:val="00EA72AC"/>
    <w:rsid w:val="00EA7376"/>
    <w:rsid w:val="00EA74DA"/>
    <w:rsid w:val="00EA74FA"/>
    <w:rsid w:val="00EA751F"/>
    <w:rsid w:val="00EA773A"/>
    <w:rsid w:val="00EA7821"/>
    <w:rsid w:val="00EA7ACE"/>
    <w:rsid w:val="00EA7D82"/>
    <w:rsid w:val="00EB00AC"/>
    <w:rsid w:val="00EB0119"/>
    <w:rsid w:val="00EB02A9"/>
    <w:rsid w:val="00EB04BA"/>
    <w:rsid w:val="00EB0575"/>
    <w:rsid w:val="00EB06DC"/>
    <w:rsid w:val="00EB0779"/>
    <w:rsid w:val="00EB12E2"/>
    <w:rsid w:val="00EB1547"/>
    <w:rsid w:val="00EB1717"/>
    <w:rsid w:val="00EB18CD"/>
    <w:rsid w:val="00EB19D7"/>
    <w:rsid w:val="00EB1D48"/>
    <w:rsid w:val="00EB1E51"/>
    <w:rsid w:val="00EB1FC7"/>
    <w:rsid w:val="00EB2136"/>
    <w:rsid w:val="00EB21E3"/>
    <w:rsid w:val="00EB2368"/>
    <w:rsid w:val="00EB23B2"/>
    <w:rsid w:val="00EB240A"/>
    <w:rsid w:val="00EB2657"/>
    <w:rsid w:val="00EB2782"/>
    <w:rsid w:val="00EB2820"/>
    <w:rsid w:val="00EB297D"/>
    <w:rsid w:val="00EB2E2A"/>
    <w:rsid w:val="00EB32C0"/>
    <w:rsid w:val="00EB33DA"/>
    <w:rsid w:val="00EB3727"/>
    <w:rsid w:val="00EB378E"/>
    <w:rsid w:val="00EB38B2"/>
    <w:rsid w:val="00EB3A90"/>
    <w:rsid w:val="00EB3D3B"/>
    <w:rsid w:val="00EB3D7E"/>
    <w:rsid w:val="00EB3E76"/>
    <w:rsid w:val="00EB3F2A"/>
    <w:rsid w:val="00EB4158"/>
    <w:rsid w:val="00EB4210"/>
    <w:rsid w:val="00EB4230"/>
    <w:rsid w:val="00EB4457"/>
    <w:rsid w:val="00EB446F"/>
    <w:rsid w:val="00EB453D"/>
    <w:rsid w:val="00EB459B"/>
    <w:rsid w:val="00EB477C"/>
    <w:rsid w:val="00EB4B89"/>
    <w:rsid w:val="00EB4D17"/>
    <w:rsid w:val="00EB4D1A"/>
    <w:rsid w:val="00EB4D9F"/>
    <w:rsid w:val="00EB4F79"/>
    <w:rsid w:val="00EB4FBA"/>
    <w:rsid w:val="00EB50DE"/>
    <w:rsid w:val="00EB5213"/>
    <w:rsid w:val="00EB52A5"/>
    <w:rsid w:val="00EB5325"/>
    <w:rsid w:val="00EB598D"/>
    <w:rsid w:val="00EB5C77"/>
    <w:rsid w:val="00EB5CA2"/>
    <w:rsid w:val="00EB5F5C"/>
    <w:rsid w:val="00EB63C7"/>
    <w:rsid w:val="00EB6512"/>
    <w:rsid w:val="00EB65F7"/>
    <w:rsid w:val="00EB6715"/>
    <w:rsid w:val="00EB697D"/>
    <w:rsid w:val="00EB6C2E"/>
    <w:rsid w:val="00EB6D01"/>
    <w:rsid w:val="00EB7021"/>
    <w:rsid w:val="00EB7063"/>
    <w:rsid w:val="00EB71C8"/>
    <w:rsid w:val="00EB72EA"/>
    <w:rsid w:val="00EB7467"/>
    <w:rsid w:val="00EB761F"/>
    <w:rsid w:val="00EB763C"/>
    <w:rsid w:val="00EB763D"/>
    <w:rsid w:val="00EB76AC"/>
    <w:rsid w:val="00EB7AD2"/>
    <w:rsid w:val="00EB7CAD"/>
    <w:rsid w:val="00EB7E4C"/>
    <w:rsid w:val="00EC08AC"/>
    <w:rsid w:val="00EC09DA"/>
    <w:rsid w:val="00EC0A48"/>
    <w:rsid w:val="00EC0B9F"/>
    <w:rsid w:val="00EC0BD8"/>
    <w:rsid w:val="00EC0CC5"/>
    <w:rsid w:val="00EC0D81"/>
    <w:rsid w:val="00EC1146"/>
    <w:rsid w:val="00EC1240"/>
    <w:rsid w:val="00EC135F"/>
    <w:rsid w:val="00EC13DA"/>
    <w:rsid w:val="00EC14C6"/>
    <w:rsid w:val="00EC1983"/>
    <w:rsid w:val="00EC1A67"/>
    <w:rsid w:val="00EC1B8F"/>
    <w:rsid w:val="00EC1D7E"/>
    <w:rsid w:val="00EC1E6F"/>
    <w:rsid w:val="00EC1FB4"/>
    <w:rsid w:val="00EC21CD"/>
    <w:rsid w:val="00EC2632"/>
    <w:rsid w:val="00EC2775"/>
    <w:rsid w:val="00EC299A"/>
    <w:rsid w:val="00EC2A5C"/>
    <w:rsid w:val="00EC2A9C"/>
    <w:rsid w:val="00EC2ACC"/>
    <w:rsid w:val="00EC2C4D"/>
    <w:rsid w:val="00EC2C8D"/>
    <w:rsid w:val="00EC2CEC"/>
    <w:rsid w:val="00EC3095"/>
    <w:rsid w:val="00EC31A5"/>
    <w:rsid w:val="00EC3323"/>
    <w:rsid w:val="00EC34B4"/>
    <w:rsid w:val="00EC362C"/>
    <w:rsid w:val="00EC38DF"/>
    <w:rsid w:val="00EC3B6C"/>
    <w:rsid w:val="00EC3C17"/>
    <w:rsid w:val="00EC3C5F"/>
    <w:rsid w:val="00EC3E2F"/>
    <w:rsid w:val="00EC420F"/>
    <w:rsid w:val="00EC440A"/>
    <w:rsid w:val="00EC4536"/>
    <w:rsid w:val="00EC49D0"/>
    <w:rsid w:val="00EC4B35"/>
    <w:rsid w:val="00EC4C0F"/>
    <w:rsid w:val="00EC4D29"/>
    <w:rsid w:val="00EC4D9A"/>
    <w:rsid w:val="00EC4E45"/>
    <w:rsid w:val="00EC4E88"/>
    <w:rsid w:val="00EC4ED1"/>
    <w:rsid w:val="00EC4F1B"/>
    <w:rsid w:val="00EC4F8E"/>
    <w:rsid w:val="00EC526F"/>
    <w:rsid w:val="00EC529B"/>
    <w:rsid w:val="00EC5391"/>
    <w:rsid w:val="00EC5742"/>
    <w:rsid w:val="00EC577C"/>
    <w:rsid w:val="00EC5885"/>
    <w:rsid w:val="00EC5A02"/>
    <w:rsid w:val="00EC5C96"/>
    <w:rsid w:val="00EC5CA4"/>
    <w:rsid w:val="00EC5DB0"/>
    <w:rsid w:val="00EC5F1A"/>
    <w:rsid w:val="00EC5FDE"/>
    <w:rsid w:val="00EC642A"/>
    <w:rsid w:val="00EC64C1"/>
    <w:rsid w:val="00EC65B4"/>
    <w:rsid w:val="00EC673E"/>
    <w:rsid w:val="00EC6887"/>
    <w:rsid w:val="00EC6C5D"/>
    <w:rsid w:val="00EC6D41"/>
    <w:rsid w:val="00EC6E3C"/>
    <w:rsid w:val="00EC6E54"/>
    <w:rsid w:val="00EC6E84"/>
    <w:rsid w:val="00EC6F3F"/>
    <w:rsid w:val="00EC70A8"/>
    <w:rsid w:val="00EC7132"/>
    <w:rsid w:val="00EC71F6"/>
    <w:rsid w:val="00EC7208"/>
    <w:rsid w:val="00EC7312"/>
    <w:rsid w:val="00EC7344"/>
    <w:rsid w:val="00EC7947"/>
    <w:rsid w:val="00EC7C06"/>
    <w:rsid w:val="00EC7EF6"/>
    <w:rsid w:val="00ED00C8"/>
    <w:rsid w:val="00ED0114"/>
    <w:rsid w:val="00ED0276"/>
    <w:rsid w:val="00ED02AC"/>
    <w:rsid w:val="00ED03A8"/>
    <w:rsid w:val="00ED03D5"/>
    <w:rsid w:val="00ED03EF"/>
    <w:rsid w:val="00ED0516"/>
    <w:rsid w:val="00ED05A3"/>
    <w:rsid w:val="00ED075D"/>
    <w:rsid w:val="00ED0928"/>
    <w:rsid w:val="00ED0B9B"/>
    <w:rsid w:val="00ED1338"/>
    <w:rsid w:val="00ED1565"/>
    <w:rsid w:val="00ED167B"/>
    <w:rsid w:val="00ED17A5"/>
    <w:rsid w:val="00ED1817"/>
    <w:rsid w:val="00ED18CF"/>
    <w:rsid w:val="00ED196F"/>
    <w:rsid w:val="00ED19B5"/>
    <w:rsid w:val="00ED1F02"/>
    <w:rsid w:val="00ED2022"/>
    <w:rsid w:val="00ED202C"/>
    <w:rsid w:val="00ED21A3"/>
    <w:rsid w:val="00ED250B"/>
    <w:rsid w:val="00ED2551"/>
    <w:rsid w:val="00ED27AE"/>
    <w:rsid w:val="00ED2866"/>
    <w:rsid w:val="00ED28D1"/>
    <w:rsid w:val="00ED2A90"/>
    <w:rsid w:val="00ED2DA5"/>
    <w:rsid w:val="00ED2DAA"/>
    <w:rsid w:val="00ED2DFE"/>
    <w:rsid w:val="00ED2E5D"/>
    <w:rsid w:val="00ED2EFD"/>
    <w:rsid w:val="00ED30B1"/>
    <w:rsid w:val="00ED31B1"/>
    <w:rsid w:val="00ED3296"/>
    <w:rsid w:val="00ED32AD"/>
    <w:rsid w:val="00ED33CB"/>
    <w:rsid w:val="00ED33DE"/>
    <w:rsid w:val="00ED33E8"/>
    <w:rsid w:val="00ED3530"/>
    <w:rsid w:val="00ED3994"/>
    <w:rsid w:val="00ED3A09"/>
    <w:rsid w:val="00ED3B37"/>
    <w:rsid w:val="00ED3B7A"/>
    <w:rsid w:val="00ED3BD6"/>
    <w:rsid w:val="00ED3D0E"/>
    <w:rsid w:val="00ED3DDF"/>
    <w:rsid w:val="00ED3E38"/>
    <w:rsid w:val="00ED3E5D"/>
    <w:rsid w:val="00ED3E7D"/>
    <w:rsid w:val="00ED40DF"/>
    <w:rsid w:val="00ED423F"/>
    <w:rsid w:val="00ED4329"/>
    <w:rsid w:val="00ED449D"/>
    <w:rsid w:val="00ED450B"/>
    <w:rsid w:val="00ED45E3"/>
    <w:rsid w:val="00ED4956"/>
    <w:rsid w:val="00ED49CE"/>
    <w:rsid w:val="00ED49D0"/>
    <w:rsid w:val="00ED4AC1"/>
    <w:rsid w:val="00ED4B32"/>
    <w:rsid w:val="00ED5061"/>
    <w:rsid w:val="00ED5102"/>
    <w:rsid w:val="00ED51AD"/>
    <w:rsid w:val="00ED526E"/>
    <w:rsid w:val="00ED533D"/>
    <w:rsid w:val="00ED5389"/>
    <w:rsid w:val="00ED547F"/>
    <w:rsid w:val="00ED54AB"/>
    <w:rsid w:val="00ED5525"/>
    <w:rsid w:val="00ED5704"/>
    <w:rsid w:val="00ED5D96"/>
    <w:rsid w:val="00ED5F61"/>
    <w:rsid w:val="00ED5F91"/>
    <w:rsid w:val="00ED61BE"/>
    <w:rsid w:val="00ED6244"/>
    <w:rsid w:val="00ED6249"/>
    <w:rsid w:val="00ED6873"/>
    <w:rsid w:val="00ED68F0"/>
    <w:rsid w:val="00ED6AC4"/>
    <w:rsid w:val="00ED6C7E"/>
    <w:rsid w:val="00ED6DEA"/>
    <w:rsid w:val="00ED6EC4"/>
    <w:rsid w:val="00ED6EDA"/>
    <w:rsid w:val="00ED71C9"/>
    <w:rsid w:val="00ED72F0"/>
    <w:rsid w:val="00ED7391"/>
    <w:rsid w:val="00ED73C6"/>
    <w:rsid w:val="00ED7424"/>
    <w:rsid w:val="00ED749C"/>
    <w:rsid w:val="00ED7556"/>
    <w:rsid w:val="00ED75F3"/>
    <w:rsid w:val="00ED76F5"/>
    <w:rsid w:val="00ED777D"/>
    <w:rsid w:val="00ED77C9"/>
    <w:rsid w:val="00ED7915"/>
    <w:rsid w:val="00ED7C33"/>
    <w:rsid w:val="00ED7EE4"/>
    <w:rsid w:val="00ED7F2D"/>
    <w:rsid w:val="00ED7F3F"/>
    <w:rsid w:val="00EE002A"/>
    <w:rsid w:val="00EE0037"/>
    <w:rsid w:val="00EE00B7"/>
    <w:rsid w:val="00EE020A"/>
    <w:rsid w:val="00EE042C"/>
    <w:rsid w:val="00EE0509"/>
    <w:rsid w:val="00EE067B"/>
    <w:rsid w:val="00EE08CF"/>
    <w:rsid w:val="00EE0A5B"/>
    <w:rsid w:val="00EE0A5D"/>
    <w:rsid w:val="00EE0A97"/>
    <w:rsid w:val="00EE0B55"/>
    <w:rsid w:val="00EE0BBF"/>
    <w:rsid w:val="00EE0E29"/>
    <w:rsid w:val="00EE0F4C"/>
    <w:rsid w:val="00EE1040"/>
    <w:rsid w:val="00EE1094"/>
    <w:rsid w:val="00EE11F4"/>
    <w:rsid w:val="00EE12AD"/>
    <w:rsid w:val="00EE1402"/>
    <w:rsid w:val="00EE17CF"/>
    <w:rsid w:val="00EE17ED"/>
    <w:rsid w:val="00EE186D"/>
    <w:rsid w:val="00EE1DB7"/>
    <w:rsid w:val="00EE1F07"/>
    <w:rsid w:val="00EE20F5"/>
    <w:rsid w:val="00EE221C"/>
    <w:rsid w:val="00EE2781"/>
    <w:rsid w:val="00EE27C6"/>
    <w:rsid w:val="00EE2825"/>
    <w:rsid w:val="00EE2878"/>
    <w:rsid w:val="00EE2A53"/>
    <w:rsid w:val="00EE2CC6"/>
    <w:rsid w:val="00EE2E2A"/>
    <w:rsid w:val="00EE2F1E"/>
    <w:rsid w:val="00EE2FFC"/>
    <w:rsid w:val="00EE30FE"/>
    <w:rsid w:val="00EE317B"/>
    <w:rsid w:val="00EE32E2"/>
    <w:rsid w:val="00EE33A9"/>
    <w:rsid w:val="00EE38A1"/>
    <w:rsid w:val="00EE3950"/>
    <w:rsid w:val="00EE3A08"/>
    <w:rsid w:val="00EE3A40"/>
    <w:rsid w:val="00EE3ADD"/>
    <w:rsid w:val="00EE3B09"/>
    <w:rsid w:val="00EE3C4A"/>
    <w:rsid w:val="00EE3DDC"/>
    <w:rsid w:val="00EE421D"/>
    <w:rsid w:val="00EE4263"/>
    <w:rsid w:val="00EE42F9"/>
    <w:rsid w:val="00EE4480"/>
    <w:rsid w:val="00EE453C"/>
    <w:rsid w:val="00EE473A"/>
    <w:rsid w:val="00EE492D"/>
    <w:rsid w:val="00EE4BFC"/>
    <w:rsid w:val="00EE4F38"/>
    <w:rsid w:val="00EE4F3B"/>
    <w:rsid w:val="00EE5038"/>
    <w:rsid w:val="00EE5078"/>
    <w:rsid w:val="00EE532E"/>
    <w:rsid w:val="00EE5424"/>
    <w:rsid w:val="00EE5626"/>
    <w:rsid w:val="00EE5960"/>
    <w:rsid w:val="00EE59E2"/>
    <w:rsid w:val="00EE5B7B"/>
    <w:rsid w:val="00EE5D0F"/>
    <w:rsid w:val="00EE5DCE"/>
    <w:rsid w:val="00EE5EBB"/>
    <w:rsid w:val="00EE6001"/>
    <w:rsid w:val="00EE6157"/>
    <w:rsid w:val="00EE6389"/>
    <w:rsid w:val="00EE6583"/>
    <w:rsid w:val="00EE65E1"/>
    <w:rsid w:val="00EE679B"/>
    <w:rsid w:val="00EE692E"/>
    <w:rsid w:val="00EE6984"/>
    <w:rsid w:val="00EE6B02"/>
    <w:rsid w:val="00EE6C48"/>
    <w:rsid w:val="00EE6CD4"/>
    <w:rsid w:val="00EE6DFB"/>
    <w:rsid w:val="00EE6F0D"/>
    <w:rsid w:val="00EE6F8C"/>
    <w:rsid w:val="00EE7257"/>
    <w:rsid w:val="00EE7323"/>
    <w:rsid w:val="00EE73AE"/>
    <w:rsid w:val="00EE7417"/>
    <w:rsid w:val="00EE745F"/>
    <w:rsid w:val="00EE75E1"/>
    <w:rsid w:val="00EE76E5"/>
    <w:rsid w:val="00EE7750"/>
    <w:rsid w:val="00EE785B"/>
    <w:rsid w:val="00EE7949"/>
    <w:rsid w:val="00EE7A1E"/>
    <w:rsid w:val="00EE7BAC"/>
    <w:rsid w:val="00EE7BFE"/>
    <w:rsid w:val="00EE7DA9"/>
    <w:rsid w:val="00EE7E57"/>
    <w:rsid w:val="00EF023F"/>
    <w:rsid w:val="00EF030F"/>
    <w:rsid w:val="00EF0433"/>
    <w:rsid w:val="00EF0787"/>
    <w:rsid w:val="00EF07A8"/>
    <w:rsid w:val="00EF07E5"/>
    <w:rsid w:val="00EF0BBF"/>
    <w:rsid w:val="00EF0D7E"/>
    <w:rsid w:val="00EF0E18"/>
    <w:rsid w:val="00EF0E7D"/>
    <w:rsid w:val="00EF0F84"/>
    <w:rsid w:val="00EF106F"/>
    <w:rsid w:val="00EF1205"/>
    <w:rsid w:val="00EF1308"/>
    <w:rsid w:val="00EF1463"/>
    <w:rsid w:val="00EF1A20"/>
    <w:rsid w:val="00EF1A4E"/>
    <w:rsid w:val="00EF1BCD"/>
    <w:rsid w:val="00EF1C3E"/>
    <w:rsid w:val="00EF1C8D"/>
    <w:rsid w:val="00EF1FEC"/>
    <w:rsid w:val="00EF2071"/>
    <w:rsid w:val="00EF20C4"/>
    <w:rsid w:val="00EF22AC"/>
    <w:rsid w:val="00EF241A"/>
    <w:rsid w:val="00EF2605"/>
    <w:rsid w:val="00EF2608"/>
    <w:rsid w:val="00EF263E"/>
    <w:rsid w:val="00EF26AD"/>
    <w:rsid w:val="00EF2826"/>
    <w:rsid w:val="00EF2C7B"/>
    <w:rsid w:val="00EF2CF7"/>
    <w:rsid w:val="00EF2D75"/>
    <w:rsid w:val="00EF335C"/>
    <w:rsid w:val="00EF3499"/>
    <w:rsid w:val="00EF35B9"/>
    <w:rsid w:val="00EF387F"/>
    <w:rsid w:val="00EF3B4F"/>
    <w:rsid w:val="00EF3C73"/>
    <w:rsid w:val="00EF3DC8"/>
    <w:rsid w:val="00EF3E64"/>
    <w:rsid w:val="00EF3E75"/>
    <w:rsid w:val="00EF3E9E"/>
    <w:rsid w:val="00EF3FA4"/>
    <w:rsid w:val="00EF3FDD"/>
    <w:rsid w:val="00EF4051"/>
    <w:rsid w:val="00EF41DE"/>
    <w:rsid w:val="00EF4322"/>
    <w:rsid w:val="00EF4394"/>
    <w:rsid w:val="00EF443B"/>
    <w:rsid w:val="00EF44F6"/>
    <w:rsid w:val="00EF4674"/>
    <w:rsid w:val="00EF4941"/>
    <w:rsid w:val="00EF49C6"/>
    <w:rsid w:val="00EF4A24"/>
    <w:rsid w:val="00EF4B15"/>
    <w:rsid w:val="00EF4B90"/>
    <w:rsid w:val="00EF4C4B"/>
    <w:rsid w:val="00EF4D5E"/>
    <w:rsid w:val="00EF4EA7"/>
    <w:rsid w:val="00EF4FA1"/>
    <w:rsid w:val="00EF5182"/>
    <w:rsid w:val="00EF5266"/>
    <w:rsid w:val="00EF5BB6"/>
    <w:rsid w:val="00EF5F55"/>
    <w:rsid w:val="00EF6090"/>
    <w:rsid w:val="00EF639C"/>
    <w:rsid w:val="00EF6AF6"/>
    <w:rsid w:val="00EF6BBA"/>
    <w:rsid w:val="00EF6BCD"/>
    <w:rsid w:val="00EF6C31"/>
    <w:rsid w:val="00EF6E08"/>
    <w:rsid w:val="00EF6E78"/>
    <w:rsid w:val="00EF70BD"/>
    <w:rsid w:val="00EF710C"/>
    <w:rsid w:val="00EF71B9"/>
    <w:rsid w:val="00EF766D"/>
    <w:rsid w:val="00EF7685"/>
    <w:rsid w:val="00EF7710"/>
    <w:rsid w:val="00EF7819"/>
    <w:rsid w:val="00EF7AF3"/>
    <w:rsid w:val="00EF7BF1"/>
    <w:rsid w:val="00EF7CEA"/>
    <w:rsid w:val="00EF7ED1"/>
    <w:rsid w:val="00F0043D"/>
    <w:rsid w:val="00F00503"/>
    <w:rsid w:val="00F00600"/>
    <w:rsid w:val="00F006BB"/>
    <w:rsid w:val="00F00749"/>
    <w:rsid w:val="00F00789"/>
    <w:rsid w:val="00F007D1"/>
    <w:rsid w:val="00F00B92"/>
    <w:rsid w:val="00F00E96"/>
    <w:rsid w:val="00F01032"/>
    <w:rsid w:val="00F011A5"/>
    <w:rsid w:val="00F011E3"/>
    <w:rsid w:val="00F01239"/>
    <w:rsid w:val="00F013E9"/>
    <w:rsid w:val="00F014F0"/>
    <w:rsid w:val="00F01610"/>
    <w:rsid w:val="00F01A20"/>
    <w:rsid w:val="00F01B93"/>
    <w:rsid w:val="00F01BE3"/>
    <w:rsid w:val="00F01C97"/>
    <w:rsid w:val="00F01CA8"/>
    <w:rsid w:val="00F01D08"/>
    <w:rsid w:val="00F02071"/>
    <w:rsid w:val="00F020C0"/>
    <w:rsid w:val="00F02158"/>
    <w:rsid w:val="00F0225C"/>
    <w:rsid w:val="00F022E3"/>
    <w:rsid w:val="00F023E5"/>
    <w:rsid w:val="00F02700"/>
    <w:rsid w:val="00F0296E"/>
    <w:rsid w:val="00F02ACC"/>
    <w:rsid w:val="00F02C4E"/>
    <w:rsid w:val="00F02C5C"/>
    <w:rsid w:val="00F02CD1"/>
    <w:rsid w:val="00F02DBB"/>
    <w:rsid w:val="00F02DDC"/>
    <w:rsid w:val="00F0309F"/>
    <w:rsid w:val="00F035F6"/>
    <w:rsid w:val="00F03708"/>
    <w:rsid w:val="00F039A2"/>
    <w:rsid w:val="00F039D5"/>
    <w:rsid w:val="00F03B12"/>
    <w:rsid w:val="00F03C56"/>
    <w:rsid w:val="00F03D6F"/>
    <w:rsid w:val="00F03ED9"/>
    <w:rsid w:val="00F03F1C"/>
    <w:rsid w:val="00F040C2"/>
    <w:rsid w:val="00F04114"/>
    <w:rsid w:val="00F04292"/>
    <w:rsid w:val="00F044C3"/>
    <w:rsid w:val="00F0460C"/>
    <w:rsid w:val="00F04613"/>
    <w:rsid w:val="00F04695"/>
    <w:rsid w:val="00F0490B"/>
    <w:rsid w:val="00F049F0"/>
    <w:rsid w:val="00F04A9F"/>
    <w:rsid w:val="00F04B3A"/>
    <w:rsid w:val="00F04EC2"/>
    <w:rsid w:val="00F050AF"/>
    <w:rsid w:val="00F05214"/>
    <w:rsid w:val="00F05258"/>
    <w:rsid w:val="00F053E3"/>
    <w:rsid w:val="00F0567C"/>
    <w:rsid w:val="00F056A0"/>
    <w:rsid w:val="00F05738"/>
    <w:rsid w:val="00F059AA"/>
    <w:rsid w:val="00F05B69"/>
    <w:rsid w:val="00F05F8A"/>
    <w:rsid w:val="00F06043"/>
    <w:rsid w:val="00F0611F"/>
    <w:rsid w:val="00F063F4"/>
    <w:rsid w:val="00F06718"/>
    <w:rsid w:val="00F069FB"/>
    <w:rsid w:val="00F06AA7"/>
    <w:rsid w:val="00F06AD1"/>
    <w:rsid w:val="00F06B4E"/>
    <w:rsid w:val="00F06B90"/>
    <w:rsid w:val="00F06BC1"/>
    <w:rsid w:val="00F06D03"/>
    <w:rsid w:val="00F06DC4"/>
    <w:rsid w:val="00F07121"/>
    <w:rsid w:val="00F0717E"/>
    <w:rsid w:val="00F073B3"/>
    <w:rsid w:val="00F0774E"/>
    <w:rsid w:val="00F079CE"/>
    <w:rsid w:val="00F07BFE"/>
    <w:rsid w:val="00F07C9C"/>
    <w:rsid w:val="00F07EC3"/>
    <w:rsid w:val="00F10032"/>
    <w:rsid w:val="00F103AE"/>
    <w:rsid w:val="00F104FE"/>
    <w:rsid w:val="00F10A1C"/>
    <w:rsid w:val="00F10DD5"/>
    <w:rsid w:val="00F10E05"/>
    <w:rsid w:val="00F11051"/>
    <w:rsid w:val="00F1108D"/>
    <w:rsid w:val="00F11377"/>
    <w:rsid w:val="00F113FF"/>
    <w:rsid w:val="00F1176C"/>
    <w:rsid w:val="00F11781"/>
    <w:rsid w:val="00F11A57"/>
    <w:rsid w:val="00F11AD0"/>
    <w:rsid w:val="00F11D67"/>
    <w:rsid w:val="00F11E41"/>
    <w:rsid w:val="00F12185"/>
    <w:rsid w:val="00F12522"/>
    <w:rsid w:val="00F1270E"/>
    <w:rsid w:val="00F12863"/>
    <w:rsid w:val="00F12AC5"/>
    <w:rsid w:val="00F1307A"/>
    <w:rsid w:val="00F131D5"/>
    <w:rsid w:val="00F1364B"/>
    <w:rsid w:val="00F136B1"/>
    <w:rsid w:val="00F137A4"/>
    <w:rsid w:val="00F139F8"/>
    <w:rsid w:val="00F13AAA"/>
    <w:rsid w:val="00F13B90"/>
    <w:rsid w:val="00F13CCA"/>
    <w:rsid w:val="00F13D16"/>
    <w:rsid w:val="00F13F4A"/>
    <w:rsid w:val="00F14176"/>
    <w:rsid w:val="00F14579"/>
    <w:rsid w:val="00F14619"/>
    <w:rsid w:val="00F14704"/>
    <w:rsid w:val="00F14878"/>
    <w:rsid w:val="00F1495C"/>
    <w:rsid w:val="00F149D2"/>
    <w:rsid w:val="00F14A7B"/>
    <w:rsid w:val="00F14B2A"/>
    <w:rsid w:val="00F14C07"/>
    <w:rsid w:val="00F14F1D"/>
    <w:rsid w:val="00F15183"/>
    <w:rsid w:val="00F151B5"/>
    <w:rsid w:val="00F15204"/>
    <w:rsid w:val="00F15220"/>
    <w:rsid w:val="00F152BB"/>
    <w:rsid w:val="00F15396"/>
    <w:rsid w:val="00F1541E"/>
    <w:rsid w:val="00F15582"/>
    <w:rsid w:val="00F1561C"/>
    <w:rsid w:val="00F15637"/>
    <w:rsid w:val="00F157E3"/>
    <w:rsid w:val="00F15A29"/>
    <w:rsid w:val="00F15BA2"/>
    <w:rsid w:val="00F15BC5"/>
    <w:rsid w:val="00F15BE3"/>
    <w:rsid w:val="00F15D75"/>
    <w:rsid w:val="00F1602B"/>
    <w:rsid w:val="00F16265"/>
    <w:rsid w:val="00F163DD"/>
    <w:rsid w:val="00F1643C"/>
    <w:rsid w:val="00F165F8"/>
    <w:rsid w:val="00F16688"/>
    <w:rsid w:val="00F16809"/>
    <w:rsid w:val="00F16B5E"/>
    <w:rsid w:val="00F16C0B"/>
    <w:rsid w:val="00F16D39"/>
    <w:rsid w:val="00F16F67"/>
    <w:rsid w:val="00F17183"/>
    <w:rsid w:val="00F1728A"/>
    <w:rsid w:val="00F17392"/>
    <w:rsid w:val="00F1759F"/>
    <w:rsid w:val="00F17776"/>
    <w:rsid w:val="00F1788F"/>
    <w:rsid w:val="00F17891"/>
    <w:rsid w:val="00F17905"/>
    <w:rsid w:val="00F179D6"/>
    <w:rsid w:val="00F17B5B"/>
    <w:rsid w:val="00F20001"/>
    <w:rsid w:val="00F20109"/>
    <w:rsid w:val="00F20283"/>
    <w:rsid w:val="00F20289"/>
    <w:rsid w:val="00F2070D"/>
    <w:rsid w:val="00F207A0"/>
    <w:rsid w:val="00F208D3"/>
    <w:rsid w:val="00F209DB"/>
    <w:rsid w:val="00F20A04"/>
    <w:rsid w:val="00F20B4A"/>
    <w:rsid w:val="00F20C71"/>
    <w:rsid w:val="00F20CBF"/>
    <w:rsid w:val="00F20D72"/>
    <w:rsid w:val="00F20E22"/>
    <w:rsid w:val="00F20FCE"/>
    <w:rsid w:val="00F212A9"/>
    <w:rsid w:val="00F213B4"/>
    <w:rsid w:val="00F21438"/>
    <w:rsid w:val="00F217CB"/>
    <w:rsid w:val="00F21BFF"/>
    <w:rsid w:val="00F21D97"/>
    <w:rsid w:val="00F21EE2"/>
    <w:rsid w:val="00F21F00"/>
    <w:rsid w:val="00F2227B"/>
    <w:rsid w:val="00F2240A"/>
    <w:rsid w:val="00F22558"/>
    <w:rsid w:val="00F22721"/>
    <w:rsid w:val="00F22823"/>
    <w:rsid w:val="00F2291D"/>
    <w:rsid w:val="00F22A8E"/>
    <w:rsid w:val="00F22AA1"/>
    <w:rsid w:val="00F22D30"/>
    <w:rsid w:val="00F22E15"/>
    <w:rsid w:val="00F22E71"/>
    <w:rsid w:val="00F22EE2"/>
    <w:rsid w:val="00F23224"/>
    <w:rsid w:val="00F2337F"/>
    <w:rsid w:val="00F233EC"/>
    <w:rsid w:val="00F233EF"/>
    <w:rsid w:val="00F23466"/>
    <w:rsid w:val="00F23987"/>
    <w:rsid w:val="00F239C1"/>
    <w:rsid w:val="00F23A60"/>
    <w:rsid w:val="00F23BEC"/>
    <w:rsid w:val="00F23BFD"/>
    <w:rsid w:val="00F23ED5"/>
    <w:rsid w:val="00F2402E"/>
    <w:rsid w:val="00F2422D"/>
    <w:rsid w:val="00F24586"/>
    <w:rsid w:val="00F246FE"/>
    <w:rsid w:val="00F247BF"/>
    <w:rsid w:val="00F2491E"/>
    <w:rsid w:val="00F24A2C"/>
    <w:rsid w:val="00F24A7F"/>
    <w:rsid w:val="00F24B2E"/>
    <w:rsid w:val="00F24BA2"/>
    <w:rsid w:val="00F24CDA"/>
    <w:rsid w:val="00F24CF1"/>
    <w:rsid w:val="00F25135"/>
    <w:rsid w:val="00F2514A"/>
    <w:rsid w:val="00F25312"/>
    <w:rsid w:val="00F253C4"/>
    <w:rsid w:val="00F25695"/>
    <w:rsid w:val="00F257AB"/>
    <w:rsid w:val="00F257B2"/>
    <w:rsid w:val="00F25AB6"/>
    <w:rsid w:val="00F25BBB"/>
    <w:rsid w:val="00F25BBE"/>
    <w:rsid w:val="00F25D11"/>
    <w:rsid w:val="00F2603B"/>
    <w:rsid w:val="00F2604F"/>
    <w:rsid w:val="00F26105"/>
    <w:rsid w:val="00F26182"/>
    <w:rsid w:val="00F262F6"/>
    <w:rsid w:val="00F262F8"/>
    <w:rsid w:val="00F26523"/>
    <w:rsid w:val="00F2670F"/>
    <w:rsid w:val="00F2671E"/>
    <w:rsid w:val="00F26ACE"/>
    <w:rsid w:val="00F26C49"/>
    <w:rsid w:val="00F26D17"/>
    <w:rsid w:val="00F26D7F"/>
    <w:rsid w:val="00F26D9B"/>
    <w:rsid w:val="00F26DC9"/>
    <w:rsid w:val="00F26E9A"/>
    <w:rsid w:val="00F270B2"/>
    <w:rsid w:val="00F271E5"/>
    <w:rsid w:val="00F272EC"/>
    <w:rsid w:val="00F275A8"/>
    <w:rsid w:val="00F2779B"/>
    <w:rsid w:val="00F2780F"/>
    <w:rsid w:val="00F27949"/>
    <w:rsid w:val="00F27A83"/>
    <w:rsid w:val="00F27AEE"/>
    <w:rsid w:val="00F27D04"/>
    <w:rsid w:val="00F27D22"/>
    <w:rsid w:val="00F27EDF"/>
    <w:rsid w:val="00F27FAB"/>
    <w:rsid w:val="00F30073"/>
    <w:rsid w:val="00F3036E"/>
    <w:rsid w:val="00F3036F"/>
    <w:rsid w:val="00F30395"/>
    <w:rsid w:val="00F304D6"/>
    <w:rsid w:val="00F30693"/>
    <w:rsid w:val="00F307ED"/>
    <w:rsid w:val="00F3087C"/>
    <w:rsid w:val="00F30F0B"/>
    <w:rsid w:val="00F30F56"/>
    <w:rsid w:val="00F3167E"/>
    <w:rsid w:val="00F316EF"/>
    <w:rsid w:val="00F31742"/>
    <w:rsid w:val="00F31796"/>
    <w:rsid w:val="00F31ED5"/>
    <w:rsid w:val="00F3205D"/>
    <w:rsid w:val="00F32122"/>
    <w:rsid w:val="00F32284"/>
    <w:rsid w:val="00F32406"/>
    <w:rsid w:val="00F327F2"/>
    <w:rsid w:val="00F3287F"/>
    <w:rsid w:val="00F32958"/>
    <w:rsid w:val="00F32B35"/>
    <w:rsid w:val="00F32BB7"/>
    <w:rsid w:val="00F32CCC"/>
    <w:rsid w:val="00F32F1A"/>
    <w:rsid w:val="00F33016"/>
    <w:rsid w:val="00F333AF"/>
    <w:rsid w:val="00F333FB"/>
    <w:rsid w:val="00F3344E"/>
    <w:rsid w:val="00F335AB"/>
    <w:rsid w:val="00F33603"/>
    <w:rsid w:val="00F338CD"/>
    <w:rsid w:val="00F33A77"/>
    <w:rsid w:val="00F33AFD"/>
    <w:rsid w:val="00F33B0D"/>
    <w:rsid w:val="00F33B61"/>
    <w:rsid w:val="00F33BE9"/>
    <w:rsid w:val="00F33CBB"/>
    <w:rsid w:val="00F33D37"/>
    <w:rsid w:val="00F33E18"/>
    <w:rsid w:val="00F33FD6"/>
    <w:rsid w:val="00F3400F"/>
    <w:rsid w:val="00F3426A"/>
    <w:rsid w:val="00F3443B"/>
    <w:rsid w:val="00F3455E"/>
    <w:rsid w:val="00F34810"/>
    <w:rsid w:val="00F34918"/>
    <w:rsid w:val="00F349A6"/>
    <w:rsid w:val="00F34C50"/>
    <w:rsid w:val="00F34D94"/>
    <w:rsid w:val="00F34DE4"/>
    <w:rsid w:val="00F3521A"/>
    <w:rsid w:val="00F3543C"/>
    <w:rsid w:val="00F355BF"/>
    <w:rsid w:val="00F35639"/>
    <w:rsid w:val="00F3568D"/>
    <w:rsid w:val="00F357C9"/>
    <w:rsid w:val="00F35905"/>
    <w:rsid w:val="00F35A70"/>
    <w:rsid w:val="00F35AE2"/>
    <w:rsid w:val="00F35CB8"/>
    <w:rsid w:val="00F35CE7"/>
    <w:rsid w:val="00F35E04"/>
    <w:rsid w:val="00F35EEF"/>
    <w:rsid w:val="00F36056"/>
    <w:rsid w:val="00F36132"/>
    <w:rsid w:val="00F361D1"/>
    <w:rsid w:val="00F361DE"/>
    <w:rsid w:val="00F3627C"/>
    <w:rsid w:val="00F362F2"/>
    <w:rsid w:val="00F36375"/>
    <w:rsid w:val="00F36647"/>
    <w:rsid w:val="00F3667A"/>
    <w:rsid w:val="00F36A49"/>
    <w:rsid w:val="00F36A64"/>
    <w:rsid w:val="00F36A68"/>
    <w:rsid w:val="00F36C8A"/>
    <w:rsid w:val="00F36D0A"/>
    <w:rsid w:val="00F36EFE"/>
    <w:rsid w:val="00F36FE3"/>
    <w:rsid w:val="00F370D2"/>
    <w:rsid w:val="00F37249"/>
    <w:rsid w:val="00F37355"/>
    <w:rsid w:val="00F37386"/>
    <w:rsid w:val="00F3764D"/>
    <w:rsid w:val="00F376AF"/>
    <w:rsid w:val="00F376DC"/>
    <w:rsid w:val="00F379F7"/>
    <w:rsid w:val="00F37A7E"/>
    <w:rsid w:val="00F37DDA"/>
    <w:rsid w:val="00F37F51"/>
    <w:rsid w:val="00F40005"/>
    <w:rsid w:val="00F4036B"/>
    <w:rsid w:val="00F404C1"/>
    <w:rsid w:val="00F404CE"/>
    <w:rsid w:val="00F40556"/>
    <w:rsid w:val="00F4092A"/>
    <w:rsid w:val="00F4099A"/>
    <w:rsid w:val="00F40AC2"/>
    <w:rsid w:val="00F40B45"/>
    <w:rsid w:val="00F40B77"/>
    <w:rsid w:val="00F40F89"/>
    <w:rsid w:val="00F4127A"/>
    <w:rsid w:val="00F412C5"/>
    <w:rsid w:val="00F41358"/>
    <w:rsid w:val="00F41615"/>
    <w:rsid w:val="00F4192A"/>
    <w:rsid w:val="00F41997"/>
    <w:rsid w:val="00F4199B"/>
    <w:rsid w:val="00F41A44"/>
    <w:rsid w:val="00F41A4A"/>
    <w:rsid w:val="00F41ADA"/>
    <w:rsid w:val="00F41C52"/>
    <w:rsid w:val="00F41E0B"/>
    <w:rsid w:val="00F41F2C"/>
    <w:rsid w:val="00F42277"/>
    <w:rsid w:val="00F42329"/>
    <w:rsid w:val="00F4236C"/>
    <w:rsid w:val="00F42488"/>
    <w:rsid w:val="00F424F0"/>
    <w:rsid w:val="00F42581"/>
    <w:rsid w:val="00F425A7"/>
    <w:rsid w:val="00F426B8"/>
    <w:rsid w:val="00F426FB"/>
    <w:rsid w:val="00F4273C"/>
    <w:rsid w:val="00F42754"/>
    <w:rsid w:val="00F427B8"/>
    <w:rsid w:val="00F42886"/>
    <w:rsid w:val="00F42BEC"/>
    <w:rsid w:val="00F42DC2"/>
    <w:rsid w:val="00F42E81"/>
    <w:rsid w:val="00F433CF"/>
    <w:rsid w:val="00F43426"/>
    <w:rsid w:val="00F4385B"/>
    <w:rsid w:val="00F43946"/>
    <w:rsid w:val="00F439CF"/>
    <w:rsid w:val="00F43B52"/>
    <w:rsid w:val="00F43C31"/>
    <w:rsid w:val="00F43EC2"/>
    <w:rsid w:val="00F4421D"/>
    <w:rsid w:val="00F44396"/>
    <w:rsid w:val="00F44461"/>
    <w:rsid w:val="00F44506"/>
    <w:rsid w:val="00F4458E"/>
    <w:rsid w:val="00F445A3"/>
    <w:rsid w:val="00F44960"/>
    <w:rsid w:val="00F44FDC"/>
    <w:rsid w:val="00F4562E"/>
    <w:rsid w:val="00F456A1"/>
    <w:rsid w:val="00F4575C"/>
    <w:rsid w:val="00F45AAB"/>
    <w:rsid w:val="00F45AB4"/>
    <w:rsid w:val="00F45BA7"/>
    <w:rsid w:val="00F45BDA"/>
    <w:rsid w:val="00F45C60"/>
    <w:rsid w:val="00F45CE9"/>
    <w:rsid w:val="00F45EB6"/>
    <w:rsid w:val="00F45EC0"/>
    <w:rsid w:val="00F45F04"/>
    <w:rsid w:val="00F45F17"/>
    <w:rsid w:val="00F461C5"/>
    <w:rsid w:val="00F46219"/>
    <w:rsid w:val="00F466E6"/>
    <w:rsid w:val="00F46992"/>
    <w:rsid w:val="00F469AE"/>
    <w:rsid w:val="00F46A42"/>
    <w:rsid w:val="00F46CB7"/>
    <w:rsid w:val="00F46D27"/>
    <w:rsid w:val="00F46E5E"/>
    <w:rsid w:val="00F46EF5"/>
    <w:rsid w:val="00F477C3"/>
    <w:rsid w:val="00F47856"/>
    <w:rsid w:val="00F47993"/>
    <w:rsid w:val="00F47BA6"/>
    <w:rsid w:val="00F47E04"/>
    <w:rsid w:val="00F5008D"/>
    <w:rsid w:val="00F5011E"/>
    <w:rsid w:val="00F50384"/>
    <w:rsid w:val="00F50677"/>
    <w:rsid w:val="00F5078B"/>
    <w:rsid w:val="00F507D6"/>
    <w:rsid w:val="00F5089D"/>
    <w:rsid w:val="00F50AA2"/>
    <w:rsid w:val="00F50B0B"/>
    <w:rsid w:val="00F50C26"/>
    <w:rsid w:val="00F50F07"/>
    <w:rsid w:val="00F51136"/>
    <w:rsid w:val="00F51410"/>
    <w:rsid w:val="00F515FB"/>
    <w:rsid w:val="00F51665"/>
    <w:rsid w:val="00F51809"/>
    <w:rsid w:val="00F51A83"/>
    <w:rsid w:val="00F51BA5"/>
    <w:rsid w:val="00F51C1A"/>
    <w:rsid w:val="00F51C5B"/>
    <w:rsid w:val="00F51EF4"/>
    <w:rsid w:val="00F52117"/>
    <w:rsid w:val="00F523E7"/>
    <w:rsid w:val="00F52414"/>
    <w:rsid w:val="00F5249C"/>
    <w:rsid w:val="00F52517"/>
    <w:rsid w:val="00F525E2"/>
    <w:rsid w:val="00F52641"/>
    <w:rsid w:val="00F5265F"/>
    <w:rsid w:val="00F526B0"/>
    <w:rsid w:val="00F5284C"/>
    <w:rsid w:val="00F52946"/>
    <w:rsid w:val="00F52A84"/>
    <w:rsid w:val="00F52B72"/>
    <w:rsid w:val="00F52D03"/>
    <w:rsid w:val="00F534A6"/>
    <w:rsid w:val="00F534EB"/>
    <w:rsid w:val="00F5353D"/>
    <w:rsid w:val="00F53AEC"/>
    <w:rsid w:val="00F53DBD"/>
    <w:rsid w:val="00F54054"/>
    <w:rsid w:val="00F5420E"/>
    <w:rsid w:val="00F545AF"/>
    <w:rsid w:val="00F5473B"/>
    <w:rsid w:val="00F54A59"/>
    <w:rsid w:val="00F54ADF"/>
    <w:rsid w:val="00F54D14"/>
    <w:rsid w:val="00F54E62"/>
    <w:rsid w:val="00F54F31"/>
    <w:rsid w:val="00F54FFB"/>
    <w:rsid w:val="00F55030"/>
    <w:rsid w:val="00F55040"/>
    <w:rsid w:val="00F550A6"/>
    <w:rsid w:val="00F550D9"/>
    <w:rsid w:val="00F552F3"/>
    <w:rsid w:val="00F5544E"/>
    <w:rsid w:val="00F55454"/>
    <w:rsid w:val="00F554B2"/>
    <w:rsid w:val="00F5583A"/>
    <w:rsid w:val="00F55BDD"/>
    <w:rsid w:val="00F55E1F"/>
    <w:rsid w:val="00F55FAB"/>
    <w:rsid w:val="00F5603E"/>
    <w:rsid w:val="00F5630A"/>
    <w:rsid w:val="00F5630C"/>
    <w:rsid w:val="00F5644B"/>
    <w:rsid w:val="00F564DB"/>
    <w:rsid w:val="00F56939"/>
    <w:rsid w:val="00F56AA1"/>
    <w:rsid w:val="00F56B03"/>
    <w:rsid w:val="00F56D78"/>
    <w:rsid w:val="00F5726B"/>
    <w:rsid w:val="00F57291"/>
    <w:rsid w:val="00F5735C"/>
    <w:rsid w:val="00F573F1"/>
    <w:rsid w:val="00F5749C"/>
    <w:rsid w:val="00F57606"/>
    <w:rsid w:val="00F577E3"/>
    <w:rsid w:val="00F5798A"/>
    <w:rsid w:val="00F57991"/>
    <w:rsid w:val="00F579A3"/>
    <w:rsid w:val="00F579F6"/>
    <w:rsid w:val="00F57B55"/>
    <w:rsid w:val="00F57D5C"/>
    <w:rsid w:val="00F57E34"/>
    <w:rsid w:val="00F60003"/>
    <w:rsid w:val="00F60035"/>
    <w:rsid w:val="00F60164"/>
    <w:rsid w:val="00F607B7"/>
    <w:rsid w:val="00F6081B"/>
    <w:rsid w:val="00F60842"/>
    <w:rsid w:val="00F60871"/>
    <w:rsid w:val="00F608C7"/>
    <w:rsid w:val="00F60B18"/>
    <w:rsid w:val="00F60B6D"/>
    <w:rsid w:val="00F60D47"/>
    <w:rsid w:val="00F60DBB"/>
    <w:rsid w:val="00F60DD3"/>
    <w:rsid w:val="00F61007"/>
    <w:rsid w:val="00F61359"/>
    <w:rsid w:val="00F6195A"/>
    <w:rsid w:val="00F619A4"/>
    <w:rsid w:val="00F619BD"/>
    <w:rsid w:val="00F61A23"/>
    <w:rsid w:val="00F61AA6"/>
    <w:rsid w:val="00F61E65"/>
    <w:rsid w:val="00F62048"/>
    <w:rsid w:val="00F6213A"/>
    <w:rsid w:val="00F621E5"/>
    <w:rsid w:val="00F621F3"/>
    <w:rsid w:val="00F62432"/>
    <w:rsid w:val="00F62440"/>
    <w:rsid w:val="00F624DD"/>
    <w:rsid w:val="00F62548"/>
    <w:rsid w:val="00F628DE"/>
    <w:rsid w:val="00F62D9D"/>
    <w:rsid w:val="00F62FEE"/>
    <w:rsid w:val="00F63569"/>
    <w:rsid w:val="00F6384A"/>
    <w:rsid w:val="00F639D2"/>
    <w:rsid w:val="00F63A6B"/>
    <w:rsid w:val="00F63AA6"/>
    <w:rsid w:val="00F63AEA"/>
    <w:rsid w:val="00F63AFD"/>
    <w:rsid w:val="00F63B27"/>
    <w:rsid w:val="00F63C11"/>
    <w:rsid w:val="00F63C5A"/>
    <w:rsid w:val="00F63D1B"/>
    <w:rsid w:val="00F63DAC"/>
    <w:rsid w:val="00F63FD3"/>
    <w:rsid w:val="00F64259"/>
    <w:rsid w:val="00F642B6"/>
    <w:rsid w:val="00F642B8"/>
    <w:rsid w:val="00F64478"/>
    <w:rsid w:val="00F6447E"/>
    <w:rsid w:val="00F64492"/>
    <w:rsid w:val="00F64526"/>
    <w:rsid w:val="00F645D0"/>
    <w:rsid w:val="00F64623"/>
    <w:rsid w:val="00F6477B"/>
    <w:rsid w:val="00F64823"/>
    <w:rsid w:val="00F648E0"/>
    <w:rsid w:val="00F64A76"/>
    <w:rsid w:val="00F64C1E"/>
    <w:rsid w:val="00F64CE2"/>
    <w:rsid w:val="00F6503F"/>
    <w:rsid w:val="00F6506A"/>
    <w:rsid w:val="00F650A0"/>
    <w:rsid w:val="00F65151"/>
    <w:rsid w:val="00F6518D"/>
    <w:rsid w:val="00F651F3"/>
    <w:rsid w:val="00F653BD"/>
    <w:rsid w:val="00F653E8"/>
    <w:rsid w:val="00F656AB"/>
    <w:rsid w:val="00F6573B"/>
    <w:rsid w:val="00F658BD"/>
    <w:rsid w:val="00F6597E"/>
    <w:rsid w:val="00F65A06"/>
    <w:rsid w:val="00F65C71"/>
    <w:rsid w:val="00F66323"/>
    <w:rsid w:val="00F6633B"/>
    <w:rsid w:val="00F666B9"/>
    <w:rsid w:val="00F66C03"/>
    <w:rsid w:val="00F66CD3"/>
    <w:rsid w:val="00F66EA5"/>
    <w:rsid w:val="00F66F09"/>
    <w:rsid w:val="00F67137"/>
    <w:rsid w:val="00F671FF"/>
    <w:rsid w:val="00F6750D"/>
    <w:rsid w:val="00F67630"/>
    <w:rsid w:val="00F677A2"/>
    <w:rsid w:val="00F678C0"/>
    <w:rsid w:val="00F67AB7"/>
    <w:rsid w:val="00F67AEC"/>
    <w:rsid w:val="00F67B78"/>
    <w:rsid w:val="00F67B7E"/>
    <w:rsid w:val="00F67C47"/>
    <w:rsid w:val="00F67C84"/>
    <w:rsid w:val="00F67CBE"/>
    <w:rsid w:val="00F67D4F"/>
    <w:rsid w:val="00F67DD0"/>
    <w:rsid w:val="00F67EAB"/>
    <w:rsid w:val="00F67F47"/>
    <w:rsid w:val="00F70282"/>
    <w:rsid w:val="00F703D2"/>
    <w:rsid w:val="00F70427"/>
    <w:rsid w:val="00F7044A"/>
    <w:rsid w:val="00F705AE"/>
    <w:rsid w:val="00F7062C"/>
    <w:rsid w:val="00F708A0"/>
    <w:rsid w:val="00F70A8B"/>
    <w:rsid w:val="00F70B54"/>
    <w:rsid w:val="00F70C13"/>
    <w:rsid w:val="00F70C49"/>
    <w:rsid w:val="00F70CB7"/>
    <w:rsid w:val="00F70F05"/>
    <w:rsid w:val="00F71091"/>
    <w:rsid w:val="00F7119E"/>
    <w:rsid w:val="00F71234"/>
    <w:rsid w:val="00F7133A"/>
    <w:rsid w:val="00F71350"/>
    <w:rsid w:val="00F7150D"/>
    <w:rsid w:val="00F71B41"/>
    <w:rsid w:val="00F71D61"/>
    <w:rsid w:val="00F71E35"/>
    <w:rsid w:val="00F7219A"/>
    <w:rsid w:val="00F721C8"/>
    <w:rsid w:val="00F7239F"/>
    <w:rsid w:val="00F723C8"/>
    <w:rsid w:val="00F725A4"/>
    <w:rsid w:val="00F72620"/>
    <w:rsid w:val="00F7281B"/>
    <w:rsid w:val="00F72821"/>
    <w:rsid w:val="00F72873"/>
    <w:rsid w:val="00F72AD9"/>
    <w:rsid w:val="00F72B95"/>
    <w:rsid w:val="00F73384"/>
    <w:rsid w:val="00F733DC"/>
    <w:rsid w:val="00F7347B"/>
    <w:rsid w:val="00F734C4"/>
    <w:rsid w:val="00F7357E"/>
    <w:rsid w:val="00F73650"/>
    <w:rsid w:val="00F737E7"/>
    <w:rsid w:val="00F73998"/>
    <w:rsid w:val="00F73A52"/>
    <w:rsid w:val="00F73A67"/>
    <w:rsid w:val="00F73C37"/>
    <w:rsid w:val="00F73C7A"/>
    <w:rsid w:val="00F73CC6"/>
    <w:rsid w:val="00F73D80"/>
    <w:rsid w:val="00F74028"/>
    <w:rsid w:val="00F740CC"/>
    <w:rsid w:val="00F74199"/>
    <w:rsid w:val="00F741B3"/>
    <w:rsid w:val="00F74246"/>
    <w:rsid w:val="00F74270"/>
    <w:rsid w:val="00F74315"/>
    <w:rsid w:val="00F74393"/>
    <w:rsid w:val="00F7441C"/>
    <w:rsid w:val="00F745B3"/>
    <w:rsid w:val="00F745C9"/>
    <w:rsid w:val="00F74664"/>
    <w:rsid w:val="00F74761"/>
    <w:rsid w:val="00F74841"/>
    <w:rsid w:val="00F74945"/>
    <w:rsid w:val="00F74BC5"/>
    <w:rsid w:val="00F75017"/>
    <w:rsid w:val="00F7519B"/>
    <w:rsid w:val="00F751C0"/>
    <w:rsid w:val="00F753A7"/>
    <w:rsid w:val="00F753F1"/>
    <w:rsid w:val="00F755C1"/>
    <w:rsid w:val="00F75757"/>
    <w:rsid w:val="00F75807"/>
    <w:rsid w:val="00F75B02"/>
    <w:rsid w:val="00F75C48"/>
    <w:rsid w:val="00F75F27"/>
    <w:rsid w:val="00F760D8"/>
    <w:rsid w:val="00F760F6"/>
    <w:rsid w:val="00F763F4"/>
    <w:rsid w:val="00F76421"/>
    <w:rsid w:val="00F76481"/>
    <w:rsid w:val="00F76691"/>
    <w:rsid w:val="00F766DF"/>
    <w:rsid w:val="00F76880"/>
    <w:rsid w:val="00F76A4E"/>
    <w:rsid w:val="00F76DE9"/>
    <w:rsid w:val="00F76F84"/>
    <w:rsid w:val="00F77177"/>
    <w:rsid w:val="00F771BF"/>
    <w:rsid w:val="00F77343"/>
    <w:rsid w:val="00F77384"/>
    <w:rsid w:val="00F77AA6"/>
    <w:rsid w:val="00F77BED"/>
    <w:rsid w:val="00F77CB2"/>
    <w:rsid w:val="00F80123"/>
    <w:rsid w:val="00F80124"/>
    <w:rsid w:val="00F8025C"/>
    <w:rsid w:val="00F80597"/>
    <w:rsid w:val="00F8066C"/>
    <w:rsid w:val="00F80704"/>
    <w:rsid w:val="00F80C3B"/>
    <w:rsid w:val="00F80C63"/>
    <w:rsid w:val="00F80CB6"/>
    <w:rsid w:val="00F80D4F"/>
    <w:rsid w:val="00F80F51"/>
    <w:rsid w:val="00F80FEC"/>
    <w:rsid w:val="00F81006"/>
    <w:rsid w:val="00F81158"/>
    <w:rsid w:val="00F81365"/>
    <w:rsid w:val="00F817E3"/>
    <w:rsid w:val="00F8189D"/>
    <w:rsid w:val="00F81A41"/>
    <w:rsid w:val="00F81BAC"/>
    <w:rsid w:val="00F81BB4"/>
    <w:rsid w:val="00F81DED"/>
    <w:rsid w:val="00F81E57"/>
    <w:rsid w:val="00F81E6A"/>
    <w:rsid w:val="00F82027"/>
    <w:rsid w:val="00F8210D"/>
    <w:rsid w:val="00F8216B"/>
    <w:rsid w:val="00F8230B"/>
    <w:rsid w:val="00F82365"/>
    <w:rsid w:val="00F8238C"/>
    <w:rsid w:val="00F8244A"/>
    <w:rsid w:val="00F82762"/>
    <w:rsid w:val="00F827C4"/>
    <w:rsid w:val="00F82826"/>
    <w:rsid w:val="00F82A89"/>
    <w:rsid w:val="00F82AE5"/>
    <w:rsid w:val="00F82AF8"/>
    <w:rsid w:val="00F83037"/>
    <w:rsid w:val="00F8324D"/>
    <w:rsid w:val="00F832DB"/>
    <w:rsid w:val="00F8333C"/>
    <w:rsid w:val="00F834D4"/>
    <w:rsid w:val="00F83920"/>
    <w:rsid w:val="00F83961"/>
    <w:rsid w:val="00F83963"/>
    <w:rsid w:val="00F839CC"/>
    <w:rsid w:val="00F839FE"/>
    <w:rsid w:val="00F83A6B"/>
    <w:rsid w:val="00F83AC1"/>
    <w:rsid w:val="00F83C23"/>
    <w:rsid w:val="00F83C49"/>
    <w:rsid w:val="00F83E6F"/>
    <w:rsid w:val="00F8448E"/>
    <w:rsid w:val="00F84521"/>
    <w:rsid w:val="00F846D4"/>
    <w:rsid w:val="00F8476E"/>
    <w:rsid w:val="00F84772"/>
    <w:rsid w:val="00F847CB"/>
    <w:rsid w:val="00F84C6E"/>
    <w:rsid w:val="00F84CD4"/>
    <w:rsid w:val="00F84EB6"/>
    <w:rsid w:val="00F84EF7"/>
    <w:rsid w:val="00F84F06"/>
    <w:rsid w:val="00F84F85"/>
    <w:rsid w:val="00F84FC6"/>
    <w:rsid w:val="00F8500C"/>
    <w:rsid w:val="00F85118"/>
    <w:rsid w:val="00F8534C"/>
    <w:rsid w:val="00F853FE"/>
    <w:rsid w:val="00F856CF"/>
    <w:rsid w:val="00F85803"/>
    <w:rsid w:val="00F85AAE"/>
    <w:rsid w:val="00F85FD6"/>
    <w:rsid w:val="00F85FFD"/>
    <w:rsid w:val="00F86302"/>
    <w:rsid w:val="00F8663B"/>
    <w:rsid w:val="00F866EA"/>
    <w:rsid w:val="00F866FE"/>
    <w:rsid w:val="00F86704"/>
    <w:rsid w:val="00F8675E"/>
    <w:rsid w:val="00F86903"/>
    <w:rsid w:val="00F86BFA"/>
    <w:rsid w:val="00F86D9D"/>
    <w:rsid w:val="00F86E9D"/>
    <w:rsid w:val="00F87019"/>
    <w:rsid w:val="00F87082"/>
    <w:rsid w:val="00F87356"/>
    <w:rsid w:val="00F874FE"/>
    <w:rsid w:val="00F8769D"/>
    <w:rsid w:val="00F877FF"/>
    <w:rsid w:val="00F87827"/>
    <w:rsid w:val="00F87959"/>
    <w:rsid w:val="00F87999"/>
    <w:rsid w:val="00F87B94"/>
    <w:rsid w:val="00F87BE6"/>
    <w:rsid w:val="00F87C5A"/>
    <w:rsid w:val="00F87C94"/>
    <w:rsid w:val="00F9009F"/>
    <w:rsid w:val="00F90151"/>
    <w:rsid w:val="00F902CD"/>
    <w:rsid w:val="00F9040C"/>
    <w:rsid w:val="00F90780"/>
    <w:rsid w:val="00F90843"/>
    <w:rsid w:val="00F90851"/>
    <w:rsid w:val="00F908B7"/>
    <w:rsid w:val="00F90B78"/>
    <w:rsid w:val="00F90C2A"/>
    <w:rsid w:val="00F90D9E"/>
    <w:rsid w:val="00F9113E"/>
    <w:rsid w:val="00F9113F"/>
    <w:rsid w:val="00F9118A"/>
    <w:rsid w:val="00F91348"/>
    <w:rsid w:val="00F914D1"/>
    <w:rsid w:val="00F91916"/>
    <w:rsid w:val="00F91A62"/>
    <w:rsid w:val="00F91ABF"/>
    <w:rsid w:val="00F91BC1"/>
    <w:rsid w:val="00F91C1B"/>
    <w:rsid w:val="00F91CB9"/>
    <w:rsid w:val="00F91F3B"/>
    <w:rsid w:val="00F91FAE"/>
    <w:rsid w:val="00F921C0"/>
    <w:rsid w:val="00F9230A"/>
    <w:rsid w:val="00F924DC"/>
    <w:rsid w:val="00F92572"/>
    <w:rsid w:val="00F92588"/>
    <w:rsid w:val="00F92706"/>
    <w:rsid w:val="00F92836"/>
    <w:rsid w:val="00F92891"/>
    <w:rsid w:val="00F92938"/>
    <w:rsid w:val="00F92BC7"/>
    <w:rsid w:val="00F92CDF"/>
    <w:rsid w:val="00F92D3D"/>
    <w:rsid w:val="00F92FE0"/>
    <w:rsid w:val="00F9308B"/>
    <w:rsid w:val="00F93132"/>
    <w:rsid w:val="00F931EE"/>
    <w:rsid w:val="00F9323F"/>
    <w:rsid w:val="00F932D2"/>
    <w:rsid w:val="00F936E7"/>
    <w:rsid w:val="00F9391E"/>
    <w:rsid w:val="00F93B9E"/>
    <w:rsid w:val="00F93BEC"/>
    <w:rsid w:val="00F93C6F"/>
    <w:rsid w:val="00F93D02"/>
    <w:rsid w:val="00F93D3C"/>
    <w:rsid w:val="00F93E66"/>
    <w:rsid w:val="00F940D4"/>
    <w:rsid w:val="00F94338"/>
    <w:rsid w:val="00F94398"/>
    <w:rsid w:val="00F9439F"/>
    <w:rsid w:val="00F94545"/>
    <w:rsid w:val="00F94829"/>
    <w:rsid w:val="00F94A06"/>
    <w:rsid w:val="00F94AF9"/>
    <w:rsid w:val="00F94B94"/>
    <w:rsid w:val="00F94CF7"/>
    <w:rsid w:val="00F94F36"/>
    <w:rsid w:val="00F952A1"/>
    <w:rsid w:val="00F952CB"/>
    <w:rsid w:val="00F952F3"/>
    <w:rsid w:val="00F9547D"/>
    <w:rsid w:val="00F95704"/>
    <w:rsid w:val="00F95734"/>
    <w:rsid w:val="00F9580B"/>
    <w:rsid w:val="00F95A95"/>
    <w:rsid w:val="00F95DA0"/>
    <w:rsid w:val="00F95E58"/>
    <w:rsid w:val="00F960D7"/>
    <w:rsid w:val="00F960FD"/>
    <w:rsid w:val="00F963FF"/>
    <w:rsid w:val="00F96418"/>
    <w:rsid w:val="00F9645E"/>
    <w:rsid w:val="00F964A3"/>
    <w:rsid w:val="00F9664B"/>
    <w:rsid w:val="00F969DA"/>
    <w:rsid w:val="00F96B07"/>
    <w:rsid w:val="00F96C1E"/>
    <w:rsid w:val="00F96C5E"/>
    <w:rsid w:val="00F96EB7"/>
    <w:rsid w:val="00F97053"/>
    <w:rsid w:val="00F97233"/>
    <w:rsid w:val="00F97785"/>
    <w:rsid w:val="00F977FE"/>
    <w:rsid w:val="00F97A2A"/>
    <w:rsid w:val="00FA01F3"/>
    <w:rsid w:val="00FA0219"/>
    <w:rsid w:val="00FA0893"/>
    <w:rsid w:val="00FA08C6"/>
    <w:rsid w:val="00FA09D5"/>
    <w:rsid w:val="00FA0C1D"/>
    <w:rsid w:val="00FA0C6C"/>
    <w:rsid w:val="00FA0CAD"/>
    <w:rsid w:val="00FA11F0"/>
    <w:rsid w:val="00FA1280"/>
    <w:rsid w:val="00FA12FB"/>
    <w:rsid w:val="00FA1530"/>
    <w:rsid w:val="00FA1727"/>
    <w:rsid w:val="00FA177E"/>
    <w:rsid w:val="00FA17EB"/>
    <w:rsid w:val="00FA1853"/>
    <w:rsid w:val="00FA1968"/>
    <w:rsid w:val="00FA1B76"/>
    <w:rsid w:val="00FA1C49"/>
    <w:rsid w:val="00FA1CEA"/>
    <w:rsid w:val="00FA1FC1"/>
    <w:rsid w:val="00FA2082"/>
    <w:rsid w:val="00FA2190"/>
    <w:rsid w:val="00FA21D0"/>
    <w:rsid w:val="00FA23D8"/>
    <w:rsid w:val="00FA2581"/>
    <w:rsid w:val="00FA2603"/>
    <w:rsid w:val="00FA26B1"/>
    <w:rsid w:val="00FA26DF"/>
    <w:rsid w:val="00FA290C"/>
    <w:rsid w:val="00FA2E03"/>
    <w:rsid w:val="00FA2EDB"/>
    <w:rsid w:val="00FA2F3C"/>
    <w:rsid w:val="00FA3073"/>
    <w:rsid w:val="00FA30EB"/>
    <w:rsid w:val="00FA3207"/>
    <w:rsid w:val="00FA322C"/>
    <w:rsid w:val="00FA3540"/>
    <w:rsid w:val="00FA37A4"/>
    <w:rsid w:val="00FA3806"/>
    <w:rsid w:val="00FA387B"/>
    <w:rsid w:val="00FA3973"/>
    <w:rsid w:val="00FA3AC9"/>
    <w:rsid w:val="00FA3E84"/>
    <w:rsid w:val="00FA3EEF"/>
    <w:rsid w:val="00FA40B6"/>
    <w:rsid w:val="00FA414C"/>
    <w:rsid w:val="00FA430E"/>
    <w:rsid w:val="00FA4484"/>
    <w:rsid w:val="00FA448B"/>
    <w:rsid w:val="00FA463A"/>
    <w:rsid w:val="00FA47A3"/>
    <w:rsid w:val="00FA494F"/>
    <w:rsid w:val="00FA49F6"/>
    <w:rsid w:val="00FA4ACE"/>
    <w:rsid w:val="00FA4C51"/>
    <w:rsid w:val="00FA50E8"/>
    <w:rsid w:val="00FA5152"/>
    <w:rsid w:val="00FA5193"/>
    <w:rsid w:val="00FA5265"/>
    <w:rsid w:val="00FA5305"/>
    <w:rsid w:val="00FA53DF"/>
    <w:rsid w:val="00FA54FA"/>
    <w:rsid w:val="00FA56EF"/>
    <w:rsid w:val="00FA5A82"/>
    <w:rsid w:val="00FA5B9F"/>
    <w:rsid w:val="00FA5C3F"/>
    <w:rsid w:val="00FA5DEA"/>
    <w:rsid w:val="00FA5E72"/>
    <w:rsid w:val="00FA5EEC"/>
    <w:rsid w:val="00FA5F86"/>
    <w:rsid w:val="00FA617A"/>
    <w:rsid w:val="00FA6258"/>
    <w:rsid w:val="00FA63AE"/>
    <w:rsid w:val="00FA63BF"/>
    <w:rsid w:val="00FA6402"/>
    <w:rsid w:val="00FA6906"/>
    <w:rsid w:val="00FA6968"/>
    <w:rsid w:val="00FA6B3D"/>
    <w:rsid w:val="00FA6BD3"/>
    <w:rsid w:val="00FA6CAD"/>
    <w:rsid w:val="00FA6D81"/>
    <w:rsid w:val="00FA706C"/>
    <w:rsid w:val="00FA75B9"/>
    <w:rsid w:val="00FA78FD"/>
    <w:rsid w:val="00FA7954"/>
    <w:rsid w:val="00FA7AC2"/>
    <w:rsid w:val="00FA7C58"/>
    <w:rsid w:val="00FA7CD0"/>
    <w:rsid w:val="00FA7CF8"/>
    <w:rsid w:val="00FA7D80"/>
    <w:rsid w:val="00FB0020"/>
    <w:rsid w:val="00FB005C"/>
    <w:rsid w:val="00FB0099"/>
    <w:rsid w:val="00FB08A4"/>
    <w:rsid w:val="00FB0A5D"/>
    <w:rsid w:val="00FB0B68"/>
    <w:rsid w:val="00FB0D78"/>
    <w:rsid w:val="00FB1015"/>
    <w:rsid w:val="00FB1025"/>
    <w:rsid w:val="00FB1193"/>
    <w:rsid w:val="00FB11A9"/>
    <w:rsid w:val="00FB142C"/>
    <w:rsid w:val="00FB19F5"/>
    <w:rsid w:val="00FB1AC0"/>
    <w:rsid w:val="00FB1CC4"/>
    <w:rsid w:val="00FB1D1D"/>
    <w:rsid w:val="00FB1FEF"/>
    <w:rsid w:val="00FB20E5"/>
    <w:rsid w:val="00FB2793"/>
    <w:rsid w:val="00FB2966"/>
    <w:rsid w:val="00FB2D71"/>
    <w:rsid w:val="00FB2D97"/>
    <w:rsid w:val="00FB3235"/>
    <w:rsid w:val="00FB338C"/>
    <w:rsid w:val="00FB3449"/>
    <w:rsid w:val="00FB34A1"/>
    <w:rsid w:val="00FB3652"/>
    <w:rsid w:val="00FB366B"/>
    <w:rsid w:val="00FB36B0"/>
    <w:rsid w:val="00FB374F"/>
    <w:rsid w:val="00FB3878"/>
    <w:rsid w:val="00FB3BAD"/>
    <w:rsid w:val="00FB3C0F"/>
    <w:rsid w:val="00FB3C44"/>
    <w:rsid w:val="00FB3E0A"/>
    <w:rsid w:val="00FB4346"/>
    <w:rsid w:val="00FB435F"/>
    <w:rsid w:val="00FB4674"/>
    <w:rsid w:val="00FB46A1"/>
    <w:rsid w:val="00FB4A42"/>
    <w:rsid w:val="00FB4BAF"/>
    <w:rsid w:val="00FB4E17"/>
    <w:rsid w:val="00FB4E1A"/>
    <w:rsid w:val="00FB529C"/>
    <w:rsid w:val="00FB5399"/>
    <w:rsid w:val="00FB5595"/>
    <w:rsid w:val="00FB5A47"/>
    <w:rsid w:val="00FB5EBC"/>
    <w:rsid w:val="00FB5ED6"/>
    <w:rsid w:val="00FB5F62"/>
    <w:rsid w:val="00FB5F9B"/>
    <w:rsid w:val="00FB5FE4"/>
    <w:rsid w:val="00FB5FE7"/>
    <w:rsid w:val="00FB6040"/>
    <w:rsid w:val="00FB607C"/>
    <w:rsid w:val="00FB67FD"/>
    <w:rsid w:val="00FB69DD"/>
    <w:rsid w:val="00FB6A0D"/>
    <w:rsid w:val="00FB6EAA"/>
    <w:rsid w:val="00FB6F7A"/>
    <w:rsid w:val="00FB72CC"/>
    <w:rsid w:val="00FB76EE"/>
    <w:rsid w:val="00FB77D2"/>
    <w:rsid w:val="00FB78B9"/>
    <w:rsid w:val="00FB7D2C"/>
    <w:rsid w:val="00FB7E06"/>
    <w:rsid w:val="00FB7E30"/>
    <w:rsid w:val="00FC04F0"/>
    <w:rsid w:val="00FC0522"/>
    <w:rsid w:val="00FC05D4"/>
    <w:rsid w:val="00FC0618"/>
    <w:rsid w:val="00FC0743"/>
    <w:rsid w:val="00FC07E8"/>
    <w:rsid w:val="00FC087D"/>
    <w:rsid w:val="00FC0D7A"/>
    <w:rsid w:val="00FC10DC"/>
    <w:rsid w:val="00FC113A"/>
    <w:rsid w:val="00FC12D4"/>
    <w:rsid w:val="00FC1477"/>
    <w:rsid w:val="00FC14FC"/>
    <w:rsid w:val="00FC166F"/>
    <w:rsid w:val="00FC171C"/>
    <w:rsid w:val="00FC1A38"/>
    <w:rsid w:val="00FC1B46"/>
    <w:rsid w:val="00FC1CB1"/>
    <w:rsid w:val="00FC1F8C"/>
    <w:rsid w:val="00FC230A"/>
    <w:rsid w:val="00FC23FB"/>
    <w:rsid w:val="00FC2780"/>
    <w:rsid w:val="00FC293B"/>
    <w:rsid w:val="00FC2B51"/>
    <w:rsid w:val="00FC2D03"/>
    <w:rsid w:val="00FC2E32"/>
    <w:rsid w:val="00FC3150"/>
    <w:rsid w:val="00FC3298"/>
    <w:rsid w:val="00FC336C"/>
    <w:rsid w:val="00FC3502"/>
    <w:rsid w:val="00FC35FA"/>
    <w:rsid w:val="00FC37C6"/>
    <w:rsid w:val="00FC383A"/>
    <w:rsid w:val="00FC3877"/>
    <w:rsid w:val="00FC387C"/>
    <w:rsid w:val="00FC39F5"/>
    <w:rsid w:val="00FC3AFB"/>
    <w:rsid w:val="00FC3B18"/>
    <w:rsid w:val="00FC3BA6"/>
    <w:rsid w:val="00FC3D16"/>
    <w:rsid w:val="00FC3D58"/>
    <w:rsid w:val="00FC3FE0"/>
    <w:rsid w:val="00FC4071"/>
    <w:rsid w:val="00FC41E7"/>
    <w:rsid w:val="00FC4473"/>
    <w:rsid w:val="00FC47C8"/>
    <w:rsid w:val="00FC4B9D"/>
    <w:rsid w:val="00FC503C"/>
    <w:rsid w:val="00FC510D"/>
    <w:rsid w:val="00FC51E5"/>
    <w:rsid w:val="00FC51F6"/>
    <w:rsid w:val="00FC52A9"/>
    <w:rsid w:val="00FC530B"/>
    <w:rsid w:val="00FC536F"/>
    <w:rsid w:val="00FC537B"/>
    <w:rsid w:val="00FC5429"/>
    <w:rsid w:val="00FC57E9"/>
    <w:rsid w:val="00FC5981"/>
    <w:rsid w:val="00FC59C0"/>
    <w:rsid w:val="00FC5AD2"/>
    <w:rsid w:val="00FC5B26"/>
    <w:rsid w:val="00FC5F6D"/>
    <w:rsid w:val="00FC6049"/>
    <w:rsid w:val="00FC63DE"/>
    <w:rsid w:val="00FC6629"/>
    <w:rsid w:val="00FC66EB"/>
    <w:rsid w:val="00FC6927"/>
    <w:rsid w:val="00FC6E62"/>
    <w:rsid w:val="00FC6F2C"/>
    <w:rsid w:val="00FC70E1"/>
    <w:rsid w:val="00FC71F9"/>
    <w:rsid w:val="00FC7205"/>
    <w:rsid w:val="00FC7258"/>
    <w:rsid w:val="00FC74EC"/>
    <w:rsid w:val="00FC759F"/>
    <w:rsid w:val="00FC76C4"/>
    <w:rsid w:val="00FC77E9"/>
    <w:rsid w:val="00FC7937"/>
    <w:rsid w:val="00FC7CED"/>
    <w:rsid w:val="00FC7EE9"/>
    <w:rsid w:val="00FD030D"/>
    <w:rsid w:val="00FD0350"/>
    <w:rsid w:val="00FD04FC"/>
    <w:rsid w:val="00FD055B"/>
    <w:rsid w:val="00FD0587"/>
    <w:rsid w:val="00FD05E8"/>
    <w:rsid w:val="00FD06A2"/>
    <w:rsid w:val="00FD08C8"/>
    <w:rsid w:val="00FD0A64"/>
    <w:rsid w:val="00FD1370"/>
    <w:rsid w:val="00FD18DA"/>
    <w:rsid w:val="00FD1A48"/>
    <w:rsid w:val="00FD1B49"/>
    <w:rsid w:val="00FD1C62"/>
    <w:rsid w:val="00FD1D1F"/>
    <w:rsid w:val="00FD1E56"/>
    <w:rsid w:val="00FD1E83"/>
    <w:rsid w:val="00FD1F7D"/>
    <w:rsid w:val="00FD20B9"/>
    <w:rsid w:val="00FD219B"/>
    <w:rsid w:val="00FD2321"/>
    <w:rsid w:val="00FD2646"/>
    <w:rsid w:val="00FD2691"/>
    <w:rsid w:val="00FD2BCC"/>
    <w:rsid w:val="00FD2BEA"/>
    <w:rsid w:val="00FD2E23"/>
    <w:rsid w:val="00FD2EE6"/>
    <w:rsid w:val="00FD3302"/>
    <w:rsid w:val="00FD3551"/>
    <w:rsid w:val="00FD3649"/>
    <w:rsid w:val="00FD37A1"/>
    <w:rsid w:val="00FD3DED"/>
    <w:rsid w:val="00FD40DE"/>
    <w:rsid w:val="00FD410B"/>
    <w:rsid w:val="00FD41C8"/>
    <w:rsid w:val="00FD423B"/>
    <w:rsid w:val="00FD42F5"/>
    <w:rsid w:val="00FD4465"/>
    <w:rsid w:val="00FD44CE"/>
    <w:rsid w:val="00FD451C"/>
    <w:rsid w:val="00FD4663"/>
    <w:rsid w:val="00FD471D"/>
    <w:rsid w:val="00FD4720"/>
    <w:rsid w:val="00FD479A"/>
    <w:rsid w:val="00FD507D"/>
    <w:rsid w:val="00FD50D4"/>
    <w:rsid w:val="00FD512A"/>
    <w:rsid w:val="00FD51FA"/>
    <w:rsid w:val="00FD52FD"/>
    <w:rsid w:val="00FD54FA"/>
    <w:rsid w:val="00FD57E1"/>
    <w:rsid w:val="00FD5990"/>
    <w:rsid w:val="00FD5A2F"/>
    <w:rsid w:val="00FD5A69"/>
    <w:rsid w:val="00FD5A9B"/>
    <w:rsid w:val="00FD5C33"/>
    <w:rsid w:val="00FD5E34"/>
    <w:rsid w:val="00FD615B"/>
    <w:rsid w:val="00FD62C4"/>
    <w:rsid w:val="00FD6327"/>
    <w:rsid w:val="00FD6387"/>
    <w:rsid w:val="00FD6708"/>
    <w:rsid w:val="00FD6A62"/>
    <w:rsid w:val="00FD6F94"/>
    <w:rsid w:val="00FD7050"/>
    <w:rsid w:val="00FD7290"/>
    <w:rsid w:val="00FD72CB"/>
    <w:rsid w:val="00FD737D"/>
    <w:rsid w:val="00FD7525"/>
    <w:rsid w:val="00FD7538"/>
    <w:rsid w:val="00FD77DE"/>
    <w:rsid w:val="00FD79ED"/>
    <w:rsid w:val="00FD7B7E"/>
    <w:rsid w:val="00FD7C1E"/>
    <w:rsid w:val="00FD7D08"/>
    <w:rsid w:val="00FD7EE0"/>
    <w:rsid w:val="00FD7F36"/>
    <w:rsid w:val="00FE001D"/>
    <w:rsid w:val="00FE0122"/>
    <w:rsid w:val="00FE0715"/>
    <w:rsid w:val="00FE07E1"/>
    <w:rsid w:val="00FE0978"/>
    <w:rsid w:val="00FE0B65"/>
    <w:rsid w:val="00FE0B6E"/>
    <w:rsid w:val="00FE0C53"/>
    <w:rsid w:val="00FE0D85"/>
    <w:rsid w:val="00FE112D"/>
    <w:rsid w:val="00FE1230"/>
    <w:rsid w:val="00FE1314"/>
    <w:rsid w:val="00FE1909"/>
    <w:rsid w:val="00FE1A60"/>
    <w:rsid w:val="00FE1DFB"/>
    <w:rsid w:val="00FE1F3A"/>
    <w:rsid w:val="00FE2046"/>
    <w:rsid w:val="00FE23AE"/>
    <w:rsid w:val="00FE2424"/>
    <w:rsid w:val="00FE251B"/>
    <w:rsid w:val="00FE254B"/>
    <w:rsid w:val="00FE2843"/>
    <w:rsid w:val="00FE28CE"/>
    <w:rsid w:val="00FE29D8"/>
    <w:rsid w:val="00FE2DAC"/>
    <w:rsid w:val="00FE2E08"/>
    <w:rsid w:val="00FE2E1C"/>
    <w:rsid w:val="00FE2F72"/>
    <w:rsid w:val="00FE300D"/>
    <w:rsid w:val="00FE304C"/>
    <w:rsid w:val="00FE3090"/>
    <w:rsid w:val="00FE31EF"/>
    <w:rsid w:val="00FE322A"/>
    <w:rsid w:val="00FE3264"/>
    <w:rsid w:val="00FE3438"/>
    <w:rsid w:val="00FE34E2"/>
    <w:rsid w:val="00FE356D"/>
    <w:rsid w:val="00FE35A2"/>
    <w:rsid w:val="00FE3908"/>
    <w:rsid w:val="00FE397E"/>
    <w:rsid w:val="00FE39FE"/>
    <w:rsid w:val="00FE3A26"/>
    <w:rsid w:val="00FE3C71"/>
    <w:rsid w:val="00FE3D45"/>
    <w:rsid w:val="00FE3D46"/>
    <w:rsid w:val="00FE3DDB"/>
    <w:rsid w:val="00FE3FD4"/>
    <w:rsid w:val="00FE40DC"/>
    <w:rsid w:val="00FE44D6"/>
    <w:rsid w:val="00FE4589"/>
    <w:rsid w:val="00FE465A"/>
    <w:rsid w:val="00FE471E"/>
    <w:rsid w:val="00FE4753"/>
    <w:rsid w:val="00FE48D1"/>
    <w:rsid w:val="00FE4958"/>
    <w:rsid w:val="00FE4ED7"/>
    <w:rsid w:val="00FE4F94"/>
    <w:rsid w:val="00FE4FB4"/>
    <w:rsid w:val="00FE510F"/>
    <w:rsid w:val="00FE5209"/>
    <w:rsid w:val="00FE52B3"/>
    <w:rsid w:val="00FE538E"/>
    <w:rsid w:val="00FE55D1"/>
    <w:rsid w:val="00FE55D9"/>
    <w:rsid w:val="00FE570F"/>
    <w:rsid w:val="00FE598C"/>
    <w:rsid w:val="00FE5BBE"/>
    <w:rsid w:val="00FE5BD5"/>
    <w:rsid w:val="00FE5DB2"/>
    <w:rsid w:val="00FE5EEE"/>
    <w:rsid w:val="00FE5F04"/>
    <w:rsid w:val="00FE606C"/>
    <w:rsid w:val="00FE60BD"/>
    <w:rsid w:val="00FE6399"/>
    <w:rsid w:val="00FE6960"/>
    <w:rsid w:val="00FE6B8B"/>
    <w:rsid w:val="00FE6C0C"/>
    <w:rsid w:val="00FE6C78"/>
    <w:rsid w:val="00FE6CB8"/>
    <w:rsid w:val="00FE6CCC"/>
    <w:rsid w:val="00FE6D6D"/>
    <w:rsid w:val="00FE6E87"/>
    <w:rsid w:val="00FE6E8F"/>
    <w:rsid w:val="00FE6EA1"/>
    <w:rsid w:val="00FE7045"/>
    <w:rsid w:val="00FE7052"/>
    <w:rsid w:val="00FE706F"/>
    <w:rsid w:val="00FE743F"/>
    <w:rsid w:val="00FE7634"/>
    <w:rsid w:val="00FE764D"/>
    <w:rsid w:val="00FE795F"/>
    <w:rsid w:val="00FE7979"/>
    <w:rsid w:val="00FE7C93"/>
    <w:rsid w:val="00FE7E48"/>
    <w:rsid w:val="00FE7EB3"/>
    <w:rsid w:val="00FF0005"/>
    <w:rsid w:val="00FF004A"/>
    <w:rsid w:val="00FF01A6"/>
    <w:rsid w:val="00FF0521"/>
    <w:rsid w:val="00FF0582"/>
    <w:rsid w:val="00FF0614"/>
    <w:rsid w:val="00FF07B2"/>
    <w:rsid w:val="00FF088D"/>
    <w:rsid w:val="00FF08C6"/>
    <w:rsid w:val="00FF0D83"/>
    <w:rsid w:val="00FF1268"/>
    <w:rsid w:val="00FF1380"/>
    <w:rsid w:val="00FF1963"/>
    <w:rsid w:val="00FF19C4"/>
    <w:rsid w:val="00FF19FD"/>
    <w:rsid w:val="00FF1C0A"/>
    <w:rsid w:val="00FF1CE7"/>
    <w:rsid w:val="00FF1CFF"/>
    <w:rsid w:val="00FF1D0A"/>
    <w:rsid w:val="00FF1F1F"/>
    <w:rsid w:val="00FF1FB9"/>
    <w:rsid w:val="00FF2332"/>
    <w:rsid w:val="00FF23A5"/>
    <w:rsid w:val="00FF245F"/>
    <w:rsid w:val="00FF2460"/>
    <w:rsid w:val="00FF24C3"/>
    <w:rsid w:val="00FF2531"/>
    <w:rsid w:val="00FF254C"/>
    <w:rsid w:val="00FF26A8"/>
    <w:rsid w:val="00FF26DD"/>
    <w:rsid w:val="00FF2732"/>
    <w:rsid w:val="00FF27B8"/>
    <w:rsid w:val="00FF2E6E"/>
    <w:rsid w:val="00FF2E86"/>
    <w:rsid w:val="00FF3195"/>
    <w:rsid w:val="00FF33DF"/>
    <w:rsid w:val="00FF348B"/>
    <w:rsid w:val="00FF35FE"/>
    <w:rsid w:val="00FF3604"/>
    <w:rsid w:val="00FF38E8"/>
    <w:rsid w:val="00FF3DE7"/>
    <w:rsid w:val="00FF411A"/>
    <w:rsid w:val="00FF4156"/>
    <w:rsid w:val="00FF41A3"/>
    <w:rsid w:val="00FF4268"/>
    <w:rsid w:val="00FF4344"/>
    <w:rsid w:val="00FF46F0"/>
    <w:rsid w:val="00FF48ED"/>
    <w:rsid w:val="00FF4B3D"/>
    <w:rsid w:val="00FF4DA8"/>
    <w:rsid w:val="00FF4EF2"/>
    <w:rsid w:val="00FF4F85"/>
    <w:rsid w:val="00FF5194"/>
    <w:rsid w:val="00FF53A4"/>
    <w:rsid w:val="00FF55A0"/>
    <w:rsid w:val="00FF56AD"/>
    <w:rsid w:val="00FF5714"/>
    <w:rsid w:val="00FF58C5"/>
    <w:rsid w:val="00FF59D9"/>
    <w:rsid w:val="00FF5A05"/>
    <w:rsid w:val="00FF5BA3"/>
    <w:rsid w:val="00FF5ECE"/>
    <w:rsid w:val="00FF5F33"/>
    <w:rsid w:val="00FF601B"/>
    <w:rsid w:val="00FF616F"/>
    <w:rsid w:val="00FF62B0"/>
    <w:rsid w:val="00FF62F2"/>
    <w:rsid w:val="00FF6823"/>
    <w:rsid w:val="00FF690E"/>
    <w:rsid w:val="00FF6CF1"/>
    <w:rsid w:val="00FF6D6B"/>
    <w:rsid w:val="00FF6D8C"/>
    <w:rsid w:val="00FF6E87"/>
    <w:rsid w:val="00FF6F56"/>
    <w:rsid w:val="00FF7032"/>
    <w:rsid w:val="00FF7050"/>
    <w:rsid w:val="00FF7156"/>
    <w:rsid w:val="00FF73B3"/>
    <w:rsid w:val="00FF7481"/>
    <w:rsid w:val="00FF75D5"/>
    <w:rsid w:val="00FF78E9"/>
    <w:rsid w:val="00FF7ACA"/>
    <w:rsid w:val="00FF7ADE"/>
    <w:rsid w:val="00FF7C8E"/>
    <w:rsid w:val="00FF7C9C"/>
    <w:rsid w:val="00FF7DB0"/>
    <w:rsid w:val="00FF7EF4"/>
    <w:rsid w:val="01092F1C"/>
    <w:rsid w:val="01395070"/>
    <w:rsid w:val="013E2686"/>
    <w:rsid w:val="017A5202"/>
    <w:rsid w:val="01B3097E"/>
    <w:rsid w:val="022B2E08"/>
    <w:rsid w:val="02AD7AC3"/>
    <w:rsid w:val="02B0310F"/>
    <w:rsid w:val="032C4E8C"/>
    <w:rsid w:val="03D16770"/>
    <w:rsid w:val="04204F6C"/>
    <w:rsid w:val="04221DEB"/>
    <w:rsid w:val="04956EF1"/>
    <w:rsid w:val="049A5E25"/>
    <w:rsid w:val="04CF6994"/>
    <w:rsid w:val="04E377CC"/>
    <w:rsid w:val="04F217BD"/>
    <w:rsid w:val="05102931"/>
    <w:rsid w:val="055151CC"/>
    <w:rsid w:val="06117234"/>
    <w:rsid w:val="06285534"/>
    <w:rsid w:val="06AC0092"/>
    <w:rsid w:val="074A12C7"/>
    <w:rsid w:val="077010BF"/>
    <w:rsid w:val="078F7C75"/>
    <w:rsid w:val="079B3815"/>
    <w:rsid w:val="07C51436"/>
    <w:rsid w:val="07DF367E"/>
    <w:rsid w:val="08C43471"/>
    <w:rsid w:val="091A2191"/>
    <w:rsid w:val="09581E0B"/>
    <w:rsid w:val="0981755D"/>
    <w:rsid w:val="09B23C11"/>
    <w:rsid w:val="0A195A3E"/>
    <w:rsid w:val="0A402FCB"/>
    <w:rsid w:val="0A483965"/>
    <w:rsid w:val="0A73514E"/>
    <w:rsid w:val="0ABE2142"/>
    <w:rsid w:val="0AC50766"/>
    <w:rsid w:val="0AEE6481"/>
    <w:rsid w:val="0B0216EB"/>
    <w:rsid w:val="0B3B4ED4"/>
    <w:rsid w:val="0C375E9A"/>
    <w:rsid w:val="0C710773"/>
    <w:rsid w:val="0C947C9E"/>
    <w:rsid w:val="0CB9596D"/>
    <w:rsid w:val="0CD363D2"/>
    <w:rsid w:val="0D3E7B9C"/>
    <w:rsid w:val="0D886518"/>
    <w:rsid w:val="0E5610E7"/>
    <w:rsid w:val="0F00541F"/>
    <w:rsid w:val="0F435F00"/>
    <w:rsid w:val="0F845B90"/>
    <w:rsid w:val="0FD146C5"/>
    <w:rsid w:val="10572E1C"/>
    <w:rsid w:val="10AC1C81"/>
    <w:rsid w:val="10B169D0"/>
    <w:rsid w:val="11083FBB"/>
    <w:rsid w:val="11814FD2"/>
    <w:rsid w:val="118C60E5"/>
    <w:rsid w:val="12103BCB"/>
    <w:rsid w:val="124473D0"/>
    <w:rsid w:val="12773526"/>
    <w:rsid w:val="12D260B5"/>
    <w:rsid w:val="131039A0"/>
    <w:rsid w:val="13185F70"/>
    <w:rsid w:val="13763F01"/>
    <w:rsid w:val="138F0B1F"/>
    <w:rsid w:val="139E087E"/>
    <w:rsid w:val="13AB2011"/>
    <w:rsid w:val="13FC3086"/>
    <w:rsid w:val="140E657D"/>
    <w:rsid w:val="141B3BE8"/>
    <w:rsid w:val="141D612B"/>
    <w:rsid w:val="14294A43"/>
    <w:rsid w:val="14447B5C"/>
    <w:rsid w:val="147E0795"/>
    <w:rsid w:val="15632263"/>
    <w:rsid w:val="157B75AD"/>
    <w:rsid w:val="159A4C20"/>
    <w:rsid w:val="15BD7BC5"/>
    <w:rsid w:val="15C250E9"/>
    <w:rsid w:val="161760D1"/>
    <w:rsid w:val="162373F8"/>
    <w:rsid w:val="16CE15DD"/>
    <w:rsid w:val="16E42F30"/>
    <w:rsid w:val="16F75359"/>
    <w:rsid w:val="17A93991"/>
    <w:rsid w:val="181F70EC"/>
    <w:rsid w:val="182A0E16"/>
    <w:rsid w:val="18B4482D"/>
    <w:rsid w:val="19204969"/>
    <w:rsid w:val="192561AE"/>
    <w:rsid w:val="19AC03AC"/>
    <w:rsid w:val="19C220A5"/>
    <w:rsid w:val="19F16090"/>
    <w:rsid w:val="1A213F4A"/>
    <w:rsid w:val="1A6A391B"/>
    <w:rsid w:val="1A7016AA"/>
    <w:rsid w:val="1AD67034"/>
    <w:rsid w:val="1B434BBF"/>
    <w:rsid w:val="1B543F8D"/>
    <w:rsid w:val="1BC142B3"/>
    <w:rsid w:val="1C1B661A"/>
    <w:rsid w:val="1C5E491A"/>
    <w:rsid w:val="1C7B60E4"/>
    <w:rsid w:val="1D33358F"/>
    <w:rsid w:val="1D434E54"/>
    <w:rsid w:val="1D5C53F8"/>
    <w:rsid w:val="1DAC0C4B"/>
    <w:rsid w:val="1DE021DC"/>
    <w:rsid w:val="1E004BC7"/>
    <w:rsid w:val="1E047876"/>
    <w:rsid w:val="1E177A3A"/>
    <w:rsid w:val="1E320A25"/>
    <w:rsid w:val="1EA400A1"/>
    <w:rsid w:val="1EA917E1"/>
    <w:rsid w:val="1EE53055"/>
    <w:rsid w:val="1EED151B"/>
    <w:rsid w:val="1EF10EE8"/>
    <w:rsid w:val="1F1B770B"/>
    <w:rsid w:val="1F2318B8"/>
    <w:rsid w:val="1FA63526"/>
    <w:rsid w:val="1FB7398C"/>
    <w:rsid w:val="20120B0E"/>
    <w:rsid w:val="20413308"/>
    <w:rsid w:val="20C565B3"/>
    <w:rsid w:val="20E2679D"/>
    <w:rsid w:val="20EA6945"/>
    <w:rsid w:val="210C37AF"/>
    <w:rsid w:val="211828FF"/>
    <w:rsid w:val="21DF0EC4"/>
    <w:rsid w:val="21F42BC1"/>
    <w:rsid w:val="22252D7A"/>
    <w:rsid w:val="22662077"/>
    <w:rsid w:val="226C0778"/>
    <w:rsid w:val="22877591"/>
    <w:rsid w:val="22A2482A"/>
    <w:rsid w:val="22C81606"/>
    <w:rsid w:val="230A7F17"/>
    <w:rsid w:val="231B4D3B"/>
    <w:rsid w:val="242F4450"/>
    <w:rsid w:val="24494DD4"/>
    <w:rsid w:val="246651E3"/>
    <w:rsid w:val="24BC3DE6"/>
    <w:rsid w:val="24D2071B"/>
    <w:rsid w:val="250F1AED"/>
    <w:rsid w:val="25176DF2"/>
    <w:rsid w:val="25401C79"/>
    <w:rsid w:val="25812531"/>
    <w:rsid w:val="25C47F8E"/>
    <w:rsid w:val="25D35DED"/>
    <w:rsid w:val="26753BA5"/>
    <w:rsid w:val="267E52CD"/>
    <w:rsid w:val="26971D6D"/>
    <w:rsid w:val="26A12BEB"/>
    <w:rsid w:val="26BE1284"/>
    <w:rsid w:val="26DE5BEE"/>
    <w:rsid w:val="26E47D25"/>
    <w:rsid w:val="26E72CF4"/>
    <w:rsid w:val="2798109A"/>
    <w:rsid w:val="27A33BFB"/>
    <w:rsid w:val="27DE3507"/>
    <w:rsid w:val="27EB411E"/>
    <w:rsid w:val="27FF671A"/>
    <w:rsid w:val="28164F13"/>
    <w:rsid w:val="28652F5F"/>
    <w:rsid w:val="28AD37A2"/>
    <w:rsid w:val="28D279B6"/>
    <w:rsid w:val="28D61BB8"/>
    <w:rsid w:val="28EA0E9F"/>
    <w:rsid w:val="29422464"/>
    <w:rsid w:val="295907FC"/>
    <w:rsid w:val="2961710C"/>
    <w:rsid w:val="2987256D"/>
    <w:rsid w:val="29F179E6"/>
    <w:rsid w:val="2A477256"/>
    <w:rsid w:val="2AE00186"/>
    <w:rsid w:val="2AEC6B2B"/>
    <w:rsid w:val="2B0676C6"/>
    <w:rsid w:val="2B3557E1"/>
    <w:rsid w:val="2B9676C9"/>
    <w:rsid w:val="2BA148CD"/>
    <w:rsid w:val="2C2322E9"/>
    <w:rsid w:val="2C6F5A21"/>
    <w:rsid w:val="2C7212B2"/>
    <w:rsid w:val="2C9F5E1F"/>
    <w:rsid w:val="2D4A7B39"/>
    <w:rsid w:val="2DAD1E76"/>
    <w:rsid w:val="2DC72F38"/>
    <w:rsid w:val="2DEA0779"/>
    <w:rsid w:val="2DF83A39"/>
    <w:rsid w:val="2DF87595"/>
    <w:rsid w:val="2E016561"/>
    <w:rsid w:val="2E0423DE"/>
    <w:rsid w:val="2E3A5DFF"/>
    <w:rsid w:val="2EA75722"/>
    <w:rsid w:val="2EEE0998"/>
    <w:rsid w:val="2F7B66D0"/>
    <w:rsid w:val="2F85469D"/>
    <w:rsid w:val="2FB76FDC"/>
    <w:rsid w:val="30054736"/>
    <w:rsid w:val="300D4E4E"/>
    <w:rsid w:val="30A512E2"/>
    <w:rsid w:val="30B04157"/>
    <w:rsid w:val="30F5600E"/>
    <w:rsid w:val="32301A10"/>
    <w:rsid w:val="32A30170"/>
    <w:rsid w:val="3337178C"/>
    <w:rsid w:val="33394E24"/>
    <w:rsid w:val="33544E96"/>
    <w:rsid w:val="339C2372"/>
    <w:rsid w:val="34460658"/>
    <w:rsid w:val="34AF3608"/>
    <w:rsid w:val="34BF2BBB"/>
    <w:rsid w:val="34F82570"/>
    <w:rsid w:val="351054A1"/>
    <w:rsid w:val="35131158"/>
    <w:rsid w:val="35494B7A"/>
    <w:rsid w:val="35C661CB"/>
    <w:rsid w:val="35D94150"/>
    <w:rsid w:val="36721EAF"/>
    <w:rsid w:val="367F01AF"/>
    <w:rsid w:val="36981915"/>
    <w:rsid w:val="36C256F6"/>
    <w:rsid w:val="36C90395"/>
    <w:rsid w:val="36EA7C97"/>
    <w:rsid w:val="371E666B"/>
    <w:rsid w:val="3798677E"/>
    <w:rsid w:val="37A54BAA"/>
    <w:rsid w:val="37C06015"/>
    <w:rsid w:val="37C91FA2"/>
    <w:rsid w:val="38243900"/>
    <w:rsid w:val="38871C41"/>
    <w:rsid w:val="38CA260C"/>
    <w:rsid w:val="392576AC"/>
    <w:rsid w:val="394709A0"/>
    <w:rsid w:val="394B4EE2"/>
    <w:rsid w:val="39531EE1"/>
    <w:rsid w:val="39663C5E"/>
    <w:rsid w:val="39882115"/>
    <w:rsid w:val="39A14F85"/>
    <w:rsid w:val="39B90520"/>
    <w:rsid w:val="39CF06BA"/>
    <w:rsid w:val="3A6D130B"/>
    <w:rsid w:val="3A8402F7"/>
    <w:rsid w:val="3AC40B30"/>
    <w:rsid w:val="3AEA4709"/>
    <w:rsid w:val="3B131EB2"/>
    <w:rsid w:val="3B183024"/>
    <w:rsid w:val="3B692756"/>
    <w:rsid w:val="3B6E7865"/>
    <w:rsid w:val="3B9F02D9"/>
    <w:rsid w:val="3BA52E4C"/>
    <w:rsid w:val="3BF118E3"/>
    <w:rsid w:val="3C7C285B"/>
    <w:rsid w:val="3CEE3985"/>
    <w:rsid w:val="3D292C1A"/>
    <w:rsid w:val="3DF064DB"/>
    <w:rsid w:val="3E8B272D"/>
    <w:rsid w:val="3EA90437"/>
    <w:rsid w:val="3F012B49"/>
    <w:rsid w:val="3F2301F3"/>
    <w:rsid w:val="3FBE7BA8"/>
    <w:rsid w:val="3FF3211F"/>
    <w:rsid w:val="40481D0D"/>
    <w:rsid w:val="40A70689"/>
    <w:rsid w:val="40DE6DC9"/>
    <w:rsid w:val="416A578D"/>
    <w:rsid w:val="41DA6089"/>
    <w:rsid w:val="4219272D"/>
    <w:rsid w:val="422D69B3"/>
    <w:rsid w:val="429D02B3"/>
    <w:rsid w:val="42E47C90"/>
    <w:rsid w:val="42EB3110"/>
    <w:rsid w:val="42F26851"/>
    <w:rsid w:val="432E1593"/>
    <w:rsid w:val="434B68BD"/>
    <w:rsid w:val="438F40A0"/>
    <w:rsid w:val="43AD049A"/>
    <w:rsid w:val="44195B98"/>
    <w:rsid w:val="443038D8"/>
    <w:rsid w:val="44D41F9A"/>
    <w:rsid w:val="44FC5765"/>
    <w:rsid w:val="46016AC9"/>
    <w:rsid w:val="465E510F"/>
    <w:rsid w:val="465F5FAB"/>
    <w:rsid w:val="4677705C"/>
    <w:rsid w:val="469960A1"/>
    <w:rsid w:val="46A170A0"/>
    <w:rsid w:val="4719665D"/>
    <w:rsid w:val="474C6165"/>
    <w:rsid w:val="47D6611B"/>
    <w:rsid w:val="47E11421"/>
    <w:rsid w:val="481C5471"/>
    <w:rsid w:val="484F02A2"/>
    <w:rsid w:val="48A24875"/>
    <w:rsid w:val="49583186"/>
    <w:rsid w:val="49724248"/>
    <w:rsid w:val="49AA0315"/>
    <w:rsid w:val="49B605D8"/>
    <w:rsid w:val="49C24C6F"/>
    <w:rsid w:val="49F030CD"/>
    <w:rsid w:val="4A0F1A96"/>
    <w:rsid w:val="4A5A7EC5"/>
    <w:rsid w:val="4A835FE1"/>
    <w:rsid w:val="4AA56247"/>
    <w:rsid w:val="4AB031F3"/>
    <w:rsid w:val="4ACB180C"/>
    <w:rsid w:val="4ADB406F"/>
    <w:rsid w:val="4AE92829"/>
    <w:rsid w:val="4B49689A"/>
    <w:rsid w:val="4BDE55C4"/>
    <w:rsid w:val="4C644D18"/>
    <w:rsid w:val="4C687B84"/>
    <w:rsid w:val="4C822E6C"/>
    <w:rsid w:val="4D781409"/>
    <w:rsid w:val="4D796E22"/>
    <w:rsid w:val="4DA23176"/>
    <w:rsid w:val="4DD3298C"/>
    <w:rsid w:val="4DDA7009"/>
    <w:rsid w:val="4E6F3A24"/>
    <w:rsid w:val="4E775E9A"/>
    <w:rsid w:val="4ECC468A"/>
    <w:rsid w:val="4F102301"/>
    <w:rsid w:val="4F3478D0"/>
    <w:rsid w:val="50245B70"/>
    <w:rsid w:val="503D4C45"/>
    <w:rsid w:val="50694E92"/>
    <w:rsid w:val="50A15412"/>
    <w:rsid w:val="50AD025B"/>
    <w:rsid w:val="50B97839"/>
    <w:rsid w:val="50D57270"/>
    <w:rsid w:val="50EE6F47"/>
    <w:rsid w:val="50F73692"/>
    <w:rsid w:val="51227383"/>
    <w:rsid w:val="51246F97"/>
    <w:rsid w:val="51587697"/>
    <w:rsid w:val="51722622"/>
    <w:rsid w:val="51DA7586"/>
    <w:rsid w:val="520774F7"/>
    <w:rsid w:val="52D933D3"/>
    <w:rsid w:val="53465210"/>
    <w:rsid w:val="534F2C59"/>
    <w:rsid w:val="53A5346C"/>
    <w:rsid w:val="53B338AE"/>
    <w:rsid w:val="53E45D42"/>
    <w:rsid w:val="53F211DB"/>
    <w:rsid w:val="541B0327"/>
    <w:rsid w:val="542B1BC3"/>
    <w:rsid w:val="54636A6E"/>
    <w:rsid w:val="54A42D62"/>
    <w:rsid w:val="54A97AB6"/>
    <w:rsid w:val="55CF5188"/>
    <w:rsid w:val="56116A34"/>
    <w:rsid w:val="56666EE2"/>
    <w:rsid w:val="5690282C"/>
    <w:rsid w:val="57140DE8"/>
    <w:rsid w:val="57805280"/>
    <w:rsid w:val="57954592"/>
    <w:rsid w:val="58095D77"/>
    <w:rsid w:val="580F4463"/>
    <w:rsid w:val="58134E48"/>
    <w:rsid w:val="58311772"/>
    <w:rsid w:val="583C66B8"/>
    <w:rsid w:val="58CB5DCC"/>
    <w:rsid w:val="58D60A82"/>
    <w:rsid w:val="59AF786C"/>
    <w:rsid w:val="59D70C98"/>
    <w:rsid w:val="59EC7031"/>
    <w:rsid w:val="5A0253D8"/>
    <w:rsid w:val="5A7A11AE"/>
    <w:rsid w:val="5AE26D53"/>
    <w:rsid w:val="5B1C4A36"/>
    <w:rsid w:val="5B271B8B"/>
    <w:rsid w:val="5BD40D92"/>
    <w:rsid w:val="5BE137A0"/>
    <w:rsid w:val="5C0606C4"/>
    <w:rsid w:val="5C643EC4"/>
    <w:rsid w:val="5C9D1184"/>
    <w:rsid w:val="5D0061B6"/>
    <w:rsid w:val="5D01201A"/>
    <w:rsid w:val="5D5062D6"/>
    <w:rsid w:val="5D853ECA"/>
    <w:rsid w:val="5D8E77D3"/>
    <w:rsid w:val="5DD8250B"/>
    <w:rsid w:val="5E4D0988"/>
    <w:rsid w:val="5E7D109F"/>
    <w:rsid w:val="5E8C325E"/>
    <w:rsid w:val="5EEF0396"/>
    <w:rsid w:val="5F465B03"/>
    <w:rsid w:val="5F597301"/>
    <w:rsid w:val="5FA32F55"/>
    <w:rsid w:val="5FA76811"/>
    <w:rsid w:val="602F47E9"/>
    <w:rsid w:val="604F397F"/>
    <w:rsid w:val="60997EB4"/>
    <w:rsid w:val="609D19E2"/>
    <w:rsid w:val="60D31618"/>
    <w:rsid w:val="61097364"/>
    <w:rsid w:val="61386A05"/>
    <w:rsid w:val="614E0C9F"/>
    <w:rsid w:val="615C33BC"/>
    <w:rsid w:val="616D6732"/>
    <w:rsid w:val="619A2136"/>
    <w:rsid w:val="619F14FA"/>
    <w:rsid w:val="61A72957"/>
    <w:rsid w:val="61A731C0"/>
    <w:rsid w:val="61E0223F"/>
    <w:rsid w:val="630670A2"/>
    <w:rsid w:val="630D067E"/>
    <w:rsid w:val="631F0B45"/>
    <w:rsid w:val="638210D3"/>
    <w:rsid w:val="63A47193"/>
    <w:rsid w:val="63C5593C"/>
    <w:rsid w:val="63ED0C43"/>
    <w:rsid w:val="640B2E77"/>
    <w:rsid w:val="642224FF"/>
    <w:rsid w:val="64747D3B"/>
    <w:rsid w:val="64EE6A20"/>
    <w:rsid w:val="64F24BAC"/>
    <w:rsid w:val="64F83EF1"/>
    <w:rsid w:val="656A1FE2"/>
    <w:rsid w:val="65BE3B58"/>
    <w:rsid w:val="66134265"/>
    <w:rsid w:val="670E170A"/>
    <w:rsid w:val="671D498D"/>
    <w:rsid w:val="671F24C6"/>
    <w:rsid w:val="67972602"/>
    <w:rsid w:val="67C519E2"/>
    <w:rsid w:val="67C72885"/>
    <w:rsid w:val="67EE5CC6"/>
    <w:rsid w:val="68690A99"/>
    <w:rsid w:val="68866F70"/>
    <w:rsid w:val="68CD2DF1"/>
    <w:rsid w:val="68F53042"/>
    <w:rsid w:val="68F640F6"/>
    <w:rsid w:val="69036813"/>
    <w:rsid w:val="69271B5D"/>
    <w:rsid w:val="6974326C"/>
    <w:rsid w:val="69886D18"/>
    <w:rsid w:val="69B144C0"/>
    <w:rsid w:val="69C441F4"/>
    <w:rsid w:val="69D34437"/>
    <w:rsid w:val="6A68106C"/>
    <w:rsid w:val="6AF02DC7"/>
    <w:rsid w:val="6AF7274E"/>
    <w:rsid w:val="6B256F14"/>
    <w:rsid w:val="6B29003E"/>
    <w:rsid w:val="6B981494"/>
    <w:rsid w:val="6BA22313"/>
    <w:rsid w:val="6C1E74E1"/>
    <w:rsid w:val="6C2D14F2"/>
    <w:rsid w:val="6C3A059B"/>
    <w:rsid w:val="6C6121CE"/>
    <w:rsid w:val="6C6B149E"/>
    <w:rsid w:val="6CB93DB8"/>
    <w:rsid w:val="6CDC3602"/>
    <w:rsid w:val="6CEB5F3B"/>
    <w:rsid w:val="6CEE3CFF"/>
    <w:rsid w:val="6D1C4347"/>
    <w:rsid w:val="6D233D2F"/>
    <w:rsid w:val="6D4B0788"/>
    <w:rsid w:val="6D7E74BD"/>
    <w:rsid w:val="6D8617C0"/>
    <w:rsid w:val="6DC24EEE"/>
    <w:rsid w:val="6E096679"/>
    <w:rsid w:val="6E0E3C8F"/>
    <w:rsid w:val="6E91041D"/>
    <w:rsid w:val="6EAD491F"/>
    <w:rsid w:val="6EC72B11"/>
    <w:rsid w:val="6F4D07E7"/>
    <w:rsid w:val="6F80296B"/>
    <w:rsid w:val="6F920D57"/>
    <w:rsid w:val="6FBD3BBF"/>
    <w:rsid w:val="6FBF3695"/>
    <w:rsid w:val="6FFE568E"/>
    <w:rsid w:val="708B5A6B"/>
    <w:rsid w:val="70BA1EAD"/>
    <w:rsid w:val="70BE4138"/>
    <w:rsid w:val="70BF74C3"/>
    <w:rsid w:val="710F044A"/>
    <w:rsid w:val="71237314"/>
    <w:rsid w:val="714119A3"/>
    <w:rsid w:val="71F25676"/>
    <w:rsid w:val="7220150E"/>
    <w:rsid w:val="722D1F7F"/>
    <w:rsid w:val="72460663"/>
    <w:rsid w:val="72C93F32"/>
    <w:rsid w:val="7440091B"/>
    <w:rsid w:val="748C1DB2"/>
    <w:rsid w:val="74CA4688"/>
    <w:rsid w:val="75241FEA"/>
    <w:rsid w:val="75994786"/>
    <w:rsid w:val="759A405B"/>
    <w:rsid w:val="75A10D5D"/>
    <w:rsid w:val="764A3CD3"/>
    <w:rsid w:val="7667779C"/>
    <w:rsid w:val="76A213A7"/>
    <w:rsid w:val="76E063E5"/>
    <w:rsid w:val="7713508A"/>
    <w:rsid w:val="7747060E"/>
    <w:rsid w:val="775748F9"/>
    <w:rsid w:val="7801409B"/>
    <w:rsid w:val="78D635FC"/>
    <w:rsid w:val="791F1AD6"/>
    <w:rsid w:val="7927654D"/>
    <w:rsid w:val="7937020C"/>
    <w:rsid w:val="796865CA"/>
    <w:rsid w:val="798371D4"/>
    <w:rsid w:val="79846260"/>
    <w:rsid w:val="7995081C"/>
    <w:rsid w:val="79F17D2B"/>
    <w:rsid w:val="7A262766"/>
    <w:rsid w:val="7A3320D0"/>
    <w:rsid w:val="7A79536E"/>
    <w:rsid w:val="7A8157E9"/>
    <w:rsid w:val="7ABE07EB"/>
    <w:rsid w:val="7B1B2139"/>
    <w:rsid w:val="7B554849"/>
    <w:rsid w:val="7B825613"/>
    <w:rsid w:val="7BAE0860"/>
    <w:rsid w:val="7BB5399C"/>
    <w:rsid w:val="7BD5403F"/>
    <w:rsid w:val="7BE61DA8"/>
    <w:rsid w:val="7BEC3136"/>
    <w:rsid w:val="7C2419CD"/>
    <w:rsid w:val="7C8B6DF3"/>
    <w:rsid w:val="7D1307BC"/>
    <w:rsid w:val="7D6B1FDA"/>
    <w:rsid w:val="7D986F4F"/>
    <w:rsid w:val="7D9D4E18"/>
    <w:rsid w:val="7DA168CE"/>
    <w:rsid w:val="7DD865CB"/>
    <w:rsid w:val="7DEF6189"/>
    <w:rsid w:val="7DFE381B"/>
    <w:rsid w:val="7F121106"/>
    <w:rsid w:val="7F1F0442"/>
    <w:rsid w:val="7F313C82"/>
    <w:rsid w:val="7F637EC7"/>
    <w:rsid w:val="7F874FDB"/>
    <w:rsid w:val="7F9B734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semiHidden="0" w:name="Default Paragraph Font"/>
    <w:lsdException w:qFormat="1" w:unhideWhenUsed="0" w:uiPriority="1"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qFormat="1" w:uiPriority="0" w:name="HTML Acronym"/>
    <w:lsdException w:qFormat="1" w:uiPriority="0" w:name="HTML Address"/>
    <w:lsdException w:qFormat="1" w:uiPriority="0" w:name="HTML Cite"/>
    <w:lsdException w:qFormat="1" w:uiPriority="0" w:name="HTML Code"/>
    <w:lsdException w:qFormat="1" w:uiPriority="0" w:name="HTML Definition"/>
    <w:lsdException w:qFormat="1" w:uiPriority="0" w:name="HTML Keyboard"/>
    <w:lsdException w:qFormat="1" w:uiPriority="0" w:name="HTML Preformatted"/>
    <w:lsdException w:qFormat="1" w:uiPriority="0" w:name="HTML Sample"/>
    <w:lsdException w:qFormat="1" w:uiPriority="0" w:name="HTML Typewriter"/>
    <w:lsdException w:qFormat="1" w:uiPriority="0" w:name="HTML Variable"/>
    <w:lsdException w:qFormat="1" w:uiPriority="99" w:name="Normal Table"/>
    <w:lsdException w:qFormat="1" w:unhideWhenUsed="0" w:uiPriority="0" w:semiHidden="0" w:name="annotation subject"/>
    <w:lsdException w:qFormat="1" w:unhideWhenUsed="0" w:uiPriority="0" w:semiHidden="0" w:name="Table Simple 1"/>
    <w:lsdException w:uiPriority="0" w:name="Table Simple 2"/>
    <w:lsdException w:uiPriority="0" w:name="Table Simple 3"/>
    <w:lsdException w:qFormat="1" w:unhideWhenUsed="0" w:uiPriority="0" w:semiHidden="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qFormat="1" w:unhideWhenUsed="0" w:uiPriority="0" w:semiHidden="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qFormat="1" w:unhideWhenUsed="0" w:uiPriority="0" w:semiHidden="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qFormat="1" w:unhideWhenUsed="0" w:uiPriority="0" w:semiHidden="0" w:name="Table Theme"/>
    <w:lsdException w:qFormat="1" w:unhideWhenUsed="0" w:uiPriority="99"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126"/>
    <w:qFormat/>
    <w:uiPriority w:val="9"/>
    <w:pPr>
      <w:keepNext/>
      <w:keepLines/>
      <w:numPr>
        <w:ilvl w:val="0"/>
        <w:numId w:val="1"/>
      </w:numPr>
      <w:spacing w:line="360" w:lineRule="auto"/>
      <w:jc w:val="center"/>
      <w:outlineLvl w:val="0"/>
    </w:pPr>
    <w:rPr>
      <w:rFonts w:eastAsia="黑体"/>
      <w:bCs/>
      <w:kern w:val="44"/>
      <w:sz w:val="32"/>
      <w:szCs w:val="44"/>
    </w:rPr>
  </w:style>
  <w:style w:type="paragraph" w:styleId="4">
    <w:name w:val="heading 2"/>
    <w:basedOn w:val="1"/>
    <w:next w:val="1"/>
    <w:link w:val="127"/>
    <w:qFormat/>
    <w:uiPriority w:val="9"/>
    <w:pPr>
      <w:keepNext/>
      <w:keepLines/>
      <w:numPr>
        <w:ilvl w:val="1"/>
        <w:numId w:val="1"/>
      </w:numPr>
      <w:adjustRightInd w:val="0"/>
      <w:snapToGrid w:val="0"/>
      <w:spacing w:line="360" w:lineRule="auto"/>
      <w:ind w:left="0" w:firstLine="0"/>
      <w:outlineLvl w:val="1"/>
    </w:pPr>
    <w:rPr>
      <w:rFonts w:eastAsia="黑体"/>
      <w:bCs/>
      <w:sz w:val="30"/>
      <w:szCs w:val="28"/>
      <w:lang w:val="zh-CN"/>
    </w:rPr>
  </w:style>
  <w:style w:type="paragraph" w:styleId="5">
    <w:name w:val="heading 3"/>
    <w:basedOn w:val="6"/>
    <w:next w:val="1"/>
    <w:link w:val="109"/>
    <w:qFormat/>
    <w:uiPriority w:val="9"/>
    <w:pPr>
      <w:keepNext/>
      <w:keepLines/>
      <w:numPr>
        <w:ilvl w:val="2"/>
        <w:numId w:val="1"/>
      </w:numPr>
      <w:spacing w:before="0" w:beforeLines="0" w:after="0" w:afterLines="0" w:line="360" w:lineRule="auto"/>
    </w:pPr>
    <w:rPr>
      <w:rFonts w:ascii="Times New Roman" w:hAnsi="Times New Roman" w:eastAsia="黑体"/>
      <w:b w:val="0"/>
      <w:bCs w:val="0"/>
      <w:sz w:val="28"/>
    </w:rPr>
  </w:style>
  <w:style w:type="paragraph" w:styleId="7">
    <w:name w:val="heading 4"/>
    <w:basedOn w:val="1"/>
    <w:next w:val="1"/>
    <w:link w:val="251"/>
    <w:qFormat/>
    <w:uiPriority w:val="9"/>
    <w:pPr>
      <w:keepNext/>
      <w:keepLines/>
      <w:numPr>
        <w:ilvl w:val="3"/>
        <w:numId w:val="1"/>
      </w:numPr>
      <w:adjustRightInd w:val="0"/>
      <w:spacing w:line="360" w:lineRule="auto"/>
      <w:jc w:val="left"/>
      <w:outlineLvl w:val="3"/>
    </w:pPr>
    <w:rPr>
      <w:rFonts w:eastAsia="黑体"/>
      <w:bCs/>
      <w:sz w:val="24"/>
      <w:szCs w:val="28"/>
    </w:rPr>
  </w:style>
  <w:style w:type="paragraph" w:styleId="8">
    <w:name w:val="heading 5"/>
    <w:basedOn w:val="1"/>
    <w:next w:val="1"/>
    <w:link w:val="252"/>
    <w:qFormat/>
    <w:uiPriority w:val="0"/>
    <w:pPr>
      <w:keepNext/>
      <w:keepLines/>
      <w:numPr>
        <w:ilvl w:val="4"/>
        <w:numId w:val="1"/>
      </w:numPr>
      <w:tabs>
        <w:tab w:val="left" w:pos="360"/>
      </w:tabs>
      <w:spacing w:before="280" w:after="290" w:line="376" w:lineRule="auto"/>
      <w:ind w:left="0" w:firstLine="0"/>
      <w:outlineLvl w:val="4"/>
    </w:pPr>
    <w:rPr>
      <w:b/>
      <w:bCs/>
      <w:color w:val="000000"/>
      <w:sz w:val="28"/>
      <w:szCs w:val="28"/>
    </w:rPr>
  </w:style>
  <w:style w:type="paragraph" w:styleId="9">
    <w:name w:val="heading 6"/>
    <w:basedOn w:val="1"/>
    <w:next w:val="1"/>
    <w:link w:val="253"/>
    <w:qFormat/>
    <w:uiPriority w:val="0"/>
    <w:pPr>
      <w:keepNext/>
      <w:keepLines/>
      <w:numPr>
        <w:ilvl w:val="5"/>
        <w:numId w:val="1"/>
      </w:numPr>
      <w:tabs>
        <w:tab w:val="left" w:pos="360"/>
      </w:tabs>
      <w:spacing w:before="240" w:after="64" w:line="320" w:lineRule="auto"/>
      <w:ind w:left="0" w:firstLine="0"/>
      <w:outlineLvl w:val="5"/>
    </w:pPr>
    <w:rPr>
      <w:rFonts w:ascii="Arial" w:hAnsi="Arial" w:eastAsia="黑体"/>
      <w:b/>
      <w:bCs/>
      <w:color w:val="000000"/>
      <w:sz w:val="24"/>
      <w:szCs w:val="20"/>
    </w:rPr>
  </w:style>
  <w:style w:type="paragraph" w:styleId="10">
    <w:name w:val="heading 7"/>
    <w:basedOn w:val="1"/>
    <w:next w:val="1"/>
    <w:link w:val="254"/>
    <w:qFormat/>
    <w:uiPriority w:val="0"/>
    <w:pPr>
      <w:keepNext/>
      <w:keepLines/>
      <w:numPr>
        <w:ilvl w:val="6"/>
        <w:numId w:val="1"/>
      </w:numPr>
      <w:tabs>
        <w:tab w:val="left" w:pos="360"/>
      </w:tabs>
      <w:spacing w:before="240" w:after="64" w:line="320" w:lineRule="auto"/>
      <w:ind w:left="0" w:firstLine="0"/>
      <w:outlineLvl w:val="6"/>
    </w:pPr>
    <w:rPr>
      <w:b/>
      <w:bCs/>
      <w:color w:val="000000"/>
      <w:sz w:val="24"/>
      <w:szCs w:val="20"/>
    </w:rPr>
  </w:style>
  <w:style w:type="paragraph" w:styleId="11">
    <w:name w:val="heading 8"/>
    <w:basedOn w:val="1"/>
    <w:next w:val="1"/>
    <w:link w:val="255"/>
    <w:qFormat/>
    <w:uiPriority w:val="0"/>
    <w:pPr>
      <w:keepNext/>
      <w:keepLines/>
      <w:numPr>
        <w:ilvl w:val="7"/>
        <w:numId w:val="1"/>
      </w:numPr>
      <w:tabs>
        <w:tab w:val="left" w:pos="360"/>
      </w:tabs>
      <w:spacing w:before="240" w:after="64" w:line="320" w:lineRule="auto"/>
      <w:ind w:left="0" w:firstLine="0"/>
      <w:outlineLvl w:val="7"/>
    </w:pPr>
    <w:rPr>
      <w:rFonts w:ascii="Arial" w:hAnsi="Arial" w:eastAsia="黑体"/>
      <w:color w:val="000000"/>
      <w:sz w:val="24"/>
      <w:szCs w:val="20"/>
    </w:rPr>
  </w:style>
  <w:style w:type="paragraph" w:styleId="12">
    <w:name w:val="heading 9"/>
    <w:basedOn w:val="1"/>
    <w:next w:val="1"/>
    <w:link w:val="256"/>
    <w:qFormat/>
    <w:uiPriority w:val="0"/>
    <w:pPr>
      <w:keepNext/>
      <w:keepLines/>
      <w:numPr>
        <w:ilvl w:val="8"/>
        <w:numId w:val="1"/>
      </w:numPr>
      <w:tabs>
        <w:tab w:val="left" w:pos="360"/>
      </w:tabs>
      <w:spacing w:before="240" w:after="64" w:line="320" w:lineRule="auto"/>
      <w:ind w:left="0" w:firstLine="0"/>
      <w:outlineLvl w:val="8"/>
    </w:pPr>
    <w:rPr>
      <w:rFonts w:ascii="Arial" w:hAnsi="Arial" w:eastAsia="黑体"/>
      <w:color w:val="000000"/>
      <w:szCs w:val="21"/>
    </w:rPr>
  </w:style>
  <w:style w:type="character" w:default="1" w:styleId="95">
    <w:name w:val="Default Paragraph Font"/>
    <w:unhideWhenUsed/>
    <w:qFormat/>
    <w:uiPriority w:val="1"/>
  </w:style>
  <w:style w:type="table" w:default="1" w:styleId="88">
    <w:name w:val="Normal Table"/>
    <w:semiHidden/>
    <w:unhideWhenUsed/>
    <w:qFormat/>
    <w:uiPriority w:val="99"/>
    <w:tblPr>
      <w:tblCellMar>
        <w:top w:w="0" w:type="dxa"/>
        <w:left w:w="108" w:type="dxa"/>
        <w:bottom w:w="0" w:type="dxa"/>
        <w:right w:w="108" w:type="dxa"/>
      </w:tblCellMar>
    </w:tblPr>
  </w:style>
  <w:style w:type="paragraph" w:styleId="2">
    <w:name w:val="macro"/>
    <w:link w:val="792"/>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pPr>
    <w:rPr>
      <w:rFonts w:ascii="Courier New" w:hAnsi="Courier New" w:eastAsia="宋体" w:cs="Courier New"/>
      <w:kern w:val="2"/>
      <w:sz w:val="24"/>
      <w:szCs w:val="24"/>
      <w:lang w:val="en-US" w:eastAsia="zh-CN" w:bidi="ar-SA"/>
    </w:rPr>
  </w:style>
  <w:style w:type="paragraph" w:customStyle="1" w:styleId="6">
    <w:name w:val="样式 标题3 +"/>
    <w:qFormat/>
    <w:uiPriority w:val="0"/>
    <w:pPr>
      <w:adjustRightInd w:val="0"/>
      <w:spacing w:before="280" w:beforeLines="90" w:after="31" w:afterLines="10"/>
      <w:textAlignment w:val="baseline"/>
      <w:outlineLvl w:val="2"/>
    </w:pPr>
    <w:rPr>
      <w:rFonts w:ascii="宋体" w:hAnsi="宋体" w:eastAsia="宋体" w:cs="Times New Roman"/>
      <w:b/>
      <w:bCs/>
      <w:color w:val="000000"/>
      <w:sz w:val="24"/>
      <w:lang w:val="en-US" w:eastAsia="zh-CN" w:bidi="ar-SA"/>
    </w:rPr>
  </w:style>
  <w:style w:type="paragraph" w:styleId="13">
    <w:name w:val="List 3"/>
    <w:basedOn w:val="1"/>
    <w:qFormat/>
    <w:uiPriority w:val="0"/>
    <w:pPr>
      <w:spacing w:line="360" w:lineRule="auto"/>
      <w:ind w:left="1260" w:hanging="420" w:firstLineChars="200"/>
    </w:pPr>
    <w:rPr>
      <w:sz w:val="24"/>
      <w:szCs w:val="20"/>
    </w:rPr>
  </w:style>
  <w:style w:type="paragraph" w:styleId="14">
    <w:name w:val="toc 7"/>
    <w:basedOn w:val="1"/>
    <w:next w:val="1"/>
    <w:qFormat/>
    <w:uiPriority w:val="39"/>
    <w:pPr>
      <w:ind w:left="1260"/>
      <w:jc w:val="left"/>
    </w:pPr>
    <w:rPr>
      <w:sz w:val="18"/>
      <w:szCs w:val="18"/>
    </w:rPr>
  </w:style>
  <w:style w:type="paragraph" w:styleId="15">
    <w:name w:val="List Number 2"/>
    <w:basedOn w:val="1"/>
    <w:qFormat/>
    <w:uiPriority w:val="0"/>
    <w:pPr>
      <w:tabs>
        <w:tab w:val="left" w:pos="780"/>
      </w:tabs>
      <w:adjustRightInd w:val="0"/>
      <w:snapToGrid w:val="0"/>
      <w:spacing w:line="300" w:lineRule="auto"/>
      <w:ind w:left="780" w:leftChars="200" w:hanging="360" w:hangingChars="200"/>
    </w:pPr>
    <w:rPr>
      <w:rFonts w:ascii="仿宋_GB2312" w:eastAsia="仿宋_GB2312"/>
      <w:sz w:val="28"/>
    </w:rPr>
  </w:style>
  <w:style w:type="paragraph" w:styleId="16">
    <w:name w:val="table of authorities"/>
    <w:basedOn w:val="1"/>
    <w:next w:val="1"/>
    <w:qFormat/>
    <w:uiPriority w:val="0"/>
    <w:pPr>
      <w:adjustRightInd w:val="0"/>
      <w:snapToGrid w:val="0"/>
      <w:spacing w:line="300" w:lineRule="auto"/>
      <w:ind w:left="420" w:leftChars="200"/>
    </w:pPr>
    <w:rPr>
      <w:rFonts w:ascii="仿宋_GB2312" w:eastAsia="仿宋_GB2312"/>
      <w:sz w:val="28"/>
    </w:rPr>
  </w:style>
  <w:style w:type="paragraph" w:styleId="17">
    <w:name w:val="Note Heading"/>
    <w:basedOn w:val="1"/>
    <w:next w:val="1"/>
    <w:link w:val="588"/>
    <w:qFormat/>
    <w:uiPriority w:val="0"/>
    <w:pPr>
      <w:jc w:val="center"/>
    </w:pPr>
    <w:rPr>
      <w:rFonts w:ascii="宋体"/>
      <w:sz w:val="28"/>
      <w:szCs w:val="20"/>
    </w:rPr>
  </w:style>
  <w:style w:type="paragraph" w:styleId="18">
    <w:name w:val="List Bullet 4"/>
    <w:basedOn w:val="1"/>
    <w:qFormat/>
    <w:uiPriority w:val="0"/>
    <w:pPr>
      <w:tabs>
        <w:tab w:val="left" w:pos="1620"/>
      </w:tabs>
      <w:adjustRightInd w:val="0"/>
      <w:snapToGrid w:val="0"/>
      <w:spacing w:line="300" w:lineRule="auto"/>
      <w:ind w:left="1620" w:leftChars="600" w:hanging="360" w:hangingChars="200"/>
    </w:pPr>
    <w:rPr>
      <w:rFonts w:ascii="仿宋_GB2312" w:eastAsia="仿宋_GB2312"/>
      <w:sz w:val="28"/>
    </w:rPr>
  </w:style>
  <w:style w:type="paragraph" w:styleId="19">
    <w:name w:val="index 8"/>
    <w:basedOn w:val="1"/>
    <w:next w:val="1"/>
    <w:qFormat/>
    <w:uiPriority w:val="0"/>
    <w:pPr>
      <w:adjustRightInd w:val="0"/>
      <w:snapToGrid w:val="0"/>
      <w:spacing w:line="300" w:lineRule="auto"/>
      <w:ind w:left="1400" w:leftChars="1400"/>
    </w:pPr>
    <w:rPr>
      <w:rFonts w:ascii="仿宋_GB2312" w:eastAsia="仿宋_GB2312"/>
      <w:sz w:val="28"/>
    </w:rPr>
  </w:style>
  <w:style w:type="paragraph" w:styleId="20">
    <w:name w:val="E-mail Signature"/>
    <w:basedOn w:val="1"/>
    <w:link w:val="790"/>
    <w:qFormat/>
    <w:uiPriority w:val="0"/>
    <w:pPr>
      <w:adjustRightInd w:val="0"/>
      <w:snapToGrid w:val="0"/>
      <w:spacing w:line="300" w:lineRule="auto"/>
    </w:pPr>
    <w:rPr>
      <w:rFonts w:ascii="仿宋_GB2312" w:eastAsia="仿宋_GB2312"/>
      <w:sz w:val="28"/>
    </w:rPr>
  </w:style>
  <w:style w:type="paragraph" w:styleId="21">
    <w:name w:val="List Number"/>
    <w:basedOn w:val="1"/>
    <w:qFormat/>
    <w:uiPriority w:val="0"/>
    <w:pPr>
      <w:tabs>
        <w:tab w:val="left" w:pos="853"/>
      </w:tabs>
      <w:adjustRightInd w:val="0"/>
      <w:snapToGrid w:val="0"/>
      <w:spacing w:line="500" w:lineRule="exact"/>
      <w:ind w:left="419" w:firstLine="74"/>
    </w:pPr>
    <w:rPr>
      <w:rFonts w:ascii="仿宋_GB2312" w:eastAsia="仿宋_GB2312"/>
      <w:sz w:val="28"/>
    </w:rPr>
  </w:style>
  <w:style w:type="paragraph" w:styleId="22">
    <w:name w:val="Normal Indent"/>
    <w:basedOn w:val="1"/>
    <w:link w:val="161"/>
    <w:qFormat/>
    <w:uiPriority w:val="0"/>
    <w:pPr>
      <w:spacing w:line="440" w:lineRule="exact"/>
      <w:ind w:firstLine="420" w:firstLineChars="200"/>
    </w:pPr>
    <w:rPr>
      <w:sz w:val="24"/>
    </w:rPr>
  </w:style>
  <w:style w:type="paragraph" w:styleId="23">
    <w:name w:val="caption"/>
    <w:basedOn w:val="1"/>
    <w:next w:val="1"/>
    <w:link w:val="591"/>
    <w:qFormat/>
    <w:uiPriority w:val="0"/>
    <w:rPr>
      <w:rFonts w:ascii="Arial" w:hAnsi="Arial" w:eastAsia="黑体" w:cs="Arial"/>
      <w:sz w:val="20"/>
      <w:szCs w:val="20"/>
    </w:rPr>
  </w:style>
  <w:style w:type="paragraph" w:styleId="24">
    <w:name w:val="index 5"/>
    <w:basedOn w:val="1"/>
    <w:next w:val="1"/>
    <w:qFormat/>
    <w:uiPriority w:val="0"/>
    <w:pPr>
      <w:ind w:left="1050" w:hanging="210"/>
      <w:jc w:val="left"/>
    </w:pPr>
    <w:rPr>
      <w:sz w:val="20"/>
      <w:szCs w:val="20"/>
    </w:rPr>
  </w:style>
  <w:style w:type="paragraph" w:styleId="25">
    <w:name w:val="List Bullet"/>
    <w:basedOn w:val="1"/>
    <w:qFormat/>
    <w:uiPriority w:val="0"/>
    <w:pPr>
      <w:tabs>
        <w:tab w:val="left" w:pos="360"/>
      </w:tabs>
      <w:adjustRightInd w:val="0"/>
      <w:ind w:left="360" w:hanging="360"/>
      <w:jc w:val="left"/>
      <w:textAlignment w:val="baseline"/>
    </w:pPr>
    <w:rPr>
      <w:kern w:val="0"/>
      <w:szCs w:val="20"/>
    </w:rPr>
  </w:style>
  <w:style w:type="paragraph" w:styleId="26">
    <w:name w:val="envelope address"/>
    <w:basedOn w:val="1"/>
    <w:qFormat/>
    <w:uiPriority w:val="0"/>
    <w:pPr>
      <w:framePr w:w="7920" w:h="1980" w:hRule="exact" w:hSpace="180" w:wrap="auto" w:vAnchor="margin" w:hAnchor="page" w:xAlign="center" w:yAlign="bottom"/>
      <w:adjustRightInd w:val="0"/>
      <w:snapToGrid w:val="0"/>
      <w:spacing w:line="300" w:lineRule="auto"/>
      <w:ind w:left="100" w:leftChars="1400"/>
    </w:pPr>
    <w:rPr>
      <w:rFonts w:ascii="Arial" w:hAnsi="Arial" w:eastAsia="仿宋_GB2312" w:cs="Arial"/>
      <w:sz w:val="24"/>
    </w:rPr>
  </w:style>
  <w:style w:type="paragraph" w:styleId="27">
    <w:name w:val="Document Map"/>
    <w:basedOn w:val="1"/>
    <w:link w:val="292"/>
    <w:qFormat/>
    <w:uiPriority w:val="0"/>
    <w:pPr>
      <w:shd w:val="clear" w:color="auto" w:fill="000080"/>
    </w:pPr>
  </w:style>
  <w:style w:type="paragraph" w:styleId="28">
    <w:name w:val="toa heading"/>
    <w:basedOn w:val="1"/>
    <w:next w:val="1"/>
    <w:qFormat/>
    <w:uiPriority w:val="0"/>
    <w:pPr>
      <w:spacing w:before="120"/>
    </w:pPr>
    <w:rPr>
      <w:rFonts w:ascii="Arial" w:hAnsi="Arial" w:cs="Arial"/>
      <w:sz w:val="24"/>
    </w:rPr>
  </w:style>
  <w:style w:type="paragraph" w:styleId="29">
    <w:name w:val="annotation text"/>
    <w:basedOn w:val="1"/>
    <w:link w:val="304"/>
    <w:qFormat/>
    <w:uiPriority w:val="99"/>
    <w:pPr>
      <w:widowControl/>
      <w:jc w:val="left"/>
    </w:pPr>
    <w:rPr>
      <w:kern w:val="0"/>
      <w:sz w:val="28"/>
      <w:szCs w:val="20"/>
    </w:rPr>
  </w:style>
  <w:style w:type="paragraph" w:styleId="30">
    <w:name w:val="index 6"/>
    <w:basedOn w:val="1"/>
    <w:next w:val="1"/>
    <w:qFormat/>
    <w:uiPriority w:val="0"/>
    <w:pPr>
      <w:adjustRightInd w:val="0"/>
      <w:snapToGrid w:val="0"/>
      <w:spacing w:line="300" w:lineRule="auto"/>
      <w:ind w:left="1000" w:leftChars="1000"/>
    </w:pPr>
    <w:rPr>
      <w:rFonts w:ascii="仿宋_GB2312" w:eastAsia="仿宋_GB2312"/>
      <w:sz w:val="28"/>
    </w:rPr>
  </w:style>
  <w:style w:type="paragraph" w:styleId="31">
    <w:name w:val="Salutation"/>
    <w:basedOn w:val="1"/>
    <w:next w:val="1"/>
    <w:link w:val="789"/>
    <w:qFormat/>
    <w:uiPriority w:val="0"/>
    <w:pPr>
      <w:adjustRightInd w:val="0"/>
      <w:snapToGrid w:val="0"/>
      <w:spacing w:line="300" w:lineRule="auto"/>
    </w:pPr>
    <w:rPr>
      <w:rFonts w:ascii="仿宋_GB2312" w:eastAsia="仿宋_GB2312"/>
      <w:sz w:val="28"/>
    </w:rPr>
  </w:style>
  <w:style w:type="paragraph" w:styleId="32">
    <w:name w:val="Body Text 3"/>
    <w:basedOn w:val="1"/>
    <w:link w:val="280"/>
    <w:qFormat/>
    <w:uiPriority w:val="0"/>
    <w:pPr>
      <w:spacing w:after="120"/>
    </w:pPr>
    <w:rPr>
      <w:sz w:val="16"/>
      <w:szCs w:val="16"/>
    </w:rPr>
  </w:style>
  <w:style w:type="paragraph" w:styleId="33">
    <w:name w:val="Closing"/>
    <w:basedOn w:val="1"/>
    <w:link w:val="793"/>
    <w:qFormat/>
    <w:uiPriority w:val="0"/>
    <w:pPr>
      <w:adjustRightInd w:val="0"/>
      <w:snapToGrid w:val="0"/>
      <w:spacing w:line="300" w:lineRule="auto"/>
      <w:ind w:left="100" w:leftChars="2100"/>
    </w:pPr>
    <w:rPr>
      <w:rFonts w:ascii="仿宋_GB2312" w:eastAsia="仿宋_GB2312"/>
      <w:sz w:val="28"/>
    </w:rPr>
  </w:style>
  <w:style w:type="paragraph" w:styleId="34">
    <w:name w:val="List Bullet 3"/>
    <w:basedOn w:val="1"/>
    <w:qFormat/>
    <w:uiPriority w:val="0"/>
    <w:pPr>
      <w:tabs>
        <w:tab w:val="left" w:pos="1200"/>
      </w:tabs>
      <w:adjustRightInd w:val="0"/>
      <w:snapToGrid w:val="0"/>
      <w:spacing w:line="300" w:lineRule="auto"/>
      <w:ind w:left="1200" w:leftChars="400" w:hanging="360" w:hangingChars="200"/>
    </w:pPr>
    <w:rPr>
      <w:rFonts w:ascii="仿宋_GB2312" w:eastAsia="仿宋_GB2312"/>
      <w:sz w:val="28"/>
    </w:rPr>
  </w:style>
  <w:style w:type="paragraph" w:styleId="35">
    <w:name w:val="Body Text"/>
    <w:basedOn w:val="1"/>
    <w:link w:val="262"/>
    <w:qFormat/>
    <w:uiPriority w:val="1"/>
    <w:pPr>
      <w:spacing w:after="120"/>
    </w:pPr>
  </w:style>
  <w:style w:type="paragraph" w:styleId="36">
    <w:name w:val="Body Text Indent"/>
    <w:basedOn w:val="1"/>
    <w:next w:val="37"/>
    <w:link w:val="1164"/>
    <w:qFormat/>
    <w:uiPriority w:val="0"/>
    <w:pPr>
      <w:spacing w:after="120"/>
      <w:ind w:left="420" w:leftChars="200"/>
    </w:pPr>
  </w:style>
  <w:style w:type="paragraph" w:customStyle="1" w:styleId="37">
    <w:name w:val="样式 正文文本缩进 + 行距: 1.5 倍行距"/>
    <w:basedOn w:val="1"/>
    <w:qFormat/>
    <w:uiPriority w:val="0"/>
    <w:pPr>
      <w:spacing w:after="120"/>
      <w:ind w:left="90" w:leftChars="32" w:firstLine="560" w:firstLineChars="200"/>
    </w:pPr>
    <w:rPr>
      <w:rFonts w:cs="宋体"/>
    </w:rPr>
  </w:style>
  <w:style w:type="paragraph" w:styleId="38">
    <w:name w:val="List Number 3"/>
    <w:basedOn w:val="1"/>
    <w:qFormat/>
    <w:uiPriority w:val="0"/>
    <w:pPr>
      <w:tabs>
        <w:tab w:val="left" w:pos="1200"/>
      </w:tabs>
      <w:adjustRightInd w:val="0"/>
      <w:snapToGrid w:val="0"/>
      <w:spacing w:line="300" w:lineRule="auto"/>
      <w:ind w:left="1200" w:leftChars="400" w:hanging="360" w:hangingChars="200"/>
    </w:pPr>
    <w:rPr>
      <w:rFonts w:ascii="仿宋_GB2312" w:eastAsia="仿宋_GB2312"/>
      <w:sz w:val="28"/>
    </w:rPr>
  </w:style>
  <w:style w:type="paragraph" w:styleId="39">
    <w:name w:val="List 2"/>
    <w:basedOn w:val="1"/>
    <w:qFormat/>
    <w:uiPriority w:val="0"/>
    <w:pPr>
      <w:ind w:left="100" w:leftChars="200" w:hanging="200" w:hangingChars="200"/>
      <w:contextualSpacing/>
    </w:pPr>
  </w:style>
  <w:style w:type="paragraph" w:styleId="40">
    <w:name w:val="List Continue"/>
    <w:basedOn w:val="1"/>
    <w:qFormat/>
    <w:uiPriority w:val="0"/>
    <w:pPr>
      <w:adjustRightInd w:val="0"/>
      <w:snapToGrid w:val="0"/>
      <w:spacing w:after="120" w:line="300" w:lineRule="auto"/>
      <w:ind w:left="420" w:leftChars="200"/>
    </w:pPr>
    <w:rPr>
      <w:rFonts w:ascii="仿宋_GB2312" w:eastAsia="仿宋_GB2312"/>
      <w:sz w:val="28"/>
    </w:rPr>
  </w:style>
  <w:style w:type="paragraph" w:styleId="41">
    <w:name w:val="Block Text"/>
    <w:basedOn w:val="1"/>
    <w:link w:val="1768"/>
    <w:qFormat/>
    <w:uiPriority w:val="0"/>
    <w:pPr>
      <w:snapToGrid w:val="0"/>
      <w:spacing w:after="120"/>
      <w:ind w:right="1440"/>
      <w:jc w:val="center"/>
    </w:pPr>
    <w:rPr>
      <w:position w:val="-27"/>
      <w:sz w:val="24"/>
      <w:szCs w:val="20"/>
    </w:rPr>
  </w:style>
  <w:style w:type="paragraph" w:styleId="42">
    <w:name w:val="List Bullet 2"/>
    <w:basedOn w:val="1"/>
    <w:qFormat/>
    <w:uiPriority w:val="0"/>
    <w:pPr>
      <w:tabs>
        <w:tab w:val="left" w:pos="780"/>
      </w:tabs>
      <w:adjustRightInd w:val="0"/>
      <w:snapToGrid w:val="0"/>
      <w:spacing w:line="300" w:lineRule="auto"/>
      <w:ind w:left="780" w:leftChars="200" w:hanging="360" w:hangingChars="200"/>
    </w:pPr>
    <w:rPr>
      <w:rFonts w:ascii="仿宋_GB2312" w:eastAsia="仿宋_GB2312"/>
      <w:sz w:val="28"/>
    </w:rPr>
  </w:style>
  <w:style w:type="paragraph" w:styleId="43">
    <w:name w:val="index 4"/>
    <w:basedOn w:val="1"/>
    <w:next w:val="1"/>
    <w:qFormat/>
    <w:uiPriority w:val="0"/>
    <w:pPr>
      <w:adjustRightInd w:val="0"/>
      <w:snapToGrid w:val="0"/>
      <w:spacing w:line="300" w:lineRule="auto"/>
      <w:ind w:left="600" w:leftChars="600"/>
    </w:pPr>
    <w:rPr>
      <w:rFonts w:ascii="仿宋_GB2312" w:eastAsia="仿宋_GB2312"/>
      <w:sz w:val="28"/>
    </w:rPr>
  </w:style>
  <w:style w:type="paragraph" w:styleId="44">
    <w:name w:val="toc 5"/>
    <w:basedOn w:val="1"/>
    <w:next w:val="1"/>
    <w:qFormat/>
    <w:uiPriority w:val="39"/>
    <w:pPr>
      <w:ind w:left="840"/>
      <w:jc w:val="left"/>
    </w:pPr>
    <w:rPr>
      <w:sz w:val="18"/>
      <w:szCs w:val="18"/>
    </w:rPr>
  </w:style>
  <w:style w:type="paragraph" w:styleId="45">
    <w:name w:val="toc 3"/>
    <w:basedOn w:val="1"/>
    <w:next w:val="1"/>
    <w:link w:val="2086"/>
    <w:qFormat/>
    <w:uiPriority w:val="39"/>
    <w:pPr>
      <w:ind w:left="420"/>
      <w:jc w:val="left"/>
    </w:pPr>
    <w:rPr>
      <w:i/>
      <w:iCs/>
      <w:sz w:val="20"/>
      <w:szCs w:val="20"/>
    </w:rPr>
  </w:style>
  <w:style w:type="paragraph" w:styleId="46">
    <w:name w:val="Plain Text"/>
    <w:basedOn w:val="1"/>
    <w:link w:val="160"/>
    <w:qFormat/>
    <w:uiPriority w:val="0"/>
    <w:rPr>
      <w:rFonts w:ascii="宋体" w:hAnsi="Courier New" w:cs="Courier New"/>
      <w:szCs w:val="21"/>
    </w:rPr>
  </w:style>
  <w:style w:type="paragraph" w:styleId="47">
    <w:name w:val="List Bullet 5"/>
    <w:basedOn w:val="1"/>
    <w:qFormat/>
    <w:uiPriority w:val="0"/>
    <w:pPr>
      <w:tabs>
        <w:tab w:val="left" w:pos="2040"/>
      </w:tabs>
      <w:adjustRightInd w:val="0"/>
      <w:snapToGrid w:val="0"/>
      <w:spacing w:line="300" w:lineRule="auto"/>
      <w:ind w:left="2040" w:leftChars="800" w:hanging="360" w:hangingChars="200"/>
    </w:pPr>
    <w:rPr>
      <w:rFonts w:ascii="仿宋_GB2312" w:eastAsia="仿宋_GB2312"/>
      <w:sz w:val="28"/>
    </w:rPr>
  </w:style>
  <w:style w:type="paragraph" w:styleId="48">
    <w:name w:val="List Number 4"/>
    <w:basedOn w:val="1"/>
    <w:qFormat/>
    <w:uiPriority w:val="0"/>
    <w:pPr>
      <w:tabs>
        <w:tab w:val="left" w:pos="1620"/>
      </w:tabs>
      <w:adjustRightInd w:val="0"/>
      <w:snapToGrid w:val="0"/>
      <w:spacing w:line="300" w:lineRule="auto"/>
      <w:ind w:left="1620" w:leftChars="600" w:hanging="360" w:hangingChars="200"/>
    </w:pPr>
    <w:rPr>
      <w:rFonts w:ascii="仿宋_GB2312" w:eastAsia="仿宋_GB2312"/>
      <w:sz w:val="28"/>
    </w:rPr>
  </w:style>
  <w:style w:type="paragraph" w:styleId="49">
    <w:name w:val="toc 8"/>
    <w:basedOn w:val="1"/>
    <w:next w:val="1"/>
    <w:qFormat/>
    <w:uiPriority w:val="39"/>
    <w:pPr>
      <w:ind w:left="1470"/>
      <w:jc w:val="left"/>
    </w:pPr>
    <w:rPr>
      <w:sz w:val="18"/>
      <w:szCs w:val="18"/>
    </w:rPr>
  </w:style>
  <w:style w:type="paragraph" w:styleId="50">
    <w:name w:val="index 3"/>
    <w:basedOn w:val="1"/>
    <w:next w:val="1"/>
    <w:qFormat/>
    <w:uiPriority w:val="0"/>
    <w:pPr>
      <w:adjustRightInd w:val="0"/>
      <w:snapToGrid w:val="0"/>
      <w:spacing w:line="300" w:lineRule="auto"/>
      <w:ind w:left="400" w:leftChars="400"/>
    </w:pPr>
    <w:rPr>
      <w:rFonts w:ascii="仿宋_GB2312" w:eastAsia="仿宋_GB2312"/>
      <w:sz w:val="28"/>
    </w:rPr>
  </w:style>
  <w:style w:type="paragraph" w:styleId="51">
    <w:name w:val="Date"/>
    <w:basedOn w:val="1"/>
    <w:next w:val="1"/>
    <w:link w:val="263"/>
    <w:qFormat/>
    <w:uiPriority w:val="0"/>
    <w:pPr>
      <w:ind w:left="100" w:leftChars="2500"/>
    </w:pPr>
    <w:rPr>
      <w:rFonts w:ascii="CG Times" w:hAnsi="CG Times"/>
      <w:sz w:val="24"/>
    </w:rPr>
  </w:style>
  <w:style w:type="paragraph" w:styleId="52">
    <w:name w:val="Body Text Indent 2"/>
    <w:basedOn w:val="1"/>
    <w:link w:val="264"/>
    <w:qFormat/>
    <w:uiPriority w:val="0"/>
    <w:pPr>
      <w:spacing w:line="360" w:lineRule="auto"/>
      <w:ind w:firstLine="480" w:firstLineChars="200"/>
    </w:pPr>
    <w:rPr>
      <w:color w:val="FF0000"/>
      <w:sz w:val="24"/>
    </w:rPr>
  </w:style>
  <w:style w:type="paragraph" w:styleId="53">
    <w:name w:val="endnote text"/>
    <w:basedOn w:val="1"/>
    <w:link w:val="795"/>
    <w:qFormat/>
    <w:uiPriority w:val="0"/>
    <w:pPr>
      <w:adjustRightInd w:val="0"/>
      <w:snapToGrid w:val="0"/>
      <w:spacing w:line="300" w:lineRule="auto"/>
      <w:jc w:val="left"/>
    </w:pPr>
    <w:rPr>
      <w:rFonts w:ascii="仿宋_GB2312" w:eastAsia="仿宋_GB2312"/>
      <w:sz w:val="28"/>
    </w:rPr>
  </w:style>
  <w:style w:type="paragraph" w:styleId="54">
    <w:name w:val="List Continue 5"/>
    <w:basedOn w:val="1"/>
    <w:qFormat/>
    <w:uiPriority w:val="0"/>
    <w:pPr>
      <w:adjustRightInd w:val="0"/>
      <w:snapToGrid w:val="0"/>
      <w:spacing w:after="120" w:line="300" w:lineRule="auto"/>
      <w:ind w:left="2100" w:leftChars="1000"/>
    </w:pPr>
    <w:rPr>
      <w:rFonts w:ascii="仿宋_GB2312" w:eastAsia="仿宋_GB2312"/>
      <w:sz w:val="28"/>
    </w:rPr>
  </w:style>
  <w:style w:type="paragraph" w:styleId="55">
    <w:name w:val="Balloon Text"/>
    <w:basedOn w:val="1"/>
    <w:link w:val="222"/>
    <w:qFormat/>
    <w:uiPriority w:val="0"/>
    <w:rPr>
      <w:sz w:val="18"/>
      <w:szCs w:val="18"/>
    </w:rPr>
  </w:style>
  <w:style w:type="paragraph" w:styleId="56">
    <w:name w:val="footer"/>
    <w:basedOn w:val="1"/>
    <w:link w:val="221"/>
    <w:qFormat/>
    <w:uiPriority w:val="99"/>
    <w:pPr>
      <w:tabs>
        <w:tab w:val="center" w:pos="4153"/>
        <w:tab w:val="right" w:pos="8306"/>
      </w:tabs>
      <w:snapToGrid w:val="0"/>
      <w:jc w:val="left"/>
    </w:pPr>
    <w:rPr>
      <w:sz w:val="18"/>
      <w:szCs w:val="18"/>
    </w:rPr>
  </w:style>
  <w:style w:type="paragraph" w:styleId="57">
    <w:name w:val="envelope return"/>
    <w:basedOn w:val="1"/>
    <w:qFormat/>
    <w:uiPriority w:val="0"/>
    <w:pPr>
      <w:adjustRightInd w:val="0"/>
      <w:snapToGrid w:val="0"/>
      <w:spacing w:line="300" w:lineRule="auto"/>
    </w:pPr>
    <w:rPr>
      <w:rFonts w:ascii="Arial" w:hAnsi="Arial" w:eastAsia="仿宋_GB2312" w:cs="Arial"/>
      <w:sz w:val="28"/>
    </w:rPr>
  </w:style>
  <w:style w:type="paragraph" w:styleId="58">
    <w:name w:val="header"/>
    <w:basedOn w:val="1"/>
    <w:link w:val="220"/>
    <w:qFormat/>
    <w:uiPriority w:val="0"/>
    <w:pPr>
      <w:pBdr>
        <w:bottom w:val="single" w:color="auto" w:sz="6" w:space="1"/>
      </w:pBdr>
      <w:tabs>
        <w:tab w:val="center" w:pos="4153"/>
        <w:tab w:val="right" w:pos="8306"/>
      </w:tabs>
      <w:snapToGrid w:val="0"/>
      <w:jc w:val="center"/>
    </w:pPr>
    <w:rPr>
      <w:sz w:val="18"/>
      <w:szCs w:val="18"/>
    </w:rPr>
  </w:style>
  <w:style w:type="paragraph" w:styleId="59">
    <w:name w:val="Signature"/>
    <w:basedOn w:val="1"/>
    <w:link w:val="794"/>
    <w:qFormat/>
    <w:uiPriority w:val="0"/>
    <w:pPr>
      <w:adjustRightInd w:val="0"/>
      <w:snapToGrid w:val="0"/>
      <w:spacing w:line="300" w:lineRule="auto"/>
      <w:ind w:left="100" w:leftChars="2100"/>
    </w:pPr>
    <w:rPr>
      <w:rFonts w:ascii="仿宋_GB2312" w:eastAsia="仿宋_GB2312"/>
      <w:sz w:val="28"/>
    </w:rPr>
  </w:style>
  <w:style w:type="paragraph" w:styleId="60">
    <w:name w:val="toc 1"/>
    <w:basedOn w:val="1"/>
    <w:next w:val="1"/>
    <w:link w:val="2470"/>
    <w:qFormat/>
    <w:uiPriority w:val="39"/>
    <w:pPr>
      <w:spacing w:before="120" w:after="120"/>
      <w:jc w:val="left"/>
    </w:pPr>
    <w:rPr>
      <w:b/>
      <w:bCs/>
      <w:caps/>
      <w:sz w:val="20"/>
      <w:szCs w:val="20"/>
    </w:rPr>
  </w:style>
  <w:style w:type="paragraph" w:styleId="61">
    <w:name w:val="List Continue 4"/>
    <w:basedOn w:val="1"/>
    <w:qFormat/>
    <w:uiPriority w:val="0"/>
    <w:pPr>
      <w:adjustRightInd w:val="0"/>
      <w:snapToGrid w:val="0"/>
      <w:spacing w:after="120" w:line="300" w:lineRule="auto"/>
      <w:ind w:left="1680" w:leftChars="800"/>
    </w:pPr>
    <w:rPr>
      <w:rFonts w:ascii="仿宋_GB2312" w:eastAsia="仿宋_GB2312"/>
      <w:sz w:val="28"/>
    </w:rPr>
  </w:style>
  <w:style w:type="paragraph" w:styleId="62">
    <w:name w:val="toc 4"/>
    <w:basedOn w:val="1"/>
    <w:next w:val="1"/>
    <w:qFormat/>
    <w:uiPriority w:val="39"/>
    <w:pPr>
      <w:ind w:left="630"/>
      <w:jc w:val="left"/>
    </w:pPr>
    <w:rPr>
      <w:sz w:val="18"/>
      <w:szCs w:val="18"/>
    </w:rPr>
  </w:style>
  <w:style w:type="paragraph" w:styleId="63">
    <w:name w:val="index heading"/>
    <w:basedOn w:val="1"/>
    <w:next w:val="64"/>
    <w:qFormat/>
    <w:uiPriority w:val="0"/>
    <w:rPr>
      <w:rFonts w:ascii="宋体" w:hAnsi="宋体"/>
      <w:bCs/>
      <w:kern w:val="0"/>
      <w:sz w:val="28"/>
      <w:szCs w:val="20"/>
    </w:rPr>
  </w:style>
  <w:style w:type="paragraph" w:styleId="64">
    <w:name w:val="index 1"/>
    <w:basedOn w:val="1"/>
    <w:next w:val="1"/>
    <w:qFormat/>
    <w:uiPriority w:val="0"/>
    <w:pPr>
      <w:adjustRightInd w:val="0"/>
      <w:spacing w:line="312" w:lineRule="auto"/>
      <w:jc w:val="center"/>
      <w:textAlignment w:val="baseline"/>
    </w:pPr>
    <w:rPr>
      <w:rFonts w:ascii="宋体"/>
      <w:spacing w:val="-10"/>
      <w:kern w:val="0"/>
      <w:szCs w:val="20"/>
    </w:rPr>
  </w:style>
  <w:style w:type="paragraph" w:styleId="65">
    <w:name w:val="Subtitle"/>
    <w:basedOn w:val="1"/>
    <w:link w:val="791"/>
    <w:qFormat/>
    <w:uiPriority w:val="0"/>
    <w:pPr>
      <w:adjustRightInd w:val="0"/>
      <w:snapToGrid w:val="0"/>
      <w:spacing w:before="240" w:after="60" w:line="312" w:lineRule="auto"/>
      <w:jc w:val="center"/>
      <w:outlineLvl w:val="1"/>
    </w:pPr>
    <w:rPr>
      <w:rFonts w:ascii="Arial" w:hAnsi="Arial" w:cs="Arial"/>
      <w:b/>
      <w:bCs/>
      <w:kern w:val="28"/>
      <w:sz w:val="32"/>
      <w:szCs w:val="32"/>
    </w:rPr>
  </w:style>
  <w:style w:type="paragraph" w:styleId="66">
    <w:name w:val="List Number 5"/>
    <w:basedOn w:val="1"/>
    <w:qFormat/>
    <w:uiPriority w:val="0"/>
    <w:pPr>
      <w:tabs>
        <w:tab w:val="left" w:pos="2040"/>
      </w:tabs>
      <w:adjustRightInd w:val="0"/>
      <w:snapToGrid w:val="0"/>
      <w:spacing w:line="300" w:lineRule="auto"/>
      <w:ind w:left="2040" w:leftChars="800" w:hanging="360" w:hangingChars="200"/>
    </w:pPr>
    <w:rPr>
      <w:rFonts w:ascii="仿宋_GB2312" w:eastAsia="仿宋_GB2312"/>
      <w:sz w:val="28"/>
    </w:rPr>
  </w:style>
  <w:style w:type="paragraph" w:styleId="67">
    <w:name w:val="List"/>
    <w:basedOn w:val="1"/>
    <w:link w:val="1642"/>
    <w:qFormat/>
    <w:uiPriority w:val="0"/>
    <w:pPr>
      <w:ind w:left="200" w:hanging="200" w:hangingChars="200"/>
    </w:pPr>
  </w:style>
  <w:style w:type="paragraph" w:styleId="68">
    <w:name w:val="footnote text"/>
    <w:basedOn w:val="1"/>
    <w:link w:val="587"/>
    <w:qFormat/>
    <w:uiPriority w:val="0"/>
    <w:pPr>
      <w:snapToGrid w:val="0"/>
      <w:jc w:val="left"/>
    </w:pPr>
    <w:rPr>
      <w:sz w:val="18"/>
      <w:szCs w:val="18"/>
    </w:rPr>
  </w:style>
  <w:style w:type="paragraph" w:styleId="69">
    <w:name w:val="toc 6"/>
    <w:basedOn w:val="1"/>
    <w:next w:val="1"/>
    <w:qFormat/>
    <w:uiPriority w:val="39"/>
    <w:pPr>
      <w:ind w:left="1050"/>
      <w:jc w:val="left"/>
    </w:pPr>
    <w:rPr>
      <w:sz w:val="18"/>
      <w:szCs w:val="18"/>
    </w:rPr>
  </w:style>
  <w:style w:type="paragraph" w:styleId="70">
    <w:name w:val="List 5"/>
    <w:basedOn w:val="1"/>
    <w:qFormat/>
    <w:uiPriority w:val="0"/>
    <w:pPr>
      <w:adjustRightInd w:val="0"/>
      <w:snapToGrid w:val="0"/>
      <w:spacing w:line="300" w:lineRule="auto"/>
      <w:ind w:left="100" w:leftChars="800" w:hanging="200" w:hangingChars="200"/>
    </w:pPr>
    <w:rPr>
      <w:rFonts w:ascii="仿宋_GB2312" w:eastAsia="仿宋_GB2312"/>
      <w:sz w:val="28"/>
    </w:rPr>
  </w:style>
  <w:style w:type="paragraph" w:styleId="71">
    <w:name w:val="Body Text Indent 3"/>
    <w:basedOn w:val="1"/>
    <w:link w:val="257"/>
    <w:qFormat/>
    <w:uiPriority w:val="0"/>
    <w:pPr>
      <w:spacing w:after="120"/>
      <w:ind w:left="420" w:leftChars="200"/>
    </w:pPr>
    <w:rPr>
      <w:sz w:val="16"/>
      <w:szCs w:val="16"/>
    </w:rPr>
  </w:style>
  <w:style w:type="paragraph" w:styleId="72">
    <w:name w:val="index 7"/>
    <w:basedOn w:val="1"/>
    <w:next w:val="1"/>
    <w:qFormat/>
    <w:uiPriority w:val="0"/>
    <w:pPr>
      <w:adjustRightInd w:val="0"/>
      <w:snapToGrid w:val="0"/>
      <w:spacing w:line="300" w:lineRule="auto"/>
      <w:ind w:left="1200" w:leftChars="1200"/>
    </w:pPr>
    <w:rPr>
      <w:rFonts w:ascii="仿宋_GB2312" w:eastAsia="仿宋_GB2312"/>
      <w:sz w:val="28"/>
    </w:rPr>
  </w:style>
  <w:style w:type="paragraph" w:styleId="73">
    <w:name w:val="index 9"/>
    <w:basedOn w:val="1"/>
    <w:next w:val="1"/>
    <w:qFormat/>
    <w:uiPriority w:val="0"/>
    <w:pPr>
      <w:adjustRightInd w:val="0"/>
      <w:snapToGrid w:val="0"/>
      <w:spacing w:line="300" w:lineRule="auto"/>
      <w:ind w:left="1600" w:leftChars="1600"/>
    </w:pPr>
    <w:rPr>
      <w:rFonts w:ascii="仿宋_GB2312" w:eastAsia="仿宋_GB2312"/>
      <w:sz w:val="28"/>
    </w:rPr>
  </w:style>
  <w:style w:type="paragraph" w:styleId="74">
    <w:name w:val="table of figures"/>
    <w:basedOn w:val="1"/>
    <w:next w:val="1"/>
    <w:qFormat/>
    <w:uiPriority w:val="0"/>
    <w:pPr>
      <w:spacing w:line="500" w:lineRule="atLeast"/>
      <w:jc w:val="center"/>
    </w:pPr>
    <w:rPr>
      <w:rFonts w:hint="eastAsia" w:ascii="仿宋_GB2312" w:eastAsia="仿宋_GB2312"/>
      <w:sz w:val="28"/>
    </w:rPr>
  </w:style>
  <w:style w:type="paragraph" w:styleId="75">
    <w:name w:val="toc 2"/>
    <w:basedOn w:val="1"/>
    <w:next w:val="1"/>
    <w:qFormat/>
    <w:uiPriority w:val="39"/>
    <w:pPr>
      <w:tabs>
        <w:tab w:val="left" w:pos="840"/>
        <w:tab w:val="right" w:leader="dot" w:pos="9060"/>
      </w:tabs>
      <w:spacing w:line="360" w:lineRule="auto"/>
      <w:ind w:left="210"/>
      <w:jc w:val="left"/>
    </w:pPr>
    <w:rPr>
      <w:smallCaps/>
      <w:sz w:val="20"/>
      <w:szCs w:val="20"/>
    </w:rPr>
  </w:style>
  <w:style w:type="paragraph" w:styleId="76">
    <w:name w:val="toc 9"/>
    <w:basedOn w:val="1"/>
    <w:next w:val="1"/>
    <w:qFormat/>
    <w:uiPriority w:val="39"/>
    <w:pPr>
      <w:ind w:left="1680"/>
      <w:jc w:val="left"/>
    </w:pPr>
    <w:rPr>
      <w:sz w:val="18"/>
      <w:szCs w:val="18"/>
    </w:rPr>
  </w:style>
  <w:style w:type="paragraph" w:styleId="77">
    <w:name w:val="Body Text 2"/>
    <w:basedOn w:val="1"/>
    <w:link w:val="128"/>
    <w:qFormat/>
    <w:uiPriority w:val="0"/>
    <w:pPr>
      <w:adjustRightInd w:val="0"/>
      <w:snapToGrid w:val="0"/>
      <w:spacing w:afterLines="50" w:line="460" w:lineRule="atLeast"/>
      <w:ind w:firstLine="465"/>
    </w:pPr>
    <w:rPr>
      <w:rFonts w:ascii="宋体" w:hAnsi="宋体"/>
      <w:color w:val="000000"/>
      <w:sz w:val="24"/>
      <w:szCs w:val="20"/>
    </w:rPr>
  </w:style>
  <w:style w:type="paragraph" w:styleId="78">
    <w:name w:val="List 4"/>
    <w:basedOn w:val="1"/>
    <w:qFormat/>
    <w:uiPriority w:val="0"/>
    <w:pPr>
      <w:adjustRightInd w:val="0"/>
      <w:snapToGrid w:val="0"/>
      <w:spacing w:line="300" w:lineRule="auto"/>
      <w:ind w:left="100" w:leftChars="600" w:hanging="200" w:hangingChars="200"/>
    </w:pPr>
    <w:rPr>
      <w:rFonts w:ascii="仿宋_GB2312" w:eastAsia="仿宋_GB2312"/>
      <w:sz w:val="28"/>
    </w:rPr>
  </w:style>
  <w:style w:type="paragraph" w:styleId="79">
    <w:name w:val="List Continue 2"/>
    <w:basedOn w:val="1"/>
    <w:qFormat/>
    <w:uiPriority w:val="0"/>
    <w:pPr>
      <w:spacing w:after="120"/>
      <w:ind w:left="840"/>
    </w:pPr>
    <w:rPr>
      <w:szCs w:val="20"/>
    </w:rPr>
  </w:style>
  <w:style w:type="paragraph" w:styleId="80">
    <w:name w:val="Message Header"/>
    <w:basedOn w:val="1"/>
    <w:link w:val="796"/>
    <w:qFormat/>
    <w:uiPriority w:val="0"/>
    <w:pPr>
      <w:pBdr>
        <w:top w:val="single" w:color="auto" w:sz="6" w:space="1"/>
        <w:left w:val="single" w:color="auto" w:sz="6" w:space="1"/>
        <w:bottom w:val="single" w:color="auto" w:sz="6" w:space="1"/>
        <w:right w:val="single" w:color="auto" w:sz="6" w:space="1"/>
      </w:pBdr>
      <w:shd w:val="pct20" w:color="auto" w:fill="auto"/>
      <w:adjustRightInd w:val="0"/>
      <w:snapToGrid w:val="0"/>
      <w:spacing w:line="300" w:lineRule="auto"/>
      <w:ind w:left="1080" w:leftChars="500" w:hanging="1080" w:hangingChars="500"/>
    </w:pPr>
    <w:rPr>
      <w:rFonts w:ascii="Arial" w:hAnsi="Arial" w:eastAsia="仿宋_GB2312" w:cs="Arial"/>
      <w:sz w:val="24"/>
    </w:rPr>
  </w:style>
  <w:style w:type="paragraph" w:styleId="81">
    <w:name w:val="Normal (Web)"/>
    <w:basedOn w:val="1"/>
    <w:link w:val="1183"/>
    <w:qFormat/>
    <w:uiPriority w:val="99"/>
    <w:pPr>
      <w:widowControl/>
      <w:spacing w:before="100" w:beforeAutospacing="1" w:after="100" w:afterAutospacing="1"/>
      <w:jc w:val="left"/>
    </w:pPr>
    <w:rPr>
      <w:rFonts w:ascii="宋体" w:hAnsi="宋体"/>
      <w:kern w:val="0"/>
      <w:sz w:val="24"/>
    </w:rPr>
  </w:style>
  <w:style w:type="paragraph" w:styleId="82">
    <w:name w:val="List Continue 3"/>
    <w:basedOn w:val="1"/>
    <w:qFormat/>
    <w:uiPriority w:val="0"/>
    <w:pPr>
      <w:spacing w:after="120"/>
      <w:ind w:left="1260"/>
    </w:pPr>
    <w:rPr>
      <w:szCs w:val="20"/>
    </w:rPr>
  </w:style>
  <w:style w:type="paragraph" w:styleId="83">
    <w:name w:val="index 2"/>
    <w:basedOn w:val="1"/>
    <w:next w:val="1"/>
    <w:qFormat/>
    <w:uiPriority w:val="0"/>
    <w:pPr>
      <w:tabs>
        <w:tab w:val="right" w:leader="dot" w:pos="8557"/>
      </w:tabs>
      <w:adjustRightInd w:val="0"/>
      <w:spacing w:line="400" w:lineRule="atLeast"/>
      <w:ind w:left="560" w:hanging="280"/>
      <w:jc w:val="left"/>
      <w:textAlignment w:val="baseline"/>
    </w:pPr>
    <w:rPr>
      <w:kern w:val="0"/>
      <w:sz w:val="28"/>
      <w:szCs w:val="20"/>
    </w:rPr>
  </w:style>
  <w:style w:type="paragraph" w:styleId="84">
    <w:name w:val="Title"/>
    <w:basedOn w:val="1"/>
    <w:link w:val="612"/>
    <w:qFormat/>
    <w:uiPriority w:val="0"/>
    <w:pPr>
      <w:spacing w:before="240" w:after="60"/>
      <w:jc w:val="center"/>
      <w:outlineLvl w:val="0"/>
    </w:pPr>
    <w:rPr>
      <w:rFonts w:ascii="Arial" w:hAnsi="Arial" w:cs="Arial"/>
      <w:b/>
      <w:bCs/>
      <w:sz w:val="32"/>
      <w:szCs w:val="32"/>
    </w:rPr>
  </w:style>
  <w:style w:type="paragraph" w:styleId="85">
    <w:name w:val="annotation subject"/>
    <w:basedOn w:val="29"/>
    <w:next w:val="29"/>
    <w:link w:val="305"/>
    <w:qFormat/>
    <w:uiPriority w:val="0"/>
    <w:pPr>
      <w:widowControl w:val="0"/>
    </w:pPr>
    <w:rPr>
      <w:b/>
      <w:bCs/>
      <w:kern w:val="2"/>
      <w:sz w:val="21"/>
    </w:rPr>
  </w:style>
  <w:style w:type="paragraph" w:styleId="86">
    <w:name w:val="Body Text First Indent"/>
    <w:basedOn w:val="35"/>
    <w:link w:val="1290"/>
    <w:qFormat/>
    <w:uiPriority w:val="0"/>
    <w:pPr>
      <w:widowControl/>
      <w:adjustRightInd w:val="0"/>
      <w:snapToGrid w:val="0"/>
      <w:spacing w:after="0" w:line="336" w:lineRule="auto"/>
      <w:ind w:firstLine="200" w:firstLineChars="200"/>
    </w:pPr>
    <w:rPr>
      <w:rFonts w:ascii="宋体" w:hAnsi="宋体"/>
      <w:snapToGrid w:val="0"/>
      <w:color w:val="000000"/>
      <w:kern w:val="0"/>
      <w:sz w:val="24"/>
      <w:szCs w:val="20"/>
    </w:rPr>
  </w:style>
  <w:style w:type="paragraph" w:styleId="87">
    <w:name w:val="Body Text First Indent 2"/>
    <w:basedOn w:val="36"/>
    <w:next w:val="1"/>
    <w:link w:val="307"/>
    <w:qFormat/>
    <w:uiPriority w:val="0"/>
    <w:pPr>
      <w:widowControl/>
      <w:adjustRightInd w:val="0"/>
      <w:snapToGrid w:val="0"/>
      <w:spacing w:after="0" w:line="360" w:lineRule="auto"/>
      <w:ind w:left="0" w:leftChars="0" w:firstLine="200" w:firstLineChars="200"/>
      <w:jc w:val="left"/>
    </w:pPr>
    <w:rPr>
      <w:rFonts w:ascii="宋体" w:hAnsi="宋体"/>
      <w:snapToGrid w:val="0"/>
      <w:color w:val="000000"/>
      <w:kern w:val="0"/>
      <w:sz w:val="24"/>
      <w:szCs w:val="20"/>
    </w:rPr>
  </w:style>
  <w:style w:type="table" w:styleId="89">
    <w:name w:val="Table Grid"/>
    <w:basedOn w:val="88"/>
    <w:qFormat/>
    <w:uiPriority w:val="39"/>
    <w:pPr>
      <w:widowControl w:val="0"/>
      <w:jc w:val="center"/>
    </w:pPr>
    <w:rPr>
      <w:sz w:val="21"/>
    </w:rPr>
    <w:tblPr>
      <w:tblBorders>
        <w:top w:val="single" w:color="auto" w:sz="12" w:space="0"/>
        <w:bottom w:val="single" w:color="auto" w:sz="12" w:space="0"/>
        <w:insideH w:val="single" w:color="auto" w:sz="2" w:space="0"/>
        <w:insideV w:val="single" w:color="auto" w:sz="2" w:space="0"/>
      </w:tblBorders>
    </w:tblPr>
    <w:tcPr>
      <w:vAlign w:val="center"/>
    </w:tcPr>
  </w:style>
  <w:style w:type="table" w:styleId="90">
    <w:name w:val="Table Theme"/>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1">
    <w:name w:val="Table Elegant"/>
    <w:basedOn w:val="88"/>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table" w:styleId="92">
    <w:name w:val="Table Classic 1"/>
    <w:basedOn w:val="88"/>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3">
    <w:name w:val="Table Simple 1"/>
    <w:basedOn w:val="88"/>
    <w:qFormat/>
    <w:uiPriority w:val="0"/>
    <w:pPr>
      <w:widowControl w:val="0"/>
      <w:jc w:val="both"/>
    </w:pPr>
    <w:tblPr>
      <w:tblBorders>
        <w:top w:val="single" w:color="008000" w:sz="12" w:space="0"/>
        <w:bottom w:val="single" w:color="008000" w:sz="12" w:space="0"/>
      </w:tblBorders>
    </w:tbl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94">
    <w:name w:val="Table Grid 1"/>
    <w:basedOn w:val="8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character" w:styleId="96">
    <w:name w:val="Strong"/>
    <w:qFormat/>
    <w:uiPriority w:val="0"/>
    <w:rPr>
      <w:rFonts w:eastAsia="黑体"/>
      <w:bCs/>
      <w:sz w:val="24"/>
    </w:rPr>
  </w:style>
  <w:style w:type="character" w:styleId="97">
    <w:name w:val="endnote reference"/>
    <w:qFormat/>
    <w:uiPriority w:val="0"/>
    <w:rPr>
      <w:vertAlign w:val="superscript"/>
    </w:rPr>
  </w:style>
  <w:style w:type="character" w:styleId="98">
    <w:name w:val="page number"/>
    <w:basedOn w:val="95"/>
    <w:qFormat/>
    <w:uiPriority w:val="0"/>
  </w:style>
  <w:style w:type="character" w:styleId="99">
    <w:name w:val="FollowedHyperlink"/>
    <w:qFormat/>
    <w:uiPriority w:val="0"/>
    <w:rPr>
      <w:color w:val="800080"/>
      <w:u w:val="single"/>
    </w:rPr>
  </w:style>
  <w:style w:type="character" w:styleId="100">
    <w:name w:val="Emphasis"/>
    <w:qFormat/>
    <w:uiPriority w:val="0"/>
    <w:rPr>
      <w:color w:val="CC0000"/>
    </w:rPr>
  </w:style>
  <w:style w:type="character" w:styleId="101">
    <w:name w:val="line number"/>
    <w:basedOn w:val="95"/>
    <w:qFormat/>
    <w:uiPriority w:val="0"/>
  </w:style>
  <w:style w:type="character" w:styleId="102">
    <w:name w:val="Hyperlink"/>
    <w:qFormat/>
    <w:uiPriority w:val="99"/>
    <w:rPr>
      <w:color w:val="0000FF"/>
      <w:u w:val="single"/>
    </w:rPr>
  </w:style>
  <w:style w:type="character" w:styleId="103">
    <w:name w:val="annotation reference"/>
    <w:qFormat/>
    <w:uiPriority w:val="0"/>
    <w:rPr>
      <w:sz w:val="21"/>
      <w:szCs w:val="21"/>
    </w:rPr>
  </w:style>
  <w:style w:type="character" w:styleId="104">
    <w:name w:val="footnote reference"/>
    <w:qFormat/>
    <w:uiPriority w:val="0"/>
    <w:rPr>
      <w:vertAlign w:val="superscript"/>
    </w:rPr>
  </w:style>
  <w:style w:type="paragraph" w:customStyle="1" w:styleId="105">
    <w:name w:val="Default"/>
    <w:basedOn w:val="106"/>
    <w:qFormat/>
    <w:uiPriority w:val="0"/>
    <w:pPr>
      <w:autoSpaceDE w:val="0"/>
      <w:autoSpaceDN w:val="0"/>
    </w:pPr>
    <w:rPr>
      <w:rFonts w:hAnsi="Times New Roman" w:cs="宋体"/>
      <w:color w:val="000000"/>
      <w:sz w:val="24"/>
      <w:szCs w:val="24"/>
    </w:rPr>
  </w:style>
  <w:style w:type="paragraph" w:customStyle="1" w:styleId="106">
    <w:name w:val="纯文本1"/>
    <w:basedOn w:val="1"/>
    <w:qFormat/>
    <w:uiPriority w:val="0"/>
    <w:pPr>
      <w:adjustRightInd w:val="0"/>
      <w:textAlignment w:val="baseline"/>
    </w:pPr>
    <w:rPr>
      <w:rFonts w:ascii="宋体" w:hAnsi="Courier New"/>
      <w:szCs w:val="20"/>
    </w:rPr>
  </w:style>
  <w:style w:type="character" w:customStyle="1" w:styleId="107">
    <w:name w:val="标题 2 Char"/>
    <w:qFormat/>
    <w:uiPriority w:val="0"/>
    <w:rPr>
      <w:rFonts w:hint="default" w:ascii="Cambria" w:hAnsi="Cambria" w:eastAsia="宋体" w:cs="Times New Roman"/>
      <w:b/>
      <w:bCs/>
      <w:sz w:val="32"/>
      <w:szCs w:val="32"/>
    </w:rPr>
  </w:style>
  <w:style w:type="paragraph" w:customStyle="1" w:styleId="108">
    <w:name w:val="样式 仿宋_GB2312 四号 行距: 1.5 倍行距"/>
    <w:basedOn w:val="1"/>
    <w:next w:val="1"/>
    <w:qFormat/>
    <w:uiPriority w:val="0"/>
    <w:pPr>
      <w:spacing w:line="360" w:lineRule="auto"/>
      <w:ind w:firstLine="560" w:firstLineChars="200"/>
    </w:pPr>
    <w:rPr>
      <w:rFonts w:ascii="仿宋_GB2312" w:eastAsia="仿宋_GB2312"/>
      <w:sz w:val="28"/>
    </w:rPr>
  </w:style>
  <w:style w:type="character" w:customStyle="1" w:styleId="109">
    <w:name w:val="标题 3 字符"/>
    <w:link w:val="5"/>
    <w:qFormat/>
    <w:uiPriority w:val="9"/>
    <w:rPr>
      <w:rFonts w:eastAsia="黑体"/>
      <w:color w:val="000000"/>
      <w:sz w:val="28"/>
    </w:rPr>
  </w:style>
  <w:style w:type="paragraph" w:customStyle="1" w:styleId="110">
    <w:name w:val="正文1"/>
    <w:basedOn w:val="1"/>
    <w:link w:val="258"/>
    <w:qFormat/>
    <w:uiPriority w:val="0"/>
    <w:rPr>
      <w:sz w:val="24"/>
    </w:rPr>
  </w:style>
  <w:style w:type="paragraph" w:customStyle="1" w:styleId="111">
    <w:name w:val="样式 标题 1标题 11一、 + Times New Roman 行距: 固定值 23 磅"/>
    <w:basedOn w:val="3"/>
    <w:qFormat/>
    <w:uiPriority w:val="0"/>
    <w:pPr>
      <w:numPr>
        <w:numId w:val="2"/>
      </w:numPr>
      <w:spacing w:line="460" w:lineRule="exact"/>
    </w:pPr>
    <w:rPr>
      <w:rFonts w:ascii="黑体" w:cs="宋体"/>
      <w:b/>
      <w:szCs w:val="32"/>
    </w:rPr>
  </w:style>
  <w:style w:type="paragraph" w:customStyle="1" w:styleId="112">
    <w:name w:val="图片"/>
    <w:basedOn w:val="1"/>
    <w:link w:val="1247"/>
    <w:qFormat/>
    <w:uiPriority w:val="0"/>
    <w:pPr>
      <w:spacing w:line="440" w:lineRule="exact"/>
    </w:pPr>
    <w:rPr>
      <w:sz w:val="24"/>
    </w:rPr>
  </w:style>
  <w:style w:type="paragraph" w:customStyle="1" w:styleId="113">
    <w:name w:val="表格"/>
    <w:basedOn w:val="67"/>
    <w:link w:val="214"/>
    <w:qFormat/>
    <w:uiPriority w:val="0"/>
    <w:pPr>
      <w:widowControl/>
      <w:ind w:left="0" w:firstLine="0" w:firstLineChars="0"/>
    </w:pPr>
    <w:rPr>
      <w:szCs w:val="20"/>
    </w:rPr>
  </w:style>
  <w:style w:type="paragraph" w:customStyle="1" w:styleId="114">
    <w:name w:val="表格 32"/>
    <w:basedOn w:val="1"/>
    <w:link w:val="2574"/>
    <w:qFormat/>
    <w:uiPriority w:val="0"/>
    <w:pPr>
      <w:autoSpaceDE w:val="0"/>
      <w:autoSpaceDN w:val="0"/>
      <w:adjustRightInd w:val="0"/>
      <w:jc w:val="center"/>
      <w:textAlignment w:val="baseline"/>
    </w:pPr>
    <w:rPr>
      <w:kern w:val="0"/>
      <w:sz w:val="24"/>
      <w:szCs w:val="20"/>
    </w:rPr>
  </w:style>
  <w:style w:type="paragraph" w:customStyle="1" w:styleId="115">
    <w:name w:val="样式1"/>
    <w:basedOn w:val="46"/>
    <w:link w:val="288"/>
    <w:qFormat/>
    <w:uiPriority w:val="0"/>
    <w:pPr>
      <w:spacing w:line="460" w:lineRule="exact"/>
    </w:pPr>
    <w:rPr>
      <w:rFonts w:ascii="黑体" w:hAnsi="Times New Roman" w:eastAsia="黑体" w:cs="Times New Roman"/>
      <w:b/>
      <w:bCs/>
      <w:sz w:val="28"/>
    </w:rPr>
  </w:style>
  <w:style w:type="paragraph" w:customStyle="1" w:styleId="116">
    <w:name w:val="三级标题"/>
    <w:basedOn w:val="5"/>
    <w:link w:val="117"/>
    <w:qFormat/>
    <w:uiPriority w:val="0"/>
    <w:pPr>
      <w:numPr>
        <w:numId w:val="2"/>
      </w:numPr>
      <w:spacing w:beforeLines="50" w:afterLines="50"/>
      <w:ind w:left="150" w:hanging="200"/>
    </w:pPr>
    <w:rPr>
      <w:rFonts w:ascii="宋体" w:hAnsi="宋体" w:cs="Arial Unicode MS"/>
      <w:bCs/>
    </w:rPr>
  </w:style>
  <w:style w:type="character" w:customStyle="1" w:styleId="117">
    <w:name w:val="三级标题 Char"/>
    <w:link w:val="116"/>
    <w:qFormat/>
    <w:uiPriority w:val="0"/>
    <w:rPr>
      <w:rFonts w:ascii="宋体" w:hAnsi="宋体" w:eastAsia="黑体" w:cs="Arial Unicode MS"/>
      <w:bCs/>
      <w:color w:val="000000"/>
      <w:sz w:val="28"/>
    </w:rPr>
  </w:style>
  <w:style w:type="paragraph" w:customStyle="1" w:styleId="118">
    <w:name w:val="小表"/>
    <w:basedOn w:val="1"/>
    <w:qFormat/>
    <w:uiPriority w:val="0"/>
    <w:pPr>
      <w:widowControl/>
      <w:overflowPunct w:val="0"/>
      <w:autoSpaceDE w:val="0"/>
      <w:autoSpaceDN w:val="0"/>
      <w:adjustRightInd w:val="0"/>
      <w:jc w:val="center"/>
      <w:textAlignment w:val="bottom"/>
    </w:pPr>
    <w:rPr>
      <w:kern w:val="0"/>
      <w:szCs w:val="20"/>
    </w:rPr>
  </w:style>
  <w:style w:type="paragraph" w:customStyle="1" w:styleId="119">
    <w:name w:val="样式2"/>
    <w:basedOn w:val="4"/>
    <w:link w:val="289"/>
    <w:qFormat/>
    <w:uiPriority w:val="0"/>
    <w:pPr>
      <w:numPr>
        <w:numId w:val="2"/>
      </w:numPr>
      <w:tabs>
        <w:tab w:val="left" w:pos="360"/>
      </w:tabs>
      <w:spacing w:beforeLines="50" w:afterLines="50"/>
      <w:ind w:left="100" w:hanging="150"/>
    </w:pPr>
    <w:rPr>
      <w:bCs w:val="0"/>
    </w:rPr>
  </w:style>
  <w:style w:type="paragraph" w:customStyle="1" w:styleId="120">
    <w:name w:val="样式3"/>
    <w:basedOn w:val="5"/>
    <w:link w:val="153"/>
    <w:qFormat/>
    <w:uiPriority w:val="0"/>
    <w:pPr>
      <w:numPr>
        <w:numId w:val="3"/>
      </w:numPr>
      <w:tabs>
        <w:tab w:val="left" w:pos="0"/>
      </w:tabs>
      <w:spacing w:beforeLines="50" w:afterLines="50"/>
    </w:pPr>
    <w:rPr>
      <w:bCs/>
      <w:szCs w:val="28"/>
    </w:rPr>
  </w:style>
  <w:style w:type="paragraph" w:customStyle="1" w:styleId="121">
    <w:name w:val="xl40"/>
    <w:basedOn w:val="1"/>
    <w:qFormat/>
    <w:uiPriority w:val="0"/>
    <w:pPr>
      <w:widowControl/>
      <w:pBdr>
        <w:bottom w:val="single" w:color="auto" w:sz="8" w:space="0"/>
      </w:pBdr>
      <w:spacing w:before="100" w:after="100"/>
      <w:jc w:val="center"/>
    </w:pPr>
    <w:rPr>
      <w:rFonts w:ascii="宋体"/>
      <w:kern w:val="0"/>
      <w:sz w:val="24"/>
      <w:szCs w:val="20"/>
    </w:rPr>
  </w:style>
  <w:style w:type="paragraph" w:customStyle="1" w:styleId="122">
    <w:name w:val="xl31"/>
    <w:basedOn w:val="1"/>
    <w:qFormat/>
    <w:uiPriority w:val="0"/>
    <w:pPr>
      <w:widowControl/>
      <w:pBdr>
        <w:left w:val="single" w:color="auto" w:sz="4" w:space="0"/>
        <w:bottom w:val="single" w:color="auto" w:sz="4" w:space="0"/>
        <w:right w:val="single" w:color="auto" w:sz="4" w:space="0"/>
      </w:pBdr>
      <w:spacing w:before="100" w:beforeAutospacing="1" w:after="100" w:afterAutospacing="1"/>
    </w:pPr>
    <w:rPr>
      <w:rFonts w:ascii="Arial Unicode MS" w:hAnsi="Arial Unicode MS" w:eastAsia="Arial Unicode MS" w:cs="Arial Unicode MS"/>
      <w:kern w:val="0"/>
      <w:szCs w:val="21"/>
    </w:rPr>
  </w:style>
  <w:style w:type="paragraph" w:customStyle="1" w:styleId="123">
    <w:name w:val="四级标题"/>
    <w:basedOn w:val="7"/>
    <w:link w:val="125"/>
    <w:qFormat/>
    <w:uiPriority w:val="0"/>
    <w:pPr>
      <w:numPr>
        <w:numId w:val="2"/>
      </w:numPr>
      <w:spacing w:beforeLines="50" w:afterLines="50"/>
      <w:ind w:left="200"/>
    </w:pPr>
    <w:rPr>
      <w:rFonts w:ascii="宋体" w:hAnsi="宋体"/>
      <w:b/>
      <w:szCs w:val="24"/>
    </w:rPr>
  </w:style>
  <w:style w:type="paragraph" w:customStyle="1" w:styleId="124">
    <w:name w:val="表格，内容"/>
    <w:basedOn w:val="1"/>
    <w:link w:val="2148"/>
    <w:qFormat/>
    <w:uiPriority w:val="0"/>
    <w:pPr>
      <w:jc w:val="center"/>
    </w:pPr>
    <w:rPr>
      <w:spacing w:val="10"/>
      <w:kern w:val="44"/>
    </w:rPr>
  </w:style>
  <w:style w:type="character" w:customStyle="1" w:styleId="125">
    <w:name w:val="四级标题 Char"/>
    <w:link w:val="123"/>
    <w:qFormat/>
    <w:uiPriority w:val="0"/>
    <w:rPr>
      <w:rFonts w:ascii="宋体" w:hAnsi="宋体" w:eastAsia="黑体"/>
      <w:b/>
      <w:bCs/>
      <w:kern w:val="2"/>
      <w:sz w:val="24"/>
      <w:szCs w:val="24"/>
    </w:rPr>
  </w:style>
  <w:style w:type="character" w:customStyle="1" w:styleId="126">
    <w:name w:val="标题 1 字符"/>
    <w:link w:val="3"/>
    <w:qFormat/>
    <w:uiPriority w:val="9"/>
    <w:rPr>
      <w:rFonts w:eastAsia="黑体"/>
      <w:bCs/>
      <w:kern w:val="44"/>
      <w:sz w:val="32"/>
      <w:szCs w:val="44"/>
    </w:rPr>
  </w:style>
  <w:style w:type="character" w:customStyle="1" w:styleId="127">
    <w:name w:val="标题 2 字符"/>
    <w:link w:val="4"/>
    <w:qFormat/>
    <w:uiPriority w:val="9"/>
    <w:rPr>
      <w:rFonts w:eastAsia="黑体"/>
      <w:bCs/>
      <w:kern w:val="2"/>
      <w:sz w:val="30"/>
      <w:szCs w:val="28"/>
      <w:lang w:val="zh-CN"/>
    </w:rPr>
  </w:style>
  <w:style w:type="character" w:customStyle="1" w:styleId="128">
    <w:name w:val="正文文本 2 字符"/>
    <w:link w:val="77"/>
    <w:qFormat/>
    <w:uiPriority w:val="0"/>
    <w:rPr>
      <w:rFonts w:ascii="宋体" w:hAnsi="宋体" w:eastAsia="宋体"/>
      <w:color w:val="000000"/>
      <w:kern w:val="2"/>
      <w:sz w:val="24"/>
      <w:lang w:val="en-US" w:eastAsia="zh-CN" w:bidi="ar-SA"/>
    </w:rPr>
  </w:style>
  <w:style w:type="paragraph" w:customStyle="1" w:styleId="129">
    <w:name w:val="表头"/>
    <w:basedOn w:val="1"/>
    <w:link w:val="608"/>
    <w:qFormat/>
    <w:uiPriority w:val="0"/>
    <w:pPr>
      <w:spacing w:after="120" w:line="360" w:lineRule="auto"/>
      <w:ind w:firstLine="425"/>
      <w:jc w:val="center"/>
    </w:pPr>
    <w:rPr>
      <w:sz w:val="24"/>
      <w:szCs w:val="20"/>
    </w:rPr>
  </w:style>
  <w:style w:type="paragraph" w:customStyle="1" w:styleId="130">
    <w:name w:val="表格 3"/>
    <w:basedOn w:val="1"/>
    <w:qFormat/>
    <w:uiPriority w:val="0"/>
    <w:pPr>
      <w:autoSpaceDE w:val="0"/>
      <w:autoSpaceDN w:val="0"/>
      <w:adjustRightInd w:val="0"/>
      <w:spacing w:line="360" w:lineRule="auto"/>
      <w:ind w:left="105" w:leftChars="50" w:firstLine="299" w:firstLineChars="166"/>
      <w:jc w:val="left"/>
    </w:pPr>
    <w:rPr>
      <w:rFonts w:ascii="宋体" w:hAnsi="宋体"/>
      <w:bCs/>
      <w:iCs/>
      <w:kern w:val="0"/>
      <w:sz w:val="18"/>
      <w:szCs w:val="18"/>
    </w:rPr>
  </w:style>
  <w:style w:type="character" w:customStyle="1" w:styleId="131">
    <w:name w:val="节 Char Char"/>
    <w:qFormat/>
    <w:uiPriority w:val="0"/>
    <w:rPr>
      <w:rFonts w:ascii="Arial" w:hAnsi="Arial" w:eastAsia="黑体"/>
      <w:b/>
      <w:bCs/>
      <w:kern w:val="2"/>
      <w:sz w:val="32"/>
      <w:szCs w:val="32"/>
      <w:lang w:val="en-US" w:eastAsia="zh-CN" w:bidi="ar-SA"/>
    </w:rPr>
  </w:style>
  <w:style w:type="paragraph" w:customStyle="1" w:styleId="132">
    <w:name w:val="style24"/>
    <w:basedOn w:val="1"/>
    <w:qFormat/>
    <w:uiPriority w:val="0"/>
    <w:pPr>
      <w:widowControl/>
      <w:spacing w:before="100" w:beforeAutospacing="1" w:after="100" w:afterAutospacing="1"/>
      <w:jc w:val="left"/>
    </w:pPr>
    <w:rPr>
      <w:rFonts w:ascii="宋体" w:hAnsi="宋体" w:cs="宋体"/>
      <w:kern w:val="0"/>
      <w:sz w:val="20"/>
      <w:szCs w:val="20"/>
    </w:rPr>
  </w:style>
  <w:style w:type="character" w:customStyle="1" w:styleId="133">
    <w:name w:val="style241"/>
    <w:qFormat/>
    <w:uiPriority w:val="0"/>
    <w:rPr>
      <w:sz w:val="20"/>
      <w:szCs w:val="20"/>
    </w:rPr>
  </w:style>
  <w:style w:type="paragraph" w:customStyle="1" w:styleId="134">
    <w:name w:val="文章正文"/>
    <w:basedOn w:val="1"/>
    <w:link w:val="2527"/>
    <w:qFormat/>
    <w:uiPriority w:val="0"/>
    <w:pPr>
      <w:spacing w:beforeLines="50" w:afterLines="50" w:line="360" w:lineRule="auto"/>
      <w:ind w:firstLine="480" w:firstLineChars="200"/>
    </w:pPr>
    <w:rPr>
      <w:rFonts w:ascii="宋体" w:hAnsi="宋体"/>
      <w:sz w:val="24"/>
    </w:rPr>
  </w:style>
  <w:style w:type="paragraph" w:customStyle="1" w:styleId="135">
    <w:name w:val="表格内容"/>
    <w:basedOn w:val="1"/>
    <w:link w:val="924"/>
    <w:qFormat/>
    <w:uiPriority w:val="0"/>
    <w:rPr>
      <w:szCs w:val="18"/>
    </w:rPr>
  </w:style>
  <w:style w:type="paragraph" w:customStyle="1" w:styleId="136">
    <w:name w:val="表格文字"/>
    <w:basedOn w:val="1"/>
    <w:qFormat/>
    <w:uiPriority w:val="0"/>
    <w:pPr>
      <w:spacing w:line="0" w:lineRule="atLeast"/>
      <w:jc w:val="center"/>
    </w:pPr>
    <w:rPr>
      <w:sz w:val="28"/>
      <w:szCs w:val="20"/>
    </w:rPr>
  </w:style>
  <w:style w:type="paragraph" w:customStyle="1" w:styleId="137">
    <w:name w:val="xl2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top"/>
    </w:pPr>
    <w:rPr>
      <w:rFonts w:ascii="Arial Unicode MS" w:hAnsi="Arial Unicode MS" w:eastAsia="Arial Unicode MS"/>
      <w:kern w:val="0"/>
      <w:szCs w:val="21"/>
    </w:rPr>
  </w:style>
  <w:style w:type="paragraph" w:customStyle="1" w:styleId="138">
    <w:name w:val="样式17"/>
    <w:basedOn w:val="1"/>
    <w:link w:val="179"/>
    <w:qFormat/>
    <w:uiPriority w:val="0"/>
    <w:pPr>
      <w:keepNext/>
      <w:keepLines/>
      <w:numPr>
        <w:ilvl w:val="0"/>
        <w:numId w:val="3"/>
      </w:numPr>
      <w:spacing w:beforeLines="50" w:afterLines="50" w:line="360" w:lineRule="auto"/>
      <w:outlineLvl w:val="0"/>
    </w:pPr>
    <w:rPr>
      <w:rFonts w:eastAsia="黑体"/>
      <w:kern w:val="44"/>
      <w:sz w:val="30"/>
      <w:szCs w:val="44"/>
    </w:rPr>
  </w:style>
  <w:style w:type="paragraph" w:customStyle="1" w:styleId="139">
    <w:name w:val="样式12"/>
    <w:basedOn w:val="1"/>
    <w:link w:val="147"/>
    <w:qFormat/>
    <w:uiPriority w:val="0"/>
    <w:pPr>
      <w:keepNext/>
      <w:keepLines/>
      <w:tabs>
        <w:tab w:val="left" w:pos="360"/>
      </w:tabs>
      <w:spacing w:beforeLines="50" w:afterLines="50" w:line="360" w:lineRule="auto"/>
      <w:outlineLvl w:val="1"/>
    </w:pPr>
    <w:rPr>
      <w:rFonts w:eastAsia="黑体"/>
      <w:sz w:val="28"/>
      <w:szCs w:val="28"/>
    </w:rPr>
  </w:style>
  <w:style w:type="paragraph" w:customStyle="1" w:styleId="140">
    <w:name w:val="样式4"/>
    <w:basedOn w:val="138"/>
    <w:link w:val="180"/>
    <w:qFormat/>
    <w:uiPriority w:val="0"/>
    <w:pPr>
      <w:numPr>
        <w:numId w:val="0"/>
      </w:numPr>
      <w:tabs>
        <w:tab w:val="left" w:pos="425"/>
      </w:tabs>
      <w:ind w:left="425" w:hanging="425"/>
    </w:pPr>
  </w:style>
  <w:style w:type="paragraph" w:customStyle="1" w:styleId="141">
    <w:name w:val="样式5"/>
    <w:basedOn w:val="139"/>
    <w:link w:val="148"/>
    <w:qFormat/>
    <w:uiPriority w:val="0"/>
  </w:style>
  <w:style w:type="paragraph" w:customStyle="1" w:styleId="142">
    <w:name w:val="样式15"/>
    <w:basedOn w:val="141"/>
    <w:link w:val="157"/>
    <w:qFormat/>
    <w:uiPriority w:val="0"/>
    <w:pPr>
      <w:keepNext w:val="0"/>
      <w:keepLines w:val="0"/>
      <w:tabs>
        <w:tab w:val="clear" w:pos="360"/>
      </w:tabs>
      <w:spacing w:beforeLines="0" w:afterLines="0"/>
      <w:ind w:firstLine="600" w:firstLineChars="250"/>
      <w:outlineLvl w:val="9"/>
    </w:pPr>
    <w:rPr>
      <w:rFonts w:ascii="宋体" w:eastAsia="宋体"/>
      <w:sz w:val="24"/>
      <w:szCs w:val="24"/>
    </w:rPr>
  </w:style>
  <w:style w:type="paragraph" w:customStyle="1" w:styleId="143">
    <w:name w:val="样式6"/>
    <w:basedOn w:val="142"/>
    <w:link w:val="158"/>
    <w:qFormat/>
    <w:uiPriority w:val="0"/>
    <w:pPr/>
  </w:style>
  <w:style w:type="paragraph" w:customStyle="1" w:styleId="144">
    <w:name w:val="样式13"/>
    <w:basedOn w:val="120"/>
    <w:link w:val="154"/>
    <w:qFormat/>
    <w:uiPriority w:val="0"/>
    <w:pPr>
      <w:numPr>
        <w:ilvl w:val="0"/>
        <w:numId w:val="0"/>
      </w:numPr>
      <w:tabs>
        <w:tab w:val="left" w:pos="360"/>
        <w:tab w:val="left" w:pos="540"/>
        <w:tab w:val="left" w:pos="862"/>
      </w:tabs>
    </w:pPr>
    <w:rPr>
      <w:b/>
      <w:szCs w:val="32"/>
    </w:rPr>
  </w:style>
  <w:style w:type="paragraph" w:customStyle="1" w:styleId="145">
    <w:name w:val="样式7"/>
    <w:basedOn w:val="144"/>
    <w:link w:val="155"/>
    <w:qFormat/>
    <w:uiPriority w:val="0"/>
  </w:style>
  <w:style w:type="paragraph" w:customStyle="1" w:styleId="146">
    <w:name w:val="样式8"/>
    <w:basedOn w:val="141"/>
    <w:link w:val="149"/>
    <w:qFormat/>
    <w:uiPriority w:val="0"/>
    <w:pPr>
      <w:spacing w:before="120" w:after="120"/>
    </w:pPr>
    <w:rPr>
      <w:snapToGrid w:val="0"/>
    </w:rPr>
  </w:style>
  <w:style w:type="character" w:customStyle="1" w:styleId="147">
    <w:name w:val="样式12 Char"/>
    <w:link w:val="139"/>
    <w:qFormat/>
    <w:uiPriority w:val="0"/>
    <w:rPr>
      <w:rFonts w:eastAsia="黑体"/>
      <w:kern w:val="2"/>
      <w:sz w:val="28"/>
      <w:szCs w:val="28"/>
    </w:rPr>
  </w:style>
  <w:style w:type="character" w:customStyle="1" w:styleId="148">
    <w:name w:val="样式5 Char"/>
    <w:link w:val="141"/>
    <w:qFormat/>
    <w:uiPriority w:val="0"/>
    <w:rPr>
      <w:rFonts w:eastAsia="黑体"/>
      <w:kern w:val="2"/>
      <w:sz w:val="28"/>
      <w:szCs w:val="28"/>
    </w:rPr>
  </w:style>
  <w:style w:type="character" w:customStyle="1" w:styleId="149">
    <w:name w:val="样式8 Char"/>
    <w:link w:val="146"/>
    <w:qFormat/>
    <w:uiPriority w:val="0"/>
    <w:rPr>
      <w:rFonts w:eastAsia="黑体"/>
      <w:snapToGrid w:val="0"/>
      <w:kern w:val="2"/>
      <w:sz w:val="28"/>
      <w:szCs w:val="28"/>
    </w:rPr>
  </w:style>
  <w:style w:type="paragraph" w:customStyle="1" w:styleId="150">
    <w:name w:val="样式14"/>
    <w:basedOn w:val="140"/>
    <w:link w:val="181"/>
    <w:qFormat/>
    <w:uiPriority w:val="0"/>
    <w:pPr>
      <w:numPr>
        <w:ilvl w:val="3"/>
      </w:numPr>
      <w:tabs>
        <w:tab w:val="left" w:pos="720"/>
      </w:tabs>
      <w:ind w:left="425" w:hanging="425"/>
      <w:outlineLvl w:val="3"/>
    </w:pPr>
    <w:rPr>
      <w:rFonts w:eastAsia="宋体"/>
      <w:kern w:val="2"/>
      <w:sz w:val="24"/>
      <w:szCs w:val="28"/>
    </w:rPr>
  </w:style>
  <w:style w:type="paragraph" w:customStyle="1" w:styleId="151">
    <w:name w:val="样式9"/>
    <w:basedOn w:val="150"/>
    <w:link w:val="182"/>
    <w:qFormat/>
    <w:uiPriority w:val="0"/>
    <w:pPr>
      <w:spacing w:before="120" w:after="120"/>
    </w:pPr>
  </w:style>
  <w:style w:type="paragraph" w:customStyle="1" w:styleId="152">
    <w:name w:val="样式10"/>
    <w:basedOn w:val="143"/>
    <w:link w:val="513"/>
    <w:qFormat/>
    <w:uiPriority w:val="0"/>
    <w:pPr>
      <w:ind w:firstLine="480" w:firstLineChars="200"/>
    </w:pPr>
  </w:style>
  <w:style w:type="character" w:customStyle="1" w:styleId="153">
    <w:name w:val="样式3 Char"/>
    <w:link w:val="120"/>
    <w:qFormat/>
    <w:uiPriority w:val="0"/>
    <w:rPr>
      <w:rFonts w:eastAsia="黑体"/>
      <w:bCs/>
      <w:color w:val="000000"/>
      <w:sz w:val="28"/>
      <w:szCs w:val="28"/>
    </w:rPr>
  </w:style>
  <w:style w:type="character" w:customStyle="1" w:styleId="154">
    <w:name w:val="样式13 Char"/>
    <w:link w:val="144"/>
    <w:qFormat/>
    <w:uiPriority w:val="0"/>
    <w:rPr>
      <w:rFonts w:eastAsia="黑体"/>
      <w:bCs/>
      <w:kern w:val="2"/>
      <w:sz w:val="24"/>
      <w:szCs w:val="32"/>
      <w:lang w:val="en-US" w:eastAsia="zh-CN" w:bidi="ar-SA"/>
    </w:rPr>
  </w:style>
  <w:style w:type="character" w:customStyle="1" w:styleId="155">
    <w:name w:val="样式7 Char"/>
    <w:link w:val="145"/>
    <w:qFormat/>
    <w:uiPriority w:val="0"/>
    <w:rPr>
      <w:rFonts w:eastAsia="黑体"/>
      <w:bCs/>
      <w:kern w:val="2"/>
      <w:sz w:val="24"/>
      <w:szCs w:val="32"/>
      <w:lang w:val="en-US" w:eastAsia="zh-CN" w:bidi="ar-SA"/>
    </w:rPr>
  </w:style>
  <w:style w:type="paragraph" w:customStyle="1" w:styleId="156">
    <w:name w:val="样式11"/>
    <w:basedOn w:val="143"/>
    <w:link w:val="159"/>
    <w:qFormat/>
    <w:uiPriority w:val="99"/>
    <w:pPr>
      <w:ind w:firstLine="1157" w:firstLineChars="549"/>
    </w:pPr>
    <w:rPr>
      <w:b/>
      <w:sz w:val="21"/>
      <w:szCs w:val="21"/>
    </w:rPr>
  </w:style>
  <w:style w:type="character" w:customStyle="1" w:styleId="157">
    <w:name w:val="样式15 Char"/>
    <w:link w:val="142"/>
    <w:qFormat/>
    <w:uiPriority w:val="0"/>
    <w:rPr>
      <w:rFonts w:ascii="宋体" w:eastAsia="宋体"/>
      <w:kern w:val="2"/>
      <w:sz w:val="24"/>
      <w:szCs w:val="24"/>
    </w:rPr>
  </w:style>
  <w:style w:type="character" w:customStyle="1" w:styleId="158">
    <w:name w:val="样式6 Char"/>
    <w:link w:val="143"/>
    <w:qFormat/>
    <w:uiPriority w:val="0"/>
    <w:rPr>
      <w:rFonts w:ascii="宋体" w:eastAsia="宋体"/>
      <w:kern w:val="2"/>
      <w:sz w:val="24"/>
      <w:szCs w:val="24"/>
    </w:rPr>
  </w:style>
  <w:style w:type="character" w:customStyle="1" w:styleId="159">
    <w:name w:val="样式11 Char"/>
    <w:link w:val="156"/>
    <w:qFormat/>
    <w:uiPriority w:val="0"/>
    <w:rPr>
      <w:rFonts w:ascii="宋体" w:eastAsia="宋体"/>
      <w:b/>
      <w:kern w:val="2"/>
      <w:sz w:val="21"/>
      <w:szCs w:val="21"/>
    </w:rPr>
  </w:style>
  <w:style w:type="character" w:customStyle="1" w:styleId="160">
    <w:name w:val="纯文本 字符"/>
    <w:link w:val="46"/>
    <w:qFormat/>
    <w:uiPriority w:val="0"/>
    <w:rPr>
      <w:rFonts w:ascii="宋体" w:hAnsi="Courier New" w:eastAsia="宋体" w:cs="Courier New"/>
      <w:kern w:val="2"/>
      <w:sz w:val="21"/>
      <w:szCs w:val="21"/>
      <w:lang w:val="en-US" w:eastAsia="zh-CN" w:bidi="ar-SA"/>
    </w:rPr>
  </w:style>
  <w:style w:type="character" w:customStyle="1" w:styleId="161">
    <w:name w:val="正文缩进 字符"/>
    <w:link w:val="22"/>
    <w:qFormat/>
    <w:uiPriority w:val="0"/>
    <w:rPr>
      <w:rFonts w:eastAsia="宋体"/>
      <w:kern w:val="2"/>
      <w:sz w:val="24"/>
      <w:szCs w:val="24"/>
      <w:lang w:val="en-US" w:eastAsia="zh-CN" w:bidi="ar-SA"/>
    </w:rPr>
  </w:style>
  <w:style w:type="character" w:customStyle="1" w:styleId="162">
    <w:name w:val="报告书3 加粗 黑色 两端对齐 行距: 1.5 倍行距 Char"/>
    <w:link w:val="163"/>
    <w:qFormat/>
    <w:uiPriority w:val="0"/>
    <w:rPr>
      <w:rFonts w:eastAsia="黑体" w:cs="宋体"/>
      <w:bCs/>
      <w:color w:val="000000"/>
      <w:sz w:val="24"/>
    </w:rPr>
  </w:style>
  <w:style w:type="paragraph" w:customStyle="1" w:styleId="163">
    <w:name w:val="报告书3 加粗 黑色 两端对齐 行距: 1.5 倍行距"/>
    <w:basedOn w:val="5"/>
    <w:link w:val="162"/>
    <w:qFormat/>
    <w:uiPriority w:val="0"/>
    <w:pPr>
      <w:numPr>
        <w:ilvl w:val="0"/>
        <w:numId w:val="0"/>
      </w:numPr>
      <w:ind w:left="150" w:leftChars="150" w:hanging="200" w:hangingChars="200"/>
    </w:pPr>
    <w:rPr>
      <w:rFonts w:cs="宋体"/>
      <w:bCs/>
    </w:rPr>
  </w:style>
  <w:style w:type="paragraph" w:customStyle="1" w:styleId="164">
    <w:name w:val="报告书 标题 2SeHead wsa2Chapter TitleChapter + 黑体"/>
    <w:basedOn w:val="4"/>
    <w:link w:val="165"/>
    <w:qFormat/>
    <w:uiPriority w:val="0"/>
    <w:pPr>
      <w:widowControl/>
      <w:numPr>
        <w:ilvl w:val="0"/>
        <w:numId w:val="0"/>
      </w:numPr>
      <w:spacing w:before="240" w:after="120"/>
      <w:ind w:left="100" w:leftChars="100" w:hanging="150" w:hangingChars="150"/>
      <w:jc w:val="left"/>
    </w:pPr>
    <w:rPr>
      <w:rFonts w:ascii="黑体" w:hAnsi="黑体"/>
      <w:color w:val="000000"/>
      <w:kern w:val="0"/>
      <w:szCs w:val="20"/>
    </w:rPr>
  </w:style>
  <w:style w:type="character" w:customStyle="1" w:styleId="165">
    <w:name w:val="报告书 标题 2SeHead wsa2Chapter TitleChapter + 黑体 Char"/>
    <w:link w:val="164"/>
    <w:qFormat/>
    <w:uiPriority w:val="0"/>
    <w:rPr>
      <w:rFonts w:ascii="黑体" w:hAnsi="黑体" w:eastAsia="黑体"/>
      <w:bCs/>
      <w:color w:val="000000"/>
      <w:sz w:val="28"/>
      <w:lang w:val="zh-CN"/>
    </w:rPr>
  </w:style>
  <w:style w:type="paragraph" w:customStyle="1" w:styleId="166">
    <w:name w:val="样式16"/>
    <w:basedOn w:val="141"/>
    <w:qFormat/>
    <w:uiPriority w:val="99"/>
    <w:rPr>
      <w:kern w:val="0"/>
    </w:rPr>
  </w:style>
  <w:style w:type="paragraph" w:customStyle="1" w:styleId="167">
    <w:name w:val="样式18"/>
    <w:basedOn w:val="144"/>
    <w:link w:val="2192"/>
    <w:qFormat/>
    <w:uiPriority w:val="0"/>
    <w:pPr>
      <w:tabs>
        <w:tab w:val="left" w:pos="1571"/>
      </w:tabs>
      <w:ind w:left="1418"/>
    </w:pPr>
  </w:style>
  <w:style w:type="paragraph" w:customStyle="1" w:styleId="168">
    <w:name w:val="样式19"/>
    <w:basedOn w:val="151"/>
    <w:link w:val="2623"/>
    <w:qFormat/>
    <w:uiPriority w:val="0"/>
    <w:pPr>
      <w:spacing w:before="156" w:after="156"/>
    </w:pPr>
    <w:rPr>
      <w:kern w:val="0"/>
    </w:rPr>
  </w:style>
  <w:style w:type="paragraph" w:customStyle="1" w:styleId="169">
    <w:name w:val="样式20"/>
    <w:basedOn w:val="1"/>
    <w:link w:val="2396"/>
    <w:qFormat/>
    <w:uiPriority w:val="99"/>
    <w:pPr>
      <w:spacing w:line="360" w:lineRule="auto"/>
      <w:ind w:firstLine="480" w:firstLineChars="200"/>
    </w:pPr>
    <w:rPr>
      <w:rFonts w:ascii="宋体" w:hAnsi="宋体"/>
      <w:sz w:val="24"/>
    </w:rPr>
  </w:style>
  <w:style w:type="paragraph" w:customStyle="1" w:styleId="170">
    <w:name w:val="报告书 标题 1 Head 1wsah1 + 黑体 小三"/>
    <w:basedOn w:val="3"/>
    <w:link w:val="171"/>
    <w:qFormat/>
    <w:uiPriority w:val="0"/>
    <w:pPr>
      <w:widowControl/>
      <w:numPr>
        <w:numId w:val="0"/>
      </w:numPr>
      <w:adjustRightInd w:val="0"/>
      <w:snapToGrid w:val="0"/>
      <w:spacing w:beforeLines="50" w:afterLines="50"/>
      <w:ind w:left="432" w:hanging="432"/>
    </w:pPr>
    <w:rPr>
      <w:color w:val="000000"/>
      <w:sz w:val="30"/>
      <w:szCs w:val="30"/>
    </w:rPr>
  </w:style>
  <w:style w:type="character" w:customStyle="1" w:styleId="171">
    <w:name w:val="报告书 标题 1 Head 1wsah1 + 黑体 小三 Char"/>
    <w:link w:val="170"/>
    <w:qFormat/>
    <w:uiPriority w:val="0"/>
    <w:rPr>
      <w:rFonts w:eastAsia="黑体"/>
      <w:bCs/>
      <w:color w:val="000000"/>
      <w:kern w:val="44"/>
      <w:sz w:val="30"/>
      <w:szCs w:val="30"/>
    </w:rPr>
  </w:style>
  <w:style w:type="character" w:customStyle="1" w:styleId="172">
    <w:name w:val="已访问的超链接111"/>
    <w:qFormat/>
    <w:uiPriority w:val="99"/>
    <w:rPr>
      <w:color w:val="800080"/>
      <w:u w:val="single"/>
    </w:rPr>
  </w:style>
  <w:style w:type="paragraph" w:customStyle="1" w:styleId="173">
    <w:name w:val="样式21"/>
    <w:basedOn w:val="141"/>
    <w:qFormat/>
    <w:uiPriority w:val="99"/>
    <w:pPr>
      <w:spacing w:before="120" w:after="120"/>
      <w:ind w:hanging="992"/>
    </w:pPr>
    <w:rPr>
      <w:kern w:val="0"/>
    </w:rPr>
  </w:style>
  <w:style w:type="paragraph" w:customStyle="1" w:styleId="174">
    <w:name w:val="样式22"/>
    <w:basedOn w:val="145"/>
    <w:link w:val="177"/>
    <w:qFormat/>
    <w:uiPriority w:val="0"/>
    <w:pPr>
      <w:spacing w:before="120" w:after="120"/>
    </w:pPr>
  </w:style>
  <w:style w:type="paragraph" w:customStyle="1" w:styleId="175">
    <w:name w:val="样式23"/>
    <w:basedOn w:val="1"/>
    <w:qFormat/>
    <w:uiPriority w:val="0"/>
    <w:pPr>
      <w:spacing w:beforeLines="50" w:afterLines="50" w:line="360" w:lineRule="auto"/>
      <w:ind w:firstLine="482"/>
    </w:pPr>
    <w:rPr>
      <w:rFonts w:hAnsi="宋体"/>
      <w:sz w:val="24"/>
    </w:rPr>
  </w:style>
  <w:style w:type="paragraph" w:customStyle="1" w:styleId="176">
    <w:name w:val="样式24"/>
    <w:basedOn w:val="151"/>
    <w:link w:val="183"/>
    <w:qFormat/>
    <w:uiPriority w:val="0"/>
    <w:pPr>
      <w:spacing w:before="156" w:after="156"/>
    </w:pPr>
    <w:rPr>
      <w:kern w:val="0"/>
    </w:rPr>
  </w:style>
  <w:style w:type="character" w:customStyle="1" w:styleId="177">
    <w:name w:val="样式22 Char"/>
    <w:link w:val="174"/>
    <w:qFormat/>
    <w:uiPriority w:val="0"/>
    <w:rPr>
      <w:rFonts w:eastAsia="黑体"/>
      <w:bCs/>
      <w:kern w:val="2"/>
      <w:sz w:val="24"/>
      <w:szCs w:val="32"/>
      <w:lang w:val="en-US" w:eastAsia="zh-CN" w:bidi="ar-SA"/>
    </w:rPr>
  </w:style>
  <w:style w:type="paragraph" w:customStyle="1" w:styleId="178">
    <w:name w:val="样式25"/>
    <w:basedOn w:val="140"/>
    <w:qFormat/>
    <w:uiPriority w:val="0"/>
    <w:pPr>
      <w:tabs>
        <w:tab w:val="left" w:pos="180"/>
      </w:tabs>
      <w:spacing w:before="120" w:after="120"/>
      <w:ind w:left="180" w:hanging="180"/>
    </w:pPr>
  </w:style>
  <w:style w:type="character" w:customStyle="1" w:styleId="179">
    <w:name w:val="样式17 Char"/>
    <w:link w:val="138"/>
    <w:qFormat/>
    <w:uiPriority w:val="0"/>
    <w:rPr>
      <w:rFonts w:eastAsia="黑体"/>
      <w:kern w:val="44"/>
      <w:sz w:val="30"/>
      <w:szCs w:val="44"/>
    </w:rPr>
  </w:style>
  <w:style w:type="character" w:customStyle="1" w:styleId="180">
    <w:name w:val="样式4 Char"/>
    <w:link w:val="140"/>
    <w:qFormat/>
    <w:uiPriority w:val="0"/>
    <w:rPr>
      <w:rFonts w:eastAsia="黑体"/>
      <w:kern w:val="44"/>
      <w:sz w:val="30"/>
      <w:szCs w:val="44"/>
    </w:rPr>
  </w:style>
  <w:style w:type="character" w:customStyle="1" w:styleId="181">
    <w:name w:val="样式14 Char"/>
    <w:link w:val="150"/>
    <w:qFormat/>
    <w:uiPriority w:val="0"/>
    <w:rPr>
      <w:rFonts w:eastAsia="黑体"/>
      <w:kern w:val="2"/>
      <w:sz w:val="24"/>
      <w:szCs w:val="28"/>
    </w:rPr>
  </w:style>
  <w:style w:type="character" w:customStyle="1" w:styleId="182">
    <w:name w:val="样式9 Char"/>
    <w:link w:val="151"/>
    <w:qFormat/>
    <w:uiPriority w:val="0"/>
    <w:rPr>
      <w:rFonts w:eastAsia="黑体"/>
      <w:kern w:val="2"/>
      <w:sz w:val="24"/>
      <w:szCs w:val="28"/>
    </w:rPr>
  </w:style>
  <w:style w:type="character" w:customStyle="1" w:styleId="183">
    <w:name w:val="样式24 Char"/>
    <w:link w:val="176"/>
    <w:qFormat/>
    <w:uiPriority w:val="0"/>
    <w:rPr>
      <w:rFonts w:eastAsia="黑体"/>
      <w:kern w:val="2"/>
      <w:sz w:val="24"/>
      <w:szCs w:val="28"/>
    </w:rPr>
  </w:style>
  <w:style w:type="paragraph" w:customStyle="1" w:styleId="184">
    <w:name w:val="样式26"/>
    <w:basedOn w:val="173"/>
    <w:link w:val="2168"/>
    <w:qFormat/>
    <w:uiPriority w:val="0"/>
    <w:pPr>
      <w:tabs>
        <w:tab w:val="left" w:pos="0"/>
        <w:tab w:val="left" w:pos="540"/>
        <w:tab w:val="clear" w:pos="360"/>
      </w:tabs>
    </w:pPr>
  </w:style>
  <w:style w:type="paragraph" w:customStyle="1" w:styleId="185">
    <w:name w:val="样式27"/>
    <w:basedOn w:val="163"/>
    <w:qFormat/>
    <w:uiPriority w:val="0"/>
    <w:pPr>
      <w:spacing w:before="50" w:after="50"/>
    </w:pPr>
  </w:style>
  <w:style w:type="paragraph" w:customStyle="1" w:styleId="186">
    <w:name w:val="样式28"/>
    <w:basedOn w:val="151"/>
    <w:qFormat/>
    <w:uiPriority w:val="0"/>
  </w:style>
  <w:style w:type="paragraph" w:customStyle="1" w:styleId="187">
    <w:name w:val="样式29"/>
    <w:basedOn w:val="140"/>
    <w:qFormat/>
    <w:uiPriority w:val="0"/>
    <w:pPr>
      <w:spacing w:before="120" w:after="120"/>
    </w:pPr>
  </w:style>
  <w:style w:type="paragraph" w:customStyle="1" w:styleId="188">
    <w:name w:val="样式30"/>
    <w:basedOn w:val="1"/>
    <w:link w:val="237"/>
    <w:qFormat/>
    <w:uiPriority w:val="0"/>
    <w:pPr>
      <w:spacing w:beforeLines="50" w:afterLines="50" w:line="360" w:lineRule="auto"/>
      <w:ind w:firstLine="480" w:firstLineChars="200"/>
    </w:pPr>
    <w:rPr>
      <w:sz w:val="24"/>
    </w:rPr>
  </w:style>
  <w:style w:type="paragraph" w:customStyle="1" w:styleId="189">
    <w:name w:val="样式31"/>
    <w:basedOn w:val="156"/>
    <w:qFormat/>
    <w:uiPriority w:val="0"/>
    <w:pPr>
      <w:ind w:firstLine="1261" w:firstLineChars="598"/>
    </w:pPr>
  </w:style>
  <w:style w:type="paragraph" w:customStyle="1" w:styleId="190">
    <w:name w:val="样式32"/>
    <w:basedOn w:val="174"/>
    <w:qFormat/>
    <w:uiPriority w:val="0"/>
  </w:style>
  <w:style w:type="paragraph" w:customStyle="1" w:styleId="191">
    <w:name w:val="样式33"/>
    <w:basedOn w:val="174"/>
    <w:qFormat/>
    <w:uiPriority w:val="0"/>
  </w:style>
  <w:style w:type="paragraph" w:customStyle="1" w:styleId="192">
    <w:name w:val="样式34"/>
    <w:basedOn w:val="4"/>
    <w:link w:val="2247"/>
    <w:qFormat/>
    <w:uiPriority w:val="0"/>
    <w:pPr>
      <w:numPr>
        <w:ilvl w:val="0"/>
        <w:numId w:val="0"/>
      </w:numPr>
      <w:spacing w:beforeLines="50" w:afterLines="50"/>
      <w:ind w:left="100" w:leftChars="100" w:hanging="150" w:hangingChars="150"/>
    </w:pPr>
    <w:rPr>
      <w:snapToGrid w:val="0"/>
    </w:rPr>
  </w:style>
  <w:style w:type="paragraph" w:customStyle="1" w:styleId="193">
    <w:name w:val="样式35"/>
    <w:basedOn w:val="184"/>
    <w:qFormat/>
    <w:uiPriority w:val="0"/>
    <w:pPr>
      <w:tabs>
        <w:tab w:val="left" w:pos="992"/>
        <w:tab w:val="clear" w:pos="540"/>
      </w:tabs>
      <w:ind w:hanging="567"/>
    </w:pPr>
  </w:style>
  <w:style w:type="character" w:customStyle="1" w:styleId="194">
    <w:name w:val="正文首行缩进 Char"/>
    <w:link w:val="195"/>
    <w:qFormat/>
    <w:uiPriority w:val="0"/>
    <w:rPr>
      <w:kern w:val="2"/>
      <w:sz w:val="24"/>
      <w:lang w:bidi="ar-SA"/>
    </w:rPr>
  </w:style>
  <w:style w:type="paragraph" w:customStyle="1" w:styleId="195">
    <w:name w:val="正文首行缩进1"/>
    <w:basedOn w:val="1"/>
    <w:link w:val="194"/>
    <w:qFormat/>
    <w:uiPriority w:val="0"/>
    <w:pPr>
      <w:snapToGrid w:val="0"/>
      <w:spacing w:line="360" w:lineRule="auto"/>
      <w:ind w:firstLine="200" w:firstLineChars="200"/>
    </w:pPr>
    <w:rPr>
      <w:rFonts w:eastAsia="Times New Roman"/>
      <w:sz w:val="24"/>
      <w:szCs w:val="20"/>
    </w:rPr>
  </w:style>
  <w:style w:type="paragraph" w:customStyle="1" w:styleId="196">
    <w:name w:val="样式36"/>
    <w:basedOn w:val="145"/>
    <w:link w:val="1984"/>
    <w:qFormat/>
    <w:uiPriority w:val="0"/>
    <w:pPr>
      <w:spacing w:before="120" w:after="120"/>
      <w:ind w:hanging="1418"/>
    </w:pPr>
  </w:style>
  <w:style w:type="paragraph" w:customStyle="1" w:styleId="197">
    <w:name w:val="样式37"/>
    <w:basedOn w:val="141"/>
    <w:qFormat/>
    <w:uiPriority w:val="0"/>
    <w:pPr>
      <w:spacing w:before="120" w:after="120"/>
      <w:ind w:hanging="992"/>
    </w:pPr>
    <w:rPr>
      <w:kern w:val="0"/>
    </w:rPr>
  </w:style>
  <w:style w:type="paragraph" w:customStyle="1" w:styleId="198">
    <w:name w:val="报告正文"/>
    <w:basedOn w:val="1"/>
    <w:link w:val="593"/>
    <w:qFormat/>
    <w:uiPriority w:val="0"/>
    <w:pPr>
      <w:adjustRightInd w:val="0"/>
      <w:snapToGrid w:val="0"/>
      <w:spacing w:line="360" w:lineRule="auto"/>
      <w:ind w:firstLine="200" w:firstLineChars="200"/>
    </w:pPr>
    <w:rPr>
      <w:rFonts w:ascii="宋体"/>
      <w:sz w:val="24"/>
      <w:szCs w:val="20"/>
    </w:rPr>
  </w:style>
  <w:style w:type="paragraph" w:customStyle="1" w:styleId="199">
    <w:name w:val="样式38"/>
    <w:basedOn w:val="145"/>
    <w:qFormat/>
    <w:uiPriority w:val="0"/>
    <w:pPr>
      <w:spacing w:before="120" w:after="120"/>
    </w:pPr>
  </w:style>
  <w:style w:type="paragraph" w:customStyle="1" w:styleId="200">
    <w:name w:val="样式39"/>
    <w:basedOn w:val="151"/>
    <w:qFormat/>
    <w:uiPriority w:val="0"/>
    <w:pPr>
      <w:ind w:hanging="1984"/>
    </w:pPr>
  </w:style>
  <w:style w:type="paragraph" w:customStyle="1" w:styleId="201">
    <w:name w:val="样式40"/>
    <w:basedOn w:val="200"/>
    <w:qFormat/>
    <w:uiPriority w:val="0"/>
    <w:pPr>
      <w:ind w:hanging="708"/>
    </w:pPr>
  </w:style>
  <w:style w:type="paragraph" w:customStyle="1" w:styleId="202">
    <w:name w:val="样式41"/>
    <w:basedOn w:val="22"/>
    <w:qFormat/>
    <w:uiPriority w:val="0"/>
    <w:pPr>
      <w:spacing w:line="360" w:lineRule="auto"/>
      <w:ind w:firstLine="938" w:firstLineChars="445"/>
    </w:pPr>
    <w:rPr>
      <w:b/>
      <w:color w:val="000000"/>
      <w:sz w:val="21"/>
      <w:szCs w:val="21"/>
    </w:rPr>
  </w:style>
  <w:style w:type="paragraph" w:customStyle="1" w:styleId="203">
    <w:name w:val="样式 正文首行缩进:  2 字符 + 首行缩进:  2 字符"/>
    <w:basedOn w:val="1"/>
    <w:qFormat/>
    <w:uiPriority w:val="0"/>
    <w:pPr>
      <w:spacing w:line="360" w:lineRule="auto"/>
      <w:ind w:firstLine="480" w:firstLineChars="200"/>
    </w:pPr>
    <w:rPr>
      <w:rFonts w:cs="宋体"/>
      <w:sz w:val="24"/>
      <w:szCs w:val="20"/>
    </w:rPr>
  </w:style>
  <w:style w:type="paragraph" w:customStyle="1" w:styleId="204">
    <w:name w:val="样式42"/>
    <w:basedOn w:val="151"/>
    <w:qFormat/>
    <w:uiPriority w:val="0"/>
    <w:pPr>
      <w:ind w:hanging="1984"/>
    </w:pPr>
  </w:style>
  <w:style w:type="paragraph" w:customStyle="1" w:styleId="205">
    <w:name w:val="样式43"/>
    <w:basedOn w:val="204"/>
    <w:link w:val="2095"/>
    <w:qFormat/>
    <w:uiPriority w:val="0"/>
    <w:pPr>
      <w:ind w:hanging="708"/>
    </w:pPr>
  </w:style>
  <w:style w:type="paragraph" w:customStyle="1" w:styleId="206">
    <w:name w:val="样式44"/>
    <w:basedOn w:val="1"/>
    <w:qFormat/>
    <w:uiPriority w:val="0"/>
    <w:pPr>
      <w:autoSpaceDE w:val="0"/>
      <w:autoSpaceDN w:val="0"/>
      <w:adjustRightInd w:val="0"/>
      <w:spacing w:beforeLines="50" w:afterLines="50" w:line="360" w:lineRule="auto"/>
      <w:ind w:firstLine="480" w:firstLineChars="200"/>
      <w:jc w:val="left"/>
    </w:pPr>
    <w:rPr>
      <w:kern w:val="0"/>
      <w:sz w:val="24"/>
    </w:rPr>
  </w:style>
  <w:style w:type="paragraph" w:customStyle="1" w:styleId="207">
    <w:name w:val="样式45"/>
    <w:basedOn w:val="201"/>
    <w:qFormat/>
    <w:uiPriority w:val="0"/>
  </w:style>
  <w:style w:type="paragraph" w:customStyle="1" w:styleId="208">
    <w:name w:val="表格1"/>
    <w:basedOn w:val="1"/>
    <w:link w:val="1277"/>
    <w:qFormat/>
    <w:uiPriority w:val="0"/>
    <w:pPr>
      <w:overflowPunct w:val="0"/>
      <w:adjustRightInd w:val="0"/>
      <w:snapToGrid w:val="0"/>
      <w:spacing w:line="460" w:lineRule="atLeast"/>
      <w:jc w:val="center"/>
      <w:textAlignment w:val="baseline"/>
    </w:pPr>
    <w:rPr>
      <w:b/>
      <w:bCs/>
      <w:color w:val="000000"/>
      <w:kern w:val="0"/>
      <w:sz w:val="24"/>
      <w:szCs w:val="20"/>
    </w:rPr>
  </w:style>
  <w:style w:type="paragraph" w:customStyle="1" w:styleId="209">
    <w:name w:val="表标题"/>
    <w:basedOn w:val="1"/>
    <w:link w:val="578"/>
    <w:qFormat/>
    <w:uiPriority w:val="0"/>
    <w:pPr>
      <w:adjustRightInd w:val="0"/>
      <w:spacing w:before="180" w:line="312" w:lineRule="auto"/>
      <w:jc w:val="center"/>
      <w:textAlignment w:val="baseline"/>
    </w:pPr>
    <w:rPr>
      <w:b/>
      <w:kern w:val="0"/>
      <w:sz w:val="24"/>
      <w:szCs w:val="20"/>
    </w:rPr>
  </w:style>
  <w:style w:type="paragraph" w:customStyle="1" w:styleId="210">
    <w:name w:val="样式46"/>
    <w:basedOn w:val="145"/>
    <w:qFormat/>
    <w:uiPriority w:val="0"/>
    <w:pPr>
      <w:spacing w:before="120" w:after="120"/>
    </w:pPr>
    <w:rPr>
      <w:snapToGrid w:val="0"/>
    </w:rPr>
  </w:style>
  <w:style w:type="paragraph" w:customStyle="1" w:styleId="211">
    <w:name w:val="样式47"/>
    <w:basedOn w:val="145"/>
    <w:qFormat/>
    <w:uiPriority w:val="0"/>
    <w:pPr>
      <w:spacing w:before="120" w:after="120"/>
    </w:pPr>
    <w:rPr>
      <w:snapToGrid w:val="0"/>
    </w:rPr>
  </w:style>
  <w:style w:type="paragraph" w:customStyle="1" w:styleId="212">
    <w:name w:val="样式48"/>
    <w:basedOn w:val="139"/>
    <w:link w:val="232"/>
    <w:qFormat/>
    <w:uiPriority w:val="0"/>
    <w:pPr>
      <w:spacing w:before="120" w:after="120"/>
    </w:pPr>
  </w:style>
  <w:style w:type="paragraph" w:customStyle="1" w:styleId="213">
    <w:name w:val="样式49"/>
    <w:basedOn w:val="145"/>
    <w:qFormat/>
    <w:uiPriority w:val="0"/>
    <w:pPr>
      <w:spacing w:before="120" w:after="120"/>
      <w:ind w:hanging="747"/>
    </w:pPr>
  </w:style>
  <w:style w:type="character" w:customStyle="1" w:styleId="214">
    <w:name w:val="表格 Char"/>
    <w:link w:val="113"/>
    <w:qFormat/>
    <w:uiPriority w:val="0"/>
    <w:rPr>
      <w:rFonts w:eastAsia="宋体"/>
      <w:kern w:val="2"/>
      <w:sz w:val="21"/>
      <w:lang w:val="en-US" w:eastAsia="zh-CN" w:bidi="ar-SA"/>
    </w:rPr>
  </w:style>
  <w:style w:type="paragraph" w:customStyle="1" w:styleId="215">
    <w:name w:val="表格文字（M）"/>
    <w:basedOn w:val="1"/>
    <w:qFormat/>
    <w:uiPriority w:val="0"/>
    <w:pPr>
      <w:autoSpaceDE w:val="0"/>
      <w:autoSpaceDN w:val="0"/>
      <w:adjustRightInd w:val="0"/>
      <w:jc w:val="center"/>
      <w:textAlignment w:val="baseline"/>
    </w:pPr>
    <w:rPr>
      <w:bCs/>
      <w:kern w:val="0"/>
      <w:szCs w:val="21"/>
    </w:rPr>
  </w:style>
  <w:style w:type="paragraph" w:customStyle="1" w:styleId="216">
    <w:name w:val="自动A"/>
    <w:basedOn w:val="1"/>
    <w:link w:val="217"/>
    <w:qFormat/>
    <w:uiPriority w:val="0"/>
    <w:pPr>
      <w:spacing w:before="120" w:after="120" w:line="360" w:lineRule="auto"/>
      <w:ind w:firstLine="480" w:firstLineChars="200"/>
    </w:pPr>
    <w:rPr>
      <w:color w:val="000000"/>
      <w:kern w:val="0"/>
      <w:sz w:val="24"/>
      <w:szCs w:val="20"/>
    </w:rPr>
  </w:style>
  <w:style w:type="character" w:customStyle="1" w:styleId="217">
    <w:name w:val="自动A Char"/>
    <w:link w:val="216"/>
    <w:qFormat/>
    <w:uiPriority w:val="0"/>
    <w:rPr>
      <w:rFonts w:eastAsia="宋体"/>
      <w:color w:val="000000"/>
      <w:sz w:val="24"/>
      <w:lang w:val="en-US" w:eastAsia="zh-CN" w:bidi="ar-SA"/>
    </w:rPr>
  </w:style>
  <w:style w:type="character" w:customStyle="1" w:styleId="218">
    <w:name w:val="t_tag"/>
    <w:basedOn w:val="95"/>
    <w:qFormat/>
    <w:uiPriority w:val="0"/>
  </w:style>
  <w:style w:type="paragraph" w:customStyle="1" w:styleId="219">
    <w:name w:val="正文15"/>
    <w:basedOn w:val="1"/>
    <w:link w:val="2451"/>
    <w:qFormat/>
    <w:uiPriority w:val="0"/>
    <w:pPr>
      <w:overflowPunct w:val="0"/>
      <w:topLinePunct/>
      <w:snapToGrid w:val="0"/>
      <w:spacing w:line="360" w:lineRule="auto"/>
      <w:ind w:firstLine="567"/>
    </w:pPr>
    <w:rPr>
      <w:sz w:val="28"/>
      <w:szCs w:val="28"/>
    </w:rPr>
  </w:style>
  <w:style w:type="character" w:customStyle="1" w:styleId="220">
    <w:name w:val="页眉 字符"/>
    <w:link w:val="58"/>
    <w:qFormat/>
    <w:uiPriority w:val="99"/>
    <w:rPr>
      <w:kern w:val="2"/>
      <w:sz w:val="18"/>
      <w:szCs w:val="18"/>
    </w:rPr>
  </w:style>
  <w:style w:type="character" w:customStyle="1" w:styleId="221">
    <w:name w:val="页脚 字符"/>
    <w:link w:val="56"/>
    <w:qFormat/>
    <w:uiPriority w:val="99"/>
    <w:rPr>
      <w:kern w:val="2"/>
      <w:sz w:val="18"/>
      <w:szCs w:val="18"/>
    </w:rPr>
  </w:style>
  <w:style w:type="character" w:customStyle="1" w:styleId="222">
    <w:name w:val="批注框文本 字符"/>
    <w:link w:val="55"/>
    <w:qFormat/>
    <w:uiPriority w:val="0"/>
    <w:rPr>
      <w:kern w:val="2"/>
      <w:sz w:val="18"/>
      <w:szCs w:val="18"/>
    </w:rPr>
  </w:style>
  <w:style w:type="character" w:customStyle="1" w:styleId="223">
    <w:name w:val="p141"/>
    <w:qFormat/>
    <w:uiPriority w:val="0"/>
    <w:rPr>
      <w:rFonts w:hint="eastAsia" w:ascii="宋体" w:hAnsi="宋体" w:eastAsia="宋体"/>
      <w:spacing w:val="300"/>
      <w:sz w:val="21"/>
      <w:szCs w:val="21"/>
    </w:rPr>
  </w:style>
  <w:style w:type="character" w:customStyle="1" w:styleId="224">
    <w:name w:val="图表 Char"/>
    <w:link w:val="225"/>
    <w:qFormat/>
    <w:uiPriority w:val="0"/>
    <w:rPr>
      <w:sz w:val="21"/>
    </w:rPr>
  </w:style>
  <w:style w:type="paragraph" w:customStyle="1" w:styleId="225">
    <w:name w:val="图表"/>
    <w:basedOn w:val="1"/>
    <w:link w:val="224"/>
    <w:qFormat/>
    <w:uiPriority w:val="99"/>
    <w:pPr>
      <w:adjustRightInd w:val="0"/>
      <w:snapToGrid w:val="0"/>
      <w:spacing w:line="280" w:lineRule="exact"/>
      <w:jc w:val="center"/>
    </w:pPr>
    <w:rPr>
      <w:kern w:val="0"/>
      <w:szCs w:val="20"/>
    </w:rPr>
  </w:style>
  <w:style w:type="character" w:customStyle="1" w:styleId="226">
    <w:name w:val="表图 Char"/>
    <w:link w:val="227"/>
    <w:qFormat/>
    <w:uiPriority w:val="0"/>
    <w:rPr>
      <w:kern w:val="2"/>
      <w:sz w:val="21"/>
    </w:rPr>
  </w:style>
  <w:style w:type="paragraph" w:customStyle="1" w:styleId="227">
    <w:name w:val="表图"/>
    <w:basedOn w:val="1"/>
    <w:link w:val="226"/>
    <w:qFormat/>
    <w:uiPriority w:val="0"/>
    <w:pPr>
      <w:widowControl/>
      <w:adjustRightInd w:val="0"/>
      <w:snapToGrid w:val="0"/>
      <w:spacing w:line="320" w:lineRule="atLeast"/>
      <w:jc w:val="center"/>
    </w:pPr>
    <w:rPr>
      <w:szCs w:val="20"/>
    </w:rPr>
  </w:style>
  <w:style w:type="paragraph" w:customStyle="1" w:styleId="228">
    <w:name w:val="可能 1级"/>
    <w:basedOn w:val="138"/>
    <w:link w:val="230"/>
    <w:qFormat/>
    <w:uiPriority w:val="0"/>
    <w:pPr>
      <w:numPr>
        <w:numId w:val="0"/>
      </w:numPr>
      <w:spacing w:beforeLines="0" w:afterLines="0"/>
      <w:jc w:val="center"/>
    </w:pPr>
    <w:rPr>
      <w:rFonts w:ascii="宋体" w:hAnsi="宋体" w:eastAsia="宋体"/>
      <w:b/>
      <w:sz w:val="28"/>
      <w:szCs w:val="28"/>
    </w:rPr>
  </w:style>
  <w:style w:type="paragraph" w:customStyle="1" w:styleId="229">
    <w:name w:val="样式2级"/>
    <w:basedOn w:val="212"/>
    <w:link w:val="233"/>
    <w:qFormat/>
    <w:uiPriority w:val="0"/>
    <w:pPr>
      <w:spacing w:beforeLines="0" w:afterLines="0"/>
    </w:pPr>
    <w:rPr>
      <w:rFonts w:ascii="宋体" w:hAnsi="宋体" w:eastAsia="宋体"/>
      <w:b/>
      <w:kern w:val="0"/>
      <w:sz w:val="24"/>
      <w:szCs w:val="24"/>
    </w:rPr>
  </w:style>
  <w:style w:type="character" w:customStyle="1" w:styleId="230">
    <w:name w:val="可能 1级 Char"/>
    <w:link w:val="228"/>
    <w:qFormat/>
    <w:uiPriority w:val="0"/>
    <w:rPr>
      <w:rFonts w:ascii="宋体" w:hAnsi="宋体"/>
      <w:b/>
      <w:kern w:val="44"/>
      <w:sz w:val="28"/>
      <w:szCs w:val="28"/>
    </w:rPr>
  </w:style>
  <w:style w:type="paragraph" w:customStyle="1" w:styleId="231">
    <w:name w:val="样式3级"/>
    <w:basedOn w:val="145"/>
    <w:link w:val="235"/>
    <w:qFormat/>
    <w:uiPriority w:val="0"/>
    <w:pPr>
      <w:tabs>
        <w:tab w:val="clear" w:pos="862"/>
      </w:tabs>
      <w:spacing w:beforeLines="0" w:afterLines="0"/>
      <w:ind w:left="567"/>
    </w:pPr>
    <w:rPr>
      <w:rFonts w:eastAsia="宋体"/>
      <w:b w:val="0"/>
    </w:rPr>
  </w:style>
  <w:style w:type="character" w:customStyle="1" w:styleId="232">
    <w:name w:val="样式48 Char"/>
    <w:link w:val="212"/>
    <w:qFormat/>
    <w:uiPriority w:val="0"/>
    <w:rPr>
      <w:rFonts w:eastAsia="黑体"/>
      <w:kern w:val="2"/>
      <w:sz w:val="28"/>
      <w:szCs w:val="28"/>
    </w:rPr>
  </w:style>
  <w:style w:type="character" w:customStyle="1" w:styleId="233">
    <w:name w:val="样式2级 Char"/>
    <w:link w:val="229"/>
    <w:qFormat/>
    <w:uiPriority w:val="0"/>
    <w:rPr>
      <w:rFonts w:ascii="宋体" w:hAnsi="宋体" w:eastAsia="黑体"/>
      <w:b/>
      <w:kern w:val="2"/>
      <w:sz w:val="24"/>
      <w:szCs w:val="24"/>
    </w:rPr>
  </w:style>
  <w:style w:type="paragraph" w:customStyle="1" w:styleId="234">
    <w:name w:val="AAP-正文"/>
    <w:basedOn w:val="188"/>
    <w:link w:val="238"/>
    <w:qFormat/>
    <w:uiPriority w:val="0"/>
    <w:pPr>
      <w:spacing w:beforeLines="0" w:afterLines="0"/>
    </w:pPr>
  </w:style>
  <w:style w:type="character" w:customStyle="1" w:styleId="235">
    <w:name w:val="样式3级 Char"/>
    <w:link w:val="231"/>
    <w:qFormat/>
    <w:uiPriority w:val="0"/>
    <w:rPr>
      <w:b/>
      <w:sz w:val="24"/>
      <w:szCs w:val="32"/>
    </w:rPr>
  </w:style>
  <w:style w:type="paragraph" w:customStyle="1" w:styleId="236">
    <w:name w:val="表1表2"/>
    <w:basedOn w:val="1"/>
    <w:qFormat/>
    <w:uiPriority w:val="0"/>
    <w:pPr>
      <w:autoSpaceDE w:val="0"/>
      <w:autoSpaceDN w:val="0"/>
      <w:adjustRightInd w:val="0"/>
      <w:spacing w:line="360" w:lineRule="auto"/>
      <w:jc w:val="center"/>
      <w:textAlignment w:val="center"/>
    </w:pPr>
    <w:rPr>
      <w:rFonts w:eastAsia="仿宋体"/>
      <w:kern w:val="0"/>
      <w:sz w:val="24"/>
    </w:rPr>
  </w:style>
  <w:style w:type="character" w:customStyle="1" w:styleId="237">
    <w:name w:val="样式30 Char"/>
    <w:link w:val="188"/>
    <w:qFormat/>
    <w:uiPriority w:val="0"/>
    <w:rPr>
      <w:kern w:val="2"/>
      <w:sz w:val="24"/>
      <w:szCs w:val="24"/>
    </w:rPr>
  </w:style>
  <w:style w:type="character" w:customStyle="1" w:styleId="238">
    <w:name w:val="AAP-正文 字符"/>
    <w:link w:val="234"/>
    <w:qFormat/>
    <w:uiPriority w:val="0"/>
    <w:rPr>
      <w:kern w:val="2"/>
      <w:sz w:val="24"/>
      <w:szCs w:val="24"/>
    </w:rPr>
  </w:style>
  <w:style w:type="paragraph" w:customStyle="1" w:styleId="239">
    <w:name w:val="题注 表头 图名称"/>
    <w:basedOn w:val="1"/>
    <w:link w:val="240"/>
    <w:qFormat/>
    <w:uiPriority w:val="0"/>
    <w:pPr>
      <w:adjustRightInd w:val="0"/>
      <w:snapToGrid w:val="0"/>
      <w:spacing w:line="240" w:lineRule="atLeast"/>
      <w:jc w:val="center"/>
    </w:pPr>
    <w:rPr>
      <w:rFonts w:hAnsi="宋体" w:eastAsia="黑体"/>
      <w:color w:val="000000"/>
      <w:sz w:val="24"/>
      <w:szCs w:val="21"/>
    </w:rPr>
  </w:style>
  <w:style w:type="character" w:customStyle="1" w:styleId="240">
    <w:name w:val="题注 表头 图名称 Char"/>
    <w:link w:val="239"/>
    <w:qFormat/>
    <w:uiPriority w:val="0"/>
    <w:rPr>
      <w:rFonts w:hAnsi="宋体" w:eastAsia="黑体"/>
      <w:color w:val="000000"/>
      <w:kern w:val="2"/>
      <w:sz w:val="24"/>
      <w:szCs w:val="21"/>
    </w:rPr>
  </w:style>
  <w:style w:type="paragraph" w:styleId="241">
    <w:name w:val="List Paragraph"/>
    <w:basedOn w:val="1"/>
    <w:link w:val="1758"/>
    <w:qFormat/>
    <w:uiPriority w:val="1"/>
    <w:pPr>
      <w:ind w:firstLine="420" w:firstLineChars="200"/>
    </w:pPr>
  </w:style>
  <w:style w:type="character" w:customStyle="1" w:styleId="242">
    <w:name w:val="样式 样式 【正文】 + 首行缩进:  2 字符 行距: 1.5 倍行距 + 首行缩进:  2 字符 Char"/>
    <w:link w:val="243"/>
    <w:qFormat/>
    <w:uiPriority w:val="0"/>
    <w:rPr>
      <w:kern w:val="2"/>
      <w:sz w:val="24"/>
    </w:rPr>
  </w:style>
  <w:style w:type="paragraph" w:customStyle="1" w:styleId="243">
    <w:name w:val="样式 样式 【正文】 + 首行缩进:  2 字符 行距: 1.5 倍行距 + 首行缩进:  2 字符"/>
    <w:basedOn w:val="1"/>
    <w:link w:val="242"/>
    <w:qFormat/>
    <w:uiPriority w:val="0"/>
    <w:pPr>
      <w:spacing w:line="360" w:lineRule="auto"/>
      <w:ind w:firstLine="200" w:firstLineChars="200"/>
    </w:pPr>
    <w:rPr>
      <w:sz w:val="24"/>
      <w:szCs w:val="20"/>
    </w:rPr>
  </w:style>
  <w:style w:type="paragraph" w:customStyle="1" w:styleId="244">
    <w:name w:val="样式4级"/>
    <w:basedOn w:val="245"/>
    <w:link w:val="247"/>
    <w:qFormat/>
    <w:uiPriority w:val="0"/>
    <w:pPr>
      <w:numPr>
        <w:numId w:val="4"/>
      </w:numPr>
      <w:tabs>
        <w:tab w:val="left" w:pos="360"/>
        <w:tab w:val="left" w:pos="480"/>
      </w:tabs>
      <w:outlineLvl w:val="3"/>
    </w:pPr>
  </w:style>
  <w:style w:type="paragraph" w:customStyle="1" w:styleId="245">
    <w:name w:val="样式 4级"/>
    <w:basedOn w:val="8"/>
    <w:link w:val="590"/>
    <w:qFormat/>
    <w:uiPriority w:val="0"/>
    <w:pPr>
      <w:numPr>
        <w:ilvl w:val="0"/>
        <w:numId w:val="0"/>
      </w:numPr>
      <w:tabs>
        <w:tab w:val="left" w:pos="480"/>
      </w:tabs>
      <w:spacing w:before="60" w:after="60" w:line="360" w:lineRule="auto"/>
    </w:pPr>
    <w:rPr>
      <w:rFonts w:ascii="宋体" w:hAnsi="宋体" w:cs="宋体"/>
      <w:color w:val="auto"/>
      <w:sz w:val="24"/>
      <w:szCs w:val="24"/>
    </w:rPr>
  </w:style>
  <w:style w:type="paragraph" w:customStyle="1" w:styleId="246">
    <w:name w:val="缩进"/>
    <w:basedOn w:val="1"/>
    <w:qFormat/>
    <w:uiPriority w:val="0"/>
    <w:pPr>
      <w:autoSpaceDE w:val="0"/>
      <w:autoSpaceDN w:val="0"/>
      <w:adjustRightInd w:val="0"/>
      <w:spacing w:line="400" w:lineRule="atLeast"/>
      <w:ind w:firstLine="425"/>
      <w:textAlignment w:val="baseline"/>
    </w:pPr>
    <w:rPr>
      <w:kern w:val="0"/>
      <w:sz w:val="24"/>
      <w:szCs w:val="20"/>
    </w:rPr>
  </w:style>
  <w:style w:type="character" w:customStyle="1" w:styleId="247">
    <w:name w:val="样式4级 Char"/>
    <w:link w:val="244"/>
    <w:qFormat/>
    <w:uiPriority w:val="0"/>
    <w:rPr>
      <w:rFonts w:ascii="宋体" w:hAnsi="宋体" w:cs="宋体"/>
      <w:b/>
      <w:bCs/>
      <w:kern w:val="2"/>
      <w:sz w:val="24"/>
      <w:szCs w:val="24"/>
    </w:rPr>
  </w:style>
  <w:style w:type="paragraph" w:customStyle="1" w:styleId="248">
    <w:name w:val="样式 标题 2 + Times New Roman 小三 居中 行距: 固定值 20 磅"/>
    <w:basedOn w:val="4"/>
    <w:semiHidden/>
    <w:qFormat/>
    <w:uiPriority w:val="0"/>
    <w:pPr>
      <w:widowControl/>
      <w:numPr>
        <w:ilvl w:val="0"/>
        <w:numId w:val="0"/>
      </w:numPr>
      <w:tabs>
        <w:tab w:val="left" w:pos="992"/>
      </w:tabs>
      <w:spacing w:line="400" w:lineRule="exact"/>
      <w:ind w:left="100" w:leftChars="100" w:firstLine="538" w:firstLineChars="192"/>
      <w:jc w:val="left"/>
    </w:pPr>
    <w:rPr>
      <w:rFonts w:cs="宋体"/>
      <w:bCs w:val="0"/>
      <w:kern w:val="0"/>
      <w:szCs w:val="20"/>
    </w:rPr>
  </w:style>
  <w:style w:type="paragraph" w:customStyle="1" w:styleId="249">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22"/>
      <w:szCs w:val="22"/>
    </w:rPr>
  </w:style>
  <w:style w:type="character" w:customStyle="1" w:styleId="250">
    <w:name w:val="标题 3 Char Char Char Char Char Char Char Char Char Char Char Char Char Char Char Char"/>
    <w:qFormat/>
    <w:uiPriority w:val="0"/>
  </w:style>
  <w:style w:type="character" w:customStyle="1" w:styleId="251">
    <w:name w:val="标题 4 字符"/>
    <w:link w:val="7"/>
    <w:qFormat/>
    <w:uiPriority w:val="9"/>
    <w:rPr>
      <w:rFonts w:eastAsia="黑体"/>
      <w:bCs/>
      <w:kern w:val="2"/>
      <w:sz w:val="24"/>
      <w:szCs w:val="28"/>
    </w:rPr>
  </w:style>
  <w:style w:type="character" w:customStyle="1" w:styleId="252">
    <w:name w:val="标题 5 字符"/>
    <w:link w:val="8"/>
    <w:qFormat/>
    <w:uiPriority w:val="0"/>
    <w:rPr>
      <w:b/>
      <w:bCs/>
      <w:color w:val="000000"/>
      <w:kern w:val="2"/>
      <w:sz w:val="28"/>
      <w:szCs w:val="28"/>
    </w:rPr>
  </w:style>
  <w:style w:type="character" w:customStyle="1" w:styleId="253">
    <w:name w:val="标题 6 字符"/>
    <w:link w:val="9"/>
    <w:qFormat/>
    <w:uiPriority w:val="0"/>
    <w:rPr>
      <w:rFonts w:ascii="Arial" w:hAnsi="Arial" w:eastAsia="黑体"/>
      <w:b/>
      <w:bCs/>
      <w:color w:val="000000"/>
      <w:kern w:val="2"/>
      <w:sz w:val="24"/>
    </w:rPr>
  </w:style>
  <w:style w:type="character" w:customStyle="1" w:styleId="254">
    <w:name w:val="标题 7 字符"/>
    <w:link w:val="10"/>
    <w:qFormat/>
    <w:uiPriority w:val="0"/>
    <w:rPr>
      <w:b/>
      <w:bCs/>
      <w:color w:val="000000"/>
      <w:kern w:val="2"/>
      <w:sz w:val="24"/>
    </w:rPr>
  </w:style>
  <w:style w:type="character" w:customStyle="1" w:styleId="255">
    <w:name w:val="标题 8 字符"/>
    <w:link w:val="11"/>
    <w:qFormat/>
    <w:uiPriority w:val="0"/>
    <w:rPr>
      <w:rFonts w:ascii="Arial" w:hAnsi="Arial" w:eastAsia="黑体"/>
      <w:color w:val="000000"/>
      <w:kern w:val="2"/>
      <w:sz w:val="24"/>
    </w:rPr>
  </w:style>
  <w:style w:type="character" w:customStyle="1" w:styleId="256">
    <w:name w:val="标题 9 字符"/>
    <w:link w:val="12"/>
    <w:qFormat/>
    <w:uiPriority w:val="0"/>
    <w:rPr>
      <w:rFonts w:ascii="Arial" w:hAnsi="Arial" w:eastAsia="黑体"/>
      <w:color w:val="000000"/>
      <w:kern w:val="2"/>
      <w:sz w:val="21"/>
      <w:szCs w:val="21"/>
    </w:rPr>
  </w:style>
  <w:style w:type="character" w:customStyle="1" w:styleId="257">
    <w:name w:val="正文文本缩进 3 字符"/>
    <w:link w:val="71"/>
    <w:qFormat/>
    <w:uiPriority w:val="0"/>
    <w:rPr>
      <w:kern w:val="2"/>
      <w:sz w:val="16"/>
      <w:szCs w:val="16"/>
    </w:rPr>
  </w:style>
  <w:style w:type="character" w:customStyle="1" w:styleId="258">
    <w:name w:val="正文1 Char"/>
    <w:link w:val="110"/>
    <w:qFormat/>
    <w:uiPriority w:val="0"/>
    <w:rPr>
      <w:kern w:val="2"/>
      <w:sz w:val="24"/>
      <w:szCs w:val="24"/>
    </w:rPr>
  </w:style>
  <w:style w:type="paragraph" w:customStyle="1" w:styleId="259">
    <w:name w:val="正文文本 21"/>
    <w:basedOn w:val="1"/>
    <w:qFormat/>
    <w:uiPriority w:val="99"/>
    <w:pPr>
      <w:adjustRightInd w:val="0"/>
      <w:snapToGrid w:val="0"/>
      <w:ind w:firstLine="480"/>
      <w:textAlignment w:val="baseline"/>
    </w:pPr>
    <w:rPr>
      <w:rFonts w:ascii="楷体_GB2312" w:eastAsia="楷体_GB2312"/>
      <w:kern w:val="0"/>
      <w:sz w:val="24"/>
      <w:szCs w:val="20"/>
    </w:rPr>
  </w:style>
  <w:style w:type="paragraph" w:customStyle="1" w:styleId="260">
    <w:name w:val="表格 33"/>
    <w:basedOn w:val="1"/>
    <w:qFormat/>
    <w:uiPriority w:val="0"/>
    <w:pPr>
      <w:autoSpaceDE w:val="0"/>
      <w:autoSpaceDN w:val="0"/>
      <w:adjustRightInd w:val="0"/>
      <w:jc w:val="center"/>
      <w:textAlignment w:val="baseline"/>
    </w:pPr>
    <w:rPr>
      <w:rFonts w:eastAsia="楷体"/>
      <w:kern w:val="0"/>
      <w:szCs w:val="20"/>
    </w:rPr>
  </w:style>
  <w:style w:type="character" w:customStyle="1" w:styleId="261">
    <w:name w:val="批注文字 Char"/>
    <w:qFormat/>
    <w:uiPriority w:val="99"/>
    <w:rPr>
      <w:rFonts w:eastAsia="宋体"/>
      <w:kern w:val="2"/>
      <w:sz w:val="21"/>
      <w:lang w:val="en-US" w:eastAsia="zh-CN" w:bidi="ar-SA"/>
    </w:rPr>
  </w:style>
  <w:style w:type="character" w:customStyle="1" w:styleId="262">
    <w:name w:val="正文文本 字符"/>
    <w:link w:val="35"/>
    <w:qFormat/>
    <w:uiPriority w:val="1"/>
    <w:rPr>
      <w:kern w:val="2"/>
      <w:sz w:val="21"/>
      <w:szCs w:val="24"/>
    </w:rPr>
  </w:style>
  <w:style w:type="character" w:customStyle="1" w:styleId="263">
    <w:name w:val="日期 字符"/>
    <w:link w:val="51"/>
    <w:qFormat/>
    <w:uiPriority w:val="0"/>
    <w:rPr>
      <w:rFonts w:ascii="CG Times" w:hAnsi="CG Times"/>
      <w:kern w:val="2"/>
      <w:sz w:val="24"/>
      <w:szCs w:val="24"/>
    </w:rPr>
  </w:style>
  <w:style w:type="character" w:customStyle="1" w:styleId="264">
    <w:name w:val="正文文本缩进 2 字符"/>
    <w:link w:val="52"/>
    <w:qFormat/>
    <w:uiPriority w:val="0"/>
    <w:rPr>
      <w:color w:val="FF0000"/>
      <w:kern w:val="2"/>
      <w:sz w:val="24"/>
      <w:szCs w:val="24"/>
    </w:rPr>
  </w:style>
  <w:style w:type="paragraph" w:customStyle="1" w:styleId="265">
    <w:name w:val="xl25"/>
    <w:basedOn w:val="1"/>
    <w:qFormat/>
    <w:uiPriority w:val="0"/>
    <w:pPr>
      <w:widowControl/>
      <w:spacing w:before="100" w:after="100" w:line="400" w:lineRule="exact"/>
      <w:jc w:val="center"/>
    </w:pPr>
    <w:rPr>
      <w:kern w:val="0"/>
      <w:sz w:val="24"/>
      <w:szCs w:val="20"/>
    </w:rPr>
  </w:style>
  <w:style w:type="paragraph" w:customStyle="1" w:styleId="266">
    <w:name w:val="文本框1"/>
    <w:basedOn w:val="1"/>
    <w:qFormat/>
    <w:uiPriority w:val="0"/>
    <w:rPr>
      <w:rFonts w:ascii="宋体" w:hAnsi="宋体"/>
      <w:sz w:val="24"/>
      <w:szCs w:val="20"/>
    </w:rPr>
  </w:style>
  <w:style w:type="character" w:customStyle="1" w:styleId="267">
    <w:name w:val="unnamed1"/>
    <w:basedOn w:val="95"/>
    <w:qFormat/>
    <w:uiPriority w:val="0"/>
  </w:style>
  <w:style w:type="paragraph" w:customStyle="1" w:styleId="268">
    <w:name w:val="表格2"/>
    <w:basedOn w:val="208"/>
    <w:next w:val="1"/>
    <w:qFormat/>
    <w:uiPriority w:val="0"/>
    <w:pPr>
      <w:overflowPunct/>
      <w:topLinePunct/>
      <w:autoSpaceDE w:val="0"/>
      <w:autoSpaceDN w:val="0"/>
      <w:snapToGrid/>
      <w:spacing w:line="288" w:lineRule="auto"/>
    </w:pPr>
    <w:rPr>
      <w:rFonts w:ascii="宋体"/>
      <w:b w:val="0"/>
      <w:bCs w:val="0"/>
      <w:color w:val="auto"/>
      <w:position w:val="-28"/>
      <w:sz w:val="18"/>
    </w:rPr>
  </w:style>
  <w:style w:type="paragraph" w:customStyle="1" w:styleId="269">
    <w:name w:val="ST20_5"/>
    <w:qFormat/>
    <w:uiPriority w:val="0"/>
    <w:pPr>
      <w:widowControl w:val="0"/>
      <w:autoSpaceDE w:val="0"/>
      <w:autoSpaceDN w:val="0"/>
      <w:adjustRightInd w:val="0"/>
      <w:jc w:val="both"/>
    </w:pPr>
    <w:rPr>
      <w:rFonts w:ascii="宋体" w:hAnsi="Tms Rmn" w:eastAsia="宋体" w:cs="Times New Roman"/>
      <w:sz w:val="21"/>
      <w:lang w:val="en-US" w:eastAsia="zh-CN" w:bidi="ar-SA"/>
    </w:rPr>
  </w:style>
  <w:style w:type="paragraph" w:customStyle="1" w:styleId="270">
    <w:name w:val="样式 正文文本缩进 + 宋体 五号 黑色 全部大写 居中 首行缩进:  0 厘米 段前: 0 磅 行距: 单倍行距"/>
    <w:basedOn w:val="36"/>
    <w:qFormat/>
    <w:uiPriority w:val="0"/>
    <w:pPr>
      <w:adjustRightInd w:val="0"/>
      <w:spacing w:after="0"/>
      <w:ind w:left="0" w:leftChars="0"/>
      <w:jc w:val="center"/>
      <w:textAlignment w:val="baseline"/>
    </w:pPr>
    <w:rPr>
      <w:rFonts w:ascii="宋体" w:hAnsi="宋体" w:cs="宋体"/>
      <w:color w:val="000000"/>
      <w:kern w:val="28"/>
      <w:szCs w:val="21"/>
    </w:rPr>
  </w:style>
  <w:style w:type="paragraph" w:customStyle="1" w:styleId="271">
    <w:name w:val="样式 正文缩进 + 居中 首行缩进:  0 厘米 段前: 0 磅 行距: 单倍行距"/>
    <w:basedOn w:val="22"/>
    <w:qFormat/>
    <w:uiPriority w:val="0"/>
    <w:pPr>
      <w:adjustRightInd w:val="0"/>
      <w:spacing w:line="240" w:lineRule="auto"/>
      <w:ind w:firstLine="0" w:firstLineChars="0"/>
      <w:jc w:val="center"/>
      <w:textAlignment w:val="baseline"/>
    </w:pPr>
    <w:rPr>
      <w:rFonts w:cs="宋体"/>
      <w:kern w:val="28"/>
    </w:rPr>
  </w:style>
  <w:style w:type="paragraph" w:customStyle="1" w:styleId="272">
    <w:name w:val="正文3"/>
    <w:link w:val="2493"/>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273">
    <w:name w:val="样式 标题 3 + (西文) Times New Roman (中文) 宋体 非加粗 段前: 0 磅 行距: 固定值 2..."/>
    <w:basedOn w:val="5"/>
    <w:qFormat/>
    <w:uiPriority w:val="0"/>
    <w:pPr>
      <w:keepLines w:val="0"/>
      <w:numPr>
        <w:ilvl w:val="0"/>
        <w:numId w:val="0"/>
      </w:numPr>
      <w:autoSpaceDE w:val="0"/>
      <w:autoSpaceDN w:val="0"/>
      <w:spacing w:after="120" w:line="460" w:lineRule="exact"/>
      <w:ind w:left="150" w:leftChars="150" w:hanging="200" w:hangingChars="200"/>
    </w:pPr>
    <w:rPr>
      <w:rFonts w:cs="宋体"/>
      <w:b/>
      <w:bCs/>
    </w:rPr>
  </w:style>
  <w:style w:type="character" w:customStyle="1" w:styleId="274">
    <w:name w:val="标题1"/>
    <w:basedOn w:val="95"/>
    <w:qFormat/>
    <w:uiPriority w:val="0"/>
  </w:style>
  <w:style w:type="paragraph" w:customStyle="1" w:styleId="275">
    <w:name w:val="正文文字缩进 2"/>
    <w:basedOn w:val="1"/>
    <w:qFormat/>
    <w:uiPriority w:val="0"/>
    <w:pPr>
      <w:spacing w:line="360" w:lineRule="auto"/>
      <w:ind w:firstLine="425"/>
    </w:pPr>
    <w:rPr>
      <w:rFonts w:eastAsia="楷体_GB2312"/>
      <w:color w:val="000000"/>
      <w:sz w:val="24"/>
    </w:rPr>
  </w:style>
  <w:style w:type="paragraph" w:customStyle="1" w:styleId="276">
    <w:name w:val="川岛插图"/>
    <w:basedOn w:val="1"/>
    <w:qFormat/>
    <w:uiPriority w:val="0"/>
    <w:pPr>
      <w:spacing w:line="360" w:lineRule="auto"/>
      <w:ind w:firstLine="480" w:firstLineChars="200"/>
      <w:jc w:val="center"/>
    </w:pPr>
    <w:rPr>
      <w:color w:val="000000"/>
      <w:sz w:val="24"/>
      <w:szCs w:val="20"/>
    </w:rPr>
  </w:style>
  <w:style w:type="character" w:customStyle="1" w:styleId="277">
    <w:name w:val="标题 1 Char Char Char"/>
    <w:qFormat/>
    <w:uiPriority w:val="0"/>
    <w:rPr>
      <w:rFonts w:eastAsia="仿宋_GB2312"/>
      <w:b/>
      <w:kern w:val="28"/>
      <w:sz w:val="30"/>
      <w:lang w:val="en-US" w:eastAsia="zh-CN" w:bidi="ar-SA"/>
    </w:rPr>
  </w:style>
  <w:style w:type="paragraph" w:customStyle="1" w:styleId="278">
    <w:name w:val="样式 标题 2标题 2 Char Char + 宋体1"/>
    <w:basedOn w:val="4"/>
    <w:qFormat/>
    <w:uiPriority w:val="0"/>
    <w:pPr>
      <w:keepLines w:val="0"/>
      <w:widowControl/>
      <w:numPr>
        <w:ilvl w:val="0"/>
        <w:numId w:val="0"/>
      </w:numPr>
      <w:tabs>
        <w:tab w:val="right" w:pos="8640"/>
      </w:tabs>
      <w:overflowPunct w:val="0"/>
      <w:autoSpaceDE w:val="0"/>
      <w:autoSpaceDN w:val="0"/>
      <w:spacing w:before="120" w:after="120" w:line="440" w:lineRule="exact"/>
      <w:ind w:left="100" w:leftChars="100" w:hanging="150" w:hangingChars="150"/>
      <w:jc w:val="left"/>
      <w:textAlignment w:val="baseline"/>
    </w:pPr>
    <w:rPr>
      <w:rFonts w:ascii="宋体" w:hAnsi="宋体"/>
      <w:bCs w:val="0"/>
      <w:kern w:val="28"/>
      <w:sz w:val="24"/>
      <w:szCs w:val="24"/>
    </w:rPr>
  </w:style>
  <w:style w:type="paragraph" w:customStyle="1" w:styleId="279">
    <w:name w:val="样式 标题 3 + 宋体1"/>
    <w:basedOn w:val="5"/>
    <w:qFormat/>
    <w:uiPriority w:val="0"/>
    <w:pPr>
      <w:numPr>
        <w:ilvl w:val="0"/>
        <w:numId w:val="0"/>
      </w:numPr>
      <w:tabs>
        <w:tab w:val="left" w:pos="1050"/>
      </w:tabs>
      <w:spacing w:before="120" w:after="120" w:line="416" w:lineRule="atLeast"/>
      <w:ind w:left="150" w:leftChars="150" w:hanging="200" w:hangingChars="200"/>
    </w:pPr>
    <w:rPr>
      <w:rFonts w:ascii="宋体" w:hAnsi="宋体"/>
      <w:b/>
      <w:bCs/>
      <w:kern w:val="28"/>
    </w:rPr>
  </w:style>
  <w:style w:type="character" w:customStyle="1" w:styleId="280">
    <w:name w:val="正文文本 3 字符"/>
    <w:link w:val="32"/>
    <w:qFormat/>
    <w:uiPriority w:val="0"/>
    <w:rPr>
      <w:kern w:val="2"/>
      <w:sz w:val="16"/>
      <w:szCs w:val="16"/>
    </w:rPr>
  </w:style>
  <w:style w:type="character" w:customStyle="1" w:styleId="281">
    <w:name w:val="样式 标题 3 + 宋体1 Char"/>
    <w:qFormat/>
    <w:uiPriority w:val="0"/>
    <w:rPr>
      <w:rFonts w:ascii="宋体" w:hAnsi="宋体" w:eastAsia="宋体"/>
      <w:kern w:val="28"/>
      <w:sz w:val="28"/>
      <w:lang w:val="en-US" w:eastAsia="zh-CN" w:bidi="ar-SA"/>
    </w:rPr>
  </w:style>
  <w:style w:type="paragraph" w:customStyle="1" w:styleId="282">
    <w:name w:val="xl36"/>
    <w:basedOn w:val="1"/>
    <w:qFormat/>
    <w:uiPriority w:val="0"/>
    <w:pPr>
      <w:widowControl/>
      <w:pBdr>
        <w:left w:val="single" w:color="auto" w:sz="4" w:space="0"/>
        <w:right w:val="single" w:color="auto" w:sz="4" w:space="0"/>
      </w:pBdr>
      <w:spacing w:before="100" w:beforeAutospacing="1" w:after="100" w:afterAutospacing="1"/>
      <w:jc w:val="center"/>
      <w:textAlignment w:val="top"/>
    </w:pPr>
    <w:rPr>
      <w:kern w:val="0"/>
      <w:sz w:val="24"/>
    </w:rPr>
  </w:style>
  <w:style w:type="paragraph" w:customStyle="1" w:styleId="283">
    <w:name w:val="报告 Char"/>
    <w:basedOn w:val="1"/>
    <w:link w:val="2380"/>
    <w:qFormat/>
    <w:uiPriority w:val="0"/>
    <w:pPr>
      <w:adjustRightInd w:val="0"/>
      <w:spacing w:line="360" w:lineRule="auto"/>
      <w:ind w:firstLine="505"/>
      <w:textAlignment w:val="baseline"/>
    </w:pPr>
    <w:rPr>
      <w:sz w:val="24"/>
    </w:rPr>
  </w:style>
  <w:style w:type="character" w:customStyle="1" w:styleId="284">
    <w:name w:val="报告 Char Char"/>
    <w:qFormat/>
    <w:uiPriority w:val="0"/>
    <w:rPr>
      <w:rFonts w:eastAsia="宋体"/>
      <w:kern w:val="2"/>
      <w:sz w:val="24"/>
      <w:szCs w:val="24"/>
      <w:lang w:val="en-US" w:eastAsia="zh-CN" w:bidi="ar-SA"/>
    </w:rPr>
  </w:style>
  <w:style w:type="paragraph" w:customStyle="1" w:styleId="285">
    <w:name w:val="注解"/>
    <w:basedOn w:val="1"/>
    <w:qFormat/>
    <w:uiPriority w:val="0"/>
    <w:pPr>
      <w:adjustRightInd w:val="0"/>
      <w:snapToGrid w:val="0"/>
      <w:ind w:left="624" w:right="170" w:hanging="454"/>
    </w:pPr>
    <w:rPr>
      <w:rFonts w:ascii="宋体" w:hAnsi="宋体"/>
      <w:color w:val="000000"/>
      <w:sz w:val="15"/>
      <w:szCs w:val="20"/>
    </w:rPr>
  </w:style>
  <w:style w:type="paragraph" w:customStyle="1" w:styleId="286">
    <w:name w:val="样式 标题 1 + 宋体"/>
    <w:basedOn w:val="3"/>
    <w:qFormat/>
    <w:uiPriority w:val="0"/>
    <w:pPr>
      <w:keepLines w:val="0"/>
      <w:widowControl/>
      <w:numPr>
        <w:numId w:val="0"/>
      </w:numPr>
      <w:tabs>
        <w:tab w:val="left" w:pos="0"/>
        <w:tab w:val="left" w:pos="1319"/>
        <w:tab w:val="right" w:pos="8640"/>
      </w:tabs>
      <w:overflowPunct w:val="0"/>
      <w:autoSpaceDE w:val="0"/>
      <w:autoSpaceDN w:val="0"/>
      <w:adjustRightInd w:val="0"/>
      <w:spacing w:before="120" w:after="120" w:line="440" w:lineRule="exact"/>
      <w:ind w:left="432" w:hanging="432"/>
      <w:textAlignment w:val="baseline"/>
    </w:pPr>
    <w:rPr>
      <w:rFonts w:ascii="宋体" w:hAnsi="宋体"/>
      <w:kern w:val="28"/>
      <w:sz w:val="30"/>
      <w:szCs w:val="20"/>
    </w:rPr>
  </w:style>
  <w:style w:type="paragraph" w:customStyle="1" w:styleId="287">
    <w:name w:val="样式 标题 1 + 宋体1"/>
    <w:basedOn w:val="3"/>
    <w:qFormat/>
    <w:uiPriority w:val="0"/>
    <w:pPr>
      <w:keepLines w:val="0"/>
      <w:widowControl/>
      <w:numPr>
        <w:numId w:val="0"/>
      </w:numPr>
      <w:tabs>
        <w:tab w:val="left" w:pos="425"/>
        <w:tab w:val="left" w:pos="1260"/>
        <w:tab w:val="right" w:pos="8640"/>
      </w:tabs>
      <w:overflowPunct w:val="0"/>
      <w:autoSpaceDE w:val="0"/>
      <w:autoSpaceDN w:val="0"/>
      <w:adjustRightInd w:val="0"/>
      <w:spacing w:before="120" w:after="120" w:line="440" w:lineRule="exact"/>
      <w:ind w:left="432" w:hanging="432"/>
      <w:textAlignment w:val="baseline"/>
    </w:pPr>
    <w:rPr>
      <w:rFonts w:ascii="宋体" w:hAnsi="宋体"/>
      <w:kern w:val="28"/>
      <w:sz w:val="30"/>
      <w:szCs w:val="20"/>
    </w:rPr>
  </w:style>
  <w:style w:type="character" w:customStyle="1" w:styleId="288">
    <w:name w:val="样式1 Char"/>
    <w:link w:val="115"/>
    <w:qFormat/>
    <w:uiPriority w:val="0"/>
    <w:rPr>
      <w:rFonts w:ascii="黑体" w:eastAsia="黑体"/>
      <w:b/>
      <w:bCs/>
      <w:kern w:val="2"/>
      <w:sz w:val="28"/>
      <w:szCs w:val="21"/>
    </w:rPr>
  </w:style>
  <w:style w:type="character" w:customStyle="1" w:styleId="289">
    <w:name w:val="样式2 Char"/>
    <w:link w:val="119"/>
    <w:qFormat/>
    <w:uiPriority w:val="0"/>
    <w:rPr>
      <w:rFonts w:eastAsia="黑体"/>
      <w:kern w:val="2"/>
      <w:sz w:val="30"/>
      <w:szCs w:val="28"/>
      <w:lang w:val="zh-CN"/>
    </w:rPr>
  </w:style>
  <w:style w:type="paragraph" w:customStyle="1" w:styleId="290">
    <w:name w:val="样式 标题 4 + 宋体 小四 非加粗"/>
    <w:basedOn w:val="7"/>
    <w:qFormat/>
    <w:uiPriority w:val="0"/>
    <w:pPr>
      <w:numPr>
        <w:ilvl w:val="0"/>
        <w:numId w:val="0"/>
      </w:numPr>
      <w:tabs>
        <w:tab w:val="left" w:pos="1680"/>
      </w:tabs>
      <w:spacing w:before="160" w:after="170" w:line="240" w:lineRule="auto"/>
      <w:ind w:left="1680" w:leftChars="100" w:right="100" w:rightChars="100" w:hanging="420"/>
      <w:textAlignment w:val="baseline"/>
    </w:pPr>
    <w:rPr>
      <w:rFonts w:ascii="宋体" w:hAnsi="宋体"/>
      <w:b/>
      <w:bCs w:val="0"/>
      <w:kern w:val="0"/>
      <w:szCs w:val="20"/>
    </w:rPr>
  </w:style>
  <w:style w:type="paragraph" w:customStyle="1" w:styleId="291">
    <w:name w:val="表格样式1"/>
    <w:basedOn w:val="1"/>
    <w:qFormat/>
    <w:uiPriority w:val="0"/>
    <w:pPr>
      <w:adjustRightInd w:val="0"/>
      <w:spacing w:line="20" w:lineRule="atLeast"/>
      <w:jc w:val="center"/>
      <w:textAlignment w:val="baseline"/>
    </w:pPr>
    <w:rPr>
      <w:rFonts w:ascii="宋体" w:hAnsi="宋体"/>
      <w:kern w:val="0"/>
      <w:szCs w:val="20"/>
    </w:rPr>
  </w:style>
  <w:style w:type="character" w:customStyle="1" w:styleId="292">
    <w:name w:val="文档结构图 字符"/>
    <w:link w:val="27"/>
    <w:qFormat/>
    <w:uiPriority w:val="0"/>
    <w:rPr>
      <w:kern w:val="2"/>
      <w:sz w:val="21"/>
      <w:szCs w:val="24"/>
      <w:shd w:val="clear" w:color="auto" w:fill="000080"/>
    </w:rPr>
  </w:style>
  <w:style w:type="paragraph" w:customStyle="1" w:styleId="293">
    <w:name w:val="样式 样式 样式 表格 + 段前: 0.2 行 段后: 0.2 行 + 居中 段前: 0.2 行 段后: 0.2 行 + 自动设置"/>
    <w:basedOn w:val="1"/>
    <w:qFormat/>
    <w:uiPriority w:val="0"/>
    <w:pPr>
      <w:spacing w:beforeLines="20" w:afterLines="20"/>
      <w:jc w:val="center"/>
      <w:textAlignment w:val="center"/>
    </w:pPr>
    <w:rPr>
      <w:rFonts w:cs="宋体"/>
      <w:kern w:val="11"/>
      <w:sz w:val="24"/>
    </w:rPr>
  </w:style>
  <w:style w:type="paragraph" w:customStyle="1" w:styleId="294">
    <w:name w:val="样式 样式 表格 + 段前: 0.2 行 段后: 0.2 行 + 居中 段前: 0.2 行 段后: 0.2 行"/>
    <w:basedOn w:val="1"/>
    <w:qFormat/>
    <w:uiPriority w:val="0"/>
    <w:pPr>
      <w:spacing w:beforeLines="20" w:afterLines="20"/>
      <w:textAlignment w:val="center"/>
    </w:pPr>
    <w:rPr>
      <w:rFonts w:cs="宋体"/>
      <w:color w:val="FF0000"/>
      <w:kern w:val="11"/>
      <w:sz w:val="24"/>
    </w:rPr>
  </w:style>
  <w:style w:type="paragraph" w:customStyle="1" w:styleId="295">
    <w:name w:val="样式 表头 + (西文) 宋体 (中文) 宋体 首行缩进:  0.85 厘米"/>
    <w:basedOn w:val="129"/>
    <w:qFormat/>
    <w:uiPriority w:val="0"/>
    <w:pPr>
      <w:spacing w:afterLines="50" w:line="460" w:lineRule="exact"/>
      <w:ind w:firstLine="0"/>
    </w:pPr>
    <w:rPr>
      <w:szCs w:val="24"/>
    </w:rPr>
  </w:style>
  <w:style w:type="paragraph" w:customStyle="1" w:styleId="296">
    <w:name w:val="流程图文字"/>
    <w:basedOn w:val="1"/>
    <w:qFormat/>
    <w:uiPriority w:val="99"/>
    <w:pPr>
      <w:spacing w:line="360" w:lineRule="auto"/>
      <w:ind w:firstLine="425"/>
      <w:jc w:val="center"/>
    </w:pPr>
    <w:rPr>
      <w:rFonts w:eastAsia="楷体_GB2312"/>
      <w:sz w:val="24"/>
      <w:szCs w:val="20"/>
    </w:rPr>
  </w:style>
  <w:style w:type="paragraph" w:customStyle="1" w:styleId="297">
    <w:name w:val="样式 标题 2 + (西文) 宋体 (中文) 宋体 四号 加粗 首行缩进:  0.99 厘米 行距: 1.5 倍行距"/>
    <w:basedOn w:val="4"/>
    <w:qFormat/>
    <w:uiPriority w:val="0"/>
    <w:pPr>
      <w:keepLines w:val="0"/>
      <w:widowControl/>
      <w:numPr>
        <w:ilvl w:val="0"/>
        <w:numId w:val="0"/>
      </w:numPr>
      <w:tabs>
        <w:tab w:val="right" w:pos="8640"/>
      </w:tabs>
      <w:overflowPunct w:val="0"/>
      <w:autoSpaceDE w:val="0"/>
      <w:autoSpaceDN w:val="0"/>
      <w:spacing w:before="120" w:after="120"/>
      <w:ind w:left="100" w:leftChars="100" w:hanging="150" w:hangingChars="150"/>
      <w:jc w:val="left"/>
      <w:textAlignment w:val="baseline"/>
    </w:pPr>
    <w:rPr>
      <w:rFonts w:ascii="宋体" w:hAnsi="宋体" w:cs="宋体"/>
      <w:kern w:val="28"/>
      <w:szCs w:val="20"/>
    </w:rPr>
  </w:style>
  <w:style w:type="paragraph" w:customStyle="1" w:styleId="298">
    <w:name w:val="样式 标题 3 + (西文) 宋体 (中文) 宋体 行距: 1.5 倍行距"/>
    <w:basedOn w:val="5"/>
    <w:qFormat/>
    <w:uiPriority w:val="0"/>
    <w:pPr>
      <w:numPr>
        <w:ilvl w:val="0"/>
        <w:numId w:val="0"/>
      </w:numPr>
      <w:spacing w:before="120" w:after="120"/>
      <w:ind w:left="150" w:leftChars="150" w:hanging="200" w:hangingChars="200"/>
    </w:pPr>
    <w:rPr>
      <w:rFonts w:ascii="宋体" w:hAnsi="宋体" w:cs="宋体"/>
      <w:bCs/>
      <w:kern w:val="28"/>
    </w:rPr>
  </w:style>
  <w:style w:type="paragraph" w:customStyle="1" w:styleId="299">
    <w:name w:val="武生正文"/>
    <w:basedOn w:val="1"/>
    <w:next w:val="1"/>
    <w:qFormat/>
    <w:uiPriority w:val="0"/>
    <w:pPr>
      <w:spacing w:line="360" w:lineRule="auto"/>
      <w:ind w:firstLine="240" w:firstLineChars="100"/>
    </w:pPr>
    <w:rPr>
      <w:rFonts w:ascii="宋体" w:hAnsi="宋体"/>
      <w:sz w:val="24"/>
      <w:lang w:eastAsia="zh-TW"/>
    </w:rPr>
  </w:style>
  <w:style w:type="paragraph" w:customStyle="1" w:styleId="300">
    <w:name w:val="武生标题1"/>
    <w:basedOn w:val="3"/>
    <w:next w:val="35"/>
    <w:qFormat/>
    <w:uiPriority w:val="0"/>
    <w:pPr>
      <w:numPr>
        <w:numId w:val="0"/>
      </w:numPr>
      <w:spacing w:before="120" w:line="240" w:lineRule="auto"/>
      <w:ind w:left="432" w:hanging="432"/>
    </w:pPr>
    <w:rPr>
      <w:rFonts w:ascii="宋体" w:hAnsi="宋体"/>
      <w:snapToGrid w:val="0"/>
      <w:kern w:val="0"/>
      <w:sz w:val="28"/>
    </w:rPr>
  </w:style>
  <w:style w:type="paragraph" w:customStyle="1" w:styleId="301">
    <w:name w:val="正文表格"/>
    <w:basedOn w:val="1"/>
    <w:qFormat/>
    <w:uiPriority w:val="0"/>
    <w:pPr>
      <w:jc w:val="center"/>
    </w:pPr>
    <w:rPr>
      <w:rFonts w:ascii="宋体" w:hAnsi="宋体"/>
      <w:szCs w:val="20"/>
    </w:rPr>
  </w:style>
  <w:style w:type="paragraph" w:customStyle="1" w:styleId="302">
    <w:name w:val="表格 31"/>
    <w:qFormat/>
    <w:uiPriority w:val="0"/>
    <w:pPr>
      <w:widowControl w:val="0"/>
      <w:autoSpaceDE w:val="0"/>
      <w:autoSpaceDN w:val="0"/>
      <w:adjustRightInd w:val="0"/>
      <w:jc w:val="center"/>
      <w:textAlignment w:val="baseline"/>
    </w:pPr>
    <w:rPr>
      <w:rFonts w:ascii="Times New Roman" w:hAnsi="Times New Roman" w:eastAsia="楷体" w:cs="Times New Roman"/>
      <w:sz w:val="28"/>
      <w:lang w:val="en-US" w:eastAsia="zh-CN" w:bidi="ar-SA"/>
    </w:rPr>
  </w:style>
  <w:style w:type="paragraph" w:customStyle="1" w:styleId="303">
    <w:name w:val="xl2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kern w:val="0"/>
      <w:sz w:val="24"/>
    </w:rPr>
  </w:style>
  <w:style w:type="character" w:customStyle="1" w:styleId="304">
    <w:name w:val="批注文字 字符"/>
    <w:link w:val="29"/>
    <w:qFormat/>
    <w:uiPriority w:val="0"/>
    <w:rPr>
      <w:sz w:val="28"/>
    </w:rPr>
  </w:style>
  <w:style w:type="character" w:customStyle="1" w:styleId="305">
    <w:name w:val="批注主题 字符"/>
    <w:link w:val="85"/>
    <w:qFormat/>
    <w:uiPriority w:val="0"/>
    <w:rPr>
      <w:b/>
      <w:bCs/>
      <w:kern w:val="2"/>
      <w:sz w:val="21"/>
    </w:rPr>
  </w:style>
  <w:style w:type="paragraph" w:customStyle="1" w:styleId="306">
    <w:name w:val="宏福3A"/>
    <w:basedOn w:val="1"/>
    <w:qFormat/>
    <w:uiPriority w:val="0"/>
    <w:pPr>
      <w:keepNext/>
      <w:keepLines/>
      <w:snapToGrid w:val="0"/>
      <w:spacing w:before="240"/>
      <w:outlineLvl w:val="2"/>
    </w:pPr>
    <w:rPr>
      <w:sz w:val="28"/>
      <w:szCs w:val="28"/>
    </w:rPr>
  </w:style>
  <w:style w:type="character" w:customStyle="1" w:styleId="307">
    <w:name w:val="正文文本首行缩进 2 字符"/>
    <w:link w:val="87"/>
    <w:qFormat/>
    <w:uiPriority w:val="0"/>
    <w:rPr>
      <w:rFonts w:ascii="宋体" w:hAnsi="宋体" w:eastAsia="宋体"/>
      <w:snapToGrid w:val="0"/>
      <w:color w:val="000000"/>
      <w:w w:val="135"/>
      <w:kern w:val="2"/>
      <w:sz w:val="24"/>
      <w:lang w:val="en-US" w:eastAsia="zh-CN" w:bidi="ar-SA"/>
    </w:rPr>
  </w:style>
  <w:style w:type="character" w:customStyle="1" w:styleId="308">
    <w:name w:val="正文文本缩进 Char"/>
    <w:qFormat/>
    <w:uiPriority w:val="0"/>
    <w:rPr>
      <w:rFonts w:ascii="宋体" w:eastAsia="宋体"/>
      <w:w w:val="135"/>
      <w:kern w:val="2"/>
      <w:sz w:val="21"/>
      <w:lang w:val="en-US" w:eastAsia="zh-CN" w:bidi="ar-SA"/>
    </w:rPr>
  </w:style>
  <w:style w:type="paragraph" w:customStyle="1" w:styleId="309">
    <w:name w:val="正文(首行缩进)"/>
    <w:basedOn w:val="1"/>
    <w:link w:val="310"/>
    <w:qFormat/>
    <w:uiPriority w:val="0"/>
    <w:pPr>
      <w:spacing w:line="360" w:lineRule="auto"/>
      <w:ind w:firstLine="480" w:firstLineChars="200"/>
    </w:pPr>
    <w:rPr>
      <w:snapToGrid w:val="0"/>
      <w:kern w:val="0"/>
      <w:sz w:val="24"/>
    </w:rPr>
  </w:style>
  <w:style w:type="character" w:customStyle="1" w:styleId="310">
    <w:name w:val="正文(首行缩进) Char"/>
    <w:link w:val="309"/>
    <w:qFormat/>
    <w:uiPriority w:val="0"/>
    <w:rPr>
      <w:snapToGrid w:val="0"/>
      <w:sz w:val="24"/>
      <w:szCs w:val="24"/>
    </w:rPr>
  </w:style>
  <w:style w:type="paragraph" w:customStyle="1" w:styleId="311">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312">
    <w:name w:val="二级无标题条"/>
    <w:basedOn w:val="1"/>
    <w:qFormat/>
    <w:uiPriority w:val="99"/>
  </w:style>
  <w:style w:type="paragraph" w:customStyle="1" w:styleId="313">
    <w:name w:val="表格文字2"/>
    <w:basedOn w:val="1"/>
    <w:link w:val="2290"/>
    <w:qFormat/>
    <w:uiPriority w:val="0"/>
    <w:pPr>
      <w:tabs>
        <w:tab w:val="left" w:pos="277"/>
        <w:tab w:val="left" w:pos="600"/>
        <w:tab w:val="left" w:pos="780"/>
        <w:tab w:val="left" w:pos="2517"/>
      </w:tabs>
      <w:adjustRightInd w:val="0"/>
      <w:spacing w:before="60"/>
      <w:jc w:val="center"/>
      <w:textAlignment w:val="baseline"/>
    </w:pPr>
    <w:rPr>
      <w:kern w:val="0"/>
      <w:szCs w:val="21"/>
    </w:rPr>
  </w:style>
  <w:style w:type="paragraph" w:customStyle="1" w:styleId="314">
    <w:name w:val="框图1"/>
    <w:basedOn w:val="1"/>
    <w:qFormat/>
    <w:uiPriority w:val="0"/>
    <w:pPr>
      <w:adjustRightInd w:val="0"/>
      <w:spacing w:line="20" w:lineRule="atLeast"/>
      <w:jc w:val="center"/>
      <w:textAlignment w:val="baseline"/>
    </w:pPr>
    <w:rPr>
      <w:rFonts w:ascii="宋体"/>
      <w:kern w:val="18"/>
      <w:sz w:val="18"/>
      <w:szCs w:val="20"/>
    </w:rPr>
  </w:style>
  <w:style w:type="paragraph" w:customStyle="1" w:styleId="315">
    <w:name w:val="插图"/>
    <w:basedOn w:val="1"/>
    <w:next w:val="1"/>
    <w:qFormat/>
    <w:uiPriority w:val="0"/>
    <w:pPr>
      <w:keepLines/>
      <w:adjustRightInd w:val="0"/>
      <w:spacing w:before="360" w:after="300" w:line="567" w:lineRule="atLeast"/>
      <w:jc w:val="center"/>
      <w:textAlignment w:val="baseline"/>
    </w:pPr>
    <w:rPr>
      <w:kern w:val="0"/>
      <w:sz w:val="24"/>
      <w:szCs w:val="20"/>
    </w:rPr>
  </w:style>
  <w:style w:type="paragraph" w:customStyle="1" w:styleId="316">
    <w:name w:val="表标题3"/>
    <w:basedOn w:val="1"/>
    <w:qFormat/>
    <w:uiPriority w:val="0"/>
    <w:pPr>
      <w:keepNext/>
      <w:adjustRightInd w:val="0"/>
      <w:spacing w:before="180" w:after="120" w:line="397" w:lineRule="atLeast"/>
      <w:jc w:val="center"/>
      <w:textAlignment w:val="baseline"/>
    </w:pPr>
    <w:rPr>
      <w:b/>
      <w:kern w:val="0"/>
      <w:sz w:val="24"/>
      <w:szCs w:val="20"/>
    </w:rPr>
  </w:style>
  <w:style w:type="character" w:customStyle="1" w:styleId="317">
    <w:name w:val="style141"/>
    <w:qFormat/>
    <w:uiPriority w:val="0"/>
    <w:rPr>
      <w:color w:val="FF0000"/>
    </w:rPr>
  </w:style>
  <w:style w:type="paragraph" w:customStyle="1" w:styleId="318">
    <w:name w:val="样式 标题 3标题 3 Char Char Char标题 3 Char Char Char Char Char Char标..."/>
    <w:basedOn w:val="5"/>
    <w:qFormat/>
    <w:uiPriority w:val="0"/>
    <w:pPr>
      <w:numPr>
        <w:ilvl w:val="0"/>
        <w:numId w:val="0"/>
      </w:numPr>
      <w:ind w:left="150" w:leftChars="150" w:hanging="200" w:hangingChars="200"/>
    </w:pPr>
    <w:rPr>
      <w:rFonts w:ascii="Plotter" w:hAnsi="Plotter"/>
    </w:rPr>
  </w:style>
  <w:style w:type="paragraph" w:customStyle="1" w:styleId="319">
    <w:name w:val="p9"/>
    <w:basedOn w:val="1"/>
    <w:qFormat/>
    <w:uiPriority w:val="0"/>
    <w:pPr>
      <w:widowControl/>
      <w:spacing w:before="100" w:beforeAutospacing="1" w:after="100" w:afterAutospacing="1" w:line="300" w:lineRule="atLeast"/>
      <w:jc w:val="left"/>
    </w:pPr>
    <w:rPr>
      <w:rFonts w:ascii="宋体" w:hAnsi="宋体" w:cs="宋体"/>
      <w:kern w:val="0"/>
      <w:sz w:val="18"/>
      <w:szCs w:val="18"/>
    </w:rPr>
  </w:style>
  <w:style w:type="paragraph" w:customStyle="1" w:styleId="320">
    <w:name w:val="注："/>
    <w:next w:val="1"/>
    <w:qFormat/>
    <w:uiPriority w:val="0"/>
    <w:pPr>
      <w:widowControl w:val="0"/>
      <w:autoSpaceDE w:val="0"/>
      <w:autoSpaceDN w:val="0"/>
      <w:ind w:left="840" w:hanging="420"/>
      <w:jc w:val="both"/>
    </w:pPr>
    <w:rPr>
      <w:rFonts w:ascii="宋体" w:hAnsi="Times New Roman" w:eastAsia="宋体" w:cs="Times New Roman"/>
      <w:sz w:val="18"/>
      <w:lang w:val="en-US" w:eastAsia="zh-CN" w:bidi="ar-SA"/>
    </w:rPr>
  </w:style>
  <w:style w:type="paragraph" w:customStyle="1" w:styleId="321">
    <w:name w:val="码头正文"/>
    <w:basedOn w:val="22"/>
    <w:qFormat/>
    <w:uiPriority w:val="0"/>
    <w:pPr>
      <w:spacing w:line="360" w:lineRule="auto"/>
      <w:ind w:firstLine="480"/>
    </w:pPr>
    <w:rPr>
      <w:bCs/>
      <w:kern w:val="0"/>
    </w:rPr>
  </w:style>
  <w:style w:type="paragraph" w:customStyle="1" w:styleId="322">
    <w:name w:val="圖一"/>
    <w:basedOn w:val="23"/>
    <w:qFormat/>
    <w:uiPriority w:val="0"/>
    <w:pPr>
      <w:spacing w:before="240" w:line="500" w:lineRule="exact"/>
      <w:ind w:firstLine="510"/>
      <w:jc w:val="center"/>
    </w:pPr>
    <w:rPr>
      <w:rFonts w:ascii="Times New Roman" w:hAnsi="Times New Roman" w:eastAsia="DFKai-SB" w:cs="Times New Roman"/>
      <w:b/>
      <w:bCs/>
      <w:sz w:val="30"/>
      <w:lang w:eastAsia="zh-TW"/>
    </w:rPr>
  </w:style>
  <w:style w:type="paragraph" w:customStyle="1" w:styleId="323">
    <w:name w:val="樣式3"/>
    <w:basedOn w:val="1"/>
    <w:qFormat/>
    <w:uiPriority w:val="0"/>
    <w:pPr>
      <w:spacing w:before="120" w:after="120" w:line="500" w:lineRule="exact"/>
      <w:ind w:left="227" w:firstLine="567"/>
    </w:pPr>
    <w:rPr>
      <w:rFonts w:eastAsia="DFKai-SB"/>
      <w:sz w:val="28"/>
      <w:szCs w:val="20"/>
      <w:lang w:eastAsia="zh-TW"/>
    </w:rPr>
  </w:style>
  <w:style w:type="paragraph" w:customStyle="1" w:styleId="324">
    <w:name w:val="普通 (Web)"/>
    <w:basedOn w:val="1"/>
    <w:qFormat/>
    <w:uiPriority w:val="0"/>
    <w:pPr>
      <w:widowControl/>
      <w:spacing w:before="100" w:after="100"/>
      <w:jc w:val="left"/>
    </w:pPr>
    <w:rPr>
      <w:rFonts w:ascii="Arial Unicode MS" w:hAnsi="Arial Unicode MS" w:eastAsia="Arial Unicode MS"/>
      <w:kern w:val="0"/>
      <w:sz w:val="24"/>
      <w:szCs w:val="20"/>
    </w:rPr>
  </w:style>
  <w:style w:type="paragraph" w:customStyle="1" w:styleId="325">
    <w:name w:val="正文并立"/>
    <w:basedOn w:val="1"/>
    <w:qFormat/>
    <w:uiPriority w:val="0"/>
    <w:pPr>
      <w:adjustRightInd w:val="0"/>
      <w:spacing w:line="408" w:lineRule="atLeast"/>
      <w:ind w:firstLine="601"/>
      <w:jc w:val="left"/>
      <w:textAlignment w:val="baseline"/>
    </w:pPr>
    <w:rPr>
      <w:kern w:val="0"/>
      <w:sz w:val="28"/>
      <w:szCs w:val="20"/>
    </w:rPr>
  </w:style>
  <w:style w:type="paragraph" w:customStyle="1" w:styleId="326">
    <w:name w:val="页脚1"/>
    <w:basedOn w:val="1"/>
    <w:qFormat/>
    <w:uiPriority w:val="0"/>
    <w:pPr>
      <w:adjustRightInd w:val="0"/>
      <w:spacing w:line="312" w:lineRule="auto"/>
      <w:ind w:firstLine="510"/>
      <w:jc w:val="center"/>
      <w:textAlignment w:val="baseline"/>
    </w:pPr>
    <w:rPr>
      <w:b/>
      <w:i/>
      <w:kern w:val="0"/>
      <w:sz w:val="24"/>
      <w:szCs w:val="20"/>
      <w:u w:val="single"/>
    </w:rPr>
  </w:style>
  <w:style w:type="paragraph" w:customStyle="1" w:styleId="327">
    <w:name w:val="横页眉"/>
    <w:basedOn w:val="1"/>
    <w:next w:val="58"/>
    <w:qFormat/>
    <w:uiPriority w:val="0"/>
    <w:pPr>
      <w:pBdr>
        <w:bottom w:val="double" w:color="auto" w:sz="6" w:space="1"/>
      </w:pBdr>
      <w:tabs>
        <w:tab w:val="center" w:pos="6623"/>
        <w:tab w:val="right" w:pos="13245"/>
      </w:tabs>
      <w:adjustRightInd w:val="0"/>
      <w:spacing w:line="312" w:lineRule="auto"/>
      <w:ind w:firstLine="510"/>
      <w:textAlignment w:val="baseline"/>
    </w:pPr>
    <w:rPr>
      <w:kern w:val="0"/>
      <w:sz w:val="24"/>
      <w:szCs w:val="20"/>
    </w:rPr>
  </w:style>
  <w:style w:type="paragraph" w:customStyle="1" w:styleId="328">
    <w:name w:val="表标题2"/>
    <w:basedOn w:val="1"/>
    <w:qFormat/>
    <w:uiPriority w:val="0"/>
    <w:pPr>
      <w:keepNext/>
      <w:widowControl/>
      <w:autoSpaceDE w:val="0"/>
      <w:autoSpaceDN w:val="0"/>
      <w:adjustRightInd w:val="0"/>
      <w:spacing w:before="180" w:after="120" w:line="408" w:lineRule="atLeast"/>
      <w:ind w:firstLine="510"/>
      <w:jc w:val="center"/>
      <w:textAlignment w:val="baseline"/>
    </w:pPr>
    <w:rPr>
      <w:b/>
      <w:spacing w:val="2"/>
      <w:kern w:val="0"/>
      <w:sz w:val="28"/>
      <w:szCs w:val="20"/>
    </w:rPr>
  </w:style>
  <w:style w:type="character" w:customStyle="1" w:styleId="329">
    <w:name w:val="标题12"/>
    <w:qFormat/>
    <w:uiPriority w:val="0"/>
    <w:rPr>
      <w:sz w:val="26"/>
    </w:rPr>
  </w:style>
  <w:style w:type="paragraph" w:customStyle="1" w:styleId="330">
    <w:name w:val="程序"/>
    <w:basedOn w:val="1"/>
    <w:qFormat/>
    <w:uiPriority w:val="0"/>
    <w:pPr>
      <w:adjustRightInd w:val="0"/>
      <w:spacing w:line="240" w:lineRule="atLeast"/>
      <w:ind w:right="238" w:firstLine="510"/>
      <w:jc w:val="left"/>
      <w:textAlignment w:val="baseline"/>
    </w:pPr>
    <w:rPr>
      <w:rFonts w:ascii="Courier New" w:hAnsi="Courier New"/>
      <w:kern w:val="0"/>
      <w:sz w:val="28"/>
      <w:szCs w:val="20"/>
    </w:rPr>
  </w:style>
  <w:style w:type="paragraph" w:customStyle="1" w:styleId="331">
    <w:name w:val="篇名"/>
    <w:basedOn w:val="1"/>
    <w:next w:val="1"/>
    <w:qFormat/>
    <w:uiPriority w:val="0"/>
    <w:pPr>
      <w:adjustRightInd w:val="0"/>
      <w:snapToGrid w:val="0"/>
      <w:spacing w:before="120" w:after="240" w:line="400" w:lineRule="exact"/>
      <w:ind w:firstLine="567"/>
      <w:jc w:val="center"/>
      <w:textAlignment w:val="baseline"/>
    </w:pPr>
    <w:rPr>
      <w:rFonts w:ascii="黑体" w:hAnsi="Courier New" w:eastAsia="黑体"/>
      <w:kern w:val="0"/>
      <w:sz w:val="32"/>
      <w:szCs w:val="20"/>
    </w:rPr>
  </w:style>
  <w:style w:type="paragraph" w:customStyle="1" w:styleId="332">
    <w:name w:val="方程"/>
    <w:basedOn w:val="1"/>
    <w:qFormat/>
    <w:uiPriority w:val="0"/>
    <w:pPr>
      <w:widowControl/>
      <w:overflowPunct w:val="0"/>
      <w:adjustRightInd w:val="0"/>
      <w:spacing w:before="60" w:after="60" w:line="400" w:lineRule="atLeast"/>
      <w:ind w:right="238"/>
      <w:jc w:val="center"/>
      <w:textAlignment w:val="bottom"/>
    </w:pPr>
    <w:rPr>
      <w:kern w:val="0"/>
      <w:sz w:val="28"/>
      <w:szCs w:val="20"/>
    </w:rPr>
  </w:style>
  <w:style w:type="paragraph" w:customStyle="1" w:styleId="333">
    <w:name w:val="qptext"/>
    <w:basedOn w:val="1"/>
    <w:qFormat/>
    <w:uiPriority w:val="0"/>
    <w:pPr>
      <w:tabs>
        <w:tab w:val="left" w:pos="0"/>
      </w:tabs>
      <w:adjustRightInd w:val="0"/>
      <w:snapToGrid w:val="0"/>
      <w:spacing w:before="60" w:line="460" w:lineRule="atLeast"/>
      <w:ind w:right="306" w:firstLine="454"/>
      <w:textAlignment w:val="baseline"/>
    </w:pPr>
    <w:rPr>
      <w:kern w:val="0"/>
      <w:sz w:val="28"/>
      <w:szCs w:val="20"/>
    </w:rPr>
  </w:style>
  <w:style w:type="paragraph" w:customStyle="1" w:styleId="334">
    <w:name w:val="表标题1"/>
    <w:basedOn w:val="1"/>
    <w:qFormat/>
    <w:uiPriority w:val="0"/>
    <w:pPr>
      <w:keepNext/>
      <w:widowControl/>
      <w:autoSpaceDE w:val="0"/>
      <w:autoSpaceDN w:val="0"/>
      <w:adjustRightInd w:val="0"/>
      <w:spacing w:before="180" w:after="120" w:line="408" w:lineRule="atLeast"/>
      <w:ind w:firstLine="510"/>
      <w:jc w:val="center"/>
      <w:textAlignment w:val="baseline"/>
    </w:pPr>
    <w:rPr>
      <w:b/>
      <w:spacing w:val="2"/>
      <w:kern w:val="0"/>
      <w:sz w:val="28"/>
      <w:szCs w:val="20"/>
    </w:rPr>
  </w:style>
  <w:style w:type="paragraph" w:customStyle="1" w:styleId="335">
    <w:name w:val="xl22"/>
    <w:basedOn w:val="1"/>
    <w:qFormat/>
    <w:uiPriority w:val="0"/>
    <w:pPr>
      <w:widowControl/>
      <w:pBdr>
        <w:top w:val="single" w:color="auto" w:sz="4" w:space="0"/>
        <w:left w:val="single" w:color="auto" w:sz="4" w:space="0"/>
        <w:bottom w:val="single" w:color="auto" w:sz="4" w:space="0"/>
        <w:right w:val="single" w:color="auto" w:sz="4" w:space="0"/>
      </w:pBdr>
      <w:spacing w:before="100" w:after="100"/>
      <w:jc w:val="center"/>
    </w:pPr>
    <w:rPr>
      <w:rFonts w:ascii="宋体" w:hAnsi="宋体"/>
      <w:kern w:val="0"/>
      <w:sz w:val="18"/>
      <w:szCs w:val="20"/>
    </w:rPr>
  </w:style>
  <w:style w:type="paragraph" w:customStyle="1" w:styleId="336">
    <w:name w:val="xl23"/>
    <w:basedOn w:val="1"/>
    <w:qFormat/>
    <w:uiPriority w:val="0"/>
    <w:pPr>
      <w:widowControl/>
      <w:pBdr>
        <w:left w:val="single" w:color="auto" w:sz="4" w:space="0"/>
        <w:bottom w:val="single" w:color="auto" w:sz="4" w:space="0"/>
        <w:right w:val="single" w:color="auto" w:sz="4" w:space="0"/>
      </w:pBdr>
      <w:spacing w:before="100" w:after="100"/>
      <w:jc w:val="center"/>
    </w:pPr>
    <w:rPr>
      <w:rFonts w:ascii="宋体" w:hAnsi="宋体"/>
      <w:kern w:val="0"/>
      <w:sz w:val="18"/>
      <w:szCs w:val="20"/>
    </w:rPr>
  </w:style>
  <w:style w:type="paragraph" w:customStyle="1" w:styleId="337">
    <w:name w:val="xl27"/>
    <w:basedOn w:val="1"/>
    <w:qFormat/>
    <w:uiPriority w:val="0"/>
    <w:pPr>
      <w:widowControl/>
      <w:pBdr>
        <w:bottom w:val="single" w:color="auto" w:sz="4" w:space="0"/>
        <w:right w:val="single" w:color="auto" w:sz="4" w:space="0"/>
      </w:pBdr>
      <w:spacing w:before="100" w:after="100"/>
      <w:jc w:val="center"/>
    </w:pPr>
    <w:rPr>
      <w:rFonts w:ascii="宋体" w:hAnsi="宋体"/>
      <w:kern w:val="0"/>
      <w:sz w:val="18"/>
      <w:szCs w:val="20"/>
    </w:rPr>
  </w:style>
  <w:style w:type="paragraph" w:customStyle="1" w:styleId="338">
    <w:name w:val="表居中（中文）"/>
    <w:basedOn w:val="1"/>
    <w:qFormat/>
    <w:uiPriority w:val="0"/>
    <w:pPr>
      <w:adjustRightInd w:val="0"/>
      <w:spacing w:line="380" w:lineRule="atLeast"/>
      <w:jc w:val="center"/>
      <w:textAlignment w:val="baseline"/>
    </w:pPr>
    <w:rPr>
      <w:rFonts w:eastAsia="楷体_GB2312"/>
      <w:kern w:val="0"/>
      <w:szCs w:val="20"/>
    </w:rPr>
  </w:style>
  <w:style w:type="paragraph" w:customStyle="1" w:styleId="339">
    <w:name w:val="表格标题"/>
    <w:basedOn w:val="1"/>
    <w:link w:val="1487"/>
    <w:qFormat/>
    <w:uiPriority w:val="0"/>
    <w:pPr>
      <w:adjustRightInd w:val="0"/>
      <w:spacing w:before="120" w:line="360" w:lineRule="auto"/>
      <w:jc w:val="center"/>
      <w:textAlignment w:val="baseline"/>
    </w:pPr>
    <w:rPr>
      <w:rFonts w:eastAsia="文鼎CS中宋"/>
      <w:kern w:val="0"/>
      <w:sz w:val="24"/>
      <w:szCs w:val="20"/>
    </w:rPr>
  </w:style>
  <w:style w:type="paragraph" w:customStyle="1" w:styleId="340">
    <w:name w:val="码头表"/>
    <w:basedOn w:val="1"/>
    <w:qFormat/>
    <w:uiPriority w:val="0"/>
    <w:pPr>
      <w:autoSpaceDE w:val="0"/>
      <w:autoSpaceDN w:val="0"/>
      <w:adjustRightInd w:val="0"/>
      <w:snapToGrid w:val="0"/>
      <w:spacing w:before="40" w:line="400" w:lineRule="atLeast"/>
      <w:ind w:left="-49" w:leftChars="-18" w:right="-106" w:rightChars="-38" w:hanging="1"/>
      <w:jc w:val="center"/>
    </w:pPr>
    <w:rPr>
      <w:rFonts w:eastAsia="楷体_GB2312"/>
      <w:kern w:val="0"/>
      <w:sz w:val="24"/>
    </w:rPr>
  </w:style>
  <w:style w:type="paragraph" w:customStyle="1" w:styleId="341">
    <w:name w:val="佛表"/>
    <w:basedOn w:val="67"/>
    <w:qFormat/>
    <w:uiPriority w:val="99"/>
    <w:pPr>
      <w:spacing w:line="0" w:lineRule="atLeast"/>
      <w:ind w:left="0" w:right="-59" w:rightChars="-21" w:firstLine="0" w:firstLineChars="0"/>
      <w:jc w:val="center"/>
    </w:pPr>
    <w:rPr>
      <w:sz w:val="24"/>
    </w:rPr>
  </w:style>
  <w:style w:type="character" w:customStyle="1" w:styleId="342">
    <w:name w:val="zw1"/>
    <w:qFormat/>
    <w:uiPriority w:val="0"/>
    <w:rPr>
      <w:rFonts w:hint="eastAsia" w:ascii="宋体" w:hAnsi="宋体" w:eastAsia="宋体"/>
      <w:sz w:val="22"/>
      <w:szCs w:val="22"/>
    </w:rPr>
  </w:style>
  <w:style w:type="paragraph" w:customStyle="1" w:styleId="343">
    <w:name w:val="xl122"/>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4"/>
    </w:rPr>
  </w:style>
  <w:style w:type="paragraph" w:customStyle="1" w:styleId="344">
    <w:name w:val="xl125"/>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olor w:val="000000"/>
      <w:kern w:val="0"/>
      <w:sz w:val="24"/>
    </w:rPr>
  </w:style>
  <w:style w:type="paragraph" w:customStyle="1" w:styleId="345">
    <w:name w:val="正文并列"/>
    <w:basedOn w:val="1"/>
    <w:next w:val="1"/>
    <w:qFormat/>
    <w:uiPriority w:val="0"/>
    <w:pPr>
      <w:snapToGrid w:val="0"/>
      <w:spacing w:line="400" w:lineRule="exact"/>
      <w:ind w:firstLine="200" w:firstLineChars="200"/>
    </w:pPr>
    <w:rPr>
      <w:sz w:val="24"/>
      <w:szCs w:val="20"/>
    </w:rPr>
  </w:style>
  <w:style w:type="character" w:customStyle="1" w:styleId="346">
    <w:name w:val="正文首行缩进 Char Char Char"/>
    <w:qFormat/>
    <w:uiPriority w:val="0"/>
    <w:rPr>
      <w:rFonts w:ascii="宋体" w:hAnsi="宋体" w:eastAsia="宋体"/>
      <w:kern w:val="2"/>
      <w:sz w:val="24"/>
      <w:szCs w:val="24"/>
      <w:lang w:val="en-US" w:eastAsia="zh-CN" w:bidi="ar-SA"/>
    </w:rPr>
  </w:style>
  <w:style w:type="paragraph" w:customStyle="1" w:styleId="347">
    <w:name w:val="默认段落字体 Para Char Char Char Char"/>
    <w:basedOn w:val="1"/>
    <w:qFormat/>
    <w:uiPriority w:val="0"/>
    <w:rPr>
      <w:szCs w:val="21"/>
    </w:rPr>
  </w:style>
  <w:style w:type="paragraph" w:customStyle="1" w:styleId="348">
    <w:name w:val="样式 图表标题 + 加粗 段前: 0.5 行 段后: 0.5 行"/>
    <w:basedOn w:val="1"/>
    <w:qFormat/>
    <w:uiPriority w:val="0"/>
    <w:pPr>
      <w:spacing w:beforeLines="50" w:afterLines="50" w:line="440" w:lineRule="exact"/>
      <w:jc w:val="center"/>
    </w:pPr>
    <w:rPr>
      <w:rFonts w:cs="宋体"/>
      <w:b/>
      <w:bCs/>
      <w:sz w:val="24"/>
      <w:szCs w:val="20"/>
    </w:rPr>
  </w:style>
  <w:style w:type="paragraph" w:customStyle="1" w:styleId="349">
    <w:name w:val="大表内容"/>
    <w:qFormat/>
    <w:uiPriority w:val="0"/>
    <w:pPr>
      <w:snapToGrid w:val="0"/>
      <w:jc w:val="center"/>
    </w:pPr>
    <w:rPr>
      <w:rFonts w:ascii="Times New Roman" w:hAnsi="Times New Roman" w:eastAsia="宋体" w:cs="Times New Roman"/>
      <w:sz w:val="21"/>
      <w:lang w:val="en-US" w:eastAsia="zh-CN" w:bidi="ar-SA"/>
    </w:rPr>
  </w:style>
  <w:style w:type="character" w:customStyle="1" w:styleId="350">
    <w:name w:val="unnamed31"/>
    <w:qFormat/>
    <w:uiPriority w:val="0"/>
    <w:rPr>
      <w:color w:val="000000"/>
      <w:spacing w:val="408"/>
      <w:sz w:val="20"/>
      <w:szCs w:val="20"/>
      <w:u w:val="none"/>
    </w:rPr>
  </w:style>
  <w:style w:type="paragraph" w:customStyle="1" w:styleId="351">
    <w:name w:val="表体"/>
    <w:basedOn w:val="1"/>
    <w:qFormat/>
    <w:uiPriority w:val="0"/>
    <w:pPr>
      <w:jc w:val="center"/>
    </w:pPr>
  </w:style>
  <w:style w:type="paragraph" w:customStyle="1" w:styleId="352">
    <w:name w:val="xl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hint="eastAsia" w:ascii="宋体" w:hAnsi="宋体" w:cs="Arial Unicode MS"/>
      <w:kern w:val="0"/>
      <w:sz w:val="24"/>
    </w:rPr>
  </w:style>
  <w:style w:type="paragraph" w:customStyle="1" w:styleId="353">
    <w:name w:val="xl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hint="eastAsia" w:ascii="宋体" w:hAnsi="宋体" w:cs="Arial Unicode MS"/>
      <w:kern w:val="0"/>
      <w:sz w:val="24"/>
    </w:rPr>
  </w:style>
  <w:style w:type="paragraph" w:customStyle="1" w:styleId="354">
    <w:name w:val="xl21"/>
    <w:basedOn w:val="1"/>
    <w:qFormat/>
    <w:uiPriority w:val="99"/>
    <w:pPr>
      <w:widowControl/>
      <w:spacing w:before="100" w:beforeAutospacing="1" w:after="100" w:afterAutospacing="1"/>
      <w:jc w:val="center"/>
    </w:pPr>
    <w:rPr>
      <w:rFonts w:hint="eastAsia" w:ascii="宋体" w:hAnsi="宋体" w:cs="Arial Unicode MS"/>
      <w:kern w:val="0"/>
      <w:sz w:val="24"/>
    </w:rPr>
  </w:style>
  <w:style w:type="paragraph" w:customStyle="1" w:styleId="355">
    <w:name w:val="sw_one"/>
    <w:basedOn w:val="1"/>
    <w:qFormat/>
    <w:uiPriority w:val="0"/>
    <w:pPr>
      <w:widowControl/>
      <w:spacing w:before="100" w:beforeAutospacing="1" w:after="100" w:afterAutospacing="1"/>
      <w:ind w:firstLine="573"/>
      <w:jc w:val="left"/>
    </w:pPr>
    <w:rPr>
      <w:rFonts w:ascii="Arial Unicode MS" w:hAnsi="Arial Unicode MS" w:eastAsia="Arial Unicode MS"/>
      <w:color w:val="CE3702"/>
      <w:kern w:val="0"/>
      <w:sz w:val="24"/>
      <w:szCs w:val="28"/>
    </w:rPr>
  </w:style>
  <w:style w:type="paragraph" w:customStyle="1" w:styleId="356">
    <w:name w:val="xl3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4"/>
    </w:rPr>
  </w:style>
  <w:style w:type="paragraph" w:customStyle="1" w:styleId="357">
    <w:name w:val="油库表"/>
    <w:basedOn w:val="113"/>
    <w:qFormat/>
    <w:uiPriority w:val="0"/>
    <w:pPr>
      <w:widowControl w:val="0"/>
      <w:adjustRightInd w:val="0"/>
      <w:spacing w:beforeLines="25" w:afterLines="25"/>
      <w:jc w:val="center"/>
      <w:textAlignment w:val="baseline"/>
    </w:pPr>
    <w:rPr>
      <w:spacing w:val="10"/>
      <w:kern w:val="0"/>
    </w:rPr>
  </w:style>
  <w:style w:type="paragraph" w:customStyle="1" w:styleId="358">
    <w:name w:val="图表标题"/>
    <w:basedOn w:val="1"/>
    <w:link w:val="968"/>
    <w:qFormat/>
    <w:uiPriority w:val="0"/>
    <w:pPr>
      <w:spacing w:before="160" w:after="160" w:line="440" w:lineRule="exact"/>
      <w:jc w:val="center"/>
    </w:pPr>
    <w:rPr>
      <w:b/>
      <w:sz w:val="28"/>
      <w:szCs w:val="20"/>
    </w:rPr>
  </w:style>
  <w:style w:type="paragraph" w:customStyle="1" w:styleId="359">
    <w:name w:val="段落"/>
    <w:basedOn w:val="1"/>
    <w:qFormat/>
    <w:uiPriority w:val="0"/>
    <w:pPr>
      <w:adjustRightInd w:val="0"/>
      <w:spacing w:afterLines="25"/>
      <w:ind w:firstLine="510" w:firstLineChars="200"/>
      <w:jc w:val="left"/>
      <w:textAlignment w:val="baseline"/>
    </w:pPr>
    <w:rPr>
      <w:rFonts w:eastAsia="楷体"/>
      <w:kern w:val="0"/>
      <w:sz w:val="28"/>
      <w:szCs w:val="20"/>
    </w:rPr>
  </w:style>
  <w:style w:type="paragraph" w:customStyle="1" w:styleId="360">
    <w:name w:val="公式"/>
    <w:basedOn w:val="1"/>
    <w:link w:val="2465"/>
    <w:qFormat/>
    <w:uiPriority w:val="0"/>
    <w:pPr>
      <w:adjustRightInd w:val="0"/>
      <w:spacing w:afterLines="25" w:line="394" w:lineRule="atLeast"/>
      <w:ind w:firstLine="510" w:firstLineChars="200"/>
      <w:jc w:val="center"/>
      <w:textAlignment w:val="baseline"/>
    </w:pPr>
    <w:rPr>
      <w:rFonts w:ascii="宋体"/>
      <w:kern w:val="0"/>
      <w:sz w:val="28"/>
      <w:szCs w:val="28"/>
    </w:rPr>
  </w:style>
  <w:style w:type="paragraph" w:customStyle="1" w:styleId="361">
    <w:name w:val="xl28"/>
    <w:basedOn w:val="1"/>
    <w:qFormat/>
    <w:uiPriority w:val="0"/>
    <w:pPr>
      <w:widowControl/>
      <w:pBdr>
        <w:bottom w:val="single" w:color="auto" w:sz="4" w:space="0"/>
        <w:right w:val="single" w:color="auto" w:sz="4" w:space="0"/>
      </w:pBdr>
      <w:spacing w:before="100" w:beforeAutospacing="1" w:afterLines="25" w:afterAutospacing="1"/>
      <w:ind w:firstLine="200" w:firstLineChars="200"/>
      <w:jc w:val="center"/>
    </w:pPr>
    <w:rPr>
      <w:rFonts w:ascii="Arial Unicode MS" w:hAnsi="Arial Unicode MS" w:eastAsia="Arial Unicode MS"/>
      <w:b/>
      <w:bCs/>
      <w:kern w:val="0"/>
      <w:sz w:val="18"/>
      <w:szCs w:val="18"/>
    </w:rPr>
  </w:style>
  <w:style w:type="paragraph" w:customStyle="1" w:styleId="362">
    <w:name w:val="表内字"/>
    <w:basedOn w:val="35"/>
    <w:qFormat/>
    <w:uiPriority w:val="0"/>
    <w:pPr>
      <w:widowControl/>
      <w:overflowPunct w:val="0"/>
      <w:autoSpaceDE w:val="0"/>
      <w:autoSpaceDN w:val="0"/>
      <w:adjustRightInd w:val="0"/>
      <w:snapToGrid w:val="0"/>
      <w:spacing w:after="0"/>
      <w:jc w:val="left"/>
      <w:textAlignment w:val="baseline"/>
    </w:pPr>
    <w:rPr>
      <w:rFonts w:ascii="宋体" w:hAnsi="宋体" w:cstheme="minorBidi"/>
      <w:kern w:val="21"/>
      <w:szCs w:val="20"/>
      <w:lang w:eastAsia="en-US"/>
    </w:rPr>
  </w:style>
  <w:style w:type="character" w:customStyle="1" w:styleId="363">
    <w:name w:val="wenzi"/>
    <w:basedOn w:val="95"/>
    <w:qFormat/>
    <w:uiPriority w:val="0"/>
  </w:style>
  <w:style w:type="paragraph" w:customStyle="1" w:styleId="364">
    <w:name w:val="xl30"/>
    <w:basedOn w:val="1"/>
    <w:qFormat/>
    <w:uiPriority w:val="0"/>
    <w:pPr>
      <w:widowControl/>
      <w:pBdr>
        <w:top w:val="single" w:color="auto" w:sz="4" w:space="0"/>
        <w:bottom w:val="single" w:color="auto" w:sz="4" w:space="0"/>
        <w:right w:val="single" w:color="auto" w:sz="4" w:space="0"/>
      </w:pBdr>
      <w:shd w:val="clear" w:color="auto" w:fill="FFFFFF"/>
      <w:spacing w:before="100" w:beforeAutospacing="1" w:after="100" w:afterAutospacing="1"/>
      <w:jc w:val="center"/>
      <w:textAlignment w:val="center"/>
    </w:pPr>
    <w:rPr>
      <w:rFonts w:ascii="宋体" w:hAnsi="宋体"/>
      <w:kern w:val="0"/>
      <w:sz w:val="24"/>
    </w:rPr>
  </w:style>
  <w:style w:type="paragraph" w:customStyle="1" w:styleId="365">
    <w:name w:val="xl32"/>
    <w:basedOn w:val="1"/>
    <w:qFormat/>
    <w:uiPriority w:val="0"/>
    <w:pPr>
      <w:widowControl/>
      <w:pBdr>
        <w:top w:val="single" w:color="auto" w:sz="4" w:space="0"/>
        <w:left w:val="single" w:color="auto" w:sz="4" w:space="0"/>
      </w:pBdr>
      <w:shd w:val="clear" w:color="auto" w:fill="FFFFFF"/>
      <w:spacing w:before="100" w:beforeAutospacing="1" w:after="100" w:afterAutospacing="1"/>
      <w:jc w:val="center"/>
      <w:textAlignment w:val="center"/>
    </w:pPr>
    <w:rPr>
      <w:rFonts w:ascii="宋体" w:hAnsi="宋体"/>
      <w:b/>
      <w:bCs/>
      <w:kern w:val="0"/>
      <w:sz w:val="24"/>
    </w:rPr>
  </w:style>
  <w:style w:type="paragraph" w:customStyle="1" w:styleId="366">
    <w:name w:val="xl33"/>
    <w:basedOn w:val="1"/>
    <w:qFormat/>
    <w:uiPriority w:val="0"/>
    <w:pPr>
      <w:widowControl/>
      <w:pBdr>
        <w:top w:val="single" w:color="auto" w:sz="4" w:space="0"/>
      </w:pBdr>
      <w:spacing w:before="100" w:beforeAutospacing="1" w:after="100" w:afterAutospacing="1"/>
      <w:jc w:val="center"/>
      <w:textAlignment w:val="center"/>
    </w:pPr>
    <w:rPr>
      <w:rFonts w:ascii="宋体" w:hAnsi="宋体"/>
      <w:kern w:val="0"/>
      <w:sz w:val="24"/>
    </w:rPr>
  </w:style>
  <w:style w:type="paragraph" w:customStyle="1" w:styleId="367">
    <w:name w:val="xl34"/>
    <w:basedOn w:val="1"/>
    <w:qFormat/>
    <w:uiPriority w:val="0"/>
    <w:pPr>
      <w:widowControl/>
      <w:pBdr>
        <w:top w:val="single" w:color="auto" w:sz="4" w:space="0"/>
        <w:left w:val="single" w:color="auto" w:sz="4" w:space="0"/>
      </w:pBdr>
      <w:shd w:val="clear" w:color="auto" w:fill="FFFFFF"/>
      <w:spacing w:before="100" w:beforeAutospacing="1" w:after="100" w:afterAutospacing="1"/>
      <w:jc w:val="center"/>
      <w:textAlignment w:val="center"/>
    </w:pPr>
    <w:rPr>
      <w:rFonts w:ascii="宋体" w:hAnsi="宋体"/>
      <w:kern w:val="0"/>
      <w:sz w:val="24"/>
    </w:rPr>
  </w:style>
  <w:style w:type="paragraph" w:customStyle="1" w:styleId="368">
    <w:name w:val="xl35"/>
    <w:basedOn w:val="1"/>
    <w:qFormat/>
    <w:uiPriority w:val="0"/>
    <w:pPr>
      <w:widowControl/>
      <w:pBdr>
        <w:left w:val="single" w:color="auto" w:sz="4" w:space="0"/>
        <w:bottom w:val="single" w:color="auto" w:sz="4" w:space="0"/>
      </w:pBdr>
      <w:shd w:val="clear" w:color="auto" w:fill="FFFFFF"/>
      <w:spacing w:before="100" w:beforeAutospacing="1" w:after="100" w:afterAutospacing="1"/>
      <w:jc w:val="center"/>
      <w:textAlignment w:val="center"/>
    </w:pPr>
    <w:rPr>
      <w:rFonts w:ascii="宋体" w:hAnsi="宋体"/>
      <w:kern w:val="0"/>
      <w:sz w:val="24"/>
    </w:rPr>
  </w:style>
  <w:style w:type="paragraph" w:customStyle="1" w:styleId="369">
    <w:name w:val="xl37"/>
    <w:basedOn w:val="1"/>
    <w:qFormat/>
    <w:uiPriority w:val="0"/>
    <w:pPr>
      <w:widowControl/>
      <w:pBdr>
        <w:top w:val="single" w:color="auto" w:sz="4" w:space="0"/>
      </w:pBdr>
      <w:spacing w:before="100" w:beforeAutospacing="1" w:after="100" w:afterAutospacing="1"/>
      <w:jc w:val="center"/>
      <w:textAlignment w:val="center"/>
    </w:pPr>
    <w:rPr>
      <w:rFonts w:ascii="宋体" w:hAnsi="宋体"/>
      <w:b/>
      <w:bCs/>
      <w:kern w:val="0"/>
      <w:sz w:val="22"/>
      <w:szCs w:val="22"/>
    </w:rPr>
  </w:style>
  <w:style w:type="paragraph" w:customStyle="1" w:styleId="370">
    <w:name w:val="xl38"/>
    <w:basedOn w:val="1"/>
    <w:qFormat/>
    <w:uiPriority w:val="0"/>
    <w:pPr>
      <w:widowControl/>
      <w:pBdr>
        <w:top w:val="single" w:color="auto" w:sz="4" w:space="0"/>
        <w:right w:val="single" w:color="auto" w:sz="4" w:space="0"/>
      </w:pBdr>
      <w:spacing w:before="100" w:beforeAutospacing="1" w:after="100" w:afterAutospacing="1"/>
      <w:jc w:val="center"/>
      <w:textAlignment w:val="center"/>
    </w:pPr>
    <w:rPr>
      <w:rFonts w:ascii="宋体" w:hAnsi="宋体"/>
      <w:kern w:val="0"/>
      <w:sz w:val="24"/>
    </w:rPr>
  </w:style>
  <w:style w:type="paragraph" w:customStyle="1" w:styleId="371">
    <w:name w:val="xl41"/>
    <w:basedOn w:val="1"/>
    <w:qFormat/>
    <w:uiPriority w:val="0"/>
    <w:pPr>
      <w:widowControl/>
      <w:pBdr>
        <w:top w:val="single" w:color="auto" w:sz="4" w:space="0"/>
      </w:pBdr>
      <w:spacing w:before="100" w:beforeAutospacing="1" w:after="100" w:afterAutospacing="1"/>
      <w:jc w:val="center"/>
      <w:textAlignment w:val="center"/>
    </w:pPr>
    <w:rPr>
      <w:b/>
      <w:bCs/>
      <w:kern w:val="0"/>
      <w:sz w:val="28"/>
      <w:szCs w:val="28"/>
    </w:rPr>
  </w:style>
  <w:style w:type="paragraph" w:customStyle="1" w:styleId="372">
    <w:name w:val="xl42"/>
    <w:basedOn w:val="1"/>
    <w:qFormat/>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jc w:val="center"/>
      <w:textAlignment w:val="center"/>
    </w:pPr>
    <w:rPr>
      <w:kern w:val="0"/>
      <w:sz w:val="24"/>
    </w:rPr>
  </w:style>
  <w:style w:type="paragraph" w:customStyle="1" w:styleId="373">
    <w:name w:val="xl43"/>
    <w:basedOn w:val="1"/>
    <w:qFormat/>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jc w:val="center"/>
      <w:textAlignment w:val="center"/>
    </w:pPr>
    <w:rPr>
      <w:rFonts w:ascii="宋体" w:hAnsi="宋体"/>
      <w:kern w:val="0"/>
      <w:sz w:val="24"/>
    </w:rPr>
  </w:style>
  <w:style w:type="paragraph" w:customStyle="1" w:styleId="374">
    <w:name w:val="xl44"/>
    <w:basedOn w:val="1"/>
    <w:qFormat/>
    <w:uiPriority w:val="0"/>
    <w:pPr>
      <w:widowControl/>
      <w:pBdr>
        <w:top w:val="single" w:color="auto" w:sz="4" w:space="0"/>
        <w:right w:val="single" w:color="auto" w:sz="4" w:space="0"/>
      </w:pBdr>
      <w:spacing w:before="100" w:beforeAutospacing="1" w:after="100" w:afterAutospacing="1"/>
      <w:jc w:val="center"/>
      <w:textAlignment w:val="center"/>
    </w:pPr>
    <w:rPr>
      <w:rFonts w:ascii="宋体" w:hAnsi="宋体"/>
      <w:kern w:val="0"/>
      <w:sz w:val="24"/>
    </w:rPr>
  </w:style>
  <w:style w:type="paragraph" w:customStyle="1" w:styleId="375">
    <w:name w:val="xl45"/>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宋体" w:hAnsi="宋体"/>
      <w:kern w:val="0"/>
      <w:sz w:val="24"/>
    </w:rPr>
  </w:style>
  <w:style w:type="paragraph" w:customStyle="1" w:styleId="376">
    <w:name w:val="xl46"/>
    <w:basedOn w:val="1"/>
    <w:qFormat/>
    <w:uiPriority w:val="0"/>
    <w:pPr>
      <w:widowControl/>
      <w:pBdr>
        <w:bottom w:val="single" w:color="auto" w:sz="4" w:space="0"/>
        <w:right w:val="single" w:color="auto" w:sz="4" w:space="0"/>
      </w:pBdr>
      <w:spacing w:before="100" w:beforeAutospacing="1" w:after="100" w:afterAutospacing="1"/>
      <w:jc w:val="center"/>
      <w:textAlignment w:val="center"/>
    </w:pPr>
    <w:rPr>
      <w:rFonts w:ascii="宋体" w:hAnsi="宋体"/>
      <w:kern w:val="0"/>
      <w:sz w:val="24"/>
    </w:rPr>
  </w:style>
  <w:style w:type="paragraph" w:customStyle="1" w:styleId="377">
    <w:name w:val="xl47"/>
    <w:basedOn w:val="1"/>
    <w:qFormat/>
    <w:uiPriority w:val="0"/>
    <w:pPr>
      <w:widowControl/>
      <w:pBdr>
        <w:top w:val="single" w:color="auto" w:sz="4" w:space="0"/>
      </w:pBdr>
      <w:shd w:val="clear" w:color="auto" w:fill="FFFFFF"/>
      <w:spacing w:before="100" w:beforeAutospacing="1" w:after="100" w:afterAutospacing="1"/>
      <w:jc w:val="center"/>
      <w:textAlignment w:val="center"/>
    </w:pPr>
    <w:rPr>
      <w:rFonts w:ascii="宋体" w:hAnsi="宋体"/>
      <w:kern w:val="0"/>
      <w:sz w:val="24"/>
    </w:rPr>
  </w:style>
  <w:style w:type="paragraph" w:customStyle="1" w:styleId="378">
    <w:name w:val="xl48"/>
    <w:basedOn w:val="1"/>
    <w:qFormat/>
    <w:uiPriority w:val="0"/>
    <w:pPr>
      <w:widowControl/>
      <w:pBdr>
        <w:left w:val="single" w:color="auto" w:sz="4" w:space="0"/>
        <w:bottom w:val="single" w:color="auto" w:sz="4" w:space="0"/>
      </w:pBdr>
      <w:shd w:val="clear" w:color="auto" w:fill="FFFFFF"/>
      <w:spacing w:before="100" w:beforeAutospacing="1" w:after="100" w:afterAutospacing="1"/>
      <w:jc w:val="center"/>
      <w:textAlignment w:val="center"/>
    </w:pPr>
    <w:rPr>
      <w:rFonts w:ascii="宋体" w:hAnsi="宋体"/>
      <w:kern w:val="0"/>
      <w:sz w:val="24"/>
    </w:rPr>
  </w:style>
  <w:style w:type="paragraph" w:customStyle="1" w:styleId="379">
    <w:name w:val="xl49"/>
    <w:basedOn w:val="1"/>
    <w:qFormat/>
    <w:uiPriority w:val="0"/>
    <w:pPr>
      <w:widowControl/>
      <w:pBdr>
        <w:bottom w:val="single" w:color="auto" w:sz="4" w:space="0"/>
        <w:right w:val="single" w:color="auto" w:sz="4" w:space="0"/>
      </w:pBdr>
      <w:shd w:val="clear" w:color="auto" w:fill="FFFFFF"/>
      <w:spacing w:before="100" w:beforeAutospacing="1" w:after="100" w:afterAutospacing="1"/>
      <w:jc w:val="center"/>
      <w:textAlignment w:val="center"/>
    </w:pPr>
    <w:rPr>
      <w:rFonts w:ascii="宋体" w:hAnsi="宋体"/>
      <w:kern w:val="0"/>
      <w:sz w:val="24"/>
    </w:rPr>
  </w:style>
  <w:style w:type="paragraph" w:customStyle="1" w:styleId="380">
    <w:name w:val="xl50"/>
    <w:basedOn w:val="1"/>
    <w:qFormat/>
    <w:uiPriority w:val="0"/>
    <w:pPr>
      <w:widowControl/>
      <w:pBdr>
        <w:bottom w:val="single" w:color="auto" w:sz="4" w:space="0"/>
        <w:right w:val="single" w:color="auto" w:sz="4" w:space="0"/>
      </w:pBdr>
      <w:shd w:val="clear" w:color="auto" w:fill="FFFFFF"/>
      <w:spacing w:before="100" w:beforeAutospacing="1" w:after="100" w:afterAutospacing="1"/>
      <w:jc w:val="center"/>
      <w:textAlignment w:val="center"/>
    </w:pPr>
    <w:rPr>
      <w:rFonts w:ascii="宋体" w:hAnsi="宋体"/>
      <w:kern w:val="0"/>
      <w:sz w:val="24"/>
    </w:rPr>
  </w:style>
  <w:style w:type="paragraph" w:customStyle="1" w:styleId="381">
    <w:name w:val="xl51"/>
    <w:basedOn w:val="1"/>
    <w:qFormat/>
    <w:uiPriority w:val="0"/>
    <w:pPr>
      <w:widowControl/>
      <w:pBdr>
        <w:top w:val="single" w:color="auto" w:sz="4" w:space="0"/>
        <w:left w:val="single" w:color="auto" w:sz="4" w:space="0"/>
      </w:pBdr>
      <w:spacing w:before="100" w:beforeAutospacing="1" w:after="100" w:afterAutospacing="1"/>
      <w:jc w:val="center"/>
      <w:textAlignment w:val="center"/>
    </w:pPr>
    <w:rPr>
      <w:rFonts w:ascii="宋体" w:hAnsi="宋体"/>
      <w:kern w:val="0"/>
      <w:sz w:val="24"/>
    </w:rPr>
  </w:style>
  <w:style w:type="paragraph" w:customStyle="1" w:styleId="382">
    <w:name w:val="xl52"/>
    <w:basedOn w:val="1"/>
    <w:qFormat/>
    <w:uiPriority w:val="0"/>
    <w:pPr>
      <w:widowControl/>
      <w:pBdr>
        <w:top w:val="single" w:color="auto" w:sz="4" w:space="0"/>
      </w:pBdr>
      <w:spacing w:before="100" w:beforeAutospacing="1" w:after="100" w:afterAutospacing="1"/>
      <w:jc w:val="center"/>
      <w:textAlignment w:val="center"/>
    </w:pPr>
    <w:rPr>
      <w:rFonts w:ascii="宋体" w:hAnsi="宋体"/>
      <w:kern w:val="0"/>
      <w:sz w:val="24"/>
    </w:rPr>
  </w:style>
  <w:style w:type="paragraph" w:customStyle="1" w:styleId="383">
    <w:name w:val="xl53"/>
    <w:basedOn w:val="1"/>
    <w:qFormat/>
    <w:uiPriority w:val="0"/>
    <w:pPr>
      <w:widowControl/>
      <w:pBdr>
        <w:bottom w:val="single" w:color="auto" w:sz="4" w:space="0"/>
      </w:pBdr>
      <w:spacing w:before="100" w:beforeAutospacing="1" w:after="100" w:afterAutospacing="1"/>
      <w:jc w:val="center"/>
      <w:textAlignment w:val="center"/>
    </w:pPr>
    <w:rPr>
      <w:rFonts w:ascii="宋体" w:hAnsi="宋体"/>
      <w:kern w:val="0"/>
      <w:sz w:val="24"/>
    </w:rPr>
  </w:style>
  <w:style w:type="paragraph" w:customStyle="1" w:styleId="384">
    <w:name w:val="xl54"/>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kern w:val="0"/>
      <w:sz w:val="24"/>
    </w:rPr>
  </w:style>
  <w:style w:type="paragraph" w:customStyle="1" w:styleId="385">
    <w:name w:val="xl55"/>
    <w:basedOn w:val="1"/>
    <w:qFormat/>
    <w:uiPriority w:val="0"/>
    <w:pPr>
      <w:widowControl/>
      <w:pBdr>
        <w:bottom w:val="single" w:color="auto" w:sz="4" w:space="0"/>
        <w:right w:val="single" w:color="auto" w:sz="4" w:space="0"/>
      </w:pBdr>
      <w:spacing w:before="100" w:beforeAutospacing="1" w:after="100" w:afterAutospacing="1"/>
      <w:jc w:val="center"/>
      <w:textAlignment w:val="center"/>
    </w:pPr>
    <w:rPr>
      <w:rFonts w:ascii="宋体" w:hAnsi="宋体"/>
      <w:kern w:val="0"/>
      <w:sz w:val="24"/>
    </w:rPr>
  </w:style>
  <w:style w:type="paragraph" w:customStyle="1" w:styleId="386">
    <w:name w:val="自动更正"/>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387">
    <w:name w:val="上次保存者"/>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388">
    <w:name w:val="上次打印时间"/>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389">
    <w:name w:val="临书仓促，不尽欲言。"/>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390">
    <w:name w:val="主题:"/>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391">
    <w:name w:val="久不通函，至以为念。"/>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392">
    <w:name w:val="亲启"/>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393">
    <w:name w:val="作者"/>
    <w:qFormat/>
    <w:uiPriority w:val="99"/>
    <w:pPr>
      <w:widowControl w:val="0"/>
      <w:jc w:val="both"/>
    </w:pPr>
    <w:rPr>
      <w:rFonts w:ascii="Times New Roman" w:hAnsi="Times New Roman" w:eastAsia="宋体" w:cs="Times New Roman"/>
      <w:kern w:val="2"/>
      <w:sz w:val="21"/>
      <w:lang w:val="en-US" w:eastAsia="zh-CN" w:bidi="ar-SA"/>
    </w:rPr>
  </w:style>
  <w:style w:type="paragraph" w:customStyle="1" w:styleId="394">
    <w:name w:val="作者、页码、日期"/>
    <w:qFormat/>
    <w:uiPriority w:val="99"/>
    <w:pPr>
      <w:widowControl w:val="0"/>
      <w:jc w:val="both"/>
    </w:pPr>
    <w:rPr>
      <w:rFonts w:ascii="Times New Roman" w:hAnsi="Times New Roman" w:eastAsia="宋体" w:cs="Times New Roman"/>
      <w:kern w:val="2"/>
      <w:sz w:val="21"/>
      <w:lang w:val="en-US" w:eastAsia="zh-CN" w:bidi="ar-SA"/>
    </w:rPr>
  </w:style>
  <w:style w:type="paragraph" w:customStyle="1" w:styleId="395">
    <w:name w:val="先生/女士："/>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396">
    <w:name w:val="关于:"/>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397">
    <w:name w:val="分手多日，近况如何？"/>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398">
    <w:name w:val="刘晓腾"/>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399">
    <w:name w:val="创建日期"/>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00">
    <w:name w:val="前上一函，谅达雅鉴，迄今未闻复音。"/>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01">
    <w:name w:val="匆此先复，余容后禀。"/>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02">
    <w:name w:val="参考:"/>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03">
    <w:name w:val="叩请金安！"/>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04">
    <w:name w:val="奉恳之事，乞速复为荷。"/>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05">
    <w:name w:val="奉读大示，心折殊深。"/>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06">
    <w:name w:val="尊意如何，请即示知。"/>
    <w:qFormat/>
    <w:uiPriority w:val="99"/>
    <w:pPr>
      <w:widowControl w:val="0"/>
      <w:jc w:val="both"/>
    </w:pPr>
    <w:rPr>
      <w:rFonts w:ascii="Times New Roman" w:hAnsi="Times New Roman" w:eastAsia="宋体" w:cs="Times New Roman"/>
      <w:kern w:val="2"/>
      <w:sz w:val="21"/>
      <w:lang w:val="en-US" w:eastAsia="zh-CN" w:bidi="ar-SA"/>
    </w:rPr>
  </w:style>
  <w:style w:type="paragraph" w:customStyle="1" w:styleId="407">
    <w:name w:val="惠书敬悉，迟复为歉。"/>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08">
    <w:name w:val="敬启者："/>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09">
    <w:name w:val="文件名"/>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10">
    <w:name w:val="文件名和路径"/>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11">
    <w:name w:val="机密、页码、日期"/>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12">
    <w:name w:val="知尊恙复发，心甚念之。"/>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13">
    <w:name w:val="第 X 页 共 Y 页"/>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14">
    <w:name w:val="答复:"/>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15">
    <w:name w:val="纸短情长，再祈珍重！"/>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16">
    <w:name w:val="请勿折叠！"/>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17">
    <w:name w:val="近来寒暑不常，希自珍慰。"/>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18">
    <w:name w:val="音问久疏，唯愿一切康适。"/>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419">
    <w:name w:val="顺颂商祺！"/>
    <w:qFormat/>
    <w:uiPriority w:val="0"/>
    <w:pPr>
      <w:widowControl w:val="0"/>
      <w:jc w:val="both"/>
    </w:pPr>
    <w:rPr>
      <w:rFonts w:ascii="Times New Roman" w:hAnsi="Times New Roman" w:eastAsia="宋体" w:cs="Times New Roman"/>
      <w:kern w:val="2"/>
      <w:sz w:val="21"/>
      <w:lang w:val="en-US" w:eastAsia="zh-CN" w:bidi="ar-SA"/>
    </w:rPr>
  </w:style>
  <w:style w:type="character" w:customStyle="1" w:styleId="420">
    <w:name w:val="样式 正文2 + Char"/>
    <w:link w:val="421"/>
    <w:qFormat/>
    <w:uiPriority w:val="0"/>
    <w:rPr>
      <w:rFonts w:ascii="宋体" w:hAnsi="宋体"/>
      <w:sz w:val="28"/>
      <w:szCs w:val="28"/>
    </w:rPr>
  </w:style>
  <w:style w:type="paragraph" w:customStyle="1" w:styleId="421">
    <w:name w:val="样式 正文2 +"/>
    <w:basedOn w:val="1"/>
    <w:link w:val="420"/>
    <w:qFormat/>
    <w:uiPriority w:val="0"/>
    <w:pPr>
      <w:tabs>
        <w:tab w:val="left" w:pos="5366"/>
      </w:tabs>
      <w:ind w:firstLine="560" w:firstLineChars="200"/>
    </w:pPr>
    <w:rPr>
      <w:rFonts w:ascii="宋体" w:hAnsi="宋体"/>
      <w:kern w:val="0"/>
      <w:sz w:val="28"/>
      <w:szCs w:val="28"/>
    </w:rPr>
  </w:style>
  <w:style w:type="paragraph" w:customStyle="1" w:styleId="422">
    <w:name w:val="out"/>
    <w:basedOn w:val="1"/>
    <w:qFormat/>
    <w:uiPriority w:val="0"/>
    <w:pPr>
      <w:widowControl/>
      <w:pBdr>
        <w:top w:val="single" w:color="EFEFEF" w:sz="6" w:space="0"/>
        <w:left w:val="single" w:color="EFEFEF" w:sz="6" w:space="0"/>
      </w:pBdr>
      <w:shd w:val="clear" w:color="auto" w:fill="FFFFFF"/>
      <w:spacing w:before="100" w:beforeAutospacing="1" w:after="100" w:afterAutospacing="1"/>
      <w:jc w:val="left"/>
    </w:pPr>
    <w:rPr>
      <w:rFonts w:ascii="Arial Unicode MS" w:hAnsi="Arial Unicode MS" w:eastAsia="Arial Unicode MS" w:cs="Arial Unicode MS"/>
      <w:color w:val="000000"/>
      <w:kern w:val="0"/>
      <w:sz w:val="18"/>
      <w:szCs w:val="18"/>
    </w:rPr>
  </w:style>
  <w:style w:type="paragraph" w:customStyle="1" w:styleId="423">
    <w:name w:val="over"/>
    <w:basedOn w:val="1"/>
    <w:qFormat/>
    <w:uiPriority w:val="0"/>
    <w:pPr>
      <w:widowControl/>
      <w:pBdr>
        <w:top w:val="single" w:color="EFEFEF" w:sz="6" w:space="0"/>
        <w:left w:val="single" w:color="EFEFEF" w:sz="6" w:space="0"/>
      </w:pBdr>
      <w:shd w:val="clear" w:color="auto" w:fill="EFEFEF"/>
      <w:spacing w:before="100" w:beforeAutospacing="1" w:after="100" w:afterAutospacing="1"/>
      <w:jc w:val="left"/>
    </w:pPr>
    <w:rPr>
      <w:rFonts w:ascii="Arial Unicode MS" w:hAnsi="Arial Unicode MS" w:eastAsia="Arial Unicode MS" w:cs="Arial Unicode MS"/>
      <w:color w:val="000000"/>
      <w:kern w:val="0"/>
      <w:sz w:val="18"/>
      <w:szCs w:val="18"/>
    </w:rPr>
  </w:style>
  <w:style w:type="paragraph" w:customStyle="1" w:styleId="424">
    <w:name w:val="td"/>
    <w:basedOn w:val="1"/>
    <w:qFormat/>
    <w:uiPriority w:val="0"/>
    <w:pPr>
      <w:widowControl/>
      <w:spacing w:before="100" w:beforeAutospacing="1" w:after="100" w:afterAutospacing="1" w:line="360" w:lineRule="auto"/>
      <w:jc w:val="left"/>
    </w:pPr>
    <w:rPr>
      <w:rFonts w:eastAsia="Arial Unicode MS" w:cs="Arial Unicode MS"/>
      <w:kern w:val="0"/>
      <w:sz w:val="18"/>
      <w:szCs w:val="18"/>
    </w:rPr>
  </w:style>
  <w:style w:type="paragraph" w:customStyle="1" w:styleId="425">
    <w:name w:val="tdh"/>
    <w:basedOn w:val="1"/>
    <w:qFormat/>
    <w:uiPriority w:val="0"/>
    <w:pPr>
      <w:widowControl/>
      <w:spacing w:before="100" w:beforeAutospacing="1" w:after="100" w:afterAutospacing="1" w:line="360" w:lineRule="auto"/>
      <w:jc w:val="left"/>
    </w:pPr>
    <w:rPr>
      <w:rFonts w:eastAsia="Arial Unicode MS" w:cs="Arial Unicode MS"/>
      <w:spacing w:val="30"/>
      <w:kern w:val="0"/>
      <w:sz w:val="18"/>
      <w:szCs w:val="18"/>
    </w:rPr>
  </w:style>
  <w:style w:type="paragraph" w:customStyle="1" w:styleId="426">
    <w:name w:val="tnone"/>
    <w:basedOn w:val="1"/>
    <w:qFormat/>
    <w:uiPriority w:val="0"/>
    <w:pPr>
      <w:widowControl/>
      <w:spacing w:before="100" w:beforeAutospacing="1" w:after="100" w:afterAutospacing="1"/>
      <w:jc w:val="left"/>
    </w:pPr>
    <w:rPr>
      <w:rFonts w:ascii="Arial Unicode MS" w:hAnsi="Arial Unicode MS" w:eastAsia="Arial Unicode MS" w:cs="Arial Unicode MS"/>
      <w:kern w:val="0"/>
      <w:sz w:val="24"/>
    </w:rPr>
  </w:style>
  <w:style w:type="paragraph" w:customStyle="1" w:styleId="427">
    <w:name w:val="tover"/>
    <w:basedOn w:val="1"/>
    <w:qFormat/>
    <w:uiPriority w:val="0"/>
    <w:pPr>
      <w:widowControl/>
      <w:shd w:val="clear" w:color="auto" w:fill="EFEFEF"/>
      <w:spacing w:before="100" w:beforeAutospacing="1" w:after="100" w:afterAutospacing="1"/>
      <w:jc w:val="left"/>
    </w:pPr>
    <w:rPr>
      <w:rFonts w:ascii="Arial Unicode MS" w:hAnsi="Arial Unicode MS" w:eastAsia="Arial Unicode MS" w:cs="Arial Unicode MS"/>
      <w:kern w:val="0"/>
      <w:sz w:val="24"/>
    </w:rPr>
  </w:style>
  <w:style w:type="paragraph" w:customStyle="1" w:styleId="428">
    <w:name w:val="tout"/>
    <w:basedOn w:val="1"/>
    <w:qFormat/>
    <w:uiPriority w:val="0"/>
    <w:pPr>
      <w:widowControl/>
      <w:shd w:val="clear" w:color="auto" w:fill="FFFFFF"/>
      <w:spacing w:before="100" w:beforeAutospacing="1" w:after="100" w:afterAutospacing="1"/>
      <w:jc w:val="left"/>
    </w:pPr>
    <w:rPr>
      <w:rFonts w:ascii="Arial Unicode MS" w:hAnsi="Arial Unicode MS" w:eastAsia="Arial Unicode MS" w:cs="Arial Unicode MS"/>
      <w:kern w:val="0"/>
      <w:sz w:val="24"/>
    </w:rPr>
  </w:style>
  <w:style w:type="paragraph" w:customStyle="1" w:styleId="429">
    <w:name w:val="pad"/>
    <w:basedOn w:val="1"/>
    <w:qFormat/>
    <w:uiPriority w:val="0"/>
    <w:pPr>
      <w:widowControl/>
      <w:spacing w:before="100" w:beforeAutospacing="1" w:after="100" w:afterAutospacing="1"/>
      <w:jc w:val="left"/>
    </w:pPr>
    <w:rPr>
      <w:rFonts w:ascii="Arial Unicode MS" w:hAnsi="Arial Unicode MS" w:eastAsia="Arial Unicode MS" w:cs="Arial Unicode MS"/>
      <w:kern w:val="0"/>
      <w:sz w:val="24"/>
    </w:rPr>
  </w:style>
  <w:style w:type="paragraph" w:customStyle="1" w:styleId="430">
    <w:name w:val="textfield"/>
    <w:basedOn w:val="1"/>
    <w:qFormat/>
    <w:uiPriority w:val="0"/>
    <w:pPr>
      <w:widowControl/>
      <w:pBdr>
        <w:top w:val="single" w:color="000000" w:sz="6" w:space="0"/>
        <w:left w:val="single" w:color="000000" w:sz="6" w:space="0"/>
        <w:bottom w:val="single" w:color="000000" w:sz="6" w:space="0"/>
        <w:right w:val="single" w:color="000000" w:sz="6" w:space="0"/>
      </w:pBdr>
      <w:shd w:val="clear" w:color="auto" w:fill="FFFFFF"/>
      <w:spacing w:before="100" w:beforeAutospacing="1" w:after="100" w:afterAutospacing="1"/>
      <w:jc w:val="left"/>
    </w:pPr>
    <w:rPr>
      <w:rFonts w:eastAsia="Arial Unicode MS" w:cs="Arial Unicode MS"/>
      <w:color w:val="00152B"/>
      <w:kern w:val="0"/>
      <w:sz w:val="18"/>
      <w:szCs w:val="18"/>
    </w:rPr>
  </w:style>
  <w:style w:type="paragraph" w:customStyle="1" w:styleId="431">
    <w:name w:val="表标题 Char Char"/>
    <w:basedOn w:val="1"/>
    <w:qFormat/>
    <w:uiPriority w:val="0"/>
    <w:pPr>
      <w:adjustRightInd w:val="0"/>
      <w:snapToGrid w:val="0"/>
      <w:spacing w:before="40" w:afterLines="50" w:line="400" w:lineRule="atLeast"/>
      <w:jc w:val="center"/>
    </w:pPr>
    <w:rPr>
      <w:b/>
      <w:bCs/>
      <w:sz w:val="24"/>
    </w:rPr>
  </w:style>
  <w:style w:type="character" w:customStyle="1" w:styleId="432">
    <w:name w:val="表标题 Char Char Char"/>
    <w:qFormat/>
    <w:uiPriority w:val="0"/>
    <w:rPr>
      <w:rFonts w:eastAsia="宋体"/>
      <w:b/>
      <w:bCs/>
      <w:kern w:val="2"/>
      <w:sz w:val="24"/>
      <w:szCs w:val="24"/>
      <w:lang w:val="en-US" w:eastAsia="zh-CN" w:bidi="ar-SA"/>
    </w:rPr>
  </w:style>
  <w:style w:type="paragraph" w:customStyle="1" w:styleId="433">
    <w:name w:val="湛宝表格"/>
    <w:basedOn w:val="113"/>
    <w:qFormat/>
    <w:uiPriority w:val="0"/>
    <w:pPr>
      <w:widowControl w:val="0"/>
      <w:adjustRightInd w:val="0"/>
      <w:jc w:val="center"/>
      <w:textAlignment w:val="baseline"/>
    </w:pPr>
    <w:rPr>
      <w:rFonts w:eastAsia="Times New Roman"/>
      <w:spacing w:val="10"/>
      <w:kern w:val="0"/>
    </w:rPr>
  </w:style>
  <w:style w:type="paragraph" w:customStyle="1" w:styleId="434">
    <w:name w:val="表第一列"/>
    <w:basedOn w:val="86"/>
    <w:qFormat/>
    <w:uiPriority w:val="0"/>
    <w:pPr>
      <w:keepNext/>
      <w:keepLines/>
      <w:widowControl w:val="0"/>
      <w:tabs>
        <w:tab w:val="left" w:pos="1727"/>
        <w:tab w:val="left" w:pos="1884"/>
        <w:tab w:val="left" w:pos="2940"/>
      </w:tabs>
      <w:spacing w:line="0" w:lineRule="atLeast"/>
      <w:ind w:firstLine="0" w:firstLineChars="0"/>
      <w:jc w:val="center"/>
    </w:pPr>
    <w:rPr>
      <w:snapToGrid/>
      <w:spacing w:val="-4"/>
      <w:kern w:val="2"/>
      <w:sz w:val="21"/>
    </w:rPr>
  </w:style>
  <w:style w:type="paragraph" w:customStyle="1" w:styleId="435">
    <w:name w:val="表中文字"/>
    <w:basedOn w:val="1"/>
    <w:qFormat/>
    <w:uiPriority w:val="0"/>
    <w:pPr>
      <w:jc w:val="center"/>
    </w:pPr>
  </w:style>
  <w:style w:type="paragraph" w:customStyle="1" w:styleId="436">
    <w:name w:val="正文样式3"/>
    <w:basedOn w:val="1"/>
    <w:qFormat/>
    <w:uiPriority w:val="0"/>
    <w:pPr>
      <w:adjustRightInd w:val="0"/>
      <w:spacing w:line="20" w:lineRule="atLeast"/>
      <w:jc w:val="center"/>
      <w:textAlignment w:val="baseline"/>
    </w:pPr>
    <w:rPr>
      <w:kern w:val="0"/>
      <w:sz w:val="24"/>
      <w:szCs w:val="20"/>
    </w:rPr>
  </w:style>
  <w:style w:type="paragraph" w:customStyle="1" w:styleId="437">
    <w:name w:val="编号正文"/>
    <w:basedOn w:val="22"/>
    <w:qFormat/>
    <w:uiPriority w:val="0"/>
    <w:pPr>
      <w:spacing w:line="360" w:lineRule="auto"/>
      <w:ind w:firstLine="480"/>
    </w:pPr>
  </w:style>
  <w:style w:type="paragraph" w:customStyle="1" w:styleId="438">
    <w:name w:val="湛宝标题"/>
    <w:basedOn w:val="23"/>
    <w:qFormat/>
    <w:uiPriority w:val="0"/>
    <w:pPr>
      <w:spacing w:line="360" w:lineRule="auto"/>
      <w:jc w:val="center"/>
    </w:pPr>
    <w:rPr>
      <w:rFonts w:eastAsia="宋体"/>
      <w:sz w:val="24"/>
    </w:rPr>
  </w:style>
  <w:style w:type="paragraph" w:customStyle="1" w:styleId="439">
    <w:name w:val="表格文字（居中）"/>
    <w:basedOn w:val="1"/>
    <w:qFormat/>
    <w:uiPriority w:val="0"/>
    <w:pPr>
      <w:jc w:val="center"/>
    </w:pPr>
    <w:rPr>
      <w:szCs w:val="21"/>
    </w:rPr>
  </w:style>
  <w:style w:type="paragraph" w:customStyle="1" w:styleId="440">
    <w:name w:val="湛江沥青正文"/>
    <w:basedOn w:val="1"/>
    <w:qFormat/>
    <w:uiPriority w:val="0"/>
    <w:pPr>
      <w:spacing w:line="360" w:lineRule="auto"/>
      <w:ind w:firstLine="480" w:firstLineChars="200"/>
    </w:pPr>
    <w:rPr>
      <w:rFonts w:ascii="宋体" w:hAnsi="宋体"/>
      <w:sz w:val="24"/>
    </w:rPr>
  </w:style>
  <w:style w:type="paragraph" w:customStyle="1" w:styleId="441">
    <w:name w:val="湛江沥青表"/>
    <w:basedOn w:val="1"/>
    <w:qFormat/>
    <w:uiPriority w:val="0"/>
    <w:rPr>
      <w:color w:val="000000"/>
    </w:rPr>
  </w:style>
  <w:style w:type="paragraph" w:customStyle="1" w:styleId="442">
    <w:name w:val="标准"/>
    <w:basedOn w:val="1"/>
    <w:qFormat/>
    <w:uiPriority w:val="0"/>
    <w:pPr>
      <w:adjustRightInd w:val="0"/>
      <w:spacing w:line="312" w:lineRule="atLeast"/>
      <w:textAlignment w:val="baseline"/>
    </w:pPr>
    <w:rPr>
      <w:rFonts w:ascii="宋体" w:hAnsi="Courier New"/>
      <w:kern w:val="18"/>
      <w:sz w:val="24"/>
      <w:szCs w:val="20"/>
    </w:rPr>
  </w:style>
  <w:style w:type="paragraph" w:customStyle="1" w:styleId="443">
    <w:name w:val="小注"/>
    <w:basedOn w:val="1"/>
    <w:next w:val="1"/>
    <w:qFormat/>
    <w:uiPriority w:val="0"/>
    <w:pPr>
      <w:adjustRightInd w:val="0"/>
      <w:snapToGrid w:val="0"/>
      <w:spacing w:after="360" w:line="360" w:lineRule="atLeast"/>
    </w:pPr>
    <w:rPr>
      <w:rFonts w:ascii="宋体"/>
      <w:spacing w:val="14"/>
      <w:szCs w:val="20"/>
    </w:rPr>
  </w:style>
  <w:style w:type="paragraph" w:customStyle="1" w:styleId="444">
    <w:name w:val="题1"/>
    <w:basedOn w:val="1"/>
    <w:qFormat/>
    <w:uiPriority w:val="0"/>
    <w:pPr>
      <w:tabs>
        <w:tab w:val="left" w:pos="964"/>
      </w:tabs>
      <w:spacing w:before="120" w:after="120"/>
    </w:pPr>
    <w:rPr>
      <w:b/>
      <w:sz w:val="32"/>
      <w:szCs w:val="20"/>
    </w:rPr>
  </w:style>
  <w:style w:type="paragraph" w:customStyle="1" w:styleId="445">
    <w:name w:val="简单回函地址"/>
    <w:basedOn w:val="1"/>
    <w:qFormat/>
    <w:uiPriority w:val="0"/>
  </w:style>
  <w:style w:type="paragraph" w:customStyle="1" w:styleId="446">
    <w:name w:val="表"/>
    <w:basedOn w:val="1"/>
    <w:next w:val="1"/>
    <w:link w:val="1190"/>
    <w:qFormat/>
    <w:uiPriority w:val="0"/>
    <w:pPr>
      <w:adjustRightInd w:val="0"/>
      <w:spacing w:before="120"/>
      <w:jc w:val="center"/>
      <w:textAlignment w:val="baseline"/>
    </w:pPr>
    <w:rPr>
      <w:kern w:val="0"/>
      <w:szCs w:val="20"/>
    </w:rPr>
  </w:style>
  <w:style w:type="paragraph" w:customStyle="1" w:styleId="447">
    <w:name w:val="样式 题注 + 居中"/>
    <w:basedOn w:val="23"/>
    <w:qFormat/>
    <w:uiPriority w:val="0"/>
    <w:pPr>
      <w:tabs>
        <w:tab w:val="left" w:pos="0"/>
      </w:tabs>
      <w:spacing w:line="324" w:lineRule="auto"/>
    </w:pPr>
    <w:rPr>
      <w:rFonts w:eastAsia="宋体" w:cs="Times New Roman"/>
      <w:b/>
      <w:bCs/>
      <w:color w:val="000000"/>
      <w:sz w:val="21"/>
      <w:szCs w:val="24"/>
    </w:rPr>
  </w:style>
  <w:style w:type="paragraph" w:customStyle="1" w:styleId="448">
    <w:name w:val="题注2"/>
    <w:basedOn w:val="23"/>
    <w:next w:val="447"/>
    <w:qFormat/>
    <w:uiPriority w:val="0"/>
    <w:pPr>
      <w:spacing w:line="324" w:lineRule="auto"/>
      <w:ind w:firstLine="400" w:firstLineChars="200"/>
    </w:pPr>
    <w:rPr>
      <w:rFonts w:eastAsia="宋体" w:cs="Times New Roman"/>
      <w:bCs/>
      <w:color w:val="000000"/>
      <w:sz w:val="21"/>
      <w:szCs w:val="24"/>
    </w:rPr>
  </w:style>
  <w:style w:type="paragraph" w:customStyle="1" w:styleId="449">
    <w:name w:val="样式 题注2 + 首行缩进:  2 字符"/>
    <w:basedOn w:val="448"/>
    <w:qFormat/>
    <w:uiPriority w:val="0"/>
    <w:pPr>
      <w:ind w:firstLine="420"/>
      <w:jc w:val="center"/>
    </w:pPr>
    <w:rPr>
      <w:b/>
    </w:rPr>
  </w:style>
  <w:style w:type="paragraph" w:customStyle="1" w:styleId="450">
    <w:name w:val="样式 题注 + 首行缩进:  2 字符"/>
    <w:basedOn w:val="23"/>
    <w:qFormat/>
    <w:uiPriority w:val="0"/>
    <w:pPr>
      <w:spacing w:line="324" w:lineRule="auto"/>
    </w:pPr>
    <w:rPr>
      <w:rFonts w:cs="Times New Roman"/>
      <w:bCs/>
      <w:color w:val="000000"/>
      <w:szCs w:val="24"/>
    </w:rPr>
  </w:style>
  <w:style w:type="paragraph" w:customStyle="1" w:styleId="451">
    <w:name w:val="表题注"/>
    <w:basedOn w:val="1"/>
    <w:qFormat/>
    <w:uiPriority w:val="0"/>
    <w:pPr>
      <w:adjustRightInd w:val="0"/>
      <w:spacing w:before="72" w:line="0" w:lineRule="atLeast"/>
      <w:ind w:firstLine="1080" w:firstLineChars="415"/>
      <w:jc w:val="center"/>
      <w:textAlignment w:val="baseline"/>
    </w:pPr>
    <w:rPr>
      <w:b/>
      <w:bCs/>
      <w:spacing w:val="10"/>
      <w:kern w:val="0"/>
      <w:sz w:val="24"/>
      <w:szCs w:val="21"/>
    </w:rPr>
  </w:style>
  <w:style w:type="character" w:customStyle="1" w:styleId="452">
    <w:name w:val="码头正文 Char"/>
    <w:qFormat/>
    <w:uiPriority w:val="0"/>
    <w:rPr>
      <w:rFonts w:hAnsi="宋体" w:eastAsia="宋体"/>
      <w:bCs/>
      <w:sz w:val="24"/>
      <w:szCs w:val="24"/>
      <w:u w:color="000000"/>
      <w:lang w:val="en-US" w:eastAsia="zh-CN" w:bidi="ar-SA"/>
    </w:rPr>
  </w:style>
  <w:style w:type="paragraph" w:customStyle="1" w:styleId="453">
    <w:name w:val="电镀正文"/>
    <w:basedOn w:val="22"/>
    <w:qFormat/>
    <w:uiPriority w:val="0"/>
    <w:pPr>
      <w:spacing w:line="312" w:lineRule="auto"/>
      <w:ind w:firstLine="200"/>
    </w:pPr>
    <w:rPr>
      <w:rFonts w:ascii="宋体" w:hAnsi="宋体"/>
    </w:rPr>
  </w:style>
  <w:style w:type="paragraph" w:customStyle="1" w:styleId="454">
    <w:name w:val="电镀表"/>
    <w:basedOn w:val="1"/>
    <w:qFormat/>
    <w:uiPriority w:val="0"/>
    <w:pPr>
      <w:autoSpaceDE w:val="0"/>
      <w:autoSpaceDN w:val="0"/>
      <w:adjustRightInd w:val="0"/>
      <w:spacing w:line="0" w:lineRule="atLeast"/>
      <w:jc w:val="center"/>
      <w:textAlignment w:val="center"/>
    </w:pPr>
    <w:rPr>
      <w:kern w:val="0"/>
      <w:szCs w:val="21"/>
    </w:rPr>
  </w:style>
  <w:style w:type="paragraph" w:customStyle="1" w:styleId="455">
    <w:name w:val="样式 报告书正文 + 首行缩进:  2 字符"/>
    <w:basedOn w:val="1"/>
    <w:qFormat/>
    <w:uiPriority w:val="0"/>
    <w:pPr>
      <w:spacing w:line="360" w:lineRule="auto"/>
      <w:ind w:firstLine="504" w:firstLineChars="200"/>
    </w:pPr>
    <w:rPr>
      <w:rFonts w:ascii="宋体" w:hAnsi="宋体"/>
      <w:color w:val="000000"/>
      <w:spacing w:val="6"/>
      <w:sz w:val="24"/>
      <w:szCs w:val="20"/>
    </w:rPr>
  </w:style>
  <w:style w:type="paragraph" w:customStyle="1" w:styleId="456">
    <w:name w:val="钢铁表"/>
    <w:basedOn w:val="1"/>
    <w:qFormat/>
    <w:uiPriority w:val="0"/>
    <w:pPr>
      <w:adjustRightInd w:val="0"/>
      <w:snapToGrid w:val="0"/>
    </w:pPr>
    <w:rPr>
      <w:snapToGrid w:val="0"/>
    </w:rPr>
  </w:style>
  <w:style w:type="paragraph" w:customStyle="1" w:styleId="457">
    <w:name w:val="表题"/>
    <w:basedOn w:val="17"/>
    <w:link w:val="1013"/>
    <w:qFormat/>
    <w:uiPriority w:val="0"/>
    <w:pPr>
      <w:spacing w:line="360" w:lineRule="auto"/>
      <w:ind w:firstLine="480" w:firstLineChars="200"/>
      <w:jc w:val="both"/>
    </w:pPr>
    <w:rPr>
      <w:rFonts w:ascii="黑体" w:eastAsia="黑体"/>
      <w:bCs/>
      <w:color w:val="000000"/>
      <w:sz w:val="24"/>
      <w:szCs w:val="24"/>
    </w:rPr>
  </w:style>
  <w:style w:type="paragraph" w:customStyle="1" w:styleId="458">
    <w:name w:val="样式 表格2 + Times New Roman"/>
    <w:basedOn w:val="268"/>
    <w:qFormat/>
    <w:uiPriority w:val="0"/>
    <w:pPr>
      <w:topLinePunct w:val="0"/>
      <w:autoSpaceDE/>
      <w:autoSpaceDN/>
      <w:adjustRightInd/>
      <w:spacing w:beforeLines="5" w:line="240" w:lineRule="auto"/>
      <w:textAlignment w:val="auto"/>
    </w:pPr>
    <w:rPr>
      <w:rFonts w:ascii="Times New Roman" w:eastAsia="Times New Roman"/>
      <w:kern w:val="2"/>
      <w:position w:val="0"/>
      <w:sz w:val="21"/>
      <w:lang w:val="zh-CN"/>
    </w:rPr>
  </w:style>
  <w:style w:type="character" w:customStyle="1" w:styleId="459">
    <w:name w:val="theinfocontent"/>
    <w:basedOn w:val="95"/>
    <w:qFormat/>
    <w:uiPriority w:val="0"/>
  </w:style>
  <w:style w:type="paragraph" w:customStyle="1" w:styleId="460">
    <w:name w:val="沥青表"/>
    <w:basedOn w:val="1"/>
    <w:qFormat/>
    <w:uiPriority w:val="0"/>
    <w:pPr>
      <w:adjustRightInd w:val="0"/>
      <w:spacing w:line="0" w:lineRule="atLeast"/>
      <w:jc w:val="center"/>
      <w:textAlignment w:val="baseline"/>
    </w:pPr>
    <w:rPr>
      <w:bCs/>
      <w:spacing w:val="10"/>
      <w:kern w:val="0"/>
      <w:szCs w:val="21"/>
    </w:rPr>
  </w:style>
  <w:style w:type="paragraph" w:customStyle="1" w:styleId="461">
    <w:name w:val="湛宝正文"/>
    <w:basedOn w:val="1"/>
    <w:qFormat/>
    <w:uiPriority w:val="0"/>
    <w:pPr>
      <w:spacing w:line="360" w:lineRule="auto"/>
      <w:ind w:firstLine="200" w:firstLineChars="200"/>
      <w:jc w:val="left"/>
    </w:pPr>
    <w:rPr>
      <w:color w:val="000000"/>
      <w:sz w:val="24"/>
    </w:rPr>
  </w:style>
  <w:style w:type="paragraph" w:customStyle="1" w:styleId="462">
    <w:name w:val="章标题"/>
    <w:next w:val="463"/>
    <w:qFormat/>
    <w:uiPriority w:val="0"/>
    <w:pPr>
      <w:tabs>
        <w:tab w:val="left" w:pos="903"/>
      </w:tabs>
      <w:spacing w:before="50" w:after="50"/>
      <w:ind w:left="903" w:hanging="315"/>
      <w:jc w:val="both"/>
      <w:outlineLvl w:val="1"/>
    </w:pPr>
    <w:rPr>
      <w:rFonts w:ascii="黑体" w:hAnsi="Times New Roman" w:eastAsia="黑体" w:cs="Times New Roman"/>
      <w:sz w:val="21"/>
      <w:lang w:val="en-US" w:eastAsia="zh-CN" w:bidi="ar-SA"/>
    </w:rPr>
  </w:style>
  <w:style w:type="paragraph" w:customStyle="1" w:styleId="463">
    <w:name w:val="段"/>
    <w:link w:val="1174"/>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464">
    <w:name w:val="前言、引言标题"/>
    <w:next w:val="1"/>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465">
    <w:name w:val="目次、标准名称标题"/>
    <w:basedOn w:val="464"/>
    <w:next w:val="463"/>
    <w:qFormat/>
    <w:uiPriority w:val="0"/>
    <w:pPr>
      <w:tabs>
        <w:tab w:val="clear" w:pos="903"/>
      </w:tabs>
      <w:spacing w:line="460" w:lineRule="exact"/>
      <w:ind w:left="0" w:firstLine="0"/>
    </w:pPr>
  </w:style>
  <w:style w:type="paragraph" w:customStyle="1" w:styleId="466">
    <w:name w:val="一级条标题"/>
    <w:basedOn w:val="462"/>
    <w:next w:val="1"/>
    <w:qFormat/>
    <w:uiPriority w:val="0"/>
    <w:pPr>
      <w:tabs>
        <w:tab w:val="left" w:pos="360"/>
        <w:tab w:val="clear" w:pos="903"/>
      </w:tabs>
      <w:spacing w:before="0" w:after="0"/>
      <w:ind w:left="0" w:firstLine="0"/>
      <w:outlineLvl w:val="2"/>
    </w:pPr>
  </w:style>
  <w:style w:type="paragraph" w:customStyle="1" w:styleId="467">
    <w:name w:val="二级条标题"/>
    <w:basedOn w:val="466"/>
    <w:next w:val="1"/>
    <w:qFormat/>
    <w:uiPriority w:val="0"/>
    <w:pPr>
      <w:outlineLvl w:val="3"/>
    </w:pPr>
  </w:style>
  <w:style w:type="paragraph" w:customStyle="1" w:styleId="468">
    <w:name w:val="三级条标题"/>
    <w:basedOn w:val="467"/>
    <w:next w:val="1"/>
    <w:qFormat/>
    <w:uiPriority w:val="0"/>
    <w:pPr>
      <w:outlineLvl w:val="4"/>
    </w:pPr>
  </w:style>
  <w:style w:type="paragraph" w:customStyle="1" w:styleId="469">
    <w:name w:val="四级条标题"/>
    <w:basedOn w:val="468"/>
    <w:next w:val="1"/>
    <w:qFormat/>
    <w:uiPriority w:val="0"/>
    <w:pPr>
      <w:outlineLvl w:val="5"/>
    </w:pPr>
  </w:style>
  <w:style w:type="paragraph" w:customStyle="1" w:styleId="470">
    <w:name w:val="五级条标题"/>
    <w:basedOn w:val="469"/>
    <w:next w:val="1"/>
    <w:qFormat/>
    <w:uiPriority w:val="0"/>
    <w:pPr>
      <w:outlineLvl w:val="6"/>
    </w:pPr>
  </w:style>
  <w:style w:type="paragraph" w:customStyle="1" w:styleId="471">
    <w:name w:val="附录标识"/>
    <w:basedOn w:val="464"/>
    <w:qFormat/>
    <w:uiPriority w:val="0"/>
    <w:pPr>
      <w:tabs>
        <w:tab w:val="left" w:pos="6405"/>
        <w:tab w:val="clear" w:pos="903"/>
      </w:tabs>
      <w:spacing w:after="200"/>
      <w:ind w:left="0" w:firstLine="0"/>
    </w:pPr>
    <w:rPr>
      <w:sz w:val="21"/>
    </w:rPr>
  </w:style>
  <w:style w:type="paragraph" w:customStyle="1" w:styleId="472">
    <w:name w:val="附录章标题"/>
    <w:next w:val="463"/>
    <w:qFormat/>
    <w:uiPriority w:val="0"/>
    <w:pPr>
      <w:wordWrap w:val="0"/>
      <w:overflowPunct w:val="0"/>
      <w:autoSpaceDE w:val="0"/>
      <w:spacing w:beforeLines="50" w:afterLines="50"/>
      <w:jc w:val="both"/>
      <w:textAlignment w:val="baseline"/>
      <w:outlineLvl w:val="1"/>
    </w:pPr>
    <w:rPr>
      <w:rFonts w:ascii="黑体" w:hAnsi="Times New Roman" w:eastAsia="黑体" w:cs="Times New Roman"/>
      <w:kern w:val="21"/>
      <w:sz w:val="21"/>
      <w:lang w:val="en-US" w:eastAsia="zh-CN" w:bidi="ar-SA"/>
    </w:rPr>
  </w:style>
  <w:style w:type="paragraph" w:customStyle="1" w:styleId="473">
    <w:name w:val="附录一级条标题"/>
    <w:basedOn w:val="472"/>
    <w:next w:val="463"/>
    <w:qFormat/>
    <w:uiPriority w:val="0"/>
    <w:pPr>
      <w:tabs>
        <w:tab w:val="left" w:pos="828"/>
      </w:tabs>
      <w:autoSpaceDN w:val="0"/>
      <w:spacing w:beforeLines="0" w:afterLines="0"/>
      <w:ind w:left="828" w:hanging="240"/>
      <w:outlineLvl w:val="2"/>
    </w:pPr>
  </w:style>
  <w:style w:type="paragraph" w:customStyle="1" w:styleId="474">
    <w:name w:val="附录二级条标题"/>
    <w:basedOn w:val="473"/>
    <w:next w:val="463"/>
    <w:qFormat/>
    <w:uiPriority w:val="0"/>
    <w:pPr>
      <w:tabs>
        <w:tab w:val="left" w:pos="360"/>
        <w:tab w:val="clear" w:pos="828"/>
      </w:tabs>
      <w:ind w:left="360" w:hanging="360"/>
      <w:outlineLvl w:val="3"/>
    </w:pPr>
  </w:style>
  <w:style w:type="paragraph" w:customStyle="1" w:styleId="475">
    <w:name w:val="附录三级条标题"/>
    <w:basedOn w:val="474"/>
    <w:next w:val="463"/>
    <w:qFormat/>
    <w:uiPriority w:val="0"/>
    <w:pPr>
      <w:tabs>
        <w:tab w:val="left" w:pos="1068"/>
        <w:tab w:val="clear" w:pos="360"/>
      </w:tabs>
      <w:ind w:left="1068"/>
      <w:outlineLvl w:val="4"/>
    </w:pPr>
  </w:style>
  <w:style w:type="paragraph" w:customStyle="1" w:styleId="476">
    <w:name w:val="附录四级条标题"/>
    <w:basedOn w:val="475"/>
    <w:next w:val="463"/>
    <w:qFormat/>
    <w:uiPriority w:val="0"/>
    <w:pPr>
      <w:tabs>
        <w:tab w:val="left" w:pos="960"/>
        <w:tab w:val="clear" w:pos="1068"/>
      </w:tabs>
      <w:ind w:left="960"/>
      <w:outlineLvl w:val="5"/>
    </w:pPr>
  </w:style>
  <w:style w:type="paragraph" w:customStyle="1" w:styleId="477">
    <w:name w:val="附录五级条标题"/>
    <w:basedOn w:val="476"/>
    <w:next w:val="463"/>
    <w:qFormat/>
    <w:uiPriority w:val="0"/>
    <w:pPr>
      <w:tabs>
        <w:tab w:val="left" w:pos="435"/>
        <w:tab w:val="clear" w:pos="960"/>
      </w:tabs>
      <w:ind w:left="435" w:hanging="165"/>
      <w:outlineLvl w:val="6"/>
    </w:pPr>
  </w:style>
  <w:style w:type="paragraph" w:customStyle="1" w:styleId="478">
    <w:name w:val="列项——"/>
    <w:qFormat/>
    <w:uiPriority w:val="0"/>
    <w:pPr>
      <w:widowControl w:val="0"/>
      <w:tabs>
        <w:tab w:val="left" w:pos="854"/>
      </w:tabs>
      <w:ind w:left="840" w:leftChars="200" w:hanging="420" w:hangingChars="200"/>
      <w:jc w:val="both"/>
    </w:pPr>
    <w:rPr>
      <w:rFonts w:ascii="宋体" w:hAnsi="Times New Roman" w:eastAsia="宋体" w:cs="Times New Roman"/>
      <w:sz w:val="21"/>
      <w:lang w:val="en-US" w:eastAsia="zh-CN" w:bidi="ar-SA"/>
    </w:rPr>
  </w:style>
  <w:style w:type="paragraph" w:customStyle="1" w:styleId="479">
    <w:name w:val="列项·"/>
    <w:qFormat/>
    <w:uiPriority w:val="0"/>
    <w:pPr>
      <w:tabs>
        <w:tab w:val="left" w:pos="840"/>
      </w:tabs>
      <w:ind w:left="840" w:leftChars="200" w:hanging="420" w:hangingChars="200"/>
      <w:jc w:val="both"/>
    </w:pPr>
    <w:rPr>
      <w:rFonts w:ascii="宋体" w:hAnsi="Times New Roman" w:eastAsia="宋体" w:cs="Times New Roman"/>
      <w:sz w:val="21"/>
      <w:lang w:val="en-US" w:eastAsia="zh-CN" w:bidi="ar-SA"/>
    </w:rPr>
  </w:style>
  <w:style w:type="paragraph" w:customStyle="1" w:styleId="480">
    <w:name w:val="三级无标题条"/>
    <w:basedOn w:val="1"/>
    <w:qFormat/>
    <w:uiPriority w:val="0"/>
  </w:style>
  <w:style w:type="paragraph" w:customStyle="1" w:styleId="481">
    <w:name w:val="示例"/>
    <w:next w:val="463"/>
    <w:qFormat/>
    <w:uiPriority w:val="0"/>
    <w:pPr>
      <w:tabs>
        <w:tab w:val="left" w:pos="816"/>
      </w:tabs>
      <w:ind w:firstLine="419" w:firstLineChars="233"/>
      <w:jc w:val="both"/>
    </w:pPr>
    <w:rPr>
      <w:rFonts w:ascii="宋体" w:hAnsi="Times New Roman" w:eastAsia="宋体" w:cs="Times New Roman"/>
      <w:sz w:val="18"/>
      <w:lang w:val="en-US" w:eastAsia="zh-CN" w:bidi="ar-SA"/>
    </w:rPr>
  </w:style>
  <w:style w:type="paragraph" w:customStyle="1" w:styleId="482">
    <w:name w:val="四级无标题条"/>
    <w:basedOn w:val="1"/>
    <w:qFormat/>
    <w:uiPriority w:val="0"/>
    <w:pPr>
      <w:tabs>
        <w:tab w:val="left" w:pos="1365"/>
      </w:tabs>
      <w:ind w:left="1365" w:hanging="720"/>
    </w:pPr>
  </w:style>
  <w:style w:type="paragraph" w:customStyle="1" w:styleId="483">
    <w:name w:val="五级无标题条"/>
    <w:basedOn w:val="1"/>
    <w:qFormat/>
    <w:uiPriority w:val="0"/>
  </w:style>
  <w:style w:type="paragraph" w:customStyle="1" w:styleId="484">
    <w:name w:val="一级无标题条"/>
    <w:basedOn w:val="1"/>
    <w:qFormat/>
    <w:uiPriority w:val="0"/>
  </w:style>
  <w:style w:type="paragraph" w:customStyle="1" w:styleId="485">
    <w:name w:val="正文表标题"/>
    <w:next w:val="463"/>
    <w:qFormat/>
    <w:uiPriority w:val="0"/>
    <w:pPr>
      <w:jc w:val="center"/>
    </w:pPr>
    <w:rPr>
      <w:rFonts w:ascii="黑体" w:hAnsi="Times New Roman" w:eastAsia="黑体" w:cs="Times New Roman"/>
      <w:sz w:val="21"/>
      <w:lang w:val="en-US" w:eastAsia="zh-CN" w:bidi="ar-SA"/>
    </w:rPr>
  </w:style>
  <w:style w:type="paragraph" w:customStyle="1" w:styleId="486">
    <w:name w:val="正文图标题"/>
    <w:next w:val="463"/>
    <w:qFormat/>
    <w:uiPriority w:val="0"/>
    <w:pPr>
      <w:jc w:val="center"/>
    </w:pPr>
    <w:rPr>
      <w:rFonts w:ascii="黑体" w:hAnsi="Times New Roman" w:eastAsia="黑体" w:cs="Times New Roman"/>
      <w:sz w:val="21"/>
      <w:lang w:val="en-US" w:eastAsia="zh-CN" w:bidi="ar-SA"/>
    </w:rPr>
  </w:style>
  <w:style w:type="paragraph" w:customStyle="1" w:styleId="487">
    <w:name w:val="注×："/>
    <w:qFormat/>
    <w:uiPriority w:val="0"/>
    <w:pPr>
      <w:widowControl w:val="0"/>
      <w:tabs>
        <w:tab w:val="left" w:pos="630"/>
        <w:tab w:val="left" w:pos="680"/>
      </w:tabs>
      <w:autoSpaceDE w:val="0"/>
      <w:autoSpaceDN w:val="0"/>
      <w:ind w:left="680" w:hanging="360"/>
      <w:jc w:val="both"/>
    </w:pPr>
    <w:rPr>
      <w:rFonts w:ascii="宋体" w:hAnsi="Times New Roman" w:eastAsia="宋体" w:cs="Times New Roman"/>
      <w:sz w:val="18"/>
      <w:lang w:val="en-US" w:eastAsia="zh-CN" w:bidi="ar-SA"/>
    </w:rPr>
  </w:style>
  <w:style w:type="paragraph" w:customStyle="1" w:styleId="488">
    <w:name w:val="标准书脚_偶数页"/>
    <w:qFormat/>
    <w:uiPriority w:val="0"/>
    <w:pPr>
      <w:spacing w:before="120"/>
    </w:pPr>
    <w:rPr>
      <w:rFonts w:ascii="Times New Roman" w:hAnsi="Times New Roman" w:eastAsia="宋体" w:cs="Times New Roman"/>
      <w:sz w:val="18"/>
      <w:lang w:val="en-US" w:eastAsia="zh-CN" w:bidi="ar-SA"/>
    </w:rPr>
  </w:style>
  <w:style w:type="paragraph" w:customStyle="1" w:styleId="489">
    <w:name w:val="封面正文"/>
    <w:qFormat/>
    <w:uiPriority w:val="0"/>
    <w:pPr>
      <w:jc w:val="both"/>
    </w:pPr>
    <w:rPr>
      <w:rFonts w:ascii="Times New Roman" w:hAnsi="Times New Roman" w:eastAsia="宋体" w:cs="Times New Roman"/>
      <w:lang w:val="en-US" w:eastAsia="zh-CN" w:bidi="ar-SA"/>
    </w:rPr>
  </w:style>
  <w:style w:type="paragraph" w:customStyle="1" w:styleId="490">
    <w:name w:val="标准书眉_偶数页"/>
    <w:basedOn w:val="491"/>
    <w:next w:val="1"/>
    <w:qFormat/>
    <w:uiPriority w:val="0"/>
    <w:pPr>
      <w:tabs>
        <w:tab w:val="center" w:pos="4154"/>
        <w:tab w:val="right" w:pos="8306"/>
      </w:tabs>
      <w:jc w:val="left"/>
    </w:pPr>
  </w:style>
  <w:style w:type="paragraph" w:customStyle="1" w:styleId="491">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492">
    <w:name w:val="文本框"/>
    <w:basedOn w:val="1"/>
    <w:qFormat/>
    <w:uiPriority w:val="0"/>
    <w:rPr>
      <w:color w:val="000000"/>
      <w:szCs w:val="21"/>
    </w:rPr>
  </w:style>
  <w:style w:type="paragraph" w:customStyle="1" w:styleId="493">
    <w:name w:val="生物中文类名"/>
    <w:basedOn w:val="1"/>
    <w:qFormat/>
    <w:uiPriority w:val="0"/>
    <w:pPr>
      <w:tabs>
        <w:tab w:val="left" w:pos="-120"/>
      </w:tabs>
      <w:spacing w:before="60" w:line="310" w:lineRule="atLeast"/>
      <w:ind w:firstLine="2714" w:firstLineChars="1082"/>
    </w:pPr>
    <w:rPr>
      <w:b/>
      <w:bCs/>
      <w:spacing w:val="20"/>
      <w:szCs w:val="21"/>
    </w:rPr>
  </w:style>
  <w:style w:type="paragraph" w:customStyle="1" w:styleId="494">
    <w:name w:val="样式 仿宋_GB2312 四号 段前: 7.8 磅 段后: 7.8 磅 行距: 1.5 倍行距"/>
    <w:basedOn w:val="1"/>
    <w:qFormat/>
    <w:uiPriority w:val="0"/>
    <w:pPr>
      <w:spacing w:before="156" w:after="156" w:line="360" w:lineRule="auto"/>
      <w:ind w:firstLine="630" w:firstLineChars="225"/>
    </w:pPr>
    <w:rPr>
      <w:rFonts w:ascii="Arial" w:hAnsi="Arial"/>
      <w:sz w:val="24"/>
      <w:szCs w:val="20"/>
    </w:rPr>
  </w:style>
  <w:style w:type="paragraph" w:customStyle="1" w:styleId="495">
    <w:name w:val="样式 小四 首行缩进:  2 字符"/>
    <w:basedOn w:val="1"/>
    <w:qFormat/>
    <w:uiPriority w:val="0"/>
    <w:pPr>
      <w:spacing w:before="120" w:after="120" w:line="312" w:lineRule="auto"/>
      <w:ind w:firstLine="482" w:firstLineChars="200"/>
    </w:pPr>
    <w:rPr>
      <w:rFonts w:cs="宋体"/>
      <w:b/>
      <w:sz w:val="24"/>
    </w:rPr>
  </w:style>
  <w:style w:type="paragraph" w:customStyle="1" w:styleId="496">
    <w:name w:val="样式 首行缩进:  0.85 厘米"/>
    <w:basedOn w:val="1"/>
    <w:qFormat/>
    <w:uiPriority w:val="99"/>
    <w:pPr>
      <w:spacing w:before="80" w:after="80" w:line="400" w:lineRule="exact"/>
      <w:ind w:firstLine="480" w:firstLineChars="200"/>
    </w:pPr>
    <w:rPr>
      <w:color w:val="000000"/>
      <w:sz w:val="24"/>
    </w:rPr>
  </w:style>
  <w:style w:type="paragraph" w:customStyle="1" w:styleId="497">
    <w:name w:val="表标头"/>
    <w:basedOn w:val="1"/>
    <w:qFormat/>
    <w:uiPriority w:val="99"/>
    <w:pPr>
      <w:spacing w:before="60" w:after="60" w:line="240" w:lineRule="atLeast"/>
      <w:jc w:val="center"/>
    </w:pPr>
    <w:rPr>
      <w:b/>
      <w:bCs/>
      <w:sz w:val="24"/>
    </w:rPr>
  </w:style>
  <w:style w:type="character" w:customStyle="1" w:styleId="498">
    <w:name w:val="黑体 Char"/>
    <w:qFormat/>
    <w:uiPriority w:val="0"/>
    <w:rPr>
      <w:rFonts w:eastAsia="宋体"/>
      <w:b/>
      <w:kern w:val="2"/>
      <w:sz w:val="24"/>
      <w:lang w:val="en-US" w:eastAsia="zh-CN" w:bidi="ar-SA"/>
    </w:rPr>
  </w:style>
  <w:style w:type="paragraph" w:customStyle="1" w:styleId="499">
    <w:name w:val="题目"/>
    <w:basedOn w:val="1"/>
    <w:qFormat/>
    <w:uiPriority w:val="0"/>
    <w:pPr>
      <w:spacing w:before="31"/>
      <w:jc w:val="center"/>
    </w:pPr>
    <w:rPr>
      <w:b/>
      <w:kern w:val="0"/>
      <w:sz w:val="44"/>
      <w:szCs w:val="20"/>
    </w:rPr>
  </w:style>
  <w:style w:type="paragraph" w:customStyle="1" w:styleId="500">
    <w:name w:val="样式 四号 首行缩进:  1.01 厘米 行距: 固定值 30 磅"/>
    <w:basedOn w:val="1"/>
    <w:link w:val="501"/>
    <w:qFormat/>
    <w:uiPriority w:val="0"/>
    <w:pPr>
      <w:spacing w:line="600" w:lineRule="exact"/>
      <w:ind w:firstLine="570"/>
    </w:pPr>
    <w:rPr>
      <w:rFonts w:cs="宋体"/>
      <w:sz w:val="28"/>
      <w:szCs w:val="20"/>
    </w:rPr>
  </w:style>
  <w:style w:type="character" w:customStyle="1" w:styleId="501">
    <w:name w:val="样式 四号 首行缩进:  1.01 厘米 行距: 固定值 30 磅 Char"/>
    <w:link w:val="500"/>
    <w:qFormat/>
    <w:uiPriority w:val="0"/>
    <w:rPr>
      <w:rFonts w:cs="宋体"/>
      <w:kern w:val="2"/>
      <w:sz w:val="28"/>
    </w:rPr>
  </w:style>
  <w:style w:type="paragraph" w:customStyle="1" w:styleId="502">
    <w:name w:val="样式 标题 3标题 3 Char + 四号 段前: 5 磅 段后: 5 磅 行距: 固定值 30 磅"/>
    <w:basedOn w:val="5"/>
    <w:qFormat/>
    <w:uiPriority w:val="0"/>
    <w:pPr>
      <w:numPr>
        <w:ilvl w:val="0"/>
        <w:numId w:val="0"/>
      </w:numPr>
      <w:spacing w:before="120" w:after="120" w:line="600" w:lineRule="exact"/>
      <w:ind w:left="150" w:leftChars="150" w:firstLine="200" w:firstLineChars="200"/>
    </w:pPr>
    <w:rPr>
      <w:rFonts w:cs="宋体"/>
      <w:b/>
      <w:szCs w:val="28"/>
    </w:rPr>
  </w:style>
  <w:style w:type="paragraph" w:customStyle="1" w:styleId="503">
    <w:name w:val="样式 标题 2SeHead wsa2ChapterChapter TitleH2标题 2 Char Char Cha..."/>
    <w:basedOn w:val="4"/>
    <w:qFormat/>
    <w:uiPriority w:val="0"/>
    <w:pPr>
      <w:numPr>
        <w:ilvl w:val="0"/>
        <w:numId w:val="0"/>
      </w:numPr>
      <w:spacing w:before="240" w:after="240" w:line="600" w:lineRule="exact"/>
      <w:ind w:left="100" w:leftChars="100" w:hanging="150" w:hangingChars="150"/>
      <w:jc w:val="center"/>
    </w:pPr>
    <w:rPr>
      <w:rFonts w:eastAsia="楷体_GB2312" w:cs="宋体"/>
    </w:rPr>
  </w:style>
  <w:style w:type="character" w:customStyle="1" w:styleId="504">
    <w:name w:val="Plain Text Char1 Char"/>
    <w:qFormat/>
    <w:uiPriority w:val="0"/>
    <w:rPr>
      <w:rFonts w:eastAsia="楷体_GB2312"/>
      <w:kern w:val="2"/>
      <w:sz w:val="28"/>
      <w:szCs w:val="28"/>
    </w:rPr>
  </w:style>
  <w:style w:type="paragraph" w:customStyle="1" w:styleId="505">
    <w:name w:val="字元 字元 Char Char 字元 字元1"/>
    <w:basedOn w:val="1"/>
    <w:qFormat/>
    <w:uiPriority w:val="0"/>
    <w:rPr>
      <w:sz w:val="24"/>
    </w:rPr>
  </w:style>
  <w:style w:type="paragraph" w:customStyle="1" w:styleId="506">
    <w:name w:val="表蕊"/>
    <w:basedOn w:val="1"/>
    <w:link w:val="1202"/>
    <w:qFormat/>
    <w:uiPriority w:val="0"/>
    <w:pPr>
      <w:tabs>
        <w:tab w:val="left" w:pos="5040"/>
      </w:tabs>
      <w:adjustRightInd w:val="0"/>
      <w:spacing w:line="280" w:lineRule="atLeast"/>
      <w:ind w:left="-120" w:leftChars="-57"/>
      <w:jc w:val="left"/>
      <w:textAlignment w:val="baseline"/>
    </w:pPr>
    <w:rPr>
      <w:rFonts w:eastAsia="楷体_GB2312"/>
      <w:spacing w:val="-10"/>
      <w:kern w:val="0"/>
      <w:szCs w:val="21"/>
    </w:rPr>
  </w:style>
  <w:style w:type="character" w:customStyle="1" w:styleId="507">
    <w:name w:val="word2"/>
    <w:basedOn w:val="95"/>
    <w:qFormat/>
    <w:uiPriority w:val="0"/>
  </w:style>
  <w:style w:type="character" w:customStyle="1" w:styleId="508">
    <w:name w:val="word"/>
    <w:basedOn w:val="95"/>
    <w:qFormat/>
    <w:uiPriority w:val="0"/>
  </w:style>
  <w:style w:type="paragraph" w:customStyle="1" w:styleId="509">
    <w:name w:val="样式 标题 1 + 黑体 三号 居中 段前: 0 磅 段后: 0 磅 行距: 固定值 30 磅"/>
    <w:basedOn w:val="3"/>
    <w:qFormat/>
    <w:uiPriority w:val="0"/>
    <w:pPr>
      <w:numPr>
        <w:numId w:val="0"/>
      </w:numPr>
      <w:spacing w:before="240" w:after="240" w:line="600" w:lineRule="exact"/>
      <w:ind w:left="432" w:hanging="432"/>
    </w:pPr>
    <w:rPr>
      <w:rFonts w:ascii="黑体" w:cs="宋体"/>
      <w:b/>
      <w:szCs w:val="32"/>
    </w:rPr>
  </w:style>
  <w:style w:type="paragraph" w:customStyle="1" w:styleId="510">
    <w:name w:val="style2"/>
    <w:basedOn w:val="1"/>
    <w:qFormat/>
    <w:uiPriority w:val="0"/>
    <w:pPr>
      <w:widowControl/>
      <w:spacing w:before="100" w:beforeAutospacing="1" w:after="100" w:afterAutospacing="1" w:line="300" w:lineRule="atLeast"/>
      <w:jc w:val="left"/>
    </w:pPr>
    <w:rPr>
      <w:rFonts w:ascii="宋体" w:hAnsi="宋体" w:cs="宋体"/>
      <w:kern w:val="0"/>
      <w:sz w:val="18"/>
      <w:szCs w:val="18"/>
    </w:rPr>
  </w:style>
  <w:style w:type="character" w:customStyle="1" w:styleId="511">
    <w:name w:val="style21"/>
    <w:qFormat/>
    <w:uiPriority w:val="0"/>
    <w:rPr>
      <w:sz w:val="18"/>
      <w:szCs w:val="18"/>
    </w:rPr>
  </w:style>
  <w:style w:type="character" w:customStyle="1" w:styleId="512">
    <w:name w:val="trans"/>
    <w:basedOn w:val="95"/>
    <w:qFormat/>
    <w:uiPriority w:val="0"/>
  </w:style>
  <w:style w:type="character" w:customStyle="1" w:styleId="513">
    <w:name w:val="样式10 Char"/>
    <w:link w:val="152"/>
    <w:qFormat/>
    <w:uiPriority w:val="0"/>
    <w:rPr>
      <w:rFonts w:ascii="宋体"/>
      <w:kern w:val="2"/>
      <w:sz w:val="24"/>
      <w:szCs w:val="24"/>
    </w:rPr>
  </w:style>
  <w:style w:type="paragraph" w:customStyle="1" w:styleId="514">
    <w:name w:val="样式 四号 首行缩进:  2 字符"/>
    <w:basedOn w:val="1"/>
    <w:link w:val="515"/>
    <w:qFormat/>
    <w:uiPriority w:val="0"/>
    <w:pPr>
      <w:spacing w:line="360" w:lineRule="auto"/>
      <w:ind w:firstLine="200" w:firstLineChars="200"/>
    </w:pPr>
    <w:rPr>
      <w:rFonts w:cs="宋体"/>
      <w:sz w:val="28"/>
      <w:szCs w:val="20"/>
    </w:rPr>
  </w:style>
  <w:style w:type="character" w:customStyle="1" w:styleId="515">
    <w:name w:val="样式 四号 首行缩进:  2 字符 Char"/>
    <w:link w:val="514"/>
    <w:qFormat/>
    <w:uiPriority w:val="0"/>
    <w:rPr>
      <w:rFonts w:cs="宋体"/>
      <w:kern w:val="2"/>
      <w:sz w:val="28"/>
    </w:rPr>
  </w:style>
  <w:style w:type="paragraph" w:customStyle="1" w:styleId="516">
    <w:name w:val="样式 三级标题 + (西文) Times New Roman (中文) 宋体 首行缩进:  2 字符 段前: 0 磅 段..."/>
    <w:basedOn w:val="5"/>
    <w:qFormat/>
    <w:uiPriority w:val="0"/>
    <w:pPr>
      <w:numPr>
        <w:ilvl w:val="0"/>
        <w:numId w:val="0"/>
      </w:numPr>
      <w:spacing w:before="120" w:after="120" w:line="600" w:lineRule="exact"/>
      <w:ind w:left="150" w:leftChars="150" w:hanging="200" w:hangingChars="200"/>
    </w:pPr>
    <w:rPr>
      <w:rFonts w:ascii="宋体" w:cs="宋体"/>
    </w:rPr>
  </w:style>
  <w:style w:type="paragraph" w:customStyle="1" w:styleId="517">
    <w:name w:val="样式 样式 四号 + 首行缩进:  2 字符"/>
    <w:basedOn w:val="1"/>
    <w:link w:val="518"/>
    <w:qFormat/>
    <w:uiPriority w:val="0"/>
    <w:pPr>
      <w:spacing w:line="360" w:lineRule="auto"/>
      <w:ind w:firstLine="560" w:firstLineChars="200"/>
    </w:pPr>
    <w:rPr>
      <w:rFonts w:cs="宋体"/>
      <w:sz w:val="28"/>
      <w:szCs w:val="20"/>
    </w:rPr>
  </w:style>
  <w:style w:type="character" w:customStyle="1" w:styleId="518">
    <w:name w:val="样式 样式 四号 + 首行缩进:  2 字符 Char"/>
    <w:link w:val="517"/>
    <w:qFormat/>
    <w:uiPriority w:val="0"/>
    <w:rPr>
      <w:rFonts w:cs="宋体"/>
      <w:kern w:val="2"/>
      <w:sz w:val="28"/>
    </w:rPr>
  </w:style>
  <w:style w:type="paragraph" w:customStyle="1" w:styleId="519">
    <w:name w:val="陈表格中内容"/>
    <w:basedOn w:val="1"/>
    <w:next w:val="1"/>
    <w:link w:val="520"/>
    <w:qFormat/>
    <w:uiPriority w:val="0"/>
    <w:pPr>
      <w:spacing w:line="288" w:lineRule="auto"/>
      <w:jc w:val="center"/>
    </w:pPr>
    <w:rPr>
      <w:rFonts w:hAnsi="宋体"/>
      <w:color w:val="000000"/>
      <w:szCs w:val="21"/>
    </w:rPr>
  </w:style>
  <w:style w:type="character" w:customStyle="1" w:styleId="520">
    <w:name w:val="陈表格中内容 Char Char"/>
    <w:link w:val="519"/>
    <w:qFormat/>
    <w:uiPriority w:val="0"/>
    <w:rPr>
      <w:rFonts w:hAnsi="宋体"/>
      <w:color w:val="000000"/>
      <w:kern w:val="2"/>
      <w:sz w:val="21"/>
      <w:szCs w:val="21"/>
    </w:rPr>
  </w:style>
  <w:style w:type="character" w:customStyle="1" w:styleId="521">
    <w:name w:val="样式 四号 Char"/>
    <w:link w:val="522"/>
    <w:qFormat/>
    <w:uiPriority w:val="0"/>
    <w:rPr>
      <w:sz w:val="28"/>
    </w:rPr>
  </w:style>
  <w:style w:type="paragraph" w:customStyle="1" w:styleId="522">
    <w:name w:val="样式 四号"/>
    <w:basedOn w:val="1"/>
    <w:link w:val="521"/>
    <w:qFormat/>
    <w:uiPriority w:val="0"/>
    <w:pPr>
      <w:ind w:firstLine="560" w:firstLineChars="200"/>
    </w:pPr>
    <w:rPr>
      <w:kern w:val="0"/>
      <w:sz w:val="28"/>
      <w:szCs w:val="20"/>
    </w:rPr>
  </w:style>
  <w:style w:type="character" w:customStyle="1" w:styleId="523">
    <w:name w:val="样式 样式 正文文本缩进 + 四号 + Char"/>
    <w:link w:val="524"/>
    <w:qFormat/>
    <w:uiPriority w:val="0"/>
    <w:rPr>
      <w:sz w:val="24"/>
    </w:rPr>
  </w:style>
  <w:style w:type="paragraph" w:customStyle="1" w:styleId="524">
    <w:name w:val="样式 样式 正文文本缩进 + 四号 +"/>
    <w:basedOn w:val="1"/>
    <w:link w:val="523"/>
    <w:qFormat/>
    <w:uiPriority w:val="0"/>
    <w:pPr>
      <w:spacing w:line="360" w:lineRule="auto"/>
      <w:ind w:firstLine="200" w:firstLineChars="200"/>
    </w:pPr>
    <w:rPr>
      <w:kern w:val="0"/>
      <w:sz w:val="24"/>
      <w:szCs w:val="20"/>
    </w:rPr>
  </w:style>
  <w:style w:type="character" w:customStyle="1" w:styleId="525">
    <w:name w:val="样式 标题 2二级二级 标题 2一级 标题 1k标题 21.1 + 宋体 四号 Char"/>
    <w:link w:val="526"/>
    <w:qFormat/>
    <w:uiPriority w:val="0"/>
    <w:rPr>
      <w:rFonts w:ascii="宋体" w:hAnsi="宋体" w:eastAsia="黑体"/>
      <w:b/>
      <w:sz w:val="28"/>
      <w:lang w:val="zh-CN"/>
    </w:rPr>
  </w:style>
  <w:style w:type="paragraph" w:customStyle="1" w:styleId="526">
    <w:name w:val="样式 标题 2二级二级 标题 2一级 标题 1k标题 21.1 + 宋体 四号"/>
    <w:basedOn w:val="4"/>
    <w:link w:val="525"/>
    <w:qFormat/>
    <w:uiPriority w:val="0"/>
    <w:pPr>
      <w:numPr>
        <w:ilvl w:val="0"/>
        <w:numId w:val="0"/>
      </w:numPr>
      <w:tabs>
        <w:tab w:val="left" w:pos="576"/>
      </w:tabs>
      <w:spacing w:before="120" w:after="120"/>
      <w:ind w:left="100" w:leftChars="100" w:hanging="150" w:hangingChars="150"/>
    </w:pPr>
    <w:rPr>
      <w:rFonts w:ascii="宋体" w:hAnsi="宋体"/>
      <w:b/>
      <w:bCs w:val="0"/>
      <w:kern w:val="0"/>
      <w:szCs w:val="20"/>
    </w:rPr>
  </w:style>
  <w:style w:type="character" w:customStyle="1" w:styleId="527">
    <w:name w:val="样式 二级标题 + Char"/>
    <w:link w:val="528"/>
    <w:qFormat/>
    <w:uiPriority w:val="0"/>
    <w:rPr>
      <w:rFonts w:ascii="楷体_GB2312" w:hAnsi="宋体" w:eastAsia="黑体"/>
      <w:sz w:val="28"/>
      <w:lang w:val="zh-CN"/>
    </w:rPr>
  </w:style>
  <w:style w:type="paragraph" w:customStyle="1" w:styleId="528">
    <w:name w:val="样式 二级标题 +"/>
    <w:basedOn w:val="4"/>
    <w:link w:val="527"/>
    <w:qFormat/>
    <w:uiPriority w:val="0"/>
    <w:pPr>
      <w:numPr>
        <w:ilvl w:val="0"/>
        <w:numId w:val="0"/>
      </w:numPr>
      <w:spacing w:beforeLines="50"/>
      <w:ind w:left="100" w:leftChars="100" w:hanging="150" w:hangingChars="150"/>
      <w:jc w:val="left"/>
    </w:pPr>
    <w:rPr>
      <w:rFonts w:ascii="楷体_GB2312" w:hAnsi="宋体"/>
      <w:bCs w:val="0"/>
      <w:kern w:val="0"/>
      <w:szCs w:val="20"/>
    </w:rPr>
  </w:style>
  <w:style w:type="character" w:customStyle="1" w:styleId="529">
    <w:name w:val="二级标题 Char"/>
    <w:qFormat/>
    <w:uiPriority w:val="0"/>
    <w:rPr>
      <w:rFonts w:ascii="楷体_GB2312" w:hAnsi="宋体" w:eastAsia="楷体_GB2312"/>
      <w:b/>
      <w:sz w:val="32"/>
      <w:lang w:val="zh-CN"/>
    </w:rPr>
  </w:style>
  <w:style w:type="character" w:customStyle="1" w:styleId="530">
    <w:name w:val="样式 标题 2SeHead wsa2ChapterChapter TitleH2标题 2 Char Char Cha...1 Char"/>
    <w:link w:val="531"/>
    <w:qFormat/>
    <w:uiPriority w:val="0"/>
    <w:rPr>
      <w:rFonts w:ascii="黑体" w:hAnsi="宋体" w:eastAsia="黑体"/>
      <w:sz w:val="28"/>
      <w:lang w:val="zh-CN"/>
    </w:rPr>
  </w:style>
  <w:style w:type="paragraph" w:customStyle="1" w:styleId="531">
    <w:name w:val="样式 标题 2SeHead wsa2ChapterChapter TitleH2标题 2 Char Char Cha...1"/>
    <w:basedOn w:val="4"/>
    <w:link w:val="530"/>
    <w:qFormat/>
    <w:uiPriority w:val="0"/>
    <w:pPr>
      <w:numPr>
        <w:ilvl w:val="0"/>
        <w:numId w:val="0"/>
      </w:numPr>
      <w:spacing w:before="240" w:after="240"/>
      <w:ind w:left="100" w:leftChars="100" w:firstLine="200" w:firstLineChars="200"/>
      <w:jc w:val="left"/>
    </w:pPr>
    <w:rPr>
      <w:rFonts w:ascii="黑体" w:hAnsi="宋体"/>
      <w:bCs w:val="0"/>
      <w:kern w:val="0"/>
      <w:szCs w:val="20"/>
    </w:rPr>
  </w:style>
  <w:style w:type="character" w:customStyle="1" w:styleId="532">
    <w:name w:val="样式 四号 黑色 Char1"/>
    <w:link w:val="533"/>
    <w:qFormat/>
    <w:uiPriority w:val="0"/>
    <w:rPr>
      <w:color w:val="000000"/>
      <w:sz w:val="28"/>
    </w:rPr>
  </w:style>
  <w:style w:type="paragraph" w:customStyle="1" w:styleId="533">
    <w:name w:val="样式 四号 黑色"/>
    <w:basedOn w:val="1"/>
    <w:link w:val="532"/>
    <w:qFormat/>
    <w:uiPriority w:val="0"/>
    <w:pPr>
      <w:ind w:firstLine="560" w:firstLineChars="200"/>
    </w:pPr>
    <w:rPr>
      <w:color w:val="000000"/>
      <w:kern w:val="0"/>
      <w:sz w:val="28"/>
      <w:szCs w:val="20"/>
    </w:rPr>
  </w:style>
  <w:style w:type="character" w:customStyle="1" w:styleId="534">
    <w:name w:val="样式 四号 黑色 右侧:  -0.26 厘米 Char"/>
    <w:link w:val="535"/>
    <w:qFormat/>
    <w:uiPriority w:val="0"/>
    <w:rPr>
      <w:rFonts w:ascii="宋体" w:hAnsi="宋体"/>
      <w:color w:val="000000"/>
      <w:sz w:val="28"/>
    </w:rPr>
  </w:style>
  <w:style w:type="paragraph" w:customStyle="1" w:styleId="535">
    <w:name w:val="样式 四号 黑色 右侧:  -0.26 厘米"/>
    <w:basedOn w:val="1"/>
    <w:link w:val="534"/>
    <w:qFormat/>
    <w:uiPriority w:val="0"/>
    <w:pPr>
      <w:ind w:right="-147" w:firstLine="560" w:firstLineChars="200"/>
      <w:jc w:val="center"/>
    </w:pPr>
    <w:rPr>
      <w:rFonts w:ascii="宋体" w:hAnsi="宋体"/>
      <w:color w:val="000000"/>
      <w:kern w:val="0"/>
      <w:sz w:val="28"/>
      <w:szCs w:val="20"/>
    </w:rPr>
  </w:style>
  <w:style w:type="character" w:customStyle="1" w:styleId="536">
    <w:name w:val="样式 标题 3h3H3level_3PIM 3Level 3 HeadHeading 3 - oldsect1.2... Char"/>
    <w:link w:val="537"/>
    <w:qFormat/>
    <w:uiPriority w:val="0"/>
    <w:rPr>
      <w:rFonts w:ascii="宋体" w:hAnsi="宋体" w:eastAsia="黑体"/>
      <w:bCs/>
      <w:color w:val="000000"/>
      <w:sz w:val="24"/>
    </w:rPr>
  </w:style>
  <w:style w:type="paragraph" w:customStyle="1" w:styleId="537">
    <w:name w:val="样式 标题 3h3H3level_3PIM 3Level 3 HeadHeading 3 - oldsect1.2..."/>
    <w:basedOn w:val="5"/>
    <w:link w:val="536"/>
    <w:qFormat/>
    <w:uiPriority w:val="0"/>
    <w:pPr>
      <w:numPr>
        <w:ilvl w:val="0"/>
        <w:numId w:val="0"/>
      </w:numPr>
      <w:spacing w:before="120" w:after="120"/>
      <w:ind w:left="150" w:leftChars="150" w:hanging="200" w:hangingChars="200"/>
    </w:pPr>
    <w:rPr>
      <w:rFonts w:ascii="宋体" w:hAnsi="宋体"/>
      <w:bCs/>
    </w:rPr>
  </w:style>
  <w:style w:type="character" w:customStyle="1" w:styleId="538">
    <w:name w:val="样式 标题 1标题 1 CharHead 1wsa一、标题 111h1Part'DocumentH1标题一文... Char"/>
    <w:link w:val="539"/>
    <w:qFormat/>
    <w:uiPriority w:val="0"/>
    <w:rPr>
      <w:rFonts w:eastAsia="黑体"/>
      <w:b/>
      <w:kern w:val="2"/>
      <w:sz w:val="32"/>
    </w:rPr>
  </w:style>
  <w:style w:type="paragraph" w:customStyle="1" w:styleId="539">
    <w:name w:val="样式 标题 1标题 1 CharHead 1wsa一、标题 111h1Part'DocumentH1标题一文..."/>
    <w:basedOn w:val="3"/>
    <w:link w:val="538"/>
    <w:qFormat/>
    <w:uiPriority w:val="0"/>
    <w:pPr>
      <w:keepLines w:val="0"/>
      <w:numPr>
        <w:numId w:val="0"/>
      </w:numPr>
      <w:spacing w:before="240" w:after="240"/>
      <w:ind w:left="432" w:hanging="432"/>
    </w:pPr>
    <w:rPr>
      <w:b/>
      <w:bCs w:val="0"/>
      <w:kern w:val="2"/>
      <w:szCs w:val="20"/>
    </w:rPr>
  </w:style>
  <w:style w:type="character" w:customStyle="1" w:styleId="540">
    <w:name w:val="样式 标题 1标题 1 CharHead 1wsa一、标题 111h1Part'DocumentH1标题一文...1 Char"/>
    <w:link w:val="541"/>
    <w:qFormat/>
    <w:uiPriority w:val="0"/>
    <w:rPr>
      <w:rFonts w:eastAsia="黑体"/>
      <w:b/>
      <w:kern w:val="2"/>
      <w:sz w:val="32"/>
    </w:rPr>
  </w:style>
  <w:style w:type="paragraph" w:customStyle="1" w:styleId="541">
    <w:name w:val="样式 标题 1标题 1 CharHead 1wsa一、标题 111h1Part'DocumentH1标题一文...1"/>
    <w:basedOn w:val="3"/>
    <w:link w:val="540"/>
    <w:qFormat/>
    <w:uiPriority w:val="0"/>
    <w:pPr>
      <w:keepLines w:val="0"/>
      <w:numPr>
        <w:numId w:val="0"/>
      </w:numPr>
      <w:spacing w:before="240" w:after="240"/>
      <w:ind w:left="432" w:hanging="432"/>
    </w:pPr>
    <w:rPr>
      <w:b/>
      <w:bCs w:val="0"/>
      <w:kern w:val="2"/>
      <w:szCs w:val="20"/>
    </w:rPr>
  </w:style>
  <w:style w:type="paragraph" w:customStyle="1" w:styleId="542">
    <w:name w:val="样式 标题 3三级标题 + 非加粗"/>
    <w:basedOn w:val="5"/>
    <w:qFormat/>
    <w:uiPriority w:val="0"/>
    <w:pPr>
      <w:numPr>
        <w:ilvl w:val="0"/>
        <w:numId w:val="0"/>
      </w:numPr>
      <w:spacing w:before="120" w:after="120"/>
      <w:ind w:left="150" w:leftChars="150" w:hanging="200" w:hangingChars="200"/>
    </w:pPr>
    <w:rPr>
      <w:rFonts w:ascii="宋体" w:hAnsi="宋体"/>
      <w:bCs/>
    </w:rPr>
  </w:style>
  <w:style w:type="paragraph" w:customStyle="1" w:styleId="543">
    <w:name w:val="样式 样式 四号 黑色 右侧:  -0.26 厘米 + 自动设置"/>
    <w:basedOn w:val="535"/>
    <w:qFormat/>
    <w:uiPriority w:val="0"/>
    <w:pPr>
      <w:jc w:val="both"/>
    </w:pPr>
    <w:rPr>
      <w:rFonts w:ascii="Times New Roman" w:hAnsi="Times New Roman"/>
      <w:color w:val="auto"/>
    </w:rPr>
  </w:style>
  <w:style w:type="paragraph" w:customStyle="1" w:styleId="544">
    <w:name w:val="样式 二级标题 + (西文) Times New Roman (中文) 宋体 四号 首行缩进:  2 字符 段前: 7...."/>
    <w:basedOn w:val="4"/>
    <w:qFormat/>
    <w:uiPriority w:val="0"/>
    <w:pPr>
      <w:numPr>
        <w:ilvl w:val="0"/>
        <w:numId w:val="0"/>
      </w:numPr>
      <w:spacing w:before="240" w:after="240" w:line="600" w:lineRule="exact"/>
      <w:ind w:left="100" w:leftChars="100" w:hanging="150" w:hangingChars="150"/>
    </w:pPr>
    <w:rPr>
      <w:rFonts w:ascii="黑体"/>
      <w:bCs w:val="0"/>
      <w:kern w:val="0"/>
      <w:szCs w:val="20"/>
    </w:rPr>
  </w:style>
  <w:style w:type="paragraph" w:customStyle="1" w:styleId="545">
    <w:name w:val="样式 样式 正文2 + + (西文) Times New Roman 行距: 多倍行距 1.25 字行"/>
    <w:basedOn w:val="421"/>
    <w:link w:val="546"/>
    <w:qFormat/>
    <w:uiPriority w:val="0"/>
    <w:pPr>
      <w:spacing w:line="300" w:lineRule="auto"/>
      <w:ind w:firstLine="200"/>
    </w:pPr>
    <w:rPr>
      <w:rFonts w:hAnsi="Times New Roman" w:cs="宋体"/>
      <w:szCs w:val="20"/>
    </w:rPr>
  </w:style>
  <w:style w:type="character" w:customStyle="1" w:styleId="546">
    <w:name w:val="样式 样式 正文2 + + (西文) Times New Roman 行距: 多倍行距 1.25 字行 Char"/>
    <w:link w:val="545"/>
    <w:qFormat/>
    <w:uiPriority w:val="0"/>
    <w:rPr>
      <w:rFonts w:ascii="宋体" w:hAnsi="宋体" w:cs="宋体"/>
      <w:sz w:val="28"/>
      <w:szCs w:val="28"/>
    </w:rPr>
  </w:style>
  <w:style w:type="paragraph" w:customStyle="1" w:styleId="547">
    <w:name w:val="pic-info"/>
    <w:basedOn w:val="1"/>
    <w:qFormat/>
    <w:uiPriority w:val="0"/>
    <w:pPr>
      <w:widowControl/>
      <w:spacing w:before="100" w:beforeAutospacing="1" w:after="100" w:afterAutospacing="1"/>
      <w:jc w:val="left"/>
    </w:pPr>
    <w:rPr>
      <w:rFonts w:ascii="宋体" w:hAnsi="宋体" w:cs="宋体"/>
      <w:kern w:val="0"/>
      <w:sz w:val="24"/>
    </w:rPr>
  </w:style>
  <w:style w:type="character" w:customStyle="1" w:styleId="548">
    <w:name w:val="text_edit editable-title"/>
    <w:basedOn w:val="95"/>
    <w:qFormat/>
    <w:uiPriority w:val="0"/>
  </w:style>
  <w:style w:type="paragraph" w:customStyle="1" w:styleId="549">
    <w:name w:val="默认段落字体 Para Char"/>
    <w:basedOn w:val="1"/>
    <w:qFormat/>
    <w:uiPriority w:val="0"/>
    <w:pPr>
      <w:spacing w:line="360" w:lineRule="auto"/>
      <w:ind w:firstLine="200" w:firstLineChars="200"/>
    </w:pPr>
    <w:rPr>
      <w:rFonts w:ascii="宋体" w:hAnsi="宋体" w:cs="宋体"/>
      <w:sz w:val="24"/>
    </w:rPr>
  </w:style>
  <w:style w:type="paragraph" w:customStyle="1" w:styleId="550">
    <w:name w:val="样式 正文首行缩进 + 首行缩进:  2 字符"/>
    <w:basedOn w:val="86"/>
    <w:link w:val="551"/>
    <w:qFormat/>
    <w:uiPriority w:val="0"/>
    <w:pPr>
      <w:widowControl w:val="0"/>
      <w:adjustRightInd/>
      <w:spacing w:line="520" w:lineRule="atLeast"/>
      <w:ind w:firstLine="549"/>
    </w:pPr>
    <w:rPr>
      <w:rFonts w:ascii="Times New Roman" w:hAnsi="Times New Roman" w:cs="宋体"/>
      <w:bCs/>
      <w:snapToGrid/>
      <w:color w:val="auto"/>
      <w:kern w:val="2"/>
      <w:sz w:val="28"/>
    </w:rPr>
  </w:style>
  <w:style w:type="character" w:customStyle="1" w:styleId="551">
    <w:name w:val="样式 正文首行缩进 + 首行缩进:  2 字符 Char"/>
    <w:link w:val="550"/>
    <w:qFormat/>
    <w:uiPriority w:val="0"/>
    <w:rPr>
      <w:rFonts w:cs="宋体"/>
      <w:bCs/>
      <w:kern w:val="2"/>
      <w:sz w:val="28"/>
    </w:rPr>
  </w:style>
  <w:style w:type="character" w:customStyle="1" w:styleId="552">
    <w:name w:val="样式 正文1 + 首行缩进:  2 字符 Char3"/>
    <w:link w:val="553"/>
    <w:qFormat/>
    <w:uiPriority w:val="0"/>
    <w:rPr>
      <w:rFonts w:ascii="宋体"/>
      <w:kern w:val="2"/>
      <w:sz w:val="24"/>
    </w:rPr>
  </w:style>
  <w:style w:type="paragraph" w:customStyle="1" w:styleId="553">
    <w:name w:val="样式 正文1 + 首行缩进:  2 字符"/>
    <w:basedOn w:val="1"/>
    <w:link w:val="552"/>
    <w:qFormat/>
    <w:uiPriority w:val="0"/>
    <w:pPr>
      <w:spacing w:line="360" w:lineRule="auto"/>
      <w:ind w:firstLine="200" w:firstLineChars="200"/>
    </w:pPr>
    <w:rPr>
      <w:rFonts w:ascii="宋体"/>
      <w:sz w:val="24"/>
      <w:szCs w:val="20"/>
    </w:rPr>
  </w:style>
  <w:style w:type="paragraph" w:customStyle="1" w:styleId="554">
    <w:name w:val="样式 样式 小四 段前: 7.8 磅 段后: 7.8 磅 行距: 1.5 倍行距 + 首行缩进:  2 字符"/>
    <w:basedOn w:val="1"/>
    <w:qFormat/>
    <w:uiPriority w:val="0"/>
    <w:pPr>
      <w:spacing w:line="360" w:lineRule="auto"/>
      <w:ind w:firstLine="480" w:firstLineChars="200"/>
    </w:pPr>
    <w:rPr>
      <w:sz w:val="24"/>
    </w:rPr>
  </w:style>
  <w:style w:type="paragraph" w:customStyle="1" w:styleId="555">
    <w:name w:val="段落2"/>
    <w:basedOn w:val="1"/>
    <w:qFormat/>
    <w:uiPriority w:val="0"/>
    <w:pPr>
      <w:adjustRightInd w:val="0"/>
      <w:spacing w:line="500" w:lineRule="exact"/>
      <w:jc w:val="left"/>
      <w:textAlignment w:val="baseline"/>
    </w:pPr>
    <w:rPr>
      <w:rFonts w:eastAsia="楷体_GB2312"/>
      <w:b/>
      <w:spacing w:val="6"/>
      <w:kern w:val="0"/>
      <w:sz w:val="28"/>
      <w:szCs w:val="20"/>
    </w:rPr>
  </w:style>
  <w:style w:type="paragraph" w:customStyle="1" w:styleId="556">
    <w:name w:val="韩奇"/>
    <w:basedOn w:val="1"/>
    <w:qFormat/>
    <w:uiPriority w:val="0"/>
    <w:pPr>
      <w:adjustRightInd w:val="0"/>
      <w:spacing w:line="400" w:lineRule="exact"/>
      <w:ind w:firstLine="560" w:firstLineChars="200"/>
      <w:textAlignment w:val="baseline"/>
    </w:pPr>
    <w:rPr>
      <w:rFonts w:eastAsia="楷体_GB2312"/>
      <w:sz w:val="28"/>
      <w:szCs w:val="20"/>
    </w:rPr>
  </w:style>
  <w:style w:type="character" w:styleId="557">
    <w:name w:val="Placeholder Text"/>
    <w:qFormat/>
    <w:uiPriority w:val="99"/>
    <w:rPr>
      <w:color w:val="808080"/>
    </w:rPr>
  </w:style>
  <w:style w:type="character" w:customStyle="1" w:styleId="558">
    <w:name w:val="样式 【正文】 + 首行缩进:  2 字符 Char"/>
    <w:link w:val="559"/>
    <w:qFormat/>
    <w:uiPriority w:val="0"/>
    <w:rPr>
      <w:rFonts w:cs="宋体"/>
      <w:kern w:val="2"/>
      <w:sz w:val="24"/>
    </w:rPr>
  </w:style>
  <w:style w:type="paragraph" w:customStyle="1" w:styleId="559">
    <w:name w:val="样式 【正文】 + 首行缩进:  2 字符"/>
    <w:basedOn w:val="1"/>
    <w:link w:val="558"/>
    <w:qFormat/>
    <w:uiPriority w:val="0"/>
    <w:pPr>
      <w:spacing w:line="360" w:lineRule="auto"/>
      <w:ind w:firstLine="200" w:firstLineChars="200"/>
    </w:pPr>
    <w:rPr>
      <w:rFonts w:cs="宋体"/>
      <w:sz w:val="24"/>
      <w:szCs w:val="20"/>
    </w:rPr>
  </w:style>
  <w:style w:type="paragraph" w:customStyle="1" w:styleId="560">
    <w:name w:val="xl71"/>
    <w:basedOn w:val="1"/>
    <w:qFormat/>
    <w:uiPriority w:val="0"/>
    <w:pPr>
      <w:widowControl/>
      <w:pBdr>
        <w:left w:val="single" w:color="auto" w:sz="4" w:space="0"/>
        <w:right w:val="single" w:color="auto" w:sz="4" w:space="0"/>
      </w:pBdr>
      <w:spacing w:before="100" w:beforeAutospacing="1" w:after="100" w:afterAutospacing="1"/>
      <w:jc w:val="center"/>
    </w:pPr>
    <w:rPr>
      <w:rFonts w:hint="eastAsia" w:ascii="宋体" w:hAnsi="宋体"/>
      <w:color w:val="000000"/>
      <w:kern w:val="0"/>
      <w:sz w:val="24"/>
    </w:rPr>
  </w:style>
  <w:style w:type="paragraph" w:customStyle="1" w:styleId="561">
    <w:name w:val="首行缩进"/>
    <w:basedOn w:val="1"/>
    <w:qFormat/>
    <w:uiPriority w:val="0"/>
    <w:pPr>
      <w:ind w:firstLine="200" w:firstLineChars="200"/>
    </w:pPr>
    <w:rPr>
      <w:rFonts w:eastAsia="仿宋_GB2312"/>
      <w:sz w:val="28"/>
      <w:szCs w:val="28"/>
    </w:rPr>
  </w:style>
  <w:style w:type="paragraph" w:customStyle="1" w:styleId="562">
    <w:name w:val="表头123"/>
    <w:basedOn w:val="234"/>
    <w:link w:val="563"/>
    <w:qFormat/>
    <w:uiPriority w:val="0"/>
    <w:pPr>
      <w:spacing w:line="240" w:lineRule="auto"/>
      <w:ind w:firstLine="0" w:firstLineChars="0"/>
      <w:jc w:val="center"/>
    </w:pPr>
    <w:rPr>
      <w:rFonts w:hAnsi="宋体"/>
      <w:b/>
      <w:sz w:val="21"/>
      <w:szCs w:val="21"/>
    </w:rPr>
  </w:style>
  <w:style w:type="character" w:customStyle="1" w:styleId="563">
    <w:name w:val="表头123 Char"/>
    <w:link w:val="562"/>
    <w:qFormat/>
    <w:uiPriority w:val="0"/>
    <w:rPr>
      <w:rFonts w:hAnsi="宋体" w:eastAsia="宋体"/>
      <w:b/>
      <w:kern w:val="2"/>
      <w:sz w:val="21"/>
      <w:szCs w:val="21"/>
    </w:rPr>
  </w:style>
  <w:style w:type="paragraph" w:customStyle="1" w:styleId="564">
    <w:name w:val="样式 标题 2M"/>
    <w:basedOn w:val="4"/>
    <w:qFormat/>
    <w:uiPriority w:val="0"/>
    <w:pPr>
      <w:numPr>
        <w:ilvl w:val="0"/>
        <w:numId w:val="0"/>
      </w:numPr>
      <w:ind w:left="4537" w:leftChars="100" w:hanging="150" w:hangingChars="150"/>
      <w:jc w:val="left"/>
    </w:pPr>
    <w:rPr>
      <w:bCs w:val="0"/>
      <w:kern w:val="0"/>
      <w:szCs w:val="20"/>
    </w:rPr>
  </w:style>
  <w:style w:type="paragraph" w:customStyle="1" w:styleId="565">
    <w:name w:val="样式表中字"/>
    <w:basedOn w:val="1"/>
    <w:link w:val="566"/>
    <w:qFormat/>
    <w:uiPriority w:val="0"/>
    <w:pPr>
      <w:jc w:val="center"/>
    </w:pPr>
    <w:rPr>
      <w:rFonts w:hAnsi="宋体"/>
    </w:rPr>
  </w:style>
  <w:style w:type="character" w:customStyle="1" w:styleId="566">
    <w:name w:val="样式表中字 Char"/>
    <w:link w:val="565"/>
    <w:qFormat/>
    <w:uiPriority w:val="0"/>
    <w:rPr>
      <w:rFonts w:hAnsi="宋体" w:eastAsia="宋体"/>
      <w:kern w:val="2"/>
      <w:sz w:val="21"/>
      <w:szCs w:val="24"/>
    </w:rPr>
  </w:style>
  <w:style w:type="paragraph" w:customStyle="1" w:styleId="567">
    <w:name w:val="样式4正级"/>
    <w:basedOn w:val="1"/>
    <w:link w:val="568"/>
    <w:qFormat/>
    <w:uiPriority w:val="0"/>
    <w:pPr>
      <w:spacing w:line="360" w:lineRule="auto"/>
      <w:ind w:firstLine="480" w:firstLineChars="200"/>
    </w:pPr>
    <w:rPr>
      <w:sz w:val="24"/>
    </w:rPr>
  </w:style>
  <w:style w:type="character" w:customStyle="1" w:styleId="568">
    <w:name w:val="样式4正级 Char"/>
    <w:link w:val="567"/>
    <w:qFormat/>
    <w:uiPriority w:val="0"/>
    <w:rPr>
      <w:kern w:val="2"/>
      <w:sz w:val="24"/>
      <w:szCs w:val="24"/>
    </w:rPr>
  </w:style>
  <w:style w:type="paragraph" w:customStyle="1" w:styleId="569">
    <w:name w:val="样式456"/>
    <w:basedOn w:val="1"/>
    <w:link w:val="571"/>
    <w:qFormat/>
    <w:uiPriority w:val="0"/>
    <w:pPr>
      <w:jc w:val="center"/>
    </w:pPr>
    <w:rPr>
      <w:b/>
      <w:szCs w:val="21"/>
    </w:rPr>
  </w:style>
  <w:style w:type="paragraph" w:customStyle="1" w:styleId="570">
    <w:name w:val="样式498"/>
    <w:basedOn w:val="1"/>
    <w:link w:val="572"/>
    <w:qFormat/>
    <w:uiPriority w:val="0"/>
    <w:rPr>
      <w:kern w:val="0"/>
    </w:rPr>
  </w:style>
  <w:style w:type="character" w:customStyle="1" w:styleId="571">
    <w:name w:val="样式456 Char"/>
    <w:link w:val="569"/>
    <w:qFormat/>
    <w:uiPriority w:val="0"/>
    <w:rPr>
      <w:b/>
      <w:kern w:val="2"/>
      <w:sz w:val="21"/>
      <w:szCs w:val="21"/>
    </w:rPr>
  </w:style>
  <w:style w:type="character" w:customStyle="1" w:styleId="572">
    <w:name w:val="样式498 Char"/>
    <w:link w:val="570"/>
    <w:qFormat/>
    <w:uiPriority w:val="0"/>
    <w:rPr>
      <w:sz w:val="21"/>
      <w:szCs w:val="24"/>
    </w:rPr>
  </w:style>
  <w:style w:type="character" w:customStyle="1" w:styleId="573">
    <w:name w:val="一级标题 Char"/>
    <w:qFormat/>
    <w:uiPriority w:val="0"/>
    <w:rPr>
      <w:rFonts w:ascii="黑体" w:eastAsia="黑体"/>
      <w:b/>
      <w:kern w:val="44"/>
      <w:sz w:val="32"/>
      <w:lang w:val="en-US" w:eastAsia="zh-CN" w:bidi="ar-SA"/>
    </w:rPr>
  </w:style>
  <w:style w:type="paragraph" w:customStyle="1" w:styleId="574">
    <w:name w:val="纯文本2"/>
    <w:basedOn w:val="1"/>
    <w:qFormat/>
    <w:uiPriority w:val="0"/>
    <w:pPr>
      <w:adjustRightInd w:val="0"/>
      <w:textAlignment w:val="baseline"/>
    </w:pPr>
    <w:rPr>
      <w:rFonts w:ascii="宋体" w:hAnsi="Courier New"/>
      <w:szCs w:val="20"/>
    </w:rPr>
  </w:style>
  <w:style w:type="paragraph" w:customStyle="1" w:styleId="575">
    <w:name w:val="正文4"/>
    <w:link w:val="2265"/>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576">
    <w:name w:val="表标题4"/>
    <w:basedOn w:val="1"/>
    <w:qFormat/>
    <w:uiPriority w:val="0"/>
    <w:pPr>
      <w:keepNext/>
      <w:adjustRightInd w:val="0"/>
      <w:spacing w:before="180" w:after="120" w:line="397" w:lineRule="atLeast"/>
      <w:jc w:val="center"/>
      <w:textAlignment w:val="baseline"/>
    </w:pPr>
    <w:rPr>
      <w:b/>
      <w:kern w:val="0"/>
      <w:sz w:val="24"/>
      <w:szCs w:val="20"/>
    </w:rPr>
  </w:style>
  <w:style w:type="paragraph" w:customStyle="1" w:styleId="577">
    <w:name w:val="字元 字元 Char Char 字元 字元11"/>
    <w:basedOn w:val="1"/>
    <w:qFormat/>
    <w:uiPriority w:val="0"/>
    <w:rPr>
      <w:sz w:val="24"/>
    </w:rPr>
  </w:style>
  <w:style w:type="character" w:customStyle="1" w:styleId="578">
    <w:name w:val="表标题 Char"/>
    <w:link w:val="209"/>
    <w:qFormat/>
    <w:uiPriority w:val="0"/>
    <w:rPr>
      <w:b/>
      <w:sz w:val="24"/>
    </w:rPr>
  </w:style>
  <w:style w:type="character" w:customStyle="1" w:styleId="579">
    <w:name w:val="short_text"/>
    <w:basedOn w:val="95"/>
    <w:qFormat/>
    <w:uiPriority w:val="0"/>
  </w:style>
  <w:style w:type="paragraph" w:customStyle="1" w:styleId="580">
    <w:name w:val="TOC 标题1"/>
    <w:basedOn w:val="3"/>
    <w:next w:val="1"/>
    <w:qFormat/>
    <w:uiPriority w:val="39"/>
    <w:pPr>
      <w:widowControl/>
      <w:numPr>
        <w:numId w:val="0"/>
      </w:numPr>
      <w:spacing w:before="480" w:line="276" w:lineRule="auto"/>
      <w:ind w:left="432" w:hanging="432"/>
      <w:outlineLvl w:val="9"/>
    </w:pPr>
    <w:rPr>
      <w:rFonts w:ascii="Cambria" w:hAnsi="Cambria"/>
      <w:color w:val="365F91"/>
      <w:kern w:val="0"/>
      <w:sz w:val="28"/>
      <w:szCs w:val="28"/>
    </w:rPr>
  </w:style>
  <w:style w:type="paragraph" w:customStyle="1" w:styleId="581">
    <w:name w:val="样式55级"/>
    <w:basedOn w:val="567"/>
    <w:link w:val="582"/>
    <w:qFormat/>
    <w:uiPriority w:val="0"/>
    <w:pPr>
      <w:ind w:firstLine="0" w:firstLineChars="0"/>
      <w:outlineLvl w:val="0"/>
    </w:pPr>
    <w:rPr>
      <w:b/>
    </w:rPr>
  </w:style>
  <w:style w:type="character" w:customStyle="1" w:styleId="582">
    <w:name w:val="样式55级 Char"/>
    <w:link w:val="581"/>
    <w:qFormat/>
    <w:uiPriority w:val="0"/>
    <w:rPr>
      <w:b/>
      <w:kern w:val="2"/>
      <w:sz w:val="24"/>
      <w:szCs w:val="24"/>
    </w:rPr>
  </w:style>
  <w:style w:type="paragraph" w:customStyle="1" w:styleId="583">
    <w:name w:val="列出段落1"/>
    <w:basedOn w:val="1"/>
    <w:qFormat/>
    <w:uiPriority w:val="99"/>
    <w:pPr>
      <w:ind w:firstLine="420" w:firstLineChars="200"/>
    </w:pPr>
    <w:rPr>
      <w:rFonts w:ascii="Calibri" w:hAnsi="Calibri"/>
      <w:szCs w:val="22"/>
    </w:rPr>
  </w:style>
  <w:style w:type="paragraph" w:customStyle="1" w:styleId="584">
    <w:name w:val="图名称"/>
    <w:basedOn w:val="1"/>
    <w:link w:val="585"/>
    <w:qFormat/>
    <w:uiPriority w:val="0"/>
    <w:pPr>
      <w:adjustRightInd w:val="0"/>
      <w:snapToGrid w:val="0"/>
      <w:spacing w:line="240" w:lineRule="atLeast"/>
      <w:jc w:val="center"/>
    </w:pPr>
    <w:rPr>
      <w:rFonts w:hAnsi="宋体"/>
      <w:b/>
      <w:szCs w:val="21"/>
    </w:rPr>
  </w:style>
  <w:style w:type="character" w:customStyle="1" w:styleId="585">
    <w:name w:val="图名称 Char"/>
    <w:link w:val="584"/>
    <w:qFormat/>
    <w:uiPriority w:val="0"/>
    <w:rPr>
      <w:rFonts w:hAnsi="宋体"/>
      <w:b/>
      <w:kern w:val="2"/>
      <w:sz w:val="21"/>
      <w:szCs w:val="21"/>
    </w:rPr>
  </w:style>
  <w:style w:type="paragraph" w:customStyle="1" w:styleId="586">
    <w:name w:val="样2"/>
    <w:basedOn w:val="1"/>
    <w:next w:val="1"/>
    <w:qFormat/>
    <w:uiPriority w:val="0"/>
    <w:pPr>
      <w:adjustRightInd w:val="0"/>
      <w:jc w:val="center"/>
      <w:textAlignment w:val="baseline"/>
    </w:pPr>
    <w:rPr>
      <w:kern w:val="0"/>
      <w:szCs w:val="20"/>
    </w:rPr>
  </w:style>
  <w:style w:type="character" w:customStyle="1" w:styleId="587">
    <w:name w:val="脚注文本 字符"/>
    <w:link w:val="68"/>
    <w:qFormat/>
    <w:uiPriority w:val="0"/>
    <w:rPr>
      <w:kern w:val="2"/>
      <w:sz w:val="18"/>
      <w:szCs w:val="18"/>
    </w:rPr>
  </w:style>
  <w:style w:type="character" w:customStyle="1" w:styleId="588">
    <w:name w:val="注释标题 字符"/>
    <w:link w:val="17"/>
    <w:qFormat/>
    <w:uiPriority w:val="0"/>
    <w:rPr>
      <w:rFonts w:ascii="宋体"/>
      <w:kern w:val="2"/>
      <w:sz w:val="28"/>
    </w:rPr>
  </w:style>
  <w:style w:type="character" w:customStyle="1" w:styleId="589">
    <w:name w:val="标题3"/>
    <w:qFormat/>
    <w:uiPriority w:val="0"/>
  </w:style>
  <w:style w:type="character" w:customStyle="1" w:styleId="590">
    <w:name w:val="样式 4级 Char"/>
    <w:link w:val="245"/>
    <w:qFormat/>
    <w:uiPriority w:val="0"/>
    <w:rPr>
      <w:rFonts w:ascii="宋体" w:hAnsi="宋体" w:cs="宋体"/>
      <w:b/>
      <w:bCs/>
      <w:kern w:val="2"/>
      <w:sz w:val="24"/>
      <w:szCs w:val="24"/>
    </w:rPr>
  </w:style>
  <w:style w:type="character" w:customStyle="1" w:styleId="591">
    <w:name w:val="题注 字符"/>
    <w:link w:val="23"/>
    <w:qFormat/>
    <w:uiPriority w:val="0"/>
    <w:rPr>
      <w:rFonts w:ascii="Arial" w:hAnsi="Arial" w:eastAsia="黑体" w:cs="Arial"/>
      <w:kern w:val="2"/>
    </w:rPr>
  </w:style>
  <w:style w:type="paragraph" w:customStyle="1" w:styleId="592">
    <w:name w:val="表中字"/>
    <w:qFormat/>
    <w:uiPriority w:val="0"/>
    <w:pPr>
      <w:adjustRightInd w:val="0"/>
      <w:snapToGrid w:val="0"/>
      <w:jc w:val="center"/>
    </w:pPr>
    <w:rPr>
      <w:rFonts w:ascii="Times New Roman" w:hAnsi="Times New Roman" w:eastAsia="宋体" w:cs="Times New Roman"/>
      <w:snapToGrid w:val="0"/>
      <w:sz w:val="21"/>
      <w:szCs w:val="21"/>
      <w:lang w:val="en-US" w:eastAsia="zh-CN" w:bidi="ar-SA"/>
    </w:rPr>
  </w:style>
  <w:style w:type="character" w:customStyle="1" w:styleId="593">
    <w:name w:val="报告正文 Char"/>
    <w:link w:val="198"/>
    <w:qFormat/>
    <w:uiPriority w:val="0"/>
    <w:rPr>
      <w:rFonts w:ascii="宋体"/>
      <w:kern w:val="2"/>
      <w:sz w:val="24"/>
    </w:rPr>
  </w:style>
  <w:style w:type="paragraph" w:customStyle="1" w:styleId="594">
    <w:name w:val="表头及表尾"/>
    <w:link w:val="905"/>
    <w:qFormat/>
    <w:uiPriority w:val="0"/>
    <w:pPr>
      <w:tabs>
        <w:tab w:val="center" w:pos="4200"/>
        <w:tab w:val="right" w:pos="8400"/>
      </w:tabs>
      <w:adjustRightInd w:val="0"/>
      <w:snapToGrid w:val="0"/>
      <w:jc w:val="center"/>
    </w:pPr>
    <w:rPr>
      <w:rFonts w:ascii="Times New Roman" w:hAnsi="Times New Roman" w:eastAsia="宋体" w:cs="Times New Roman"/>
      <w:b/>
      <w:snapToGrid w:val="0"/>
      <w:sz w:val="21"/>
      <w:szCs w:val="21"/>
      <w:lang w:val="en-US" w:eastAsia="zh-CN" w:bidi="ar-SA"/>
    </w:rPr>
  </w:style>
  <w:style w:type="paragraph" w:customStyle="1" w:styleId="595">
    <w:name w:val="表头21"/>
    <w:basedOn w:val="1"/>
    <w:link w:val="596"/>
    <w:qFormat/>
    <w:uiPriority w:val="0"/>
    <w:pPr>
      <w:adjustRightInd w:val="0"/>
      <w:snapToGrid w:val="0"/>
      <w:spacing w:line="240" w:lineRule="atLeast"/>
      <w:jc w:val="center"/>
    </w:pPr>
    <w:rPr>
      <w:rFonts w:hAnsi="宋体"/>
      <w:b/>
      <w:color w:val="000000"/>
      <w:szCs w:val="21"/>
    </w:rPr>
  </w:style>
  <w:style w:type="character" w:customStyle="1" w:styleId="596">
    <w:name w:val="表头21 Char"/>
    <w:link w:val="595"/>
    <w:qFormat/>
    <w:uiPriority w:val="0"/>
    <w:rPr>
      <w:rFonts w:hAnsi="宋体"/>
      <w:b/>
      <w:color w:val="000000"/>
      <w:kern w:val="2"/>
      <w:sz w:val="21"/>
      <w:szCs w:val="21"/>
    </w:rPr>
  </w:style>
  <w:style w:type="paragraph" w:customStyle="1" w:styleId="597">
    <w:name w:val="不分级重点"/>
    <w:basedOn w:val="234"/>
    <w:link w:val="598"/>
    <w:qFormat/>
    <w:uiPriority w:val="0"/>
    <w:pPr>
      <w:ind w:firstLine="482"/>
    </w:pPr>
    <w:rPr>
      <w:b/>
      <w:color w:val="000000"/>
    </w:rPr>
  </w:style>
  <w:style w:type="character" w:customStyle="1" w:styleId="598">
    <w:name w:val="不分级重点 Char"/>
    <w:link w:val="597"/>
    <w:qFormat/>
    <w:uiPriority w:val="0"/>
    <w:rPr>
      <w:b/>
      <w:color w:val="000000"/>
      <w:kern w:val="2"/>
      <w:sz w:val="24"/>
      <w:szCs w:val="24"/>
    </w:rPr>
  </w:style>
  <w:style w:type="paragraph" w:customStyle="1" w:styleId="599">
    <w:name w:val="样式 1级"/>
    <w:basedOn w:val="138"/>
    <w:qFormat/>
    <w:uiPriority w:val="0"/>
    <w:pPr>
      <w:numPr>
        <w:numId w:val="0"/>
      </w:numPr>
      <w:tabs>
        <w:tab w:val="left" w:pos="425"/>
      </w:tabs>
      <w:spacing w:beforeLines="0" w:afterLines="0"/>
      <w:ind w:left="425" w:hanging="425"/>
    </w:pPr>
    <w:rPr>
      <w:rFonts w:ascii="宋体" w:hAnsi="宋体" w:eastAsia="宋体"/>
      <w:b/>
      <w:sz w:val="28"/>
      <w:szCs w:val="28"/>
    </w:rPr>
  </w:style>
  <w:style w:type="paragraph" w:customStyle="1" w:styleId="600">
    <w:name w:val="样式 燕山正文 + 首行缩进:  3.5 字符2"/>
    <w:basedOn w:val="1"/>
    <w:qFormat/>
    <w:uiPriority w:val="0"/>
    <w:pPr>
      <w:tabs>
        <w:tab w:val="left" w:pos="4680"/>
      </w:tabs>
      <w:adjustRightInd w:val="0"/>
      <w:snapToGrid w:val="0"/>
      <w:spacing w:line="460" w:lineRule="exact"/>
      <w:ind w:firstLine="480" w:firstLineChars="200"/>
    </w:pPr>
    <w:rPr>
      <w:sz w:val="24"/>
    </w:rPr>
  </w:style>
  <w:style w:type="character" w:customStyle="1" w:styleId="601">
    <w:name w:val="正文－1.5行距－段后6磅 Char"/>
    <w:link w:val="602"/>
    <w:qFormat/>
    <w:locked/>
    <w:uiPriority w:val="0"/>
    <w:rPr>
      <w:rFonts w:ascii="Calibri" w:hAnsi="Calibri" w:cs="Calibri"/>
      <w:kern w:val="2"/>
      <w:sz w:val="24"/>
      <w:szCs w:val="21"/>
    </w:rPr>
  </w:style>
  <w:style w:type="paragraph" w:customStyle="1" w:styleId="602">
    <w:name w:val="正文－1.5行距－段后6磅"/>
    <w:basedOn w:val="1"/>
    <w:link w:val="601"/>
    <w:qFormat/>
    <w:uiPriority w:val="0"/>
    <w:pPr>
      <w:spacing w:after="120" w:line="360" w:lineRule="auto"/>
      <w:ind w:firstLine="200" w:firstLineChars="200"/>
    </w:pPr>
    <w:rPr>
      <w:rFonts w:ascii="Calibri" w:hAnsi="Calibri" w:cs="Calibri"/>
      <w:sz w:val="24"/>
      <w:szCs w:val="21"/>
    </w:rPr>
  </w:style>
  <w:style w:type="paragraph" w:customStyle="1" w:styleId="603">
    <w:name w:val="style23"/>
    <w:basedOn w:val="1"/>
    <w:qFormat/>
    <w:uiPriority w:val="0"/>
    <w:pPr>
      <w:widowControl/>
      <w:spacing w:before="100" w:beforeAutospacing="1" w:after="100" w:afterAutospacing="1"/>
      <w:jc w:val="left"/>
    </w:pPr>
    <w:rPr>
      <w:rFonts w:ascii="宋体" w:hAnsi="宋体" w:cs="宋体"/>
      <w:kern w:val="0"/>
      <w:sz w:val="24"/>
    </w:rPr>
  </w:style>
  <w:style w:type="character" w:customStyle="1" w:styleId="604">
    <w:name w:val="表格文字居中 Char"/>
    <w:link w:val="605"/>
    <w:qFormat/>
    <w:uiPriority w:val="0"/>
    <w:rPr>
      <w:bCs/>
      <w:sz w:val="21"/>
      <w:szCs w:val="21"/>
    </w:rPr>
  </w:style>
  <w:style w:type="paragraph" w:customStyle="1" w:styleId="605">
    <w:name w:val="表格文字居中"/>
    <w:basedOn w:val="86"/>
    <w:link w:val="604"/>
    <w:qFormat/>
    <w:uiPriority w:val="0"/>
    <w:pPr>
      <w:widowControl w:val="0"/>
      <w:tabs>
        <w:tab w:val="left" w:pos="628"/>
        <w:tab w:val="left" w:pos="1727"/>
        <w:tab w:val="left" w:pos="1884"/>
      </w:tabs>
      <w:spacing w:line="240" w:lineRule="exact"/>
      <w:ind w:firstLine="0" w:firstLineChars="0"/>
      <w:jc w:val="center"/>
    </w:pPr>
    <w:rPr>
      <w:rFonts w:ascii="Times New Roman" w:hAnsi="Times New Roman"/>
      <w:bCs/>
      <w:snapToGrid/>
      <w:color w:val="auto"/>
      <w:sz w:val="21"/>
      <w:szCs w:val="21"/>
    </w:rPr>
  </w:style>
  <w:style w:type="character" w:customStyle="1" w:styleId="606">
    <w:name w:val="t11"/>
    <w:qFormat/>
    <w:uiPriority w:val="0"/>
    <w:rPr>
      <w:sz w:val="18"/>
      <w:szCs w:val="18"/>
      <w:u w:val="none"/>
    </w:rPr>
  </w:style>
  <w:style w:type="character" w:customStyle="1" w:styleId="607">
    <w:name w:val="unnamed11"/>
    <w:qFormat/>
    <w:uiPriority w:val="0"/>
    <w:rPr>
      <w:rFonts w:hint="default" w:ascii="Arial" w:hAnsi="Arial" w:cs="Arial"/>
      <w:sz w:val="18"/>
      <w:szCs w:val="18"/>
    </w:rPr>
  </w:style>
  <w:style w:type="character" w:customStyle="1" w:styleId="608">
    <w:name w:val="表头 Char"/>
    <w:link w:val="129"/>
    <w:qFormat/>
    <w:uiPriority w:val="0"/>
    <w:rPr>
      <w:kern w:val="2"/>
      <w:sz w:val="24"/>
    </w:rPr>
  </w:style>
  <w:style w:type="character" w:customStyle="1" w:styleId="609">
    <w:name w:val="tdword"/>
    <w:basedOn w:val="95"/>
    <w:qFormat/>
    <w:uiPriority w:val="0"/>
  </w:style>
  <w:style w:type="paragraph" w:customStyle="1" w:styleId="610">
    <w:name w:val="表文字"/>
    <w:basedOn w:val="1"/>
    <w:link w:val="963"/>
    <w:qFormat/>
    <w:uiPriority w:val="0"/>
    <w:pPr>
      <w:spacing w:line="320" w:lineRule="exact"/>
    </w:pPr>
    <w:rPr>
      <w:szCs w:val="20"/>
    </w:rPr>
  </w:style>
  <w:style w:type="paragraph" w:customStyle="1" w:styleId="611">
    <w:name w:val="表格内容2"/>
    <w:next w:val="1"/>
    <w:qFormat/>
    <w:uiPriority w:val="0"/>
    <w:pPr>
      <w:jc w:val="center"/>
    </w:pPr>
    <w:rPr>
      <w:rFonts w:ascii="Times New Roman" w:hAnsi="Times New Roman" w:eastAsia="宋体" w:cs="宋体"/>
      <w:kern w:val="2"/>
      <w:sz w:val="21"/>
      <w:szCs w:val="21"/>
      <w:lang w:val="en-US" w:eastAsia="zh-CN" w:bidi="ar-SA"/>
    </w:rPr>
  </w:style>
  <w:style w:type="character" w:customStyle="1" w:styleId="612">
    <w:name w:val="标题 字符"/>
    <w:link w:val="84"/>
    <w:qFormat/>
    <w:uiPriority w:val="0"/>
    <w:rPr>
      <w:rFonts w:ascii="Arial" w:hAnsi="Arial" w:cs="Arial"/>
      <w:b/>
      <w:bCs/>
      <w:kern w:val="2"/>
      <w:sz w:val="32"/>
      <w:szCs w:val="32"/>
    </w:rPr>
  </w:style>
  <w:style w:type="paragraph" w:customStyle="1" w:styleId="613">
    <w:name w:val="图名"/>
    <w:basedOn w:val="1"/>
    <w:link w:val="1238"/>
    <w:qFormat/>
    <w:uiPriority w:val="0"/>
    <w:pPr>
      <w:spacing w:line="440" w:lineRule="exact"/>
      <w:jc w:val="center"/>
    </w:pPr>
    <w:rPr>
      <w:rFonts w:eastAsia="黑体"/>
    </w:rPr>
  </w:style>
  <w:style w:type="paragraph" w:customStyle="1" w:styleId="614">
    <w:name w:val="默认段落字体 Para Char Char Char Char Char Char Char"/>
    <w:basedOn w:val="1"/>
    <w:qFormat/>
    <w:uiPriority w:val="0"/>
    <w:pPr>
      <w:spacing w:line="360" w:lineRule="auto"/>
    </w:pPr>
    <w:rPr>
      <w:sz w:val="24"/>
    </w:rPr>
  </w:style>
  <w:style w:type="paragraph" w:customStyle="1" w:styleId="615">
    <w:name w:val="表格内容（新）"/>
    <w:basedOn w:val="1"/>
    <w:qFormat/>
    <w:uiPriority w:val="0"/>
    <w:pPr>
      <w:jc w:val="center"/>
    </w:pPr>
    <w:rPr>
      <w:sz w:val="20"/>
      <w:szCs w:val="20"/>
    </w:rPr>
  </w:style>
  <w:style w:type="paragraph" w:customStyle="1" w:styleId="616">
    <w:name w:val="样式 首行缩进正文 + 小四"/>
    <w:basedOn w:val="1"/>
    <w:qFormat/>
    <w:uiPriority w:val="0"/>
    <w:pPr>
      <w:spacing w:line="360" w:lineRule="exact"/>
      <w:ind w:firstLine="460" w:firstLineChars="200"/>
    </w:pPr>
    <w:rPr>
      <w:snapToGrid w:val="0"/>
      <w:spacing w:val="10"/>
      <w:kern w:val="0"/>
      <w:szCs w:val="21"/>
    </w:rPr>
  </w:style>
  <w:style w:type="paragraph" w:customStyle="1" w:styleId="617">
    <w:name w:val="正文文字"/>
    <w:basedOn w:val="1"/>
    <w:qFormat/>
    <w:uiPriority w:val="0"/>
    <w:pPr>
      <w:spacing w:line="480" w:lineRule="exact"/>
    </w:pPr>
    <w:rPr>
      <w:sz w:val="28"/>
      <w:szCs w:val="28"/>
    </w:rPr>
  </w:style>
  <w:style w:type="paragraph" w:customStyle="1" w:styleId="618">
    <w:name w:val="默认段落字体 Para Char Char Char Char Char Char Char Char Char Char Char Char Char Char Char1 Char Char Char Char"/>
    <w:basedOn w:val="27"/>
    <w:qFormat/>
    <w:uiPriority w:val="0"/>
    <w:pPr>
      <w:adjustRightInd w:val="0"/>
      <w:spacing w:line="436" w:lineRule="exact"/>
      <w:ind w:left="357"/>
      <w:jc w:val="left"/>
      <w:outlineLvl w:val="3"/>
    </w:pPr>
    <w:rPr>
      <w:rFonts w:ascii="Tahoma" w:hAnsi="Tahoma"/>
      <w:b/>
      <w:sz w:val="24"/>
    </w:rPr>
  </w:style>
  <w:style w:type="paragraph" w:customStyle="1" w:styleId="619">
    <w:name w:val="正文（1）"/>
    <w:basedOn w:val="22"/>
    <w:next w:val="86"/>
    <w:qFormat/>
    <w:uiPriority w:val="0"/>
    <w:pPr>
      <w:widowControl/>
      <w:adjustRightInd w:val="0"/>
      <w:snapToGrid w:val="0"/>
      <w:spacing w:line="460" w:lineRule="exact"/>
      <w:ind w:firstLine="480"/>
    </w:pPr>
    <w:rPr>
      <w:kern w:val="0"/>
    </w:rPr>
  </w:style>
  <w:style w:type="paragraph" w:customStyle="1" w:styleId="620">
    <w:name w:val="样式 正文首行缩进 + 首行缩进:  2 字符1"/>
    <w:basedOn w:val="86"/>
    <w:qFormat/>
    <w:uiPriority w:val="0"/>
    <w:pPr>
      <w:widowControl w:val="0"/>
      <w:adjustRightInd/>
      <w:snapToGrid/>
      <w:spacing w:line="360" w:lineRule="auto"/>
      <w:ind w:firstLine="480"/>
    </w:pPr>
    <w:rPr>
      <w:rFonts w:ascii="Times New Roman" w:hAnsi="Times New Roman"/>
      <w:snapToGrid/>
      <w:color w:val="auto"/>
      <w:kern w:val="2"/>
      <w:szCs w:val="24"/>
    </w:rPr>
  </w:style>
  <w:style w:type="paragraph" w:customStyle="1" w:styleId="621">
    <w:name w:val="表名"/>
    <w:basedOn w:val="1"/>
    <w:link w:val="1329"/>
    <w:qFormat/>
    <w:uiPriority w:val="0"/>
    <w:pPr>
      <w:tabs>
        <w:tab w:val="left" w:pos="1350"/>
      </w:tabs>
      <w:autoSpaceDE w:val="0"/>
      <w:autoSpaceDN w:val="0"/>
      <w:adjustRightInd w:val="0"/>
      <w:snapToGrid w:val="0"/>
      <w:spacing w:before="234" w:after="78" w:line="320" w:lineRule="exact"/>
      <w:ind w:firstLine="241" w:firstLineChars="100"/>
      <w:jc w:val="center"/>
    </w:pPr>
    <w:rPr>
      <w:rFonts w:ascii="Arial" w:hAnsi="Arial" w:eastAsia="楷体_GB2312" w:cs="Arial"/>
      <w:b/>
      <w:sz w:val="24"/>
      <w:shd w:val="clear" w:color="auto" w:fill="FFFFFF"/>
    </w:rPr>
  </w:style>
  <w:style w:type="character" w:customStyle="1" w:styleId="622">
    <w:name w:val="p31"/>
    <w:qFormat/>
    <w:uiPriority w:val="0"/>
    <w:rPr>
      <w:rFonts w:hint="eastAsia" w:ascii="文鼎粗行楷简" w:eastAsia="文鼎粗行楷简"/>
      <w:color w:val="FF0000"/>
      <w:kern w:val="2"/>
      <w:sz w:val="26"/>
      <w:szCs w:val="26"/>
      <w:lang w:val="en-US" w:eastAsia="zh-CN" w:bidi="ar-SA"/>
    </w:rPr>
  </w:style>
  <w:style w:type="paragraph" w:customStyle="1" w:styleId="623">
    <w:name w:val="样式1.8"/>
    <w:basedOn w:val="1"/>
    <w:qFormat/>
    <w:uiPriority w:val="0"/>
    <w:pPr>
      <w:spacing w:line="360" w:lineRule="auto"/>
    </w:pPr>
    <w:rPr>
      <w:sz w:val="24"/>
    </w:rPr>
  </w:style>
  <w:style w:type="paragraph" w:customStyle="1" w:styleId="624">
    <w:name w:val="表前文"/>
    <w:basedOn w:val="1"/>
    <w:qFormat/>
    <w:uiPriority w:val="0"/>
    <w:pPr>
      <w:adjustRightInd w:val="0"/>
      <w:spacing w:after="120" w:line="400" w:lineRule="exact"/>
      <w:ind w:firstLine="601"/>
      <w:textAlignment w:val="baseline"/>
    </w:pPr>
    <w:rPr>
      <w:rFonts w:eastAsia="楷体_GB2312"/>
      <w:spacing w:val="8"/>
      <w:kern w:val="0"/>
      <w:sz w:val="28"/>
      <w:szCs w:val="28"/>
    </w:rPr>
  </w:style>
  <w:style w:type="paragraph" w:customStyle="1" w:styleId="625">
    <w:name w:val="正文文本2"/>
    <w:basedOn w:val="35"/>
    <w:qFormat/>
    <w:uiPriority w:val="0"/>
    <w:pPr>
      <w:spacing w:after="0" w:line="360" w:lineRule="auto"/>
      <w:ind w:firstLine="480" w:firstLineChars="200"/>
    </w:pPr>
    <w:rPr>
      <w:rFonts w:ascii="宋体" w:cs="宋体"/>
      <w:sz w:val="24"/>
      <w:szCs w:val="20"/>
    </w:rPr>
  </w:style>
  <w:style w:type="paragraph" w:customStyle="1" w:styleId="626">
    <w:name w:val="谏壁正文chen"/>
    <w:basedOn w:val="1"/>
    <w:link w:val="627"/>
    <w:qFormat/>
    <w:uiPriority w:val="0"/>
    <w:pPr>
      <w:spacing w:line="360" w:lineRule="auto"/>
      <w:ind w:firstLine="200" w:firstLineChars="200"/>
    </w:pPr>
    <w:rPr>
      <w:sz w:val="24"/>
    </w:rPr>
  </w:style>
  <w:style w:type="character" w:customStyle="1" w:styleId="627">
    <w:name w:val="谏壁正文chen Char"/>
    <w:link w:val="626"/>
    <w:qFormat/>
    <w:uiPriority w:val="0"/>
    <w:rPr>
      <w:kern w:val="2"/>
      <w:sz w:val="24"/>
      <w:szCs w:val="24"/>
    </w:rPr>
  </w:style>
  <w:style w:type="paragraph" w:customStyle="1" w:styleId="628">
    <w:name w:val="样式 正文文本缩进 + 小四 段前: 6 磅 段后: 6 磅 行距: 固定值 26 磅"/>
    <w:basedOn w:val="36"/>
    <w:qFormat/>
    <w:uiPriority w:val="0"/>
    <w:pPr>
      <w:spacing w:before="120" w:line="520" w:lineRule="exact"/>
      <w:ind w:left="0" w:leftChars="0" w:firstLine="480" w:firstLineChars="200"/>
    </w:pPr>
    <w:rPr>
      <w:rFonts w:ascii="宋体" w:hAnsi="宋体"/>
      <w:sz w:val="24"/>
      <w:szCs w:val="20"/>
    </w:rPr>
  </w:style>
  <w:style w:type="paragraph" w:customStyle="1" w:styleId="629">
    <w:name w:val="样式 首行缩进:  2 字符"/>
    <w:basedOn w:val="1"/>
    <w:link w:val="871"/>
    <w:qFormat/>
    <w:uiPriority w:val="0"/>
    <w:pPr>
      <w:adjustRightInd w:val="0"/>
      <w:snapToGrid w:val="0"/>
      <w:spacing w:line="300" w:lineRule="auto"/>
      <w:ind w:firstLine="560" w:firstLineChars="200"/>
    </w:pPr>
    <w:rPr>
      <w:rFonts w:ascii="仿宋_GB2312" w:eastAsia="仿宋_GB2312" w:cs="宋体"/>
      <w:sz w:val="28"/>
      <w:szCs w:val="20"/>
    </w:rPr>
  </w:style>
  <w:style w:type="paragraph" w:customStyle="1" w:styleId="630">
    <w:name w:val="图文框"/>
    <w:basedOn w:val="1"/>
    <w:qFormat/>
    <w:uiPriority w:val="0"/>
    <w:pPr>
      <w:adjustRightInd w:val="0"/>
      <w:snapToGrid w:val="0"/>
      <w:jc w:val="center"/>
    </w:pPr>
    <w:rPr>
      <w:rFonts w:ascii="宋体" w:hAnsi="宋体"/>
      <w:sz w:val="24"/>
    </w:rPr>
  </w:style>
  <w:style w:type="character" w:customStyle="1" w:styleId="631">
    <w:name w:val="style6"/>
    <w:basedOn w:val="95"/>
    <w:qFormat/>
    <w:uiPriority w:val="0"/>
  </w:style>
  <w:style w:type="character" w:customStyle="1" w:styleId="632">
    <w:name w:val="Table Title Char2"/>
    <w:qFormat/>
    <w:uiPriority w:val="0"/>
    <w:rPr>
      <w:rFonts w:eastAsia="宋体"/>
      <w:kern w:val="2"/>
      <w:sz w:val="24"/>
      <w:szCs w:val="24"/>
      <w:lang w:val="en-US" w:eastAsia="zh-CN" w:bidi="ar-SA"/>
    </w:rPr>
  </w:style>
  <w:style w:type="paragraph" w:customStyle="1" w:styleId="633">
    <w:name w:val="黄表格"/>
    <w:basedOn w:val="1"/>
    <w:qFormat/>
    <w:uiPriority w:val="0"/>
    <w:pPr>
      <w:widowControl/>
      <w:autoSpaceDE w:val="0"/>
      <w:autoSpaceDN w:val="0"/>
      <w:adjustRightInd w:val="0"/>
      <w:jc w:val="center"/>
    </w:pPr>
    <w:rPr>
      <w:rFonts w:cs="宋体"/>
      <w:kern w:val="0"/>
      <w:szCs w:val="21"/>
    </w:rPr>
  </w:style>
  <w:style w:type="paragraph" w:customStyle="1" w:styleId="634">
    <w:name w:val="段落1 Char"/>
    <w:basedOn w:val="22"/>
    <w:link w:val="635"/>
    <w:qFormat/>
    <w:uiPriority w:val="0"/>
    <w:pPr>
      <w:widowControl/>
      <w:tabs>
        <w:tab w:val="right" w:pos="360"/>
        <w:tab w:val="left" w:pos="3060"/>
      </w:tabs>
      <w:adjustRightInd w:val="0"/>
      <w:snapToGrid w:val="0"/>
      <w:ind w:firstLine="488"/>
      <w:jc w:val="left"/>
      <w:textAlignment w:val="baseline"/>
    </w:pPr>
    <w:rPr>
      <w:spacing w:val="2"/>
      <w:kern w:val="0"/>
    </w:rPr>
  </w:style>
  <w:style w:type="character" w:customStyle="1" w:styleId="635">
    <w:name w:val="段落1 Char Char"/>
    <w:link w:val="634"/>
    <w:qFormat/>
    <w:uiPriority w:val="0"/>
    <w:rPr>
      <w:spacing w:val="2"/>
      <w:sz w:val="24"/>
      <w:szCs w:val="24"/>
    </w:rPr>
  </w:style>
  <w:style w:type="character" w:customStyle="1" w:styleId="636">
    <w:name w:val="样式 正文（首行缩进两字） + (符号) 宋体 Char"/>
    <w:qFormat/>
    <w:uiPriority w:val="0"/>
    <w:rPr>
      <w:rFonts w:ascii="宋体" w:eastAsia="宋体"/>
      <w:kern w:val="2"/>
      <w:sz w:val="24"/>
      <w:szCs w:val="24"/>
      <w:lang w:val="en-US" w:eastAsia="zh-CN" w:bidi="ar-SA"/>
    </w:rPr>
  </w:style>
  <w:style w:type="character" w:customStyle="1" w:styleId="637">
    <w:name w:val="Table Title Char3"/>
    <w:qFormat/>
    <w:uiPriority w:val="0"/>
    <w:rPr>
      <w:rFonts w:eastAsia="宋体"/>
      <w:kern w:val="2"/>
      <w:sz w:val="24"/>
      <w:szCs w:val="24"/>
      <w:lang w:val="en-US" w:eastAsia="en-US" w:bidi="ar-SA"/>
    </w:rPr>
  </w:style>
  <w:style w:type="paragraph" w:customStyle="1" w:styleId="638">
    <w:name w:val="Table Title Char1 Char1"/>
    <w:basedOn w:val="1"/>
    <w:qFormat/>
    <w:uiPriority w:val="0"/>
    <w:pPr>
      <w:widowControl/>
      <w:snapToGrid w:val="0"/>
      <w:spacing w:before="120" w:beforeLines="50" w:after="120" w:afterLines="50" w:line="400" w:lineRule="exact"/>
      <w:jc w:val="center"/>
    </w:pPr>
    <w:rPr>
      <w:sz w:val="24"/>
      <w:lang w:eastAsia="en-US"/>
    </w:rPr>
  </w:style>
  <w:style w:type="paragraph" w:customStyle="1" w:styleId="639">
    <w:name w:val="Table Title"/>
    <w:basedOn w:val="1"/>
    <w:qFormat/>
    <w:uiPriority w:val="0"/>
    <w:pPr>
      <w:widowControl/>
      <w:snapToGrid w:val="0"/>
      <w:spacing w:before="50" w:beforeLines="50" w:after="50" w:afterLines="50" w:line="400" w:lineRule="exact"/>
      <w:jc w:val="center"/>
    </w:pPr>
    <w:rPr>
      <w:sz w:val="24"/>
    </w:rPr>
  </w:style>
  <w:style w:type="character" w:customStyle="1" w:styleId="640">
    <w:name w:val="Table Title Char5"/>
    <w:qFormat/>
    <w:uiPriority w:val="0"/>
    <w:rPr>
      <w:rFonts w:eastAsia="宋体"/>
      <w:kern w:val="2"/>
      <w:sz w:val="24"/>
      <w:szCs w:val="24"/>
      <w:lang w:val="en-US" w:eastAsia="zh-CN" w:bidi="ar-SA"/>
    </w:rPr>
  </w:style>
  <w:style w:type="character" w:customStyle="1" w:styleId="641">
    <w:name w:val="Table Title Char6"/>
    <w:qFormat/>
    <w:uiPriority w:val="0"/>
    <w:rPr>
      <w:rFonts w:eastAsia="宋体"/>
      <w:kern w:val="2"/>
      <w:sz w:val="24"/>
      <w:szCs w:val="24"/>
      <w:lang w:val="en-US" w:eastAsia="zh-CN" w:bidi="ar-SA"/>
    </w:rPr>
  </w:style>
  <w:style w:type="paragraph" w:customStyle="1" w:styleId="642">
    <w:name w:val="谏壁标题4(chen)"/>
    <w:basedOn w:val="1"/>
    <w:qFormat/>
    <w:uiPriority w:val="0"/>
    <w:pPr>
      <w:snapToGrid w:val="0"/>
      <w:spacing w:before="50" w:beforeLines="50" w:line="360" w:lineRule="auto"/>
      <w:ind w:firstLine="200" w:firstLineChars="200"/>
    </w:pPr>
    <w:rPr>
      <w:rFonts w:eastAsia="楷体_GB2312"/>
      <w:sz w:val="28"/>
    </w:rPr>
  </w:style>
  <w:style w:type="paragraph" w:customStyle="1" w:styleId="643">
    <w:name w:val="样式 标题 3 + 五号 加粗 段前: 0 磅 段后: 0 磅 行距: 单倍行距"/>
    <w:basedOn w:val="5"/>
    <w:qFormat/>
    <w:uiPriority w:val="0"/>
    <w:pPr>
      <w:numPr>
        <w:ilvl w:val="0"/>
        <w:numId w:val="0"/>
      </w:numPr>
      <w:spacing w:beforeLines="50" w:afterLines="50" w:line="240" w:lineRule="auto"/>
      <w:ind w:left="105" w:leftChars="50" w:right="105" w:rightChars="50"/>
      <w:jc w:val="both"/>
    </w:pPr>
    <w:rPr>
      <w:rFonts w:ascii="黑体" w:hAnsi="宋体" w:eastAsia="宋体" w:cs="宋体"/>
      <w:bCs/>
      <w:szCs w:val="21"/>
    </w:rPr>
  </w:style>
  <w:style w:type="paragraph" w:customStyle="1" w:styleId="644">
    <w:name w:val="样式 样式 样式 宋体 小四 行距: 多倍行距 1.4 字行2 + 黑色 + Times New Roman1"/>
    <w:basedOn w:val="1"/>
    <w:link w:val="645"/>
    <w:qFormat/>
    <w:uiPriority w:val="0"/>
    <w:pPr>
      <w:spacing w:line="360" w:lineRule="auto"/>
      <w:ind w:firstLine="200" w:firstLineChars="200"/>
    </w:pPr>
    <w:rPr>
      <w:rFonts w:cs="宋体"/>
      <w:color w:val="000000"/>
      <w:sz w:val="24"/>
      <w:szCs w:val="20"/>
    </w:rPr>
  </w:style>
  <w:style w:type="character" w:customStyle="1" w:styleId="645">
    <w:name w:val="样式 样式 样式 宋体 小四 行距: 多倍行距 1.4 字行2 + 黑色 + Times New Roman1 Char"/>
    <w:link w:val="644"/>
    <w:qFormat/>
    <w:uiPriority w:val="0"/>
    <w:rPr>
      <w:rFonts w:cs="宋体"/>
      <w:color w:val="000000"/>
      <w:kern w:val="2"/>
      <w:sz w:val="24"/>
    </w:rPr>
  </w:style>
  <w:style w:type="paragraph" w:customStyle="1" w:styleId="646">
    <w:name w:val="谏壁标题1(chen）"/>
    <w:basedOn w:val="1"/>
    <w:qFormat/>
    <w:uiPriority w:val="0"/>
    <w:pPr>
      <w:keepNext/>
      <w:keepLines/>
      <w:pageBreakBefore/>
      <w:spacing w:after="300" w:line="360" w:lineRule="auto"/>
      <w:outlineLvl w:val="0"/>
    </w:pPr>
    <w:rPr>
      <w:rFonts w:eastAsia="黑体"/>
      <w:bCs/>
      <w:kern w:val="44"/>
      <w:sz w:val="36"/>
      <w:szCs w:val="44"/>
    </w:rPr>
  </w:style>
  <w:style w:type="paragraph" w:customStyle="1" w:styleId="647">
    <w:name w:val="谏壁标题2(chen）"/>
    <w:basedOn w:val="1"/>
    <w:qFormat/>
    <w:uiPriority w:val="0"/>
    <w:pPr>
      <w:keepNext/>
      <w:keepLines/>
      <w:spacing w:after="120" w:line="360" w:lineRule="auto"/>
      <w:outlineLvl w:val="1"/>
    </w:pPr>
    <w:rPr>
      <w:rFonts w:eastAsia="黑体"/>
      <w:sz w:val="32"/>
      <w:szCs w:val="32"/>
    </w:rPr>
  </w:style>
  <w:style w:type="paragraph" w:customStyle="1" w:styleId="648">
    <w:name w:val="谏壁标题3（chen）"/>
    <w:basedOn w:val="1"/>
    <w:qFormat/>
    <w:uiPriority w:val="0"/>
    <w:pPr>
      <w:keepNext/>
      <w:keepLines/>
      <w:spacing w:before="100" w:after="120" w:line="360" w:lineRule="auto"/>
      <w:outlineLvl w:val="2"/>
    </w:pPr>
    <w:rPr>
      <w:rFonts w:eastAsia="黑体"/>
      <w:sz w:val="30"/>
      <w:szCs w:val="32"/>
    </w:rPr>
  </w:style>
  <w:style w:type="paragraph" w:customStyle="1" w:styleId="649">
    <w:name w:val="谏壁表头"/>
    <w:basedOn w:val="626"/>
    <w:qFormat/>
    <w:uiPriority w:val="0"/>
    <w:pPr>
      <w:ind w:firstLine="482"/>
      <w:jc w:val="center"/>
    </w:pPr>
    <w:rPr>
      <w:b/>
    </w:rPr>
  </w:style>
  <w:style w:type="paragraph" w:customStyle="1" w:styleId="650">
    <w:name w:val="样式 样式 宋体 小四 行距: 多倍行距 1.4 字行2 + 黑色"/>
    <w:basedOn w:val="1"/>
    <w:link w:val="651"/>
    <w:qFormat/>
    <w:uiPriority w:val="0"/>
    <w:pPr>
      <w:spacing w:line="336" w:lineRule="auto"/>
      <w:ind w:firstLine="480" w:firstLineChars="200"/>
    </w:pPr>
    <w:rPr>
      <w:rFonts w:ascii="宋体" w:hAnsi="宋体" w:cs="宋体"/>
      <w:color w:val="000000"/>
      <w:sz w:val="24"/>
      <w:szCs w:val="20"/>
    </w:rPr>
  </w:style>
  <w:style w:type="character" w:customStyle="1" w:styleId="651">
    <w:name w:val="样式 样式 宋体 小四 行距: 多倍行距 1.4 字行2 + 黑色 Char"/>
    <w:link w:val="650"/>
    <w:qFormat/>
    <w:uiPriority w:val="0"/>
    <w:rPr>
      <w:rFonts w:ascii="宋体" w:hAnsi="宋体" w:cs="宋体"/>
      <w:color w:val="000000"/>
      <w:kern w:val="2"/>
      <w:sz w:val="24"/>
    </w:rPr>
  </w:style>
  <w:style w:type="paragraph" w:customStyle="1" w:styleId="652">
    <w:name w:val="样式 仿宋_GB2312 小四 居中 行距: 固定值 20 磅"/>
    <w:basedOn w:val="1"/>
    <w:qFormat/>
    <w:uiPriority w:val="0"/>
    <w:pPr>
      <w:spacing w:line="400" w:lineRule="exact"/>
      <w:jc w:val="center"/>
    </w:pPr>
    <w:rPr>
      <w:rFonts w:ascii="仿宋_GB2312" w:hAnsi="宋体" w:eastAsia="仿宋_GB2312" w:cs="宋体"/>
      <w:sz w:val="24"/>
      <w:szCs w:val="20"/>
    </w:rPr>
  </w:style>
  <w:style w:type="paragraph" w:customStyle="1" w:styleId="653">
    <w:name w:val="谏壁表"/>
    <w:basedOn w:val="639"/>
    <w:qFormat/>
    <w:uiPriority w:val="0"/>
    <w:pPr>
      <w:spacing w:before="156" w:after="0" w:afterLines="0"/>
    </w:pPr>
    <w:rPr>
      <w:b/>
    </w:rPr>
  </w:style>
  <w:style w:type="paragraph" w:customStyle="1" w:styleId="654">
    <w:name w:val="谏壁表头（chen）"/>
    <w:basedOn w:val="649"/>
    <w:qFormat/>
    <w:uiPriority w:val="0"/>
    <w:pPr>
      <w:ind w:firstLine="200"/>
    </w:pPr>
    <w:rPr>
      <w:bCs/>
    </w:rPr>
  </w:style>
  <w:style w:type="paragraph" w:customStyle="1" w:styleId="655">
    <w:name w:val="正文缩进二"/>
    <w:basedOn w:val="22"/>
    <w:qFormat/>
    <w:uiPriority w:val="0"/>
    <w:pPr>
      <w:snapToGrid w:val="0"/>
      <w:spacing w:line="360" w:lineRule="auto"/>
      <w:ind w:firstLine="567" w:firstLineChars="0"/>
    </w:pPr>
    <w:rPr>
      <w:sz w:val="28"/>
      <w:szCs w:val="20"/>
    </w:rPr>
  </w:style>
  <w:style w:type="paragraph" w:customStyle="1" w:styleId="656">
    <w:name w:val="投标表格"/>
    <w:basedOn w:val="1"/>
    <w:qFormat/>
    <w:uiPriority w:val="0"/>
    <w:pPr>
      <w:adjustRightInd w:val="0"/>
      <w:snapToGrid w:val="0"/>
      <w:spacing w:line="360" w:lineRule="auto"/>
      <w:jc w:val="center"/>
    </w:pPr>
    <w:rPr>
      <w:rFonts w:ascii="宋体" w:hAnsi="宋体"/>
      <w:sz w:val="24"/>
      <w:szCs w:val="20"/>
    </w:rPr>
  </w:style>
  <w:style w:type="paragraph" w:customStyle="1" w:styleId="657">
    <w:name w:val="报告书表格"/>
    <w:basedOn w:val="1"/>
    <w:qFormat/>
    <w:uiPriority w:val="0"/>
    <w:pPr>
      <w:adjustRightInd w:val="0"/>
      <w:spacing w:line="400" w:lineRule="exact"/>
      <w:jc w:val="center"/>
      <w:textAlignment w:val="baseline"/>
    </w:pPr>
    <w:rPr>
      <w:rFonts w:eastAsia="仿宋_GB2312"/>
      <w:kern w:val="0"/>
      <w:sz w:val="24"/>
      <w:szCs w:val="20"/>
    </w:rPr>
  </w:style>
  <w:style w:type="character" w:customStyle="1" w:styleId="658">
    <w:name w:val="px14"/>
    <w:qFormat/>
    <w:uiPriority w:val="0"/>
    <w:rPr>
      <w:rFonts w:eastAsia="宋体"/>
      <w:kern w:val="2"/>
      <w:sz w:val="28"/>
      <w:szCs w:val="28"/>
      <w:lang w:val="en-US" w:eastAsia="zh-CN" w:bidi="ar-SA"/>
    </w:rPr>
  </w:style>
  <w:style w:type="paragraph" w:customStyle="1" w:styleId="659">
    <w:name w:val="表格内文字"/>
    <w:basedOn w:val="1"/>
    <w:link w:val="851"/>
    <w:qFormat/>
    <w:uiPriority w:val="0"/>
    <w:pPr>
      <w:spacing w:line="360" w:lineRule="auto"/>
      <w:jc w:val="center"/>
    </w:pPr>
    <w:rPr>
      <w:rFonts w:ascii="仿宋_GB2312" w:hAnsi="宋体" w:eastAsia="仿宋_GB2312"/>
    </w:rPr>
  </w:style>
  <w:style w:type="paragraph" w:customStyle="1" w:styleId="660">
    <w:name w:val="样式表头"/>
    <w:basedOn w:val="1"/>
    <w:next w:val="1"/>
    <w:link w:val="661"/>
    <w:qFormat/>
    <w:uiPriority w:val="0"/>
    <w:pPr>
      <w:spacing w:after="120" w:line="500" w:lineRule="exact"/>
      <w:jc w:val="center"/>
    </w:pPr>
    <w:rPr>
      <w:rFonts w:eastAsia="楷体_GB2312" w:cs="宋体"/>
      <w:b/>
      <w:kern w:val="0"/>
      <w:sz w:val="24"/>
      <w:szCs w:val="20"/>
    </w:rPr>
  </w:style>
  <w:style w:type="character" w:customStyle="1" w:styleId="661">
    <w:name w:val="样式表头 Char Char"/>
    <w:link w:val="660"/>
    <w:qFormat/>
    <w:uiPriority w:val="0"/>
    <w:rPr>
      <w:rFonts w:eastAsia="楷体_GB2312" w:cs="宋体"/>
      <w:b/>
      <w:sz w:val="24"/>
    </w:rPr>
  </w:style>
  <w:style w:type="paragraph" w:customStyle="1" w:styleId="662">
    <w:name w:val="样式表格内字体"/>
    <w:basedOn w:val="1"/>
    <w:qFormat/>
    <w:uiPriority w:val="0"/>
    <w:pPr>
      <w:spacing w:line="400" w:lineRule="exact"/>
      <w:jc w:val="center"/>
    </w:pPr>
    <w:rPr>
      <w:rFonts w:eastAsia="仿宋_GB2312" w:cs="宋体"/>
      <w:sz w:val="24"/>
      <w:szCs w:val="20"/>
    </w:rPr>
  </w:style>
  <w:style w:type="paragraph" w:customStyle="1" w:styleId="663">
    <w:name w:val="样式标题1"/>
    <w:basedOn w:val="1"/>
    <w:link w:val="664"/>
    <w:qFormat/>
    <w:uiPriority w:val="0"/>
    <w:pPr>
      <w:keepNext/>
      <w:keepLines/>
      <w:autoSpaceDE w:val="0"/>
      <w:autoSpaceDN w:val="0"/>
      <w:adjustRightInd w:val="0"/>
      <w:spacing w:before="120" w:after="120" w:line="360" w:lineRule="auto"/>
      <w:jc w:val="left"/>
      <w:outlineLvl w:val="0"/>
    </w:pPr>
    <w:rPr>
      <w:rFonts w:eastAsia="黑体" w:cs="宋体"/>
      <w:kern w:val="44"/>
      <w:sz w:val="32"/>
      <w:szCs w:val="20"/>
      <w:lang w:val="zh-CN"/>
    </w:rPr>
  </w:style>
  <w:style w:type="character" w:customStyle="1" w:styleId="664">
    <w:name w:val="样式标题1 Char Char"/>
    <w:link w:val="663"/>
    <w:qFormat/>
    <w:uiPriority w:val="0"/>
    <w:rPr>
      <w:rFonts w:eastAsia="黑体" w:cs="宋体"/>
      <w:kern w:val="44"/>
      <w:sz w:val="32"/>
      <w:lang w:val="zh-CN"/>
    </w:rPr>
  </w:style>
  <w:style w:type="paragraph" w:customStyle="1" w:styleId="665">
    <w:name w:val="样式正文"/>
    <w:basedOn w:val="1"/>
    <w:link w:val="666"/>
    <w:qFormat/>
    <w:uiPriority w:val="0"/>
    <w:pPr>
      <w:spacing w:line="400" w:lineRule="exact"/>
      <w:ind w:firstLine="200" w:firstLineChars="200"/>
    </w:pPr>
    <w:rPr>
      <w:rFonts w:cs="宋体"/>
      <w:sz w:val="24"/>
    </w:rPr>
  </w:style>
  <w:style w:type="character" w:customStyle="1" w:styleId="666">
    <w:name w:val="样式正文 Char"/>
    <w:link w:val="665"/>
    <w:qFormat/>
    <w:uiPriority w:val="0"/>
    <w:rPr>
      <w:rFonts w:cs="宋体"/>
      <w:kern w:val="2"/>
      <w:sz w:val="24"/>
      <w:szCs w:val="24"/>
    </w:rPr>
  </w:style>
  <w:style w:type="paragraph" w:customStyle="1" w:styleId="667">
    <w:name w:val="谏壁chen表格内文字"/>
    <w:basedOn w:val="1"/>
    <w:link w:val="668"/>
    <w:qFormat/>
    <w:uiPriority w:val="0"/>
    <w:pPr>
      <w:spacing w:line="0" w:lineRule="atLeast"/>
      <w:jc w:val="center"/>
    </w:pPr>
    <w:rPr>
      <w:szCs w:val="21"/>
    </w:rPr>
  </w:style>
  <w:style w:type="character" w:customStyle="1" w:styleId="668">
    <w:name w:val="谏壁chen表格内文字 Char"/>
    <w:link w:val="667"/>
    <w:qFormat/>
    <w:uiPriority w:val="0"/>
    <w:rPr>
      <w:kern w:val="2"/>
      <w:sz w:val="21"/>
      <w:szCs w:val="21"/>
    </w:rPr>
  </w:style>
  <w:style w:type="character" w:customStyle="1" w:styleId="669">
    <w:name w:val="节标题 Char"/>
    <w:qFormat/>
    <w:uiPriority w:val="0"/>
    <w:rPr>
      <w:rFonts w:eastAsia="黑体"/>
      <w:kern w:val="2"/>
      <w:sz w:val="32"/>
      <w:szCs w:val="32"/>
      <w:lang w:val="en-US" w:eastAsia="zh-CN" w:bidi="ar-SA"/>
    </w:rPr>
  </w:style>
  <w:style w:type="paragraph" w:customStyle="1" w:styleId="670">
    <w:name w:val="样式 正文缩进 + 行距: 固定值 20 磅"/>
    <w:basedOn w:val="1"/>
    <w:qFormat/>
    <w:uiPriority w:val="0"/>
    <w:pPr>
      <w:spacing w:line="400" w:lineRule="exact"/>
      <w:ind w:firstLine="200" w:firstLineChars="200"/>
    </w:pPr>
    <w:rPr>
      <w:rFonts w:cs="宋体"/>
      <w:sz w:val="24"/>
    </w:rPr>
  </w:style>
  <w:style w:type="paragraph" w:customStyle="1" w:styleId="671">
    <w:name w:val="样式标题3"/>
    <w:basedOn w:val="1"/>
    <w:qFormat/>
    <w:uiPriority w:val="0"/>
    <w:pPr>
      <w:keepNext/>
      <w:keepLines/>
      <w:spacing w:line="336" w:lineRule="auto"/>
      <w:outlineLvl w:val="2"/>
    </w:pPr>
    <w:rPr>
      <w:rFonts w:eastAsia="楷体_GB2312" w:cs="宋体"/>
      <w:bCs/>
      <w:sz w:val="30"/>
      <w:szCs w:val="30"/>
    </w:rPr>
  </w:style>
  <w:style w:type="paragraph" w:customStyle="1" w:styleId="672">
    <w:name w:val="样式标题2"/>
    <w:basedOn w:val="1"/>
    <w:qFormat/>
    <w:uiPriority w:val="0"/>
    <w:pPr>
      <w:keepNext/>
      <w:keepLines/>
      <w:spacing w:before="120" w:after="120" w:line="360" w:lineRule="auto"/>
      <w:jc w:val="left"/>
      <w:outlineLvl w:val="1"/>
    </w:pPr>
    <w:rPr>
      <w:rFonts w:eastAsia="黑体" w:cs="宋体"/>
      <w:sz w:val="28"/>
      <w:szCs w:val="20"/>
    </w:rPr>
  </w:style>
  <w:style w:type="paragraph" w:customStyle="1" w:styleId="673">
    <w:name w:val="样式标题4"/>
    <w:basedOn w:val="1"/>
    <w:qFormat/>
    <w:uiPriority w:val="0"/>
    <w:rPr>
      <w:rFonts w:eastAsia="楷体_GB2312"/>
      <w:sz w:val="28"/>
      <w:szCs w:val="28"/>
    </w:rPr>
  </w:style>
  <w:style w:type="paragraph" w:customStyle="1" w:styleId="674">
    <w:name w:val="样式 样式 仿宋_GB2312 小四 居中 行距: 固定值 20 磅 + Times New Roman"/>
    <w:basedOn w:val="1"/>
    <w:qFormat/>
    <w:uiPriority w:val="0"/>
    <w:pPr>
      <w:jc w:val="center"/>
    </w:pPr>
    <w:rPr>
      <w:rFonts w:eastAsia="仿宋_GB2312" w:cs="宋体"/>
      <w:szCs w:val="20"/>
    </w:rPr>
  </w:style>
  <w:style w:type="paragraph" w:customStyle="1" w:styleId="675">
    <w:name w:val="黄桥正文"/>
    <w:basedOn w:val="1"/>
    <w:qFormat/>
    <w:uiPriority w:val="0"/>
    <w:pPr>
      <w:widowControl/>
      <w:spacing w:line="360" w:lineRule="auto"/>
      <w:ind w:firstLine="200" w:firstLineChars="200"/>
    </w:pPr>
    <w:rPr>
      <w:rFonts w:cs="宋体"/>
      <w:kern w:val="0"/>
      <w:sz w:val="24"/>
    </w:rPr>
  </w:style>
  <w:style w:type="paragraph" w:customStyle="1" w:styleId="676">
    <w:name w:val="黄桥表头"/>
    <w:basedOn w:val="1"/>
    <w:link w:val="677"/>
    <w:qFormat/>
    <w:uiPriority w:val="0"/>
    <w:pPr>
      <w:widowControl/>
      <w:spacing w:before="20" w:beforeLines="20" w:after="30" w:afterLines="30"/>
      <w:jc w:val="center"/>
    </w:pPr>
    <w:rPr>
      <w:rFonts w:cs="宋体"/>
      <w:b/>
      <w:bCs/>
      <w:kern w:val="0"/>
      <w:sz w:val="24"/>
    </w:rPr>
  </w:style>
  <w:style w:type="character" w:customStyle="1" w:styleId="677">
    <w:name w:val="黄桥表头 Char"/>
    <w:link w:val="676"/>
    <w:qFormat/>
    <w:uiPriority w:val="0"/>
    <w:rPr>
      <w:rFonts w:cs="宋体"/>
      <w:b/>
      <w:bCs/>
      <w:sz w:val="24"/>
      <w:szCs w:val="24"/>
    </w:rPr>
  </w:style>
  <w:style w:type="paragraph" w:customStyle="1" w:styleId="678">
    <w:name w:val="黄桥标题4"/>
    <w:basedOn w:val="1"/>
    <w:link w:val="679"/>
    <w:qFormat/>
    <w:uiPriority w:val="0"/>
    <w:pPr>
      <w:keepNext/>
      <w:keepLines/>
      <w:widowControl/>
      <w:spacing w:line="360" w:lineRule="auto"/>
      <w:jc w:val="left"/>
      <w:outlineLvl w:val="3"/>
    </w:pPr>
    <w:rPr>
      <w:rFonts w:cs="宋体"/>
      <w:b/>
      <w:kern w:val="0"/>
      <w:sz w:val="24"/>
    </w:rPr>
  </w:style>
  <w:style w:type="character" w:customStyle="1" w:styleId="679">
    <w:name w:val="黄桥标题4 Char"/>
    <w:link w:val="678"/>
    <w:qFormat/>
    <w:uiPriority w:val="0"/>
    <w:rPr>
      <w:rFonts w:cs="宋体"/>
      <w:b/>
      <w:sz w:val="24"/>
      <w:szCs w:val="24"/>
    </w:rPr>
  </w:style>
  <w:style w:type="character" w:customStyle="1" w:styleId="680">
    <w:name w:val="黄桥标题3 Char"/>
    <w:link w:val="681"/>
    <w:qFormat/>
    <w:uiPriority w:val="0"/>
    <w:rPr>
      <w:rFonts w:cs="宋体"/>
      <w:b/>
      <w:sz w:val="24"/>
      <w:szCs w:val="24"/>
    </w:rPr>
  </w:style>
  <w:style w:type="paragraph" w:customStyle="1" w:styleId="681">
    <w:name w:val="黄桥标题3"/>
    <w:basedOn w:val="1"/>
    <w:next w:val="1"/>
    <w:link w:val="680"/>
    <w:qFormat/>
    <w:uiPriority w:val="0"/>
    <w:pPr>
      <w:keepNext/>
      <w:keepLines/>
      <w:widowControl/>
      <w:spacing w:line="360" w:lineRule="auto"/>
      <w:jc w:val="left"/>
      <w:outlineLvl w:val="2"/>
    </w:pPr>
    <w:rPr>
      <w:rFonts w:cs="宋体"/>
      <w:b/>
      <w:kern w:val="0"/>
      <w:sz w:val="24"/>
    </w:rPr>
  </w:style>
  <w:style w:type="paragraph" w:customStyle="1" w:styleId="682">
    <w:name w:val="样式 标题 3 + 黑体 四号"/>
    <w:basedOn w:val="5"/>
    <w:link w:val="683"/>
    <w:qFormat/>
    <w:uiPriority w:val="0"/>
    <w:pPr>
      <w:numPr>
        <w:ilvl w:val="0"/>
        <w:numId w:val="0"/>
      </w:numPr>
      <w:spacing w:before="40" w:beforeLines="50" w:after="40" w:afterLines="50"/>
      <w:ind w:left="105" w:leftChars="50" w:right="105" w:rightChars="50"/>
      <w:jc w:val="both"/>
    </w:pPr>
    <w:rPr>
      <w:rFonts w:ascii="黑体" w:hAnsi="宋体"/>
      <w:bCs/>
      <w:sz w:val="32"/>
      <w:szCs w:val="30"/>
    </w:rPr>
  </w:style>
  <w:style w:type="character" w:customStyle="1" w:styleId="683">
    <w:name w:val="样式 标题 3 + 黑体 四号 Char"/>
    <w:link w:val="682"/>
    <w:qFormat/>
    <w:uiPriority w:val="0"/>
    <w:rPr>
      <w:rFonts w:ascii="黑体" w:hAnsi="宋体" w:eastAsia="黑体"/>
      <w:kern w:val="2"/>
      <w:sz w:val="32"/>
      <w:szCs w:val="30"/>
    </w:rPr>
  </w:style>
  <w:style w:type="paragraph" w:customStyle="1" w:styleId="684">
    <w:name w:val="正文编号"/>
    <w:basedOn w:val="1"/>
    <w:qFormat/>
    <w:uiPriority w:val="0"/>
    <w:pPr>
      <w:tabs>
        <w:tab w:val="left" w:pos="1545"/>
      </w:tabs>
      <w:adjustRightInd w:val="0"/>
      <w:spacing w:line="440" w:lineRule="exact"/>
      <w:ind w:left="1545" w:hanging="1005"/>
    </w:pPr>
    <w:rPr>
      <w:snapToGrid w:val="0"/>
      <w:kern w:val="0"/>
      <w:sz w:val="25"/>
      <w:szCs w:val="20"/>
    </w:rPr>
  </w:style>
  <w:style w:type="paragraph" w:customStyle="1" w:styleId="685">
    <w:name w:val="图"/>
    <w:basedOn w:val="1"/>
    <w:qFormat/>
    <w:uiPriority w:val="0"/>
    <w:pPr>
      <w:jc w:val="center"/>
    </w:pPr>
  </w:style>
  <w:style w:type="paragraph" w:customStyle="1" w:styleId="686">
    <w:name w:val="黄桥标题2"/>
    <w:basedOn w:val="1"/>
    <w:next w:val="1"/>
    <w:link w:val="687"/>
    <w:qFormat/>
    <w:uiPriority w:val="0"/>
    <w:pPr>
      <w:keepNext/>
      <w:keepLines/>
      <w:widowControl/>
      <w:spacing w:line="360" w:lineRule="auto"/>
      <w:jc w:val="left"/>
      <w:outlineLvl w:val="1"/>
    </w:pPr>
    <w:rPr>
      <w:rFonts w:cs="宋体"/>
      <w:b/>
      <w:kern w:val="0"/>
      <w:sz w:val="28"/>
      <w:szCs w:val="28"/>
    </w:rPr>
  </w:style>
  <w:style w:type="character" w:customStyle="1" w:styleId="687">
    <w:name w:val="黄桥标题2 Char"/>
    <w:link w:val="686"/>
    <w:qFormat/>
    <w:uiPriority w:val="0"/>
    <w:rPr>
      <w:rFonts w:cs="宋体"/>
      <w:b/>
      <w:sz w:val="28"/>
      <w:szCs w:val="28"/>
    </w:rPr>
  </w:style>
  <w:style w:type="paragraph" w:customStyle="1" w:styleId="688">
    <w:name w:val="样式 谏壁统稿表格内文字 + 左  0 字符"/>
    <w:basedOn w:val="1"/>
    <w:qFormat/>
    <w:uiPriority w:val="0"/>
    <w:pPr>
      <w:snapToGrid w:val="0"/>
      <w:spacing w:line="0" w:lineRule="atLeast"/>
      <w:jc w:val="center"/>
    </w:pPr>
    <w:rPr>
      <w:rFonts w:cs="宋体"/>
      <w:szCs w:val="21"/>
    </w:rPr>
  </w:style>
  <w:style w:type="paragraph" w:customStyle="1" w:styleId="689">
    <w:name w:val="xl61"/>
    <w:basedOn w:val="1"/>
    <w:qFormat/>
    <w:uiPriority w:val="0"/>
    <w:pPr>
      <w:widowControl/>
      <w:pBdr>
        <w:bottom w:val="single" w:color="auto" w:sz="4" w:space="0"/>
      </w:pBdr>
      <w:spacing w:before="100" w:beforeAutospacing="1" w:after="100" w:afterAutospacing="1"/>
      <w:jc w:val="left"/>
      <w:textAlignment w:val="center"/>
    </w:pPr>
    <w:rPr>
      <w:rFonts w:ascii="Arial Unicode MS" w:hAnsi="Arial Unicode MS" w:eastAsia="Arial Unicode MS"/>
      <w:kern w:val="0"/>
      <w:sz w:val="22"/>
      <w:szCs w:val="22"/>
    </w:rPr>
  </w:style>
  <w:style w:type="paragraph" w:customStyle="1" w:styleId="690">
    <w:name w:val="标题2tt"/>
    <w:basedOn w:val="1"/>
    <w:qFormat/>
    <w:uiPriority w:val="0"/>
    <w:pPr>
      <w:spacing w:line="360" w:lineRule="auto"/>
      <w:jc w:val="left"/>
    </w:pPr>
    <w:rPr>
      <w:b/>
      <w:sz w:val="28"/>
      <w:szCs w:val="28"/>
    </w:rPr>
  </w:style>
  <w:style w:type="paragraph" w:customStyle="1" w:styleId="691">
    <w:name w:val="我的样式（正文）"/>
    <w:basedOn w:val="1"/>
    <w:qFormat/>
    <w:uiPriority w:val="0"/>
    <w:pPr>
      <w:spacing w:line="440" w:lineRule="exact"/>
    </w:pPr>
    <w:rPr>
      <w:rFonts w:ascii="宋体"/>
      <w:sz w:val="28"/>
      <w:szCs w:val="20"/>
    </w:rPr>
  </w:style>
  <w:style w:type="paragraph" w:customStyle="1" w:styleId="692">
    <w:name w:val="本文正文"/>
    <w:basedOn w:val="1"/>
    <w:qFormat/>
    <w:uiPriority w:val="0"/>
    <w:pPr>
      <w:autoSpaceDE w:val="0"/>
      <w:autoSpaceDN w:val="0"/>
      <w:adjustRightInd w:val="0"/>
      <w:spacing w:line="300" w:lineRule="auto"/>
      <w:ind w:firstLine="560" w:firstLineChars="200"/>
      <w:textAlignment w:val="baseline"/>
    </w:pPr>
    <w:rPr>
      <w:sz w:val="28"/>
      <w:szCs w:val="20"/>
    </w:rPr>
  </w:style>
  <w:style w:type="paragraph" w:customStyle="1" w:styleId="693">
    <w:name w:val="本文表文字"/>
    <w:basedOn w:val="1"/>
    <w:qFormat/>
    <w:uiPriority w:val="0"/>
    <w:pPr>
      <w:autoSpaceDE w:val="0"/>
      <w:autoSpaceDN w:val="0"/>
      <w:adjustRightInd w:val="0"/>
      <w:jc w:val="center"/>
      <w:textAlignment w:val="baseline"/>
    </w:pPr>
    <w:rPr>
      <w:sz w:val="24"/>
      <w:szCs w:val="20"/>
    </w:rPr>
  </w:style>
  <w:style w:type="paragraph" w:customStyle="1" w:styleId="694">
    <w:name w:val="纯文本3"/>
    <w:basedOn w:val="1"/>
    <w:qFormat/>
    <w:uiPriority w:val="0"/>
    <w:pPr>
      <w:autoSpaceDE w:val="0"/>
      <w:autoSpaceDN w:val="0"/>
      <w:adjustRightInd w:val="0"/>
      <w:spacing w:line="300" w:lineRule="auto"/>
      <w:textAlignment w:val="baseline"/>
    </w:pPr>
    <w:rPr>
      <w:rFonts w:ascii="Courier New" w:hAnsi="Courier New"/>
      <w:szCs w:val="20"/>
    </w:rPr>
  </w:style>
  <w:style w:type="paragraph" w:customStyle="1" w:styleId="695">
    <w:name w:val="图的标题"/>
    <w:basedOn w:val="1"/>
    <w:qFormat/>
    <w:uiPriority w:val="0"/>
    <w:pPr>
      <w:spacing w:line="360" w:lineRule="auto"/>
      <w:jc w:val="center"/>
    </w:pPr>
    <w:rPr>
      <w:rFonts w:ascii="宋体" w:hAnsi="宋体"/>
      <w:bCs/>
      <w:sz w:val="24"/>
      <w:szCs w:val="20"/>
    </w:rPr>
  </w:style>
  <w:style w:type="paragraph" w:customStyle="1" w:styleId="696">
    <w:name w:val="表格正文"/>
    <w:basedOn w:val="1"/>
    <w:link w:val="1611"/>
    <w:qFormat/>
    <w:uiPriority w:val="0"/>
    <w:rPr>
      <w:rFonts w:ascii="仿宋_GB2312" w:eastAsia="仿宋_GB2312"/>
      <w:snapToGrid w:val="0"/>
      <w:kern w:val="0"/>
      <w:sz w:val="24"/>
      <w:szCs w:val="20"/>
    </w:rPr>
  </w:style>
  <w:style w:type="character" w:customStyle="1" w:styleId="697">
    <w:name w:val="节标题 Char Char"/>
    <w:qFormat/>
    <w:uiPriority w:val="0"/>
    <w:rPr>
      <w:rFonts w:eastAsia="宋体"/>
      <w:b/>
      <w:bCs/>
      <w:color w:val="000000"/>
      <w:kern w:val="2"/>
      <w:sz w:val="28"/>
      <w:szCs w:val="24"/>
      <w:lang w:val="en-US" w:eastAsia="zh-CN" w:bidi="ar-SA"/>
    </w:rPr>
  </w:style>
  <w:style w:type="paragraph" w:customStyle="1" w:styleId="698">
    <w:name w:val="xl56"/>
    <w:basedOn w:val="1"/>
    <w:qFormat/>
    <w:uiPriority w:val="0"/>
    <w:pPr>
      <w:widowControl/>
      <w:pBdr>
        <w:top w:val="single" w:color="auto" w:sz="4" w:space="0"/>
        <w:bottom w:val="single" w:color="auto" w:sz="4" w:space="0"/>
        <w:right w:val="single" w:color="auto" w:sz="4" w:space="0"/>
      </w:pBdr>
      <w:spacing w:before="100" w:beforeAutospacing="1" w:after="100" w:afterAutospacing="1"/>
    </w:pPr>
    <w:rPr>
      <w:rFonts w:ascii="Arial Unicode MS" w:hAnsi="Arial Unicode MS" w:eastAsia="Arial Unicode MS" w:cs="Arial Unicode MS"/>
      <w:b/>
      <w:bCs/>
      <w:kern w:val="0"/>
      <w:sz w:val="24"/>
    </w:rPr>
  </w:style>
  <w:style w:type="paragraph" w:customStyle="1" w:styleId="699">
    <w:name w:val="xl57"/>
    <w:basedOn w:val="1"/>
    <w:qFormat/>
    <w:uiPriority w:val="0"/>
    <w:pPr>
      <w:widowControl/>
      <w:pBdr>
        <w:top w:val="single" w:color="auto" w:sz="4" w:space="0"/>
        <w:left w:val="single" w:color="auto" w:sz="4" w:space="0"/>
        <w:bottom w:val="single" w:color="auto" w:sz="4" w:space="0"/>
      </w:pBdr>
      <w:spacing w:before="100" w:beforeAutospacing="1" w:after="100" w:afterAutospacing="1"/>
    </w:pPr>
    <w:rPr>
      <w:rFonts w:ascii="Arial Unicode MS" w:hAnsi="Arial Unicode MS" w:eastAsia="Arial Unicode MS" w:cs="Arial Unicode MS"/>
      <w:kern w:val="0"/>
      <w:sz w:val="24"/>
    </w:rPr>
  </w:style>
  <w:style w:type="paragraph" w:customStyle="1" w:styleId="700">
    <w:name w:val="流程图"/>
    <w:basedOn w:val="1"/>
    <w:qFormat/>
    <w:uiPriority w:val="0"/>
    <w:pPr>
      <w:tabs>
        <w:tab w:val="left" w:pos="0"/>
      </w:tabs>
      <w:autoSpaceDE w:val="0"/>
      <w:autoSpaceDN w:val="0"/>
      <w:adjustRightInd w:val="0"/>
      <w:spacing w:line="240" w:lineRule="atLeast"/>
      <w:jc w:val="center"/>
      <w:textAlignment w:val="bottom"/>
    </w:pPr>
    <w:rPr>
      <w:rFonts w:ascii="宋体"/>
      <w:szCs w:val="20"/>
    </w:rPr>
  </w:style>
  <w:style w:type="paragraph" w:customStyle="1" w:styleId="701">
    <w:name w:val="正文（首行缩进两字） Char Char Char Char Char Char Char Char Char Char Char Char Char Char Char Char Char Char Char Char Char Char Char Char Char Char Char Char Char Char Char Char Char Char Char Char Char Char Char Char Char Char Char Char Char"/>
    <w:basedOn w:val="1"/>
    <w:next w:val="22"/>
    <w:qFormat/>
    <w:uiPriority w:val="0"/>
    <w:pPr>
      <w:ind w:firstLine="420" w:firstLineChars="200"/>
    </w:pPr>
  </w:style>
  <w:style w:type="paragraph" w:customStyle="1" w:styleId="702">
    <w:name w:val="纯文本表内文字"/>
    <w:basedOn w:val="46"/>
    <w:qFormat/>
    <w:uiPriority w:val="0"/>
    <w:pPr>
      <w:snapToGrid w:val="0"/>
      <w:spacing w:line="320" w:lineRule="atLeast"/>
    </w:pPr>
    <w:rPr>
      <w:rFonts w:ascii="Arial" w:hAnsi="Arial" w:cs="Times New Roman"/>
      <w:snapToGrid w:val="0"/>
      <w:spacing w:val="10"/>
      <w:kern w:val="0"/>
      <w:szCs w:val="20"/>
    </w:rPr>
  </w:style>
  <w:style w:type="character" w:customStyle="1" w:styleId="703">
    <w:name w:val="表格文本 五号 居中 单倍行距 Char Char Char"/>
    <w:link w:val="704"/>
    <w:qFormat/>
    <w:uiPriority w:val="0"/>
    <w:rPr>
      <w:rFonts w:cs="宋体"/>
      <w:kern w:val="2"/>
      <w:sz w:val="21"/>
      <w:szCs w:val="21"/>
    </w:rPr>
  </w:style>
  <w:style w:type="paragraph" w:customStyle="1" w:styleId="704">
    <w:name w:val="表格文本 五号 居中 单倍行距 Char Char"/>
    <w:basedOn w:val="1"/>
    <w:link w:val="703"/>
    <w:qFormat/>
    <w:uiPriority w:val="0"/>
    <w:pPr>
      <w:keepNext/>
      <w:adjustRightInd w:val="0"/>
      <w:snapToGrid w:val="0"/>
      <w:jc w:val="center"/>
      <w:textAlignment w:val="baseline"/>
    </w:pPr>
    <w:rPr>
      <w:rFonts w:cs="宋体"/>
      <w:szCs w:val="21"/>
    </w:rPr>
  </w:style>
  <w:style w:type="paragraph" w:customStyle="1" w:styleId="705">
    <w:name w:val="样式 标准文本 首行缩进:2 字符 行距1.5倍 + 首行缩进:  2 字符1"/>
    <w:basedOn w:val="706"/>
    <w:link w:val="708"/>
    <w:qFormat/>
    <w:uiPriority w:val="0"/>
    <w:pPr>
      <w:spacing w:line="240" w:lineRule="auto"/>
    </w:pPr>
  </w:style>
  <w:style w:type="paragraph" w:customStyle="1" w:styleId="706">
    <w:name w:val="标准文本 首行缩进:2 字符 行距1.5倍"/>
    <w:basedOn w:val="1"/>
    <w:link w:val="707"/>
    <w:qFormat/>
    <w:uiPriority w:val="0"/>
    <w:pPr>
      <w:adjustRightInd w:val="0"/>
      <w:snapToGrid w:val="0"/>
      <w:spacing w:line="360" w:lineRule="auto"/>
      <w:ind w:firstLine="200" w:firstLineChars="200"/>
      <w:textAlignment w:val="center"/>
    </w:pPr>
    <w:rPr>
      <w:rFonts w:cs="宋体"/>
      <w:sz w:val="24"/>
    </w:rPr>
  </w:style>
  <w:style w:type="character" w:customStyle="1" w:styleId="707">
    <w:name w:val="标准文本 首行缩进:2 字符 行距1.5倍 Char"/>
    <w:link w:val="706"/>
    <w:qFormat/>
    <w:uiPriority w:val="0"/>
    <w:rPr>
      <w:rFonts w:cs="宋体"/>
      <w:kern w:val="2"/>
      <w:sz w:val="24"/>
      <w:szCs w:val="24"/>
    </w:rPr>
  </w:style>
  <w:style w:type="character" w:customStyle="1" w:styleId="708">
    <w:name w:val="样式 标准文本 首行缩进:2 字符 行距1.5倍 + 首行缩进:  2 字符1 Char"/>
    <w:link w:val="705"/>
    <w:qFormat/>
    <w:uiPriority w:val="0"/>
    <w:rPr>
      <w:rFonts w:cs="宋体"/>
      <w:kern w:val="2"/>
      <w:sz w:val="24"/>
      <w:szCs w:val="24"/>
    </w:rPr>
  </w:style>
  <w:style w:type="paragraph" w:customStyle="1" w:styleId="709">
    <w:name w:val="公式 首行缩进:  2 字符"/>
    <w:basedOn w:val="1"/>
    <w:link w:val="710"/>
    <w:qFormat/>
    <w:uiPriority w:val="0"/>
    <w:pPr>
      <w:ind w:firstLine="200" w:firstLineChars="200"/>
      <w:textAlignment w:val="center"/>
    </w:pPr>
    <w:rPr>
      <w:rFonts w:cs="宋体"/>
      <w:sz w:val="24"/>
    </w:rPr>
  </w:style>
  <w:style w:type="character" w:customStyle="1" w:styleId="710">
    <w:name w:val="公式 首行缩进:  2 字符 Char"/>
    <w:link w:val="709"/>
    <w:qFormat/>
    <w:uiPriority w:val="0"/>
    <w:rPr>
      <w:rFonts w:cs="宋体"/>
      <w:kern w:val="2"/>
      <w:sz w:val="24"/>
      <w:szCs w:val="24"/>
    </w:rPr>
  </w:style>
  <w:style w:type="character" w:customStyle="1" w:styleId="711">
    <w:name w:val="标准文本 居中 行距1.5倍 Char"/>
    <w:link w:val="712"/>
    <w:qFormat/>
    <w:uiPriority w:val="0"/>
    <w:rPr>
      <w:rFonts w:cs="宋体"/>
      <w:kern w:val="2"/>
      <w:sz w:val="24"/>
      <w:szCs w:val="24"/>
    </w:rPr>
  </w:style>
  <w:style w:type="paragraph" w:customStyle="1" w:styleId="712">
    <w:name w:val="标准文本 居中 行距1.5倍"/>
    <w:basedOn w:val="1"/>
    <w:link w:val="711"/>
    <w:qFormat/>
    <w:uiPriority w:val="0"/>
    <w:pPr>
      <w:spacing w:line="360" w:lineRule="auto"/>
      <w:jc w:val="center"/>
      <w:textAlignment w:val="center"/>
    </w:pPr>
    <w:rPr>
      <w:rFonts w:cs="宋体"/>
      <w:sz w:val="24"/>
    </w:rPr>
  </w:style>
  <w:style w:type="paragraph" w:customStyle="1" w:styleId="713">
    <w:name w:val="正文样式 Char Char Char Char Char"/>
    <w:basedOn w:val="1"/>
    <w:link w:val="714"/>
    <w:qFormat/>
    <w:uiPriority w:val="0"/>
    <w:pPr>
      <w:spacing w:line="360" w:lineRule="auto"/>
      <w:ind w:firstLine="480" w:firstLineChars="200"/>
    </w:pPr>
    <w:rPr>
      <w:rFonts w:ascii="宋体" w:hAnsi="宋体"/>
      <w:color w:val="000000"/>
      <w:sz w:val="24"/>
    </w:rPr>
  </w:style>
  <w:style w:type="character" w:customStyle="1" w:styleId="714">
    <w:name w:val="正文样式 Char Char Char Char Char Char"/>
    <w:link w:val="713"/>
    <w:qFormat/>
    <w:uiPriority w:val="0"/>
    <w:rPr>
      <w:rFonts w:ascii="宋体" w:hAnsi="宋体"/>
      <w:color w:val="000000"/>
      <w:kern w:val="2"/>
      <w:sz w:val="24"/>
      <w:szCs w:val="24"/>
    </w:rPr>
  </w:style>
  <w:style w:type="paragraph" w:customStyle="1" w:styleId="715">
    <w:name w:val="正文样式 Char Char Char"/>
    <w:basedOn w:val="1"/>
    <w:link w:val="716"/>
    <w:qFormat/>
    <w:uiPriority w:val="0"/>
    <w:pPr>
      <w:spacing w:line="360" w:lineRule="auto"/>
      <w:ind w:firstLine="480" w:firstLineChars="200"/>
    </w:pPr>
    <w:rPr>
      <w:rFonts w:ascii="宋体" w:hAnsi="宋体"/>
      <w:color w:val="000000"/>
      <w:sz w:val="24"/>
    </w:rPr>
  </w:style>
  <w:style w:type="character" w:customStyle="1" w:styleId="716">
    <w:name w:val="正文样式 Char Char Char Char"/>
    <w:link w:val="715"/>
    <w:qFormat/>
    <w:uiPriority w:val="0"/>
    <w:rPr>
      <w:rFonts w:ascii="宋体" w:hAnsi="宋体"/>
      <w:color w:val="000000"/>
      <w:kern w:val="2"/>
      <w:sz w:val="24"/>
      <w:szCs w:val="24"/>
    </w:rPr>
  </w:style>
  <w:style w:type="paragraph" w:customStyle="1" w:styleId="717">
    <w:name w:val="正文样式 Char"/>
    <w:basedOn w:val="1"/>
    <w:link w:val="718"/>
    <w:qFormat/>
    <w:uiPriority w:val="0"/>
    <w:pPr>
      <w:spacing w:line="360" w:lineRule="auto"/>
      <w:ind w:firstLine="480" w:firstLineChars="200"/>
    </w:pPr>
    <w:rPr>
      <w:rFonts w:ascii="宋体" w:hAnsi="宋体"/>
      <w:color w:val="000000"/>
      <w:sz w:val="24"/>
    </w:rPr>
  </w:style>
  <w:style w:type="character" w:customStyle="1" w:styleId="718">
    <w:name w:val="正文样式 Char Char"/>
    <w:link w:val="717"/>
    <w:qFormat/>
    <w:uiPriority w:val="0"/>
    <w:rPr>
      <w:rFonts w:ascii="宋体" w:hAnsi="宋体"/>
      <w:color w:val="000000"/>
      <w:kern w:val="2"/>
      <w:sz w:val="24"/>
      <w:szCs w:val="24"/>
    </w:rPr>
  </w:style>
  <w:style w:type="paragraph" w:customStyle="1" w:styleId="719">
    <w:name w:val="标题样式3"/>
    <w:basedOn w:val="5"/>
    <w:link w:val="720"/>
    <w:qFormat/>
    <w:uiPriority w:val="0"/>
    <w:pPr>
      <w:keepNext w:val="0"/>
      <w:numPr>
        <w:ilvl w:val="0"/>
        <w:numId w:val="0"/>
      </w:numPr>
      <w:jc w:val="both"/>
    </w:pPr>
    <w:rPr>
      <w:rFonts w:ascii="黑体" w:cs="黑体"/>
      <w:lang w:val="zh-CN"/>
    </w:rPr>
  </w:style>
  <w:style w:type="character" w:customStyle="1" w:styleId="720">
    <w:name w:val="标题样式3 Char"/>
    <w:link w:val="719"/>
    <w:qFormat/>
    <w:uiPriority w:val="0"/>
    <w:rPr>
      <w:rFonts w:ascii="黑体" w:eastAsia="黑体" w:cs="黑体"/>
      <w:bCs/>
      <w:color w:val="000000"/>
      <w:kern w:val="2"/>
      <w:sz w:val="24"/>
      <w:szCs w:val="24"/>
      <w:lang w:val="zh-CN"/>
    </w:rPr>
  </w:style>
  <w:style w:type="paragraph" w:customStyle="1" w:styleId="721">
    <w:name w:val="标题样式2"/>
    <w:basedOn w:val="4"/>
    <w:link w:val="722"/>
    <w:qFormat/>
    <w:uiPriority w:val="0"/>
    <w:pPr>
      <w:numPr>
        <w:ilvl w:val="0"/>
        <w:numId w:val="0"/>
      </w:numPr>
      <w:tabs>
        <w:tab w:val="left" w:pos="1160"/>
      </w:tabs>
      <w:adjustRightInd/>
      <w:snapToGrid/>
      <w:ind w:left="1160" w:hanging="420"/>
    </w:pPr>
    <w:rPr>
      <w:rFonts w:ascii="黑体" w:hAnsi="Arial"/>
      <w:b/>
    </w:rPr>
  </w:style>
  <w:style w:type="character" w:customStyle="1" w:styleId="722">
    <w:name w:val="标题样式2 Char"/>
    <w:link w:val="721"/>
    <w:qFormat/>
    <w:uiPriority w:val="0"/>
    <w:rPr>
      <w:rFonts w:ascii="黑体" w:hAnsi="Arial" w:eastAsia="黑体"/>
      <w:b/>
      <w:bCs/>
      <w:kern w:val="2"/>
      <w:sz w:val="28"/>
      <w:szCs w:val="28"/>
    </w:rPr>
  </w:style>
  <w:style w:type="paragraph" w:customStyle="1" w:styleId="723">
    <w:name w:val="标题样式1"/>
    <w:basedOn w:val="3"/>
    <w:link w:val="724"/>
    <w:qFormat/>
    <w:uiPriority w:val="0"/>
    <w:pPr>
      <w:numPr>
        <w:numId w:val="0"/>
      </w:numPr>
      <w:tabs>
        <w:tab w:val="left" w:pos="1750"/>
      </w:tabs>
      <w:ind w:left="627" w:firstLine="403"/>
      <w:jc w:val="both"/>
    </w:pPr>
    <w:rPr>
      <w:rFonts w:ascii="黑体"/>
      <w:b/>
      <w:sz w:val="28"/>
      <w:szCs w:val="28"/>
    </w:rPr>
  </w:style>
  <w:style w:type="character" w:customStyle="1" w:styleId="724">
    <w:name w:val="标题样式1 Char"/>
    <w:link w:val="723"/>
    <w:qFormat/>
    <w:uiPriority w:val="0"/>
    <w:rPr>
      <w:rFonts w:ascii="黑体" w:eastAsia="黑体"/>
      <w:b/>
      <w:bCs/>
      <w:kern w:val="44"/>
      <w:sz w:val="28"/>
      <w:szCs w:val="28"/>
    </w:rPr>
  </w:style>
  <w:style w:type="paragraph" w:customStyle="1" w:styleId="725">
    <w:name w:val="标准文本 首行缩进:2 字符 行距1倍 Char"/>
    <w:basedOn w:val="1"/>
    <w:qFormat/>
    <w:uiPriority w:val="0"/>
    <w:pPr>
      <w:adjustRightInd w:val="0"/>
      <w:snapToGrid w:val="0"/>
      <w:spacing w:line="360" w:lineRule="auto"/>
      <w:ind w:firstLine="420" w:firstLineChars="200"/>
      <w:jc w:val="center"/>
      <w:textAlignment w:val="center"/>
    </w:pPr>
    <w:rPr>
      <w:rFonts w:ascii="宋体" w:hAnsi="宋体"/>
      <w:b/>
      <w:szCs w:val="21"/>
    </w:rPr>
  </w:style>
  <w:style w:type="paragraph" w:customStyle="1" w:styleId="726">
    <w:name w:val="WPS Plain"/>
    <w:qFormat/>
    <w:uiPriority w:val="0"/>
    <w:rPr>
      <w:rFonts w:ascii="Times New Roman" w:hAnsi="Times New Roman" w:eastAsia="宋体" w:cs="Times New Roman"/>
      <w:lang w:val="en-US" w:eastAsia="zh-CN" w:bidi="ar-SA"/>
    </w:rPr>
  </w:style>
  <w:style w:type="paragraph" w:customStyle="1" w:styleId="727">
    <w:name w:val="正文文字 2"/>
    <w:basedOn w:val="1"/>
    <w:qFormat/>
    <w:uiPriority w:val="0"/>
    <w:rPr>
      <w:sz w:val="28"/>
      <w:szCs w:val="28"/>
    </w:rPr>
  </w:style>
  <w:style w:type="paragraph" w:customStyle="1" w:styleId="728">
    <w:name w:val="表头（铸造）3"/>
    <w:basedOn w:val="1"/>
    <w:link w:val="729"/>
    <w:qFormat/>
    <w:uiPriority w:val="0"/>
    <w:pPr>
      <w:spacing w:line="360" w:lineRule="auto"/>
      <w:jc w:val="center"/>
    </w:pPr>
    <w:rPr>
      <w:rFonts w:eastAsia="方正宋黑简体"/>
      <w:b/>
      <w:sz w:val="24"/>
    </w:rPr>
  </w:style>
  <w:style w:type="character" w:customStyle="1" w:styleId="729">
    <w:name w:val="表头（铸造）3 Char"/>
    <w:link w:val="728"/>
    <w:qFormat/>
    <w:uiPriority w:val="0"/>
    <w:rPr>
      <w:rFonts w:eastAsia="方正宋黑简体"/>
      <w:b/>
      <w:kern w:val="2"/>
      <w:sz w:val="24"/>
      <w:szCs w:val="24"/>
    </w:rPr>
  </w:style>
  <w:style w:type="paragraph" w:customStyle="1" w:styleId="730">
    <w:name w:val="环正文"/>
    <w:basedOn w:val="1"/>
    <w:qFormat/>
    <w:uiPriority w:val="0"/>
    <w:pPr>
      <w:widowControl/>
      <w:tabs>
        <w:tab w:val="left" w:pos="960"/>
      </w:tabs>
      <w:suppressAutoHyphens/>
      <w:adjustRightInd w:val="0"/>
      <w:snapToGrid w:val="0"/>
      <w:spacing w:line="360" w:lineRule="auto"/>
      <w:ind w:firstLine="480" w:firstLineChars="200"/>
      <w:textAlignment w:val="baseline"/>
    </w:pPr>
    <w:rPr>
      <w:rFonts w:ascii="宋体" w:hAnsi="宋体"/>
      <w:bCs/>
      <w:kern w:val="0"/>
      <w:sz w:val="24"/>
    </w:rPr>
  </w:style>
  <w:style w:type="paragraph" w:customStyle="1" w:styleId="731">
    <w:name w:val="样式 标题 3条标题1.1.1H3BOD 0Heading 3 - oldLevel 3 Headh33rd le..."/>
    <w:basedOn w:val="5"/>
    <w:qFormat/>
    <w:uiPriority w:val="0"/>
    <w:pPr>
      <w:numPr>
        <w:ilvl w:val="0"/>
        <w:numId w:val="0"/>
      </w:numPr>
      <w:tabs>
        <w:tab w:val="left" w:pos="0"/>
        <w:tab w:val="left" w:pos="420"/>
        <w:tab w:val="left" w:pos="1215"/>
      </w:tabs>
      <w:spacing w:line="500" w:lineRule="exact"/>
    </w:pPr>
    <w:rPr>
      <w:rFonts w:ascii="宋体" w:hAnsi="宋体" w:eastAsia="宋体" w:cs="宋体"/>
      <w:bCs/>
      <w:snapToGrid w:val="0"/>
      <w:color w:val="FF0000"/>
    </w:rPr>
  </w:style>
  <w:style w:type="paragraph" w:customStyle="1" w:styleId="732">
    <w:name w:val="Plain Text1"/>
    <w:basedOn w:val="1"/>
    <w:qFormat/>
    <w:uiPriority w:val="99"/>
    <w:pPr>
      <w:autoSpaceDE w:val="0"/>
      <w:autoSpaceDN w:val="0"/>
      <w:adjustRightInd w:val="0"/>
      <w:textAlignment w:val="baseline"/>
    </w:pPr>
    <w:rPr>
      <w:rFonts w:ascii="宋体" w:hAnsi="Courier New"/>
      <w:szCs w:val="20"/>
    </w:rPr>
  </w:style>
  <w:style w:type="paragraph" w:customStyle="1" w:styleId="733">
    <w:name w:val="p17"/>
    <w:basedOn w:val="1"/>
    <w:qFormat/>
    <w:uiPriority w:val="0"/>
    <w:pPr>
      <w:widowControl/>
      <w:snapToGrid w:val="0"/>
      <w:spacing w:line="500" w:lineRule="atLeast"/>
      <w:jc w:val="left"/>
    </w:pPr>
    <w:rPr>
      <w:rFonts w:ascii="宋体" w:hAnsi="宋体" w:cs="宋体"/>
      <w:color w:val="FF0000"/>
      <w:kern w:val="0"/>
      <w:sz w:val="28"/>
      <w:szCs w:val="28"/>
    </w:rPr>
  </w:style>
  <w:style w:type="paragraph" w:customStyle="1" w:styleId="734">
    <w:name w:val="图表文字"/>
    <w:basedOn w:val="1"/>
    <w:qFormat/>
    <w:uiPriority w:val="0"/>
    <w:pPr>
      <w:spacing w:line="300" w:lineRule="exact"/>
      <w:jc w:val="center"/>
    </w:pPr>
    <w:rPr>
      <w:rFonts w:ascii="仿宋_GB2312" w:eastAsia="仿宋_GB2312"/>
      <w:szCs w:val="20"/>
    </w:rPr>
  </w:style>
  <w:style w:type="paragraph" w:customStyle="1" w:styleId="735">
    <w:name w:val="p0"/>
    <w:basedOn w:val="1"/>
    <w:qFormat/>
    <w:uiPriority w:val="0"/>
    <w:pPr>
      <w:widowControl/>
    </w:pPr>
    <w:rPr>
      <w:kern w:val="0"/>
      <w:szCs w:val="21"/>
    </w:rPr>
  </w:style>
  <w:style w:type="paragraph" w:customStyle="1" w:styleId="736">
    <w:name w:val="p16"/>
    <w:basedOn w:val="1"/>
    <w:qFormat/>
    <w:uiPriority w:val="0"/>
    <w:pPr>
      <w:widowControl/>
      <w:snapToGrid w:val="0"/>
      <w:spacing w:line="500" w:lineRule="atLeast"/>
    </w:pPr>
    <w:rPr>
      <w:rFonts w:ascii="宋体" w:hAnsi="宋体" w:cs="宋体"/>
      <w:kern w:val="0"/>
      <w:szCs w:val="21"/>
    </w:rPr>
  </w:style>
  <w:style w:type="paragraph" w:customStyle="1" w:styleId="737">
    <w:name w:val="p18"/>
    <w:basedOn w:val="1"/>
    <w:qFormat/>
    <w:uiPriority w:val="0"/>
    <w:pPr>
      <w:widowControl/>
      <w:snapToGrid w:val="0"/>
      <w:spacing w:line="500" w:lineRule="atLeast"/>
      <w:jc w:val="left"/>
    </w:pPr>
    <w:rPr>
      <w:rFonts w:ascii="宋体" w:hAnsi="宋体" w:cs="宋体"/>
      <w:color w:val="FF0000"/>
      <w:kern w:val="0"/>
      <w:sz w:val="28"/>
      <w:szCs w:val="28"/>
    </w:rPr>
  </w:style>
  <w:style w:type="paragraph" w:customStyle="1" w:styleId="738">
    <w:name w:val="p22"/>
    <w:basedOn w:val="1"/>
    <w:qFormat/>
    <w:uiPriority w:val="0"/>
    <w:pPr>
      <w:widowControl/>
      <w:spacing w:line="360" w:lineRule="atLeast"/>
      <w:jc w:val="center"/>
    </w:pPr>
    <w:rPr>
      <w:rFonts w:ascii="仿宋_GB2312" w:hAnsi="宋体" w:eastAsia="仿宋_GB2312" w:cs="宋体"/>
      <w:kern w:val="0"/>
      <w:sz w:val="24"/>
    </w:rPr>
  </w:style>
  <w:style w:type="paragraph" w:customStyle="1" w:styleId="739">
    <w:name w:val="p23"/>
    <w:basedOn w:val="1"/>
    <w:qFormat/>
    <w:uiPriority w:val="0"/>
    <w:pPr>
      <w:widowControl/>
      <w:snapToGrid w:val="0"/>
      <w:spacing w:line="500" w:lineRule="atLeast"/>
    </w:pPr>
    <w:rPr>
      <w:rFonts w:ascii="仿宋_GB2312" w:hAnsi="宋体" w:eastAsia="仿宋_GB2312" w:cs="宋体"/>
      <w:kern w:val="0"/>
      <w:sz w:val="28"/>
      <w:szCs w:val="28"/>
    </w:rPr>
  </w:style>
  <w:style w:type="paragraph" w:customStyle="1" w:styleId="740">
    <w:name w:val="小四宋居中1.0"/>
    <w:basedOn w:val="1"/>
    <w:next w:val="1"/>
    <w:qFormat/>
    <w:uiPriority w:val="0"/>
    <w:pPr>
      <w:numPr>
        <w:ilvl w:val="0"/>
        <w:numId w:val="5"/>
      </w:numPr>
      <w:ind w:left="0" w:firstLine="0" w:firstLineChars="0"/>
      <w:jc w:val="center"/>
    </w:pPr>
    <w:rPr>
      <w:rFonts w:ascii="仿宋_GB2312" w:eastAsia="仿宋_GB2312"/>
      <w:kern w:val="0"/>
      <w:sz w:val="24"/>
    </w:rPr>
  </w:style>
  <w:style w:type="paragraph" w:customStyle="1" w:styleId="741">
    <w:name w:val="表题格式"/>
    <w:basedOn w:val="1"/>
    <w:qFormat/>
    <w:uiPriority w:val="0"/>
    <w:pPr>
      <w:spacing w:line="400" w:lineRule="exact"/>
    </w:pPr>
    <w:rPr>
      <w:rFonts w:eastAsia="仿宋_GB2312"/>
      <w:kern w:val="0"/>
      <w:sz w:val="24"/>
      <w:szCs w:val="20"/>
    </w:rPr>
  </w:style>
  <w:style w:type="paragraph" w:customStyle="1" w:styleId="742">
    <w:name w:val="新表"/>
    <w:basedOn w:val="1"/>
    <w:qFormat/>
    <w:uiPriority w:val="0"/>
    <w:pPr>
      <w:spacing w:line="360" w:lineRule="exact"/>
    </w:pPr>
    <w:rPr>
      <w:rFonts w:eastAsia="仿宋_GB2312"/>
      <w:bCs/>
      <w:kern w:val="0"/>
      <w:sz w:val="24"/>
      <w:szCs w:val="20"/>
    </w:rPr>
  </w:style>
  <w:style w:type="paragraph" w:customStyle="1" w:styleId="743">
    <w:name w:val="题4"/>
    <w:basedOn w:val="84"/>
    <w:qFormat/>
    <w:uiPriority w:val="0"/>
    <w:pPr>
      <w:adjustRightInd w:val="0"/>
      <w:snapToGrid w:val="0"/>
      <w:spacing w:before="120" w:after="120" w:line="360" w:lineRule="auto"/>
      <w:jc w:val="left"/>
      <w:outlineLvl w:val="3"/>
    </w:pPr>
    <w:rPr>
      <w:rFonts w:ascii="Times New Roman" w:hAnsi="Times New Roman"/>
      <w:sz w:val="24"/>
      <w:szCs w:val="24"/>
    </w:rPr>
  </w:style>
  <w:style w:type="character" w:customStyle="1" w:styleId="744">
    <w:name w:val="样式 正文 +"/>
    <w:qFormat/>
    <w:uiPriority w:val="0"/>
    <w:rPr>
      <w:rFonts w:ascii="Times New Roman" w:hAnsi="Times New Roman" w:eastAsia="宋体"/>
      <w:kern w:val="0"/>
      <w:sz w:val="28"/>
      <w:szCs w:val="28"/>
    </w:rPr>
  </w:style>
  <w:style w:type="paragraph" w:customStyle="1" w:styleId="745">
    <w:name w:val="排污口"/>
    <w:basedOn w:val="1"/>
    <w:link w:val="746"/>
    <w:qFormat/>
    <w:uiPriority w:val="0"/>
    <w:pPr>
      <w:widowControl/>
      <w:spacing w:before="240" w:beforeLines="100" w:after="240" w:afterLines="100" w:line="360" w:lineRule="auto"/>
      <w:ind w:firstLine="591" w:firstLineChars="211"/>
    </w:pPr>
    <w:rPr>
      <w:rFonts w:ascii="宋体" w:hAnsi="宋体" w:cs="宋体"/>
      <w:kern w:val="0"/>
      <w:sz w:val="28"/>
      <w:szCs w:val="28"/>
    </w:rPr>
  </w:style>
  <w:style w:type="character" w:customStyle="1" w:styleId="746">
    <w:name w:val="排污口 Char"/>
    <w:link w:val="745"/>
    <w:qFormat/>
    <w:uiPriority w:val="0"/>
    <w:rPr>
      <w:rFonts w:ascii="宋体" w:hAnsi="宋体" w:cs="宋体"/>
      <w:sz w:val="28"/>
      <w:szCs w:val="28"/>
    </w:rPr>
  </w:style>
  <w:style w:type="paragraph" w:customStyle="1" w:styleId="747">
    <w:name w:val="环评正文"/>
    <w:basedOn w:val="3"/>
    <w:link w:val="1008"/>
    <w:qFormat/>
    <w:uiPriority w:val="0"/>
    <w:pPr>
      <w:keepNext w:val="0"/>
      <w:keepLines w:val="0"/>
      <w:numPr>
        <w:numId w:val="0"/>
      </w:numPr>
      <w:tabs>
        <w:tab w:val="left" w:pos="1750"/>
      </w:tabs>
      <w:spacing w:before="60" w:after="60" w:line="400" w:lineRule="exact"/>
      <w:ind w:left="627" w:firstLine="480" w:firstLineChars="200"/>
      <w:jc w:val="both"/>
      <w:outlineLvl w:val="9"/>
    </w:pPr>
    <w:rPr>
      <w:rFonts w:eastAsia="宋体"/>
      <w:sz w:val="24"/>
      <w:szCs w:val="24"/>
    </w:rPr>
  </w:style>
  <w:style w:type="paragraph" w:customStyle="1" w:styleId="748">
    <w:name w:val="样式 样式 样式 －正文 + 首行缩进:  2 字符1 + 首行缩进:  2 字符 + 首行缩进:  2 字符"/>
    <w:basedOn w:val="1"/>
    <w:qFormat/>
    <w:uiPriority w:val="0"/>
    <w:pPr>
      <w:widowControl/>
      <w:overflowPunct w:val="0"/>
      <w:autoSpaceDE w:val="0"/>
      <w:autoSpaceDN w:val="0"/>
      <w:adjustRightInd w:val="0"/>
      <w:spacing w:line="360" w:lineRule="auto"/>
      <w:ind w:firstLine="200" w:firstLineChars="200"/>
      <w:textAlignment w:val="baseline"/>
    </w:pPr>
    <w:rPr>
      <w:rFonts w:cs="宋体"/>
      <w:spacing w:val="8"/>
      <w:kern w:val="0"/>
      <w:sz w:val="28"/>
      <w:szCs w:val="20"/>
    </w:rPr>
  </w:style>
  <w:style w:type="paragraph" w:customStyle="1" w:styleId="749">
    <w:name w:val="－正文"/>
    <w:basedOn w:val="1"/>
    <w:semiHidden/>
    <w:qFormat/>
    <w:uiPriority w:val="0"/>
    <w:pPr>
      <w:widowControl/>
      <w:overflowPunct w:val="0"/>
      <w:autoSpaceDE w:val="0"/>
      <w:autoSpaceDN w:val="0"/>
      <w:adjustRightInd w:val="0"/>
      <w:spacing w:line="540" w:lineRule="atLeast"/>
      <w:ind w:firstLine="200" w:firstLineChars="200"/>
      <w:jc w:val="left"/>
      <w:textAlignment w:val="baseline"/>
    </w:pPr>
    <w:rPr>
      <w:spacing w:val="8"/>
      <w:kern w:val="0"/>
      <w:sz w:val="28"/>
      <w:szCs w:val="28"/>
    </w:rPr>
  </w:style>
  <w:style w:type="paragraph" w:customStyle="1" w:styleId="750">
    <w:name w:val="样式 －正文 + 首行缩进:  2 字符2"/>
    <w:basedOn w:val="749"/>
    <w:qFormat/>
    <w:uiPriority w:val="0"/>
    <w:pPr>
      <w:spacing w:line="360" w:lineRule="auto"/>
    </w:pPr>
    <w:rPr>
      <w:rFonts w:cs="宋体"/>
      <w:szCs w:val="20"/>
    </w:rPr>
  </w:style>
  <w:style w:type="paragraph" w:customStyle="1" w:styleId="751">
    <w:name w:val="新正文"/>
    <w:basedOn w:val="1"/>
    <w:link w:val="1276"/>
    <w:qFormat/>
    <w:uiPriority w:val="0"/>
    <w:pPr>
      <w:spacing w:line="480" w:lineRule="exact"/>
      <w:ind w:firstLine="567"/>
    </w:pPr>
    <w:rPr>
      <w:rFonts w:ascii="仿宋_GB2312" w:eastAsia="仿宋_GB2312"/>
      <w:bCs/>
      <w:kern w:val="0"/>
      <w:sz w:val="28"/>
      <w:szCs w:val="20"/>
    </w:rPr>
  </w:style>
  <w:style w:type="paragraph" w:customStyle="1" w:styleId="752">
    <w:name w:val="xl67"/>
    <w:basedOn w:val="1"/>
    <w:qFormat/>
    <w:uiPriority w:val="0"/>
    <w:pPr>
      <w:widowControl/>
      <w:pBdr>
        <w:left w:val="single" w:color="auto" w:sz="4" w:space="0"/>
      </w:pBdr>
      <w:spacing w:before="100" w:beforeAutospacing="1" w:after="100" w:afterAutospacing="1"/>
      <w:jc w:val="center"/>
    </w:pPr>
    <w:rPr>
      <w:rFonts w:hint="eastAsia" w:ascii="仿宋_GB2312" w:hAnsi="宋体" w:eastAsia="仿宋_GB2312"/>
      <w:kern w:val="0"/>
      <w:sz w:val="24"/>
    </w:rPr>
  </w:style>
  <w:style w:type="paragraph" w:customStyle="1" w:styleId="753">
    <w:name w:val="样式a"/>
    <w:basedOn w:val="1"/>
    <w:qFormat/>
    <w:uiPriority w:val="0"/>
    <w:pPr>
      <w:adjustRightInd w:val="0"/>
      <w:snapToGrid w:val="0"/>
      <w:spacing w:line="480" w:lineRule="exact"/>
      <w:ind w:firstLine="200" w:firstLineChars="200"/>
      <w:textAlignment w:val="baseline"/>
    </w:pPr>
    <w:rPr>
      <w:rFonts w:eastAsia="仿宋_GB2312"/>
      <w:kern w:val="0"/>
      <w:sz w:val="28"/>
      <w:szCs w:val="20"/>
    </w:rPr>
  </w:style>
  <w:style w:type="paragraph" w:customStyle="1" w:styleId="754">
    <w:name w:val="样式 标题 1 + (中文) 宋体 小三 行距: 多倍行距 1.35 字行"/>
    <w:basedOn w:val="3"/>
    <w:qFormat/>
    <w:uiPriority w:val="0"/>
    <w:pPr>
      <w:numPr>
        <w:numId w:val="0"/>
      </w:numPr>
      <w:tabs>
        <w:tab w:val="left" w:pos="432"/>
      </w:tabs>
      <w:snapToGrid w:val="0"/>
      <w:spacing w:before="468" w:beforeLines="150" w:after="468" w:afterLines="150" w:line="300" w:lineRule="auto"/>
      <w:ind w:left="432" w:hanging="432"/>
      <w:jc w:val="both"/>
    </w:pPr>
    <w:rPr>
      <w:rFonts w:ascii="幼圆" w:eastAsia="幼圆"/>
      <w:b/>
      <w:color w:val="0000FF"/>
      <w:szCs w:val="32"/>
    </w:rPr>
  </w:style>
  <w:style w:type="paragraph" w:customStyle="1" w:styleId="755">
    <w:name w:val="样式 样式 标题 2节 + (西文) Times New Roman (中文) 宋体 四号 段前: 0.5 行 段后: 0......"/>
    <w:basedOn w:val="1"/>
    <w:qFormat/>
    <w:uiPriority w:val="0"/>
    <w:pPr>
      <w:keepNext/>
      <w:keepLines/>
      <w:tabs>
        <w:tab w:val="left" w:pos="720"/>
      </w:tabs>
      <w:adjustRightInd w:val="0"/>
      <w:snapToGrid w:val="0"/>
      <w:spacing w:before="280" w:beforeLines="90" w:after="280" w:afterLines="90" w:line="300" w:lineRule="auto"/>
      <w:ind w:left="397" w:hanging="397"/>
      <w:outlineLvl w:val="1"/>
    </w:pPr>
    <w:rPr>
      <w:rFonts w:ascii="幼圆" w:eastAsia="幼圆"/>
      <w:b/>
      <w:bCs/>
      <w:color w:val="0000FF"/>
      <w:sz w:val="28"/>
      <w:szCs w:val="28"/>
    </w:rPr>
  </w:style>
  <w:style w:type="paragraph" w:customStyle="1" w:styleId="756">
    <w:name w:val="样式 标题 3 + (西文) Times New Roman (中文) 宋体 小四 加粗"/>
    <w:basedOn w:val="5"/>
    <w:qFormat/>
    <w:uiPriority w:val="0"/>
    <w:pPr>
      <w:numPr>
        <w:ilvl w:val="0"/>
        <w:numId w:val="0"/>
      </w:numPr>
      <w:tabs>
        <w:tab w:val="left" w:pos="1021"/>
      </w:tabs>
      <w:snapToGrid w:val="0"/>
      <w:spacing w:before="156" w:beforeLines="50" w:after="156" w:afterLines="50"/>
      <w:ind w:left="1021" w:hanging="1021"/>
    </w:pPr>
    <w:rPr>
      <w:rFonts w:ascii="幼圆" w:eastAsia="幼圆"/>
      <w:b/>
      <w:snapToGrid w:val="0"/>
      <w:color w:val="0000FF"/>
    </w:rPr>
  </w:style>
  <w:style w:type="paragraph" w:customStyle="1" w:styleId="757">
    <w:name w:val="样式 标题 4 + (西文) Times New Roman (中文) 宋体 小四"/>
    <w:basedOn w:val="7"/>
    <w:qFormat/>
    <w:uiPriority w:val="0"/>
    <w:pPr>
      <w:numPr>
        <w:ilvl w:val="0"/>
        <w:numId w:val="0"/>
      </w:numPr>
      <w:tabs>
        <w:tab w:val="left" w:pos="1247"/>
      </w:tabs>
      <w:snapToGrid w:val="0"/>
      <w:spacing w:before="78" w:beforeLines="25" w:after="78" w:afterLines="25"/>
      <w:ind w:left="964" w:hanging="964"/>
    </w:pPr>
    <w:rPr>
      <w:rFonts w:ascii="幼圆" w:eastAsia="幼圆"/>
      <w:bCs w:val="0"/>
      <w:color w:val="0000FF"/>
      <w:szCs w:val="24"/>
    </w:rPr>
  </w:style>
  <w:style w:type="paragraph" w:customStyle="1" w:styleId="758">
    <w:name w:val="－列表2"/>
    <w:basedOn w:val="1"/>
    <w:semiHidden/>
    <w:qFormat/>
    <w:uiPriority w:val="0"/>
    <w:pPr>
      <w:jc w:val="center"/>
    </w:pPr>
    <w:rPr>
      <w:szCs w:val="21"/>
    </w:rPr>
  </w:style>
  <w:style w:type="paragraph" w:customStyle="1" w:styleId="759">
    <w:name w:val="样式 标题 3小标题小节标题条标题1.1.1H3BOD 0Heading 3 - oldLevel 3 Head..."/>
    <w:basedOn w:val="5"/>
    <w:qFormat/>
    <w:uiPriority w:val="0"/>
    <w:pPr>
      <w:numPr>
        <w:numId w:val="0"/>
      </w:numPr>
      <w:tabs>
        <w:tab w:val="left" w:pos="1080"/>
      </w:tabs>
      <w:snapToGrid w:val="0"/>
      <w:spacing w:before="156" w:beforeLines="50" w:after="156" w:afterLines="50" w:line="300" w:lineRule="auto"/>
      <w:jc w:val="both"/>
    </w:pPr>
    <w:rPr>
      <w:rFonts w:ascii="仿宋_GB2312" w:eastAsia="宋体"/>
      <w:bCs/>
    </w:rPr>
  </w:style>
  <w:style w:type="paragraph" w:customStyle="1" w:styleId="760">
    <w:name w:val="默认段落字体 Para Char Char Char Char Char Char Char Char Char Char Char Char Char"/>
    <w:basedOn w:val="1"/>
    <w:qFormat/>
    <w:uiPriority w:val="0"/>
    <w:rPr>
      <w:sz w:val="24"/>
    </w:rPr>
  </w:style>
  <w:style w:type="character" w:customStyle="1" w:styleId="761">
    <w:name w:val="正文缩进2"/>
    <w:qFormat/>
    <w:uiPriority w:val="0"/>
    <w:rPr>
      <w:rFonts w:ascii="仿宋_GB2312" w:eastAsia="仿宋_GB2312"/>
      <w:kern w:val="2"/>
      <w:sz w:val="28"/>
      <w:szCs w:val="24"/>
      <w:lang w:val="en-US" w:eastAsia="zh-CN" w:bidi="ar-SA"/>
    </w:rPr>
  </w:style>
  <w:style w:type="paragraph" w:customStyle="1" w:styleId="762">
    <w:name w:val="正文应首缩0.98"/>
    <w:basedOn w:val="1"/>
    <w:qFormat/>
    <w:uiPriority w:val="0"/>
    <w:pPr>
      <w:adjustRightInd w:val="0"/>
      <w:snapToGrid w:val="0"/>
      <w:spacing w:line="300" w:lineRule="auto"/>
      <w:ind w:firstLine="556"/>
      <w:textAlignment w:val="baseline"/>
    </w:pPr>
    <w:rPr>
      <w:kern w:val="0"/>
      <w:sz w:val="28"/>
      <w:szCs w:val="20"/>
    </w:rPr>
  </w:style>
  <w:style w:type="paragraph" w:customStyle="1" w:styleId="763">
    <w:name w:val="样式0表换行"/>
    <w:basedOn w:val="1"/>
    <w:qFormat/>
    <w:uiPriority w:val="0"/>
    <w:pPr>
      <w:spacing w:line="300" w:lineRule="auto"/>
      <w:jc w:val="center"/>
    </w:pPr>
    <w:rPr>
      <w:szCs w:val="20"/>
    </w:rPr>
  </w:style>
  <w:style w:type="paragraph" w:customStyle="1" w:styleId="764">
    <w:name w:val="样式 样式 标题 3 + 加粗 首行缩进:  2 字符 + 加粗"/>
    <w:basedOn w:val="1"/>
    <w:qFormat/>
    <w:uiPriority w:val="0"/>
    <w:pPr>
      <w:keepNext/>
      <w:keepLines/>
      <w:spacing w:line="360" w:lineRule="auto"/>
      <w:outlineLvl w:val="2"/>
    </w:pPr>
    <w:rPr>
      <w:bCs/>
      <w:kern w:val="0"/>
      <w:sz w:val="28"/>
      <w:szCs w:val="28"/>
    </w:rPr>
  </w:style>
  <w:style w:type="paragraph" w:customStyle="1" w:styleId="765">
    <w:name w:val="xl80"/>
    <w:basedOn w:val="1"/>
    <w:qFormat/>
    <w:uiPriority w:val="0"/>
    <w:pPr>
      <w:widowControl/>
      <w:pBdr>
        <w:left w:val="single" w:color="auto" w:sz="4" w:space="0"/>
        <w:right w:val="single" w:color="auto" w:sz="4" w:space="0"/>
      </w:pBdr>
      <w:spacing w:before="100" w:after="100"/>
      <w:jc w:val="center"/>
      <w:textAlignment w:val="center"/>
    </w:pPr>
    <w:rPr>
      <w:rFonts w:ascii="宋体" w:hAnsi="宋体"/>
      <w:kern w:val="0"/>
      <w:sz w:val="24"/>
      <w:szCs w:val="20"/>
    </w:rPr>
  </w:style>
  <w:style w:type="paragraph" w:customStyle="1" w:styleId="766">
    <w:name w:val="文1"/>
    <w:basedOn w:val="1"/>
    <w:qFormat/>
    <w:uiPriority w:val="0"/>
    <w:pPr>
      <w:snapToGrid w:val="0"/>
      <w:spacing w:line="360" w:lineRule="auto"/>
      <w:ind w:firstLine="567"/>
    </w:pPr>
    <w:rPr>
      <w:rFonts w:ascii="Arial" w:hAnsi="Arial" w:eastAsia="幼圆"/>
      <w:sz w:val="24"/>
      <w:szCs w:val="20"/>
    </w:rPr>
  </w:style>
  <w:style w:type="paragraph" w:customStyle="1" w:styleId="767">
    <w:name w:val="z-窗体底端1"/>
    <w:basedOn w:val="1"/>
    <w:next w:val="1"/>
    <w:link w:val="768"/>
    <w:qFormat/>
    <w:uiPriority w:val="0"/>
    <w:pPr>
      <w:pBdr>
        <w:top w:val="single" w:color="auto" w:sz="6" w:space="1"/>
      </w:pBdr>
      <w:adjustRightInd w:val="0"/>
      <w:snapToGrid w:val="0"/>
      <w:spacing w:line="300" w:lineRule="auto"/>
      <w:jc w:val="center"/>
    </w:pPr>
    <w:rPr>
      <w:rFonts w:ascii="Arial" w:hAnsi="Arial" w:eastAsia="仿宋_GB2312" w:cs="Arial"/>
      <w:vanish/>
      <w:sz w:val="16"/>
      <w:szCs w:val="16"/>
    </w:rPr>
  </w:style>
  <w:style w:type="character" w:customStyle="1" w:styleId="768">
    <w:name w:val="z-窗体底端 字符"/>
    <w:link w:val="767"/>
    <w:qFormat/>
    <w:uiPriority w:val="0"/>
    <w:rPr>
      <w:rFonts w:ascii="Arial" w:hAnsi="Arial" w:eastAsia="仿宋_GB2312" w:cs="Arial"/>
      <w:vanish/>
      <w:kern w:val="2"/>
      <w:sz w:val="16"/>
      <w:szCs w:val="16"/>
    </w:rPr>
  </w:style>
  <w:style w:type="paragraph" w:customStyle="1" w:styleId="769">
    <w:name w:val="z-窗体顶端1"/>
    <w:basedOn w:val="1"/>
    <w:next w:val="1"/>
    <w:link w:val="770"/>
    <w:qFormat/>
    <w:uiPriority w:val="0"/>
    <w:pPr>
      <w:pBdr>
        <w:bottom w:val="single" w:color="auto" w:sz="6" w:space="1"/>
      </w:pBdr>
      <w:adjustRightInd w:val="0"/>
      <w:snapToGrid w:val="0"/>
      <w:spacing w:line="300" w:lineRule="auto"/>
      <w:jc w:val="center"/>
    </w:pPr>
    <w:rPr>
      <w:rFonts w:ascii="Arial" w:hAnsi="Arial" w:eastAsia="仿宋_GB2312" w:cs="Arial"/>
      <w:vanish/>
      <w:sz w:val="16"/>
      <w:szCs w:val="16"/>
    </w:rPr>
  </w:style>
  <w:style w:type="character" w:customStyle="1" w:styleId="770">
    <w:name w:val="z-窗体顶端 字符"/>
    <w:link w:val="769"/>
    <w:qFormat/>
    <w:uiPriority w:val="0"/>
    <w:rPr>
      <w:rFonts w:ascii="Arial" w:hAnsi="Arial" w:eastAsia="仿宋_GB2312" w:cs="Arial"/>
      <w:vanish/>
      <w:kern w:val="2"/>
      <w:sz w:val="16"/>
      <w:szCs w:val="16"/>
    </w:rPr>
  </w:style>
  <w:style w:type="paragraph" w:customStyle="1" w:styleId="771">
    <w:name w:val="公式样式1"/>
    <w:basedOn w:val="1"/>
    <w:qFormat/>
    <w:uiPriority w:val="0"/>
    <w:pPr>
      <w:adjustRightInd w:val="0"/>
      <w:snapToGrid w:val="0"/>
      <w:spacing w:line="317" w:lineRule="auto"/>
      <w:ind w:firstLine="560" w:firstLineChars="200"/>
    </w:pPr>
    <w:rPr>
      <w:rFonts w:ascii="仿宋_GB2312" w:eastAsia="仿宋_GB2312"/>
      <w:sz w:val="28"/>
    </w:rPr>
  </w:style>
  <w:style w:type="paragraph" w:customStyle="1" w:styleId="772">
    <w:name w:val="框图"/>
    <w:basedOn w:val="1"/>
    <w:qFormat/>
    <w:uiPriority w:val="0"/>
    <w:pPr>
      <w:adjustRightInd w:val="0"/>
      <w:snapToGrid w:val="0"/>
      <w:ind w:left="24" w:leftChars="-38" w:right="-106" w:rightChars="-38" w:hanging="130" w:hangingChars="54"/>
      <w:jc w:val="center"/>
    </w:pPr>
    <w:rPr>
      <w:rFonts w:ascii="仿宋_GB2312" w:eastAsia="仿宋_GB2312"/>
      <w:sz w:val="24"/>
    </w:rPr>
  </w:style>
  <w:style w:type="character" w:customStyle="1" w:styleId="773">
    <w:name w:val="正文（首行缩进两字） Char Char Char Char Char Char Char1"/>
    <w:qFormat/>
    <w:uiPriority w:val="0"/>
    <w:rPr>
      <w:rFonts w:ascii="仿宋_GB2312" w:eastAsia="仿宋_GB2312"/>
      <w:color w:val="000000"/>
      <w:kern w:val="2"/>
      <w:sz w:val="28"/>
      <w:szCs w:val="24"/>
      <w:lang w:val="en-US" w:eastAsia="zh-CN" w:bidi="ar-SA"/>
    </w:rPr>
  </w:style>
  <w:style w:type="paragraph" w:customStyle="1" w:styleId="774">
    <w:name w:val="表中文字1"/>
    <w:qFormat/>
    <w:uiPriority w:val="0"/>
    <w:pPr>
      <w:widowControl w:val="0"/>
      <w:adjustRightInd w:val="0"/>
      <w:snapToGrid w:val="0"/>
      <w:jc w:val="center"/>
    </w:pPr>
    <w:rPr>
      <w:rFonts w:ascii="仿宋_GB2312" w:hAnsi="Times New Roman" w:eastAsia="仿宋_GB2312" w:cs="Times New Roman"/>
      <w:kern w:val="2"/>
      <w:sz w:val="24"/>
      <w:szCs w:val="24"/>
      <w:lang w:val="en-US" w:eastAsia="zh-CN" w:bidi="ar-SA"/>
    </w:rPr>
  </w:style>
  <w:style w:type="paragraph" w:customStyle="1" w:styleId="775">
    <w:name w:val="小四表文左齐"/>
    <w:basedOn w:val="1"/>
    <w:qFormat/>
    <w:uiPriority w:val="0"/>
    <w:pPr>
      <w:jc w:val="center"/>
    </w:pPr>
    <w:rPr>
      <w:rFonts w:ascii="仿宋_GB2312" w:hAnsi="宋体" w:eastAsia="仿宋_GB2312"/>
      <w:sz w:val="24"/>
    </w:rPr>
  </w:style>
  <w:style w:type="character" w:customStyle="1" w:styleId="776">
    <w:name w:val="正文（首行缩进两字） Char Char Char Char Char Char Char Char Char Char Char Char Char"/>
    <w:qFormat/>
    <w:uiPriority w:val="0"/>
    <w:rPr>
      <w:rFonts w:ascii="仿宋_GB2312" w:eastAsia="仿宋_GB2312"/>
      <w:color w:val="000000"/>
      <w:kern w:val="2"/>
      <w:sz w:val="28"/>
      <w:szCs w:val="24"/>
      <w:lang w:val="en-US" w:eastAsia="zh-CN" w:bidi="ar-SA"/>
    </w:rPr>
  </w:style>
  <w:style w:type="paragraph" w:customStyle="1" w:styleId="777">
    <w:name w:val="样式 标题 3 + 黑色 段前: 0行 段后: 0 行"/>
    <w:basedOn w:val="5"/>
    <w:qFormat/>
    <w:uiPriority w:val="0"/>
    <w:pPr>
      <w:numPr>
        <w:ilvl w:val="0"/>
        <w:numId w:val="0"/>
      </w:numPr>
      <w:tabs>
        <w:tab w:val="left" w:pos="1560"/>
      </w:tabs>
      <w:snapToGrid w:val="0"/>
      <w:spacing w:before="60" w:beforeLines="25" w:after="60" w:afterLines="25" w:line="312" w:lineRule="auto"/>
      <w:ind w:left="1560" w:hanging="720"/>
      <w:jc w:val="both"/>
    </w:pPr>
    <w:rPr>
      <w:rFonts w:ascii="仿宋_GB2312" w:eastAsia="仿宋_GB2312" w:cs="宋体"/>
      <w:bCs/>
    </w:rPr>
  </w:style>
  <w:style w:type="paragraph" w:customStyle="1" w:styleId="778">
    <w:name w:val="表字1"/>
    <w:basedOn w:val="1"/>
    <w:qFormat/>
    <w:uiPriority w:val="0"/>
    <w:pPr>
      <w:adjustRightInd w:val="0"/>
      <w:spacing w:line="360" w:lineRule="auto"/>
      <w:jc w:val="center"/>
      <w:textAlignment w:val="baseline"/>
    </w:pPr>
    <w:rPr>
      <w:rFonts w:ascii="宋体"/>
      <w:kern w:val="0"/>
      <w:szCs w:val="20"/>
    </w:rPr>
  </w:style>
  <w:style w:type="paragraph" w:customStyle="1" w:styleId="779">
    <w:name w:val="正文(黑体)"/>
    <w:basedOn w:val="1"/>
    <w:qFormat/>
    <w:uiPriority w:val="0"/>
    <w:pPr>
      <w:autoSpaceDE w:val="0"/>
      <w:autoSpaceDN w:val="0"/>
      <w:adjustRightInd w:val="0"/>
      <w:spacing w:line="288" w:lineRule="auto"/>
      <w:ind w:firstLine="482"/>
      <w:textAlignment w:val="baseline"/>
    </w:pPr>
    <w:rPr>
      <w:rFonts w:ascii="黑体"/>
      <w:kern w:val="0"/>
      <w:sz w:val="24"/>
      <w:szCs w:val="20"/>
    </w:rPr>
  </w:style>
  <w:style w:type="paragraph" w:customStyle="1" w:styleId="780">
    <w:name w:val="yz"/>
    <w:basedOn w:val="35"/>
    <w:qFormat/>
    <w:uiPriority w:val="0"/>
    <w:pPr>
      <w:tabs>
        <w:tab w:val="left" w:pos="900"/>
      </w:tabs>
      <w:adjustRightInd w:val="0"/>
      <w:spacing w:after="0"/>
      <w:ind w:firstLine="200" w:firstLineChars="200"/>
    </w:pPr>
    <w:rPr>
      <w:rFonts w:ascii="宋体" w:hAnsi="宋体"/>
      <w:sz w:val="24"/>
      <w:szCs w:val="20"/>
    </w:rPr>
  </w:style>
  <w:style w:type="paragraph" w:customStyle="1" w:styleId="781">
    <w:name w:val="y表格"/>
    <w:basedOn w:val="35"/>
    <w:qFormat/>
    <w:uiPriority w:val="0"/>
    <w:pPr>
      <w:widowControl/>
      <w:adjustRightInd w:val="0"/>
      <w:snapToGrid w:val="0"/>
      <w:spacing w:after="0"/>
      <w:jc w:val="center"/>
    </w:pPr>
    <w:rPr>
      <w:rFonts w:ascii="宋体" w:hAnsi="宋体"/>
      <w:kern w:val="0"/>
      <w:sz w:val="24"/>
      <w:szCs w:val="20"/>
    </w:rPr>
  </w:style>
  <w:style w:type="paragraph" w:customStyle="1" w:styleId="782">
    <w:name w:val="y表头"/>
    <w:basedOn w:val="35"/>
    <w:qFormat/>
    <w:uiPriority w:val="0"/>
    <w:pPr>
      <w:tabs>
        <w:tab w:val="left" w:pos="900"/>
      </w:tabs>
      <w:adjustRightInd w:val="0"/>
      <w:spacing w:after="0"/>
      <w:jc w:val="center"/>
    </w:pPr>
    <w:rPr>
      <w:rFonts w:ascii="宋体" w:hAnsi="宋体" w:eastAsia="楷体_GB2312"/>
      <w:b/>
      <w:sz w:val="24"/>
      <w:szCs w:val="20"/>
    </w:rPr>
  </w:style>
  <w:style w:type="paragraph" w:customStyle="1" w:styleId="783">
    <w:name w:val="新正文样式"/>
    <w:basedOn w:val="1"/>
    <w:qFormat/>
    <w:uiPriority w:val="0"/>
    <w:pPr>
      <w:tabs>
        <w:tab w:val="left" w:pos="567"/>
      </w:tabs>
      <w:spacing w:line="360" w:lineRule="auto"/>
      <w:ind w:firstLine="567"/>
    </w:pPr>
    <w:rPr>
      <w:spacing w:val="20"/>
      <w:sz w:val="24"/>
      <w:szCs w:val="20"/>
    </w:rPr>
  </w:style>
  <w:style w:type="paragraph" w:customStyle="1" w:styleId="784">
    <w:name w:val="宏福4"/>
    <w:basedOn w:val="1"/>
    <w:qFormat/>
    <w:uiPriority w:val="0"/>
    <w:pPr>
      <w:adjustRightInd w:val="0"/>
      <w:spacing w:line="400" w:lineRule="atLeast"/>
      <w:ind w:firstLine="567"/>
      <w:jc w:val="left"/>
    </w:pPr>
    <w:rPr>
      <w:sz w:val="28"/>
      <w:szCs w:val="20"/>
    </w:rPr>
  </w:style>
  <w:style w:type="character" w:customStyle="1" w:styleId="785">
    <w:name w:val="标题5"/>
    <w:basedOn w:val="95"/>
    <w:qFormat/>
    <w:uiPriority w:val="0"/>
  </w:style>
  <w:style w:type="paragraph" w:customStyle="1" w:styleId="786">
    <w:name w:val="表号"/>
    <w:basedOn w:val="1"/>
    <w:qFormat/>
    <w:uiPriority w:val="0"/>
    <w:rPr>
      <w:szCs w:val="20"/>
    </w:rPr>
  </w:style>
  <w:style w:type="paragraph" w:customStyle="1" w:styleId="787">
    <w:name w:val="默认段落字体 Para Char Char Char1 Char Char Char Char Char Char Char Char Char Char"/>
    <w:basedOn w:val="1"/>
    <w:qFormat/>
    <w:uiPriority w:val="0"/>
    <w:rPr>
      <w:sz w:val="24"/>
    </w:rPr>
  </w:style>
  <w:style w:type="paragraph" w:customStyle="1" w:styleId="788">
    <w:name w:val="默认段落字体 Para Char Char Char Char Char Char Char Char Char Char Char Char Char1"/>
    <w:basedOn w:val="1"/>
    <w:qFormat/>
    <w:uiPriority w:val="0"/>
    <w:rPr>
      <w:sz w:val="24"/>
    </w:rPr>
  </w:style>
  <w:style w:type="character" w:customStyle="1" w:styleId="789">
    <w:name w:val="称呼 字符"/>
    <w:link w:val="31"/>
    <w:qFormat/>
    <w:uiPriority w:val="0"/>
    <w:rPr>
      <w:rFonts w:ascii="仿宋_GB2312" w:eastAsia="仿宋_GB2312"/>
      <w:kern w:val="2"/>
      <w:sz w:val="28"/>
      <w:szCs w:val="24"/>
    </w:rPr>
  </w:style>
  <w:style w:type="character" w:customStyle="1" w:styleId="790">
    <w:name w:val="电子邮件签名 字符"/>
    <w:link w:val="20"/>
    <w:qFormat/>
    <w:uiPriority w:val="0"/>
    <w:rPr>
      <w:rFonts w:ascii="仿宋_GB2312" w:eastAsia="仿宋_GB2312"/>
      <w:kern w:val="2"/>
      <w:sz w:val="28"/>
      <w:szCs w:val="24"/>
    </w:rPr>
  </w:style>
  <w:style w:type="character" w:customStyle="1" w:styleId="791">
    <w:name w:val="副标题 字符"/>
    <w:link w:val="65"/>
    <w:qFormat/>
    <w:uiPriority w:val="0"/>
    <w:rPr>
      <w:rFonts w:ascii="Arial" w:hAnsi="Arial" w:cs="Arial"/>
      <w:b/>
      <w:bCs/>
      <w:kern w:val="28"/>
      <w:sz w:val="32"/>
      <w:szCs w:val="32"/>
    </w:rPr>
  </w:style>
  <w:style w:type="character" w:customStyle="1" w:styleId="792">
    <w:name w:val="宏文本 字符"/>
    <w:link w:val="2"/>
    <w:qFormat/>
    <w:uiPriority w:val="0"/>
    <w:rPr>
      <w:rFonts w:ascii="Courier New" w:hAnsi="Courier New" w:cs="Courier New"/>
      <w:kern w:val="2"/>
      <w:sz w:val="24"/>
      <w:szCs w:val="24"/>
    </w:rPr>
  </w:style>
  <w:style w:type="character" w:customStyle="1" w:styleId="793">
    <w:name w:val="结束语 字符"/>
    <w:link w:val="33"/>
    <w:qFormat/>
    <w:uiPriority w:val="0"/>
    <w:rPr>
      <w:rFonts w:ascii="仿宋_GB2312" w:eastAsia="仿宋_GB2312"/>
      <w:kern w:val="2"/>
      <w:sz w:val="28"/>
      <w:szCs w:val="24"/>
    </w:rPr>
  </w:style>
  <w:style w:type="character" w:customStyle="1" w:styleId="794">
    <w:name w:val="签名 字符"/>
    <w:link w:val="59"/>
    <w:qFormat/>
    <w:uiPriority w:val="0"/>
    <w:rPr>
      <w:rFonts w:ascii="仿宋_GB2312" w:eastAsia="仿宋_GB2312"/>
      <w:kern w:val="2"/>
      <w:sz w:val="28"/>
      <w:szCs w:val="24"/>
    </w:rPr>
  </w:style>
  <w:style w:type="character" w:customStyle="1" w:styleId="795">
    <w:name w:val="尾注文本 字符"/>
    <w:link w:val="53"/>
    <w:qFormat/>
    <w:uiPriority w:val="0"/>
    <w:rPr>
      <w:rFonts w:ascii="仿宋_GB2312" w:eastAsia="仿宋_GB2312"/>
      <w:kern w:val="2"/>
      <w:sz w:val="28"/>
      <w:szCs w:val="24"/>
    </w:rPr>
  </w:style>
  <w:style w:type="character" w:customStyle="1" w:styleId="796">
    <w:name w:val="信息标题 字符"/>
    <w:link w:val="80"/>
    <w:qFormat/>
    <w:uiPriority w:val="0"/>
    <w:rPr>
      <w:rFonts w:ascii="Arial" w:hAnsi="Arial" w:eastAsia="仿宋_GB2312" w:cs="Arial"/>
      <w:kern w:val="2"/>
      <w:sz w:val="24"/>
      <w:szCs w:val="24"/>
      <w:shd w:val="pct20" w:color="auto" w:fill="auto"/>
    </w:rPr>
  </w:style>
  <w:style w:type="paragraph" w:customStyle="1" w:styleId="797">
    <w:name w:val="默认段落字体 Para Char Char Char Char Char Char1 Char Char Char Char Char Char Char"/>
    <w:basedOn w:val="1"/>
    <w:qFormat/>
    <w:uiPriority w:val="0"/>
    <w:rPr>
      <w:sz w:val="24"/>
    </w:rPr>
  </w:style>
  <w:style w:type="paragraph" w:customStyle="1" w:styleId="798">
    <w:name w:val="报告"/>
    <w:basedOn w:val="1"/>
    <w:qFormat/>
    <w:uiPriority w:val="0"/>
    <w:pPr>
      <w:overflowPunct w:val="0"/>
      <w:autoSpaceDE w:val="0"/>
      <w:autoSpaceDN w:val="0"/>
      <w:adjustRightInd w:val="0"/>
      <w:spacing w:before="20" w:beforeLines="20" w:after="20" w:afterLines="20" w:line="440" w:lineRule="atLeast"/>
      <w:ind w:right="-100" w:rightChars="-100" w:firstLine="200" w:firstLineChars="200"/>
    </w:pPr>
    <w:rPr>
      <w:kern w:val="0"/>
      <w:sz w:val="24"/>
      <w:szCs w:val="20"/>
    </w:rPr>
  </w:style>
  <w:style w:type="character" w:customStyle="1" w:styleId="799">
    <w:name w:val="tpc_content"/>
    <w:basedOn w:val="95"/>
    <w:qFormat/>
    <w:uiPriority w:val="0"/>
  </w:style>
  <w:style w:type="paragraph" w:customStyle="1" w:styleId="800">
    <w:name w:val="样式 标题 4 + 黑色 左侧:  -0.01 厘米 首行缩进:  0.01 厘米"/>
    <w:basedOn w:val="7"/>
    <w:qFormat/>
    <w:uiPriority w:val="0"/>
    <w:pPr>
      <w:numPr>
        <w:ilvl w:val="0"/>
        <w:numId w:val="0"/>
      </w:numPr>
      <w:tabs>
        <w:tab w:val="left" w:pos="1680"/>
      </w:tabs>
      <w:spacing w:before="156" w:beforeLines="50" w:line="324" w:lineRule="auto"/>
      <w:ind w:left="1680" w:hanging="420"/>
    </w:pPr>
    <w:rPr>
      <w:rFonts w:ascii="仿宋_GB2312" w:hAnsi="Arial" w:eastAsia="仿宋_GB2312" w:cs="宋体"/>
      <w:bCs w:val="0"/>
      <w:color w:val="000000"/>
      <w:sz w:val="28"/>
      <w:szCs w:val="20"/>
    </w:rPr>
  </w:style>
  <w:style w:type="paragraph" w:customStyle="1" w:styleId="801">
    <w:name w:val="样式 样式 标题 4 + 黑色 左侧:  -0.01 厘米 首行缩进:  0.01 厘米 + 左侧:  0 厘米 首行缩进: ..."/>
    <w:basedOn w:val="1"/>
    <w:qFormat/>
    <w:uiPriority w:val="0"/>
    <w:pPr>
      <w:keepNext/>
      <w:keepLines/>
      <w:tabs>
        <w:tab w:val="left" w:pos="851"/>
      </w:tabs>
      <w:spacing w:before="156" w:beforeLines="50" w:line="324" w:lineRule="auto"/>
      <w:ind w:left="851" w:hanging="851"/>
      <w:outlineLvl w:val="3"/>
    </w:pPr>
    <w:rPr>
      <w:rFonts w:ascii="仿宋_GB2312" w:hAnsi="Arial" w:eastAsia="仿宋_GB2312" w:cs="宋体"/>
      <w:color w:val="000000"/>
      <w:sz w:val="28"/>
      <w:szCs w:val="20"/>
    </w:rPr>
  </w:style>
  <w:style w:type="character" w:customStyle="1" w:styleId="802">
    <w:name w:val="正文（首行缩进两字） Char Char1 Char Char Char Cha"/>
    <w:qFormat/>
    <w:uiPriority w:val="0"/>
    <w:rPr>
      <w:rFonts w:ascii="仿宋_GB2312" w:eastAsia="仿宋_GB2312"/>
      <w:color w:val="000000"/>
      <w:kern w:val="2"/>
      <w:sz w:val="28"/>
      <w:szCs w:val="24"/>
      <w:lang w:val="en-US" w:eastAsia="zh-CN" w:bidi="ar-SA"/>
    </w:rPr>
  </w:style>
  <w:style w:type="character" w:customStyle="1" w:styleId="803">
    <w:name w:val="正文（首行缩进两字） Char Char1 Char"/>
    <w:qFormat/>
    <w:uiPriority w:val="0"/>
    <w:rPr>
      <w:rFonts w:ascii="仿宋_GB2312" w:eastAsia="仿宋_GB2312"/>
      <w:color w:val="000000"/>
      <w:kern w:val="2"/>
      <w:sz w:val="28"/>
      <w:szCs w:val="24"/>
      <w:lang w:val="en-US" w:eastAsia="zh-CN" w:bidi="ar-SA"/>
    </w:rPr>
  </w:style>
  <w:style w:type="paragraph" w:customStyle="1" w:styleId="804">
    <w:name w:val="正文楷体"/>
    <w:basedOn w:val="1"/>
    <w:qFormat/>
    <w:uiPriority w:val="0"/>
    <w:rPr>
      <w:rFonts w:eastAsia="楷体_GB2312"/>
    </w:rPr>
  </w:style>
  <w:style w:type="character" w:customStyle="1" w:styleId="805">
    <w:name w:val="正文（首行缩进两字） Char Char Char Char Char Char Char Char Char Char"/>
    <w:qFormat/>
    <w:uiPriority w:val="0"/>
    <w:rPr>
      <w:rFonts w:ascii="仿宋_GB2312" w:eastAsia="仿宋_GB2312"/>
      <w:kern w:val="2"/>
      <w:sz w:val="28"/>
      <w:szCs w:val="24"/>
      <w:lang w:val="en-US" w:eastAsia="zh-CN" w:bidi="ar-SA"/>
    </w:rPr>
  </w:style>
  <w:style w:type="paragraph" w:customStyle="1" w:styleId="806">
    <w:name w:val="默认段落字体 Para Char Char Char"/>
    <w:basedOn w:val="1"/>
    <w:qFormat/>
    <w:uiPriority w:val="0"/>
    <w:rPr>
      <w:sz w:val="24"/>
    </w:rPr>
  </w:style>
  <w:style w:type="paragraph" w:customStyle="1" w:styleId="807">
    <w:name w:val="字元"/>
    <w:basedOn w:val="1"/>
    <w:qFormat/>
    <w:uiPriority w:val="99"/>
    <w:rPr>
      <w:sz w:val="24"/>
    </w:rPr>
  </w:style>
  <w:style w:type="paragraph" w:customStyle="1" w:styleId="808">
    <w:name w:val="默认段落字体 Para Char Char Char1 Char1"/>
    <w:basedOn w:val="1"/>
    <w:qFormat/>
    <w:uiPriority w:val="0"/>
    <w:rPr>
      <w:sz w:val="24"/>
    </w:rPr>
  </w:style>
  <w:style w:type="paragraph" w:customStyle="1" w:styleId="809">
    <w:name w:val="默认段落字体 Para Char Char Char Char Char Char Char Char Char Char"/>
    <w:basedOn w:val="1"/>
    <w:qFormat/>
    <w:uiPriority w:val="0"/>
    <w:rPr>
      <w:sz w:val="24"/>
    </w:rPr>
  </w:style>
  <w:style w:type="paragraph" w:customStyle="1" w:styleId="810">
    <w:name w:val="默认段落字体 Para Char Char Char1 Char Char Char Char"/>
    <w:basedOn w:val="1"/>
    <w:qFormat/>
    <w:uiPriority w:val="0"/>
    <w:rPr>
      <w:sz w:val="24"/>
    </w:rPr>
  </w:style>
  <w:style w:type="paragraph" w:customStyle="1" w:styleId="811">
    <w:name w:val="默认段落字体 Para Char Char Char Char Char Char Char Char Char Char Char Char"/>
    <w:basedOn w:val="1"/>
    <w:qFormat/>
    <w:uiPriority w:val="0"/>
    <w:rPr>
      <w:sz w:val="24"/>
    </w:rPr>
  </w:style>
  <w:style w:type="paragraph" w:customStyle="1" w:styleId="812">
    <w:name w:val="默认段落字体 Para"/>
    <w:basedOn w:val="1"/>
    <w:qFormat/>
    <w:uiPriority w:val="0"/>
    <w:rPr>
      <w:sz w:val="24"/>
    </w:rPr>
  </w:style>
  <w:style w:type="paragraph" w:customStyle="1" w:styleId="813">
    <w:name w:val="默认段落字体 Para Char Char Char1 Char Char Char Char Char Char Char Char Char Char Char Char"/>
    <w:basedOn w:val="1"/>
    <w:qFormat/>
    <w:uiPriority w:val="0"/>
    <w:rPr>
      <w:sz w:val="24"/>
    </w:rPr>
  </w:style>
  <w:style w:type="character" w:customStyle="1" w:styleId="814">
    <w:name w:val="textlarge1"/>
    <w:qFormat/>
    <w:uiPriority w:val="0"/>
    <w:rPr>
      <w:sz w:val="18"/>
      <w:szCs w:val="18"/>
    </w:rPr>
  </w:style>
  <w:style w:type="character" w:customStyle="1" w:styleId="815">
    <w:name w:val="ourfont11"/>
    <w:qFormat/>
    <w:uiPriority w:val="0"/>
    <w:rPr>
      <w:sz w:val="20"/>
      <w:szCs w:val="20"/>
    </w:rPr>
  </w:style>
  <w:style w:type="character" w:customStyle="1" w:styleId="816">
    <w:name w:val="unnamed51"/>
    <w:qFormat/>
    <w:uiPriority w:val="0"/>
    <w:rPr>
      <w:rFonts w:hint="eastAsia" w:ascii="宋体" w:hAnsi="宋体" w:eastAsia="宋体"/>
      <w:sz w:val="24"/>
      <w:szCs w:val="24"/>
    </w:rPr>
  </w:style>
  <w:style w:type="paragraph" w:customStyle="1" w:styleId="817">
    <w:name w:val="图注"/>
    <w:basedOn w:val="1"/>
    <w:next w:val="1"/>
    <w:qFormat/>
    <w:uiPriority w:val="0"/>
    <w:pPr>
      <w:tabs>
        <w:tab w:val="left" w:pos="2625"/>
        <w:tab w:val="left" w:pos="2835"/>
      </w:tabs>
      <w:jc w:val="center"/>
    </w:pPr>
    <w:rPr>
      <w:szCs w:val="21"/>
    </w:rPr>
  </w:style>
  <w:style w:type="paragraph" w:customStyle="1" w:styleId="818">
    <w:name w:val="标题 2+ 行距: 固定值 24 磅"/>
    <w:basedOn w:val="4"/>
    <w:qFormat/>
    <w:uiPriority w:val="0"/>
    <w:pPr>
      <w:numPr>
        <w:ilvl w:val="0"/>
        <w:numId w:val="0"/>
      </w:numPr>
      <w:adjustRightInd/>
      <w:snapToGrid/>
      <w:spacing w:before="260" w:after="260" w:line="480" w:lineRule="exact"/>
    </w:pPr>
    <w:rPr>
      <w:rFonts w:ascii="Arial" w:hAnsi="Arial"/>
      <w:b/>
      <w:sz w:val="32"/>
    </w:rPr>
  </w:style>
  <w:style w:type="paragraph" w:customStyle="1" w:styleId="819">
    <w:name w:val="图文字"/>
    <w:basedOn w:val="1"/>
    <w:qFormat/>
    <w:uiPriority w:val="0"/>
    <w:pPr>
      <w:spacing w:line="280" w:lineRule="exact"/>
      <w:jc w:val="center"/>
    </w:pPr>
    <w:rPr>
      <w:rFonts w:ascii="宋体" w:hAnsi="宋体"/>
    </w:rPr>
  </w:style>
  <w:style w:type="character" w:customStyle="1" w:styleId="820">
    <w:name w:val="profile1"/>
    <w:qFormat/>
    <w:uiPriority w:val="0"/>
    <w:rPr>
      <w:color w:val="666666"/>
    </w:rPr>
  </w:style>
  <w:style w:type="paragraph" w:customStyle="1" w:styleId="821">
    <w:name w:val="表格5号"/>
    <w:basedOn w:val="129"/>
    <w:qFormat/>
    <w:uiPriority w:val="0"/>
    <w:pPr>
      <w:spacing w:after="0" w:line="240" w:lineRule="auto"/>
      <w:ind w:firstLine="0"/>
      <w:jc w:val="both"/>
    </w:pPr>
    <w:rPr>
      <w:rFonts w:ascii="宋体" w:hAnsi="宋体"/>
      <w:bCs/>
      <w:sz w:val="21"/>
      <w:szCs w:val="21"/>
    </w:rPr>
  </w:style>
  <w:style w:type="character" w:customStyle="1" w:styleId="822">
    <w:name w:val="正文（首行缩进两字） Char Char Char Char Char Char Char"/>
    <w:qFormat/>
    <w:uiPriority w:val="0"/>
    <w:rPr>
      <w:rFonts w:ascii="仿宋_GB2312" w:eastAsia="仿宋_GB2312"/>
      <w:color w:val="000000"/>
      <w:kern w:val="2"/>
      <w:sz w:val="28"/>
      <w:szCs w:val="24"/>
      <w:lang w:val="en-US" w:eastAsia="zh-CN" w:bidi="ar-SA"/>
    </w:rPr>
  </w:style>
  <w:style w:type="character" w:customStyle="1" w:styleId="823">
    <w:name w:val="纯文本1 Char"/>
    <w:qFormat/>
    <w:locked/>
    <w:uiPriority w:val="0"/>
    <w:rPr>
      <w:rFonts w:ascii="宋体" w:hAnsi="Courier New" w:eastAsia="宋体" w:cs="Courier New"/>
      <w:kern w:val="2"/>
      <w:sz w:val="21"/>
      <w:szCs w:val="21"/>
      <w:lang w:val="en-US" w:eastAsia="zh-CN" w:bidi="ar-SA"/>
    </w:rPr>
  </w:style>
  <w:style w:type="paragraph" w:customStyle="1" w:styleId="824">
    <w:name w:val="表格编号"/>
    <w:basedOn w:val="1"/>
    <w:next w:val="1"/>
    <w:qFormat/>
    <w:uiPriority w:val="0"/>
    <w:pPr>
      <w:numPr>
        <w:ilvl w:val="0"/>
        <w:numId w:val="6"/>
      </w:numPr>
      <w:tabs>
        <w:tab w:val="left" w:pos="720"/>
      </w:tabs>
      <w:spacing w:before="300" w:after="200"/>
      <w:ind w:left="0" w:firstLine="0"/>
      <w:jc w:val="center"/>
    </w:pPr>
    <w:rPr>
      <w:sz w:val="24"/>
      <w:szCs w:val="20"/>
    </w:rPr>
  </w:style>
  <w:style w:type="paragraph" w:customStyle="1" w:styleId="825">
    <w:name w:val="正文文本缩进 2 Char Char"/>
    <w:basedOn w:val="1"/>
    <w:qFormat/>
    <w:uiPriority w:val="0"/>
    <w:pPr>
      <w:spacing w:after="120" w:line="480" w:lineRule="auto"/>
      <w:ind w:left="420" w:leftChars="200"/>
    </w:pPr>
    <w:rPr>
      <w:szCs w:val="20"/>
    </w:rPr>
  </w:style>
  <w:style w:type="character" w:customStyle="1" w:styleId="826">
    <w:name w:val="表格中文字靠左 Char Char"/>
    <w:link w:val="827"/>
    <w:qFormat/>
    <w:locked/>
    <w:uiPriority w:val="0"/>
    <w:rPr>
      <w:kern w:val="2"/>
      <w:sz w:val="16"/>
    </w:rPr>
  </w:style>
  <w:style w:type="paragraph" w:customStyle="1" w:styleId="827">
    <w:name w:val="正文文本 3 Char Char"/>
    <w:basedOn w:val="1"/>
    <w:link w:val="826"/>
    <w:qFormat/>
    <w:uiPriority w:val="0"/>
    <w:pPr>
      <w:spacing w:after="120"/>
    </w:pPr>
    <w:rPr>
      <w:sz w:val="16"/>
      <w:szCs w:val="20"/>
    </w:rPr>
  </w:style>
  <w:style w:type="character" w:customStyle="1" w:styleId="828">
    <w:name w:val="表格中文字居中 Char Char"/>
    <w:link w:val="829"/>
    <w:qFormat/>
    <w:locked/>
    <w:uiPriority w:val="0"/>
    <w:rPr>
      <w:rFonts w:ascii="宋体" w:hAnsi="宋体"/>
      <w:sz w:val="21"/>
    </w:rPr>
  </w:style>
  <w:style w:type="paragraph" w:customStyle="1" w:styleId="829">
    <w:name w:val="表格中文字居中"/>
    <w:basedOn w:val="1"/>
    <w:link w:val="828"/>
    <w:qFormat/>
    <w:uiPriority w:val="0"/>
    <w:pPr>
      <w:tabs>
        <w:tab w:val="left" w:pos="1890"/>
      </w:tabs>
      <w:snapToGrid w:val="0"/>
      <w:jc w:val="left"/>
    </w:pPr>
    <w:rPr>
      <w:rFonts w:ascii="宋体" w:hAnsi="宋体"/>
      <w:kern w:val="0"/>
      <w:szCs w:val="20"/>
    </w:rPr>
  </w:style>
  <w:style w:type="paragraph" w:customStyle="1" w:styleId="830">
    <w:name w:val="注释标题 Char Char"/>
    <w:basedOn w:val="1"/>
    <w:next w:val="1"/>
    <w:qFormat/>
    <w:uiPriority w:val="0"/>
    <w:pPr>
      <w:spacing w:line="240" w:lineRule="atLeast"/>
      <w:jc w:val="center"/>
    </w:pPr>
    <w:rPr>
      <w:rFonts w:ascii="宋体"/>
      <w:szCs w:val="20"/>
    </w:rPr>
  </w:style>
  <w:style w:type="character" w:customStyle="1" w:styleId="831">
    <w:name w:val="标题 3，条标题1.1.1 + 行距: 固定值 23 磅 Char Char"/>
    <w:link w:val="832"/>
    <w:qFormat/>
    <w:locked/>
    <w:uiPriority w:val="0"/>
    <w:rPr>
      <w:b/>
      <w:snapToGrid w:val="0"/>
      <w:spacing w:val="8"/>
    </w:rPr>
  </w:style>
  <w:style w:type="paragraph" w:customStyle="1" w:styleId="832">
    <w:name w:val="标题 3，条标题1.1.1 + 行距: 固定值 23 磅"/>
    <w:basedOn w:val="5"/>
    <w:link w:val="831"/>
    <w:qFormat/>
    <w:uiPriority w:val="0"/>
    <w:pPr>
      <w:keepNext w:val="0"/>
      <w:numPr>
        <w:ilvl w:val="0"/>
        <w:numId w:val="0"/>
      </w:numPr>
      <w:snapToGrid w:val="0"/>
      <w:spacing w:beforeLines="50" w:after="120"/>
      <w:ind w:firstLine="594" w:firstLineChars="200"/>
    </w:pPr>
    <w:rPr>
      <w:rFonts w:eastAsia="宋体"/>
      <w:b/>
      <w:bCs/>
      <w:snapToGrid w:val="0"/>
      <w:spacing w:val="8"/>
      <w:sz w:val="20"/>
    </w:rPr>
  </w:style>
  <w:style w:type="paragraph" w:customStyle="1" w:styleId="833">
    <w:name w:val="样式 宋体 四号 首行缩进:  1.11 厘米"/>
    <w:basedOn w:val="1"/>
    <w:qFormat/>
    <w:uiPriority w:val="0"/>
    <w:pPr>
      <w:snapToGrid w:val="0"/>
      <w:spacing w:line="500" w:lineRule="exact"/>
      <w:ind w:firstLine="480" w:firstLineChars="200"/>
    </w:pPr>
    <w:rPr>
      <w:rFonts w:ascii="宋体" w:hAnsi="宋体"/>
      <w:color w:val="FF00FF"/>
      <w:kern w:val="0"/>
      <w:sz w:val="24"/>
    </w:rPr>
  </w:style>
  <w:style w:type="character" w:customStyle="1" w:styleId="834">
    <w:name w:val="ttitle1"/>
    <w:qFormat/>
    <w:uiPriority w:val="0"/>
    <w:rPr>
      <w:spacing w:val="120"/>
      <w:sz w:val="21"/>
      <w:szCs w:val="21"/>
    </w:rPr>
  </w:style>
  <w:style w:type="character" w:customStyle="1" w:styleId="835">
    <w:name w:val="p11"/>
    <w:qFormat/>
    <w:uiPriority w:val="0"/>
    <w:rPr>
      <w:spacing w:val="280"/>
      <w:sz w:val="18"/>
      <w:szCs w:val="18"/>
    </w:rPr>
  </w:style>
  <w:style w:type="character" w:customStyle="1" w:styleId="836">
    <w:name w:val="正文首行缩进 Char Char2"/>
    <w:qFormat/>
    <w:uiPriority w:val="0"/>
    <w:rPr>
      <w:rFonts w:eastAsia="宋体"/>
      <w:kern w:val="2"/>
      <w:sz w:val="21"/>
      <w:szCs w:val="24"/>
      <w:lang w:val="en-US" w:eastAsia="zh-CN" w:bidi="ar-SA"/>
    </w:rPr>
  </w:style>
  <w:style w:type="character" w:customStyle="1" w:styleId="837">
    <w:name w:val="正文首行缩进 Char Char"/>
    <w:qFormat/>
    <w:locked/>
    <w:uiPriority w:val="0"/>
    <w:rPr>
      <w:rFonts w:ascii="宋体" w:hAnsi="宋体" w:eastAsia="宋体"/>
      <w:lang w:val="en-US" w:eastAsia="zh-CN" w:bidi="ar-SA"/>
    </w:rPr>
  </w:style>
  <w:style w:type="character" w:customStyle="1" w:styleId="838">
    <w:name w:val="wrui1"/>
    <w:qFormat/>
    <w:uiPriority w:val="0"/>
    <w:rPr>
      <w:rFonts w:hint="eastAsia" w:ascii="宋体" w:hAnsi="宋体" w:eastAsia="宋体"/>
      <w:color w:val="330099"/>
      <w:sz w:val="18"/>
      <w:szCs w:val="18"/>
    </w:rPr>
  </w:style>
  <w:style w:type="paragraph" w:customStyle="1" w:styleId="839">
    <w:name w:val="样式 标题 1 + (西文) Arial (中文) 黑体 三号 两端对齐 首行缩进:  0.87 厘米 段前: 6 磅..."/>
    <w:basedOn w:val="3"/>
    <w:qFormat/>
    <w:uiPriority w:val="0"/>
    <w:pPr>
      <w:keepLines w:val="0"/>
      <w:pageBreakBefore/>
      <w:widowControl/>
      <w:numPr>
        <w:numId w:val="0"/>
      </w:numPr>
      <w:spacing w:before="160" w:after="160" w:line="500" w:lineRule="exact"/>
      <w:ind w:left="425" w:firstLine="493"/>
      <w:jc w:val="both"/>
    </w:pPr>
    <w:rPr>
      <w:rFonts w:ascii="Arial" w:hAnsi="Arial" w:cs="宋体"/>
      <w:bCs w:val="0"/>
      <w:spacing w:val="16"/>
      <w:w w:val="90"/>
      <w:kern w:val="32"/>
      <w:szCs w:val="32"/>
    </w:rPr>
  </w:style>
  <w:style w:type="paragraph" w:customStyle="1" w:styleId="840">
    <w:name w:val="样式 标题 3 + 段前: 0.3 行"/>
    <w:basedOn w:val="5"/>
    <w:qFormat/>
    <w:uiPriority w:val="0"/>
    <w:pPr>
      <w:keepNext w:val="0"/>
      <w:numPr>
        <w:numId w:val="0"/>
      </w:numPr>
      <w:spacing w:before="156" w:beforeLines="50" w:after="120" w:line="440" w:lineRule="exact"/>
      <w:ind w:left="709" w:firstLine="493"/>
      <w:jc w:val="both"/>
      <w:outlineLvl w:val="0"/>
    </w:pPr>
    <w:rPr>
      <w:rFonts w:eastAsia="宋体"/>
      <w:b/>
      <w:bCs/>
      <w:spacing w:val="16"/>
      <w:w w:val="95"/>
    </w:rPr>
  </w:style>
  <w:style w:type="paragraph" w:customStyle="1" w:styleId="841">
    <w:name w:val="表内5中"/>
    <w:basedOn w:val="46"/>
    <w:qFormat/>
    <w:uiPriority w:val="0"/>
    <w:pPr>
      <w:adjustRightInd w:val="0"/>
      <w:snapToGrid w:val="0"/>
      <w:jc w:val="center"/>
    </w:pPr>
    <w:rPr>
      <w:rFonts w:ascii="Times New Roman" w:hAnsi="Times New Roman" w:cs="Times New Roman"/>
      <w:szCs w:val="20"/>
    </w:rPr>
  </w:style>
  <w:style w:type="paragraph" w:customStyle="1" w:styleId="842">
    <w:name w:val="标题2，第二标题"/>
    <w:basedOn w:val="86"/>
    <w:next w:val="86"/>
    <w:qFormat/>
    <w:uiPriority w:val="0"/>
    <w:pPr>
      <w:widowControl w:val="0"/>
      <w:tabs>
        <w:tab w:val="left" w:pos="360"/>
        <w:tab w:val="left" w:pos="628"/>
        <w:tab w:val="left" w:pos="1727"/>
        <w:tab w:val="left" w:pos="1884"/>
        <w:tab w:val="left" w:pos="2660"/>
        <w:tab w:val="left" w:pos="5460"/>
      </w:tabs>
      <w:adjustRightInd/>
      <w:spacing w:before="93" w:beforeLines="30" w:after="93" w:afterLines="30" w:line="460" w:lineRule="exact"/>
      <w:ind w:firstLine="420" w:firstLineChars="0"/>
      <w:outlineLvl w:val="1"/>
    </w:pPr>
    <w:rPr>
      <w:rFonts w:ascii="Times New Roman" w:hAnsi="Times New Roman" w:eastAsia="黑体"/>
      <w:snapToGrid/>
      <w:color w:val="auto"/>
      <w:kern w:val="2"/>
      <w:sz w:val="28"/>
      <w:lang w:val="zh-CN"/>
    </w:rPr>
  </w:style>
  <w:style w:type="paragraph" w:customStyle="1" w:styleId="843">
    <w:name w:val="样式 标题 1第一标题 + 段前: 0.3 行 段后: 0.3 行"/>
    <w:basedOn w:val="3"/>
    <w:qFormat/>
    <w:uiPriority w:val="0"/>
    <w:pPr>
      <w:keepNext w:val="0"/>
      <w:keepLines w:val="0"/>
      <w:numPr>
        <w:numId w:val="0"/>
      </w:numPr>
      <w:tabs>
        <w:tab w:val="left" w:pos="360"/>
      </w:tabs>
      <w:autoSpaceDE w:val="0"/>
      <w:autoSpaceDN w:val="0"/>
      <w:adjustRightInd w:val="0"/>
      <w:spacing w:before="156" w:beforeLines="50" w:after="93" w:afterLines="30" w:line="240" w:lineRule="auto"/>
      <w:ind w:left="425" w:hanging="425"/>
    </w:pPr>
    <w:rPr>
      <w:rFonts w:cs="宋体"/>
      <w:bCs w:val="0"/>
      <w:kern w:val="0"/>
      <w:sz w:val="30"/>
      <w:szCs w:val="20"/>
      <w:lang w:val="zh-CN"/>
    </w:rPr>
  </w:style>
  <w:style w:type="paragraph" w:customStyle="1" w:styleId="844">
    <w:name w:val="标题 3，第三标题"/>
    <w:basedOn w:val="1"/>
    <w:qFormat/>
    <w:uiPriority w:val="0"/>
    <w:pPr>
      <w:tabs>
        <w:tab w:val="left" w:pos="360"/>
        <w:tab w:val="left" w:pos="628"/>
        <w:tab w:val="left" w:pos="1727"/>
        <w:tab w:val="left" w:pos="1884"/>
        <w:tab w:val="left" w:pos="2660"/>
        <w:tab w:val="left" w:pos="5460"/>
      </w:tabs>
      <w:snapToGrid w:val="0"/>
      <w:spacing w:before="93" w:beforeLines="30" w:after="93" w:afterLines="30" w:line="440" w:lineRule="exact"/>
      <w:jc w:val="left"/>
      <w:outlineLvl w:val="2"/>
    </w:pPr>
    <w:rPr>
      <w:rFonts w:eastAsia="黑体" w:cs="宋体"/>
      <w:sz w:val="24"/>
      <w:szCs w:val="20"/>
    </w:rPr>
  </w:style>
  <w:style w:type="paragraph" w:customStyle="1" w:styleId="845">
    <w:name w:val="封面标准号1"/>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character" w:customStyle="1" w:styleId="846">
    <w:name w:val="正文首行缩进 Char Char1"/>
    <w:qFormat/>
    <w:uiPriority w:val="0"/>
    <w:rPr>
      <w:rFonts w:eastAsia="宋体"/>
      <w:kern w:val="2"/>
      <w:sz w:val="21"/>
      <w:lang w:val="en-US" w:eastAsia="zh-CN" w:bidi="ar-SA"/>
    </w:rPr>
  </w:style>
  <w:style w:type="paragraph" w:customStyle="1" w:styleId="847">
    <w:name w:val="正文首行缩进-修改"/>
    <w:basedOn w:val="1"/>
    <w:link w:val="1275"/>
    <w:qFormat/>
    <w:uiPriority w:val="0"/>
    <w:pPr>
      <w:spacing w:line="360" w:lineRule="auto"/>
      <w:ind w:firstLine="480" w:firstLineChars="200"/>
    </w:pPr>
    <w:rPr>
      <w:sz w:val="24"/>
    </w:rPr>
  </w:style>
  <w:style w:type="paragraph" w:customStyle="1" w:styleId="848">
    <w:name w:val="标1"/>
    <w:basedOn w:val="3"/>
    <w:qFormat/>
    <w:uiPriority w:val="0"/>
    <w:pPr>
      <w:widowControl/>
      <w:numPr>
        <w:numId w:val="0"/>
      </w:numPr>
      <w:ind w:right="-48" w:rightChars="-23"/>
    </w:pPr>
    <w:rPr>
      <w:sz w:val="28"/>
      <w:szCs w:val="28"/>
    </w:rPr>
  </w:style>
  <w:style w:type="paragraph" w:customStyle="1" w:styleId="849">
    <w:name w:val="标2"/>
    <w:basedOn w:val="4"/>
    <w:link w:val="1282"/>
    <w:qFormat/>
    <w:uiPriority w:val="0"/>
    <w:pPr>
      <w:numPr>
        <w:numId w:val="0"/>
      </w:numPr>
      <w:tabs>
        <w:tab w:val="left" w:pos="576"/>
      </w:tabs>
      <w:adjustRightInd/>
      <w:snapToGrid/>
      <w:ind w:left="578" w:right="-48" w:rightChars="-23" w:hanging="578"/>
    </w:pPr>
    <w:rPr>
      <w:bCs w:val="0"/>
      <w:kern w:val="0"/>
    </w:rPr>
  </w:style>
  <w:style w:type="paragraph" w:customStyle="1" w:styleId="850">
    <w:name w:val="样式0"/>
    <w:basedOn w:val="115"/>
    <w:qFormat/>
    <w:uiPriority w:val="0"/>
    <w:pPr>
      <w:spacing w:before="240" w:after="60" w:line="360" w:lineRule="auto"/>
      <w:jc w:val="left"/>
      <w:outlineLvl w:val="0"/>
    </w:pPr>
    <w:rPr>
      <w:rFonts w:ascii="Arial" w:hAnsi="Arial" w:cs="Arial"/>
      <w:szCs w:val="32"/>
    </w:rPr>
  </w:style>
  <w:style w:type="character" w:customStyle="1" w:styleId="851">
    <w:name w:val="表格内文字 Char"/>
    <w:link w:val="659"/>
    <w:qFormat/>
    <w:uiPriority w:val="0"/>
    <w:rPr>
      <w:rFonts w:ascii="仿宋_GB2312" w:hAnsi="宋体" w:eastAsia="仿宋_GB2312"/>
      <w:kern w:val="2"/>
      <w:sz w:val="21"/>
      <w:szCs w:val="24"/>
    </w:rPr>
  </w:style>
  <w:style w:type="paragraph" w:customStyle="1" w:styleId="852">
    <w:name w:val="默认段落字体 Para Char Char Char Char Char Char Char Char Char1 Char Char Char Char Char Char Char Char Char Char"/>
    <w:basedOn w:val="27"/>
    <w:qFormat/>
    <w:uiPriority w:val="0"/>
    <w:rPr>
      <w:rFonts w:ascii="Tahoma" w:hAnsi="Tahoma"/>
      <w:sz w:val="24"/>
    </w:rPr>
  </w:style>
  <w:style w:type="paragraph" w:customStyle="1" w:styleId="853">
    <w:name w:val="样式 正文首行缩进正文5号报告书正文 + 宋体"/>
    <w:basedOn w:val="86"/>
    <w:link w:val="854"/>
    <w:qFormat/>
    <w:uiPriority w:val="0"/>
    <w:pPr>
      <w:widowControl w:val="0"/>
      <w:spacing w:line="400" w:lineRule="exact"/>
    </w:pPr>
    <w:rPr>
      <w:snapToGrid/>
      <w:color w:val="auto"/>
      <w:kern w:val="2"/>
      <w:szCs w:val="24"/>
    </w:rPr>
  </w:style>
  <w:style w:type="character" w:customStyle="1" w:styleId="854">
    <w:name w:val="样式 正文首行缩进正文5号报告书正文 + 宋体 Char"/>
    <w:link w:val="853"/>
    <w:qFormat/>
    <w:uiPriority w:val="0"/>
    <w:rPr>
      <w:rFonts w:ascii="宋体" w:hAnsi="宋体"/>
      <w:kern w:val="2"/>
      <w:sz w:val="24"/>
      <w:szCs w:val="24"/>
    </w:rPr>
  </w:style>
  <w:style w:type="paragraph" w:customStyle="1" w:styleId="855">
    <w:name w:val="纯文本4"/>
    <w:basedOn w:val="1"/>
    <w:qFormat/>
    <w:uiPriority w:val="0"/>
    <w:pPr>
      <w:autoSpaceDE w:val="0"/>
      <w:autoSpaceDN w:val="0"/>
      <w:adjustRightInd w:val="0"/>
      <w:spacing w:line="300" w:lineRule="auto"/>
      <w:textAlignment w:val="baseline"/>
    </w:pPr>
    <w:rPr>
      <w:rFonts w:ascii="Courier New" w:hAnsi="Courier New"/>
      <w:szCs w:val="20"/>
    </w:rPr>
  </w:style>
  <w:style w:type="character" w:customStyle="1" w:styleId="856">
    <w:name w:val="标题6"/>
    <w:basedOn w:val="95"/>
    <w:qFormat/>
    <w:uiPriority w:val="0"/>
  </w:style>
  <w:style w:type="paragraph" w:customStyle="1" w:styleId="857">
    <w:name w:val="字元1"/>
    <w:basedOn w:val="1"/>
    <w:qFormat/>
    <w:uiPriority w:val="99"/>
    <w:rPr>
      <w:sz w:val="24"/>
    </w:rPr>
  </w:style>
  <w:style w:type="paragraph" w:customStyle="1" w:styleId="858">
    <w:name w:val="ZW"/>
    <w:link w:val="1964"/>
    <w:qFormat/>
    <w:uiPriority w:val="0"/>
    <w:pPr>
      <w:spacing w:line="480" w:lineRule="exact"/>
      <w:ind w:firstLine="200" w:firstLineChars="200"/>
      <w:jc w:val="both"/>
    </w:pPr>
    <w:rPr>
      <w:rFonts w:ascii="宋体" w:hAnsi="宋体" w:eastAsia="宋体" w:cs="宋体"/>
      <w:kern w:val="2"/>
      <w:sz w:val="24"/>
      <w:szCs w:val="24"/>
      <w:lang w:val="en-US" w:eastAsia="zh-CN" w:bidi="ar-SA"/>
    </w:rPr>
  </w:style>
  <w:style w:type="character" w:customStyle="1" w:styleId="859">
    <w:name w:val="表格 Char Char"/>
    <w:qFormat/>
    <w:uiPriority w:val="0"/>
    <w:rPr>
      <w:rFonts w:eastAsia="宋体"/>
      <w:sz w:val="18"/>
      <w:szCs w:val="21"/>
      <w:lang w:val="en-US" w:eastAsia="zh-CN" w:bidi="ar-SA"/>
    </w:rPr>
  </w:style>
  <w:style w:type="paragraph" w:customStyle="1" w:styleId="860">
    <w:name w:val="表1"/>
    <w:basedOn w:val="1"/>
    <w:qFormat/>
    <w:uiPriority w:val="0"/>
    <w:pPr>
      <w:spacing w:before="40" w:line="0" w:lineRule="atLeast"/>
      <w:jc w:val="center"/>
    </w:pPr>
    <w:rPr>
      <w:szCs w:val="20"/>
    </w:rPr>
  </w:style>
  <w:style w:type="paragraph" w:customStyle="1" w:styleId="861">
    <w:name w:val="题注 表头"/>
    <w:basedOn w:val="1"/>
    <w:link w:val="862"/>
    <w:qFormat/>
    <w:uiPriority w:val="0"/>
    <w:pPr>
      <w:adjustRightInd w:val="0"/>
      <w:snapToGrid w:val="0"/>
      <w:spacing w:line="240" w:lineRule="atLeast"/>
      <w:jc w:val="center"/>
    </w:pPr>
    <w:rPr>
      <w:rFonts w:hAnsi="宋体"/>
      <w:b/>
      <w:color w:val="000000"/>
      <w:szCs w:val="21"/>
    </w:rPr>
  </w:style>
  <w:style w:type="character" w:customStyle="1" w:styleId="862">
    <w:name w:val="题注 表头 Char"/>
    <w:link w:val="861"/>
    <w:qFormat/>
    <w:uiPriority w:val="0"/>
    <w:rPr>
      <w:rFonts w:hAnsi="宋体"/>
      <w:b/>
      <w:color w:val="000000"/>
      <w:kern w:val="2"/>
      <w:sz w:val="21"/>
      <w:szCs w:val="21"/>
    </w:rPr>
  </w:style>
  <w:style w:type="character" w:customStyle="1" w:styleId="863">
    <w:name w:val="标题11"/>
    <w:qFormat/>
    <w:uiPriority w:val="0"/>
    <w:rPr>
      <w:sz w:val="26"/>
    </w:rPr>
  </w:style>
  <w:style w:type="paragraph" w:customStyle="1" w:styleId="864">
    <w:name w:val="章3表"/>
    <w:basedOn w:val="1"/>
    <w:link w:val="865"/>
    <w:qFormat/>
    <w:uiPriority w:val="0"/>
    <w:pPr>
      <w:numPr>
        <w:ilvl w:val="0"/>
        <w:numId w:val="7"/>
      </w:numPr>
      <w:spacing w:before="156" w:beforeLines="50"/>
      <w:jc w:val="center"/>
    </w:pPr>
    <w:rPr>
      <w:rFonts w:eastAsia="黑体"/>
      <w:sz w:val="24"/>
      <w:lang w:val="zh-CN"/>
    </w:rPr>
  </w:style>
  <w:style w:type="character" w:customStyle="1" w:styleId="865">
    <w:name w:val="章3表 Char"/>
    <w:link w:val="864"/>
    <w:qFormat/>
    <w:uiPriority w:val="0"/>
    <w:rPr>
      <w:rFonts w:eastAsia="黑体"/>
      <w:kern w:val="2"/>
      <w:sz w:val="24"/>
      <w:szCs w:val="24"/>
      <w:lang w:val="zh-CN" w:eastAsia="zh-CN"/>
    </w:rPr>
  </w:style>
  <w:style w:type="paragraph" w:customStyle="1" w:styleId="866">
    <w:name w:val="章6表"/>
    <w:basedOn w:val="1"/>
    <w:link w:val="867"/>
    <w:qFormat/>
    <w:uiPriority w:val="0"/>
    <w:pPr>
      <w:numPr>
        <w:ilvl w:val="0"/>
        <w:numId w:val="8"/>
      </w:numPr>
      <w:spacing w:before="156" w:beforeLines="50"/>
      <w:jc w:val="center"/>
    </w:pPr>
    <w:rPr>
      <w:rFonts w:eastAsia="黑体"/>
      <w:sz w:val="24"/>
      <w:lang w:val="zh-CN"/>
    </w:rPr>
  </w:style>
  <w:style w:type="character" w:customStyle="1" w:styleId="867">
    <w:name w:val="章6表 Char"/>
    <w:link w:val="866"/>
    <w:qFormat/>
    <w:uiPriority w:val="0"/>
    <w:rPr>
      <w:rFonts w:eastAsia="黑体"/>
      <w:kern w:val="2"/>
      <w:sz w:val="24"/>
      <w:szCs w:val="24"/>
      <w:lang w:val="zh-CN" w:eastAsia="zh-CN"/>
    </w:rPr>
  </w:style>
  <w:style w:type="character" w:customStyle="1" w:styleId="868">
    <w:name w:val="按正文 Char"/>
    <w:link w:val="869"/>
    <w:qFormat/>
    <w:uiPriority w:val="0"/>
    <w:rPr>
      <w:kern w:val="44"/>
      <w:sz w:val="28"/>
      <w:szCs w:val="30"/>
    </w:rPr>
  </w:style>
  <w:style w:type="paragraph" w:customStyle="1" w:styleId="869">
    <w:name w:val="按正文"/>
    <w:link w:val="868"/>
    <w:qFormat/>
    <w:uiPriority w:val="0"/>
    <w:pPr>
      <w:widowControl w:val="0"/>
      <w:spacing w:line="540" w:lineRule="exact"/>
      <w:ind w:firstLine="200" w:firstLineChars="200"/>
      <w:jc w:val="both"/>
    </w:pPr>
    <w:rPr>
      <w:rFonts w:ascii="Times New Roman" w:hAnsi="Times New Roman" w:eastAsia="宋体" w:cs="Times New Roman"/>
      <w:kern w:val="44"/>
      <w:sz w:val="28"/>
      <w:szCs w:val="30"/>
      <w:lang w:val="en-US" w:eastAsia="zh-CN" w:bidi="ar-SA"/>
    </w:rPr>
  </w:style>
  <w:style w:type="paragraph" w:customStyle="1" w:styleId="870">
    <w:name w:val="八表格"/>
    <w:next w:val="869"/>
    <w:qFormat/>
    <w:uiPriority w:val="0"/>
    <w:pPr>
      <w:spacing w:line="280" w:lineRule="exact"/>
      <w:jc w:val="center"/>
    </w:pPr>
    <w:rPr>
      <w:rFonts w:ascii="Times New Roman" w:hAnsi="Times New Roman" w:eastAsia="宋体" w:cs="Times New Roman"/>
      <w:kern w:val="44"/>
      <w:sz w:val="24"/>
      <w:szCs w:val="30"/>
      <w:lang w:val="en-US" w:eastAsia="zh-CN" w:bidi="ar-SA"/>
    </w:rPr>
  </w:style>
  <w:style w:type="character" w:customStyle="1" w:styleId="871">
    <w:name w:val="样式 首行缩进:  2 字符 Char"/>
    <w:link w:val="629"/>
    <w:qFormat/>
    <w:uiPriority w:val="0"/>
    <w:rPr>
      <w:rFonts w:ascii="仿宋_GB2312" w:eastAsia="仿宋_GB2312" w:cs="宋体"/>
      <w:kern w:val="2"/>
      <w:sz w:val="28"/>
    </w:rPr>
  </w:style>
  <w:style w:type="character" w:customStyle="1" w:styleId="872">
    <w:name w:val="已访问的超链接1"/>
    <w:qFormat/>
    <w:uiPriority w:val="0"/>
    <w:rPr>
      <w:color w:val="800080"/>
      <w:u w:val="single"/>
    </w:rPr>
  </w:style>
  <w:style w:type="paragraph" w:customStyle="1" w:styleId="873">
    <w:name w:val="xl63"/>
    <w:basedOn w:val="1"/>
    <w:qFormat/>
    <w:uiPriority w:val="0"/>
    <w:pPr>
      <w:widowControl/>
      <w:pBdr>
        <w:top w:val="single" w:color="auto" w:sz="12" w:space="0"/>
        <w:right w:val="single" w:color="auto" w:sz="8" w:space="0"/>
      </w:pBdr>
      <w:spacing w:before="100" w:beforeAutospacing="1" w:after="100" w:afterAutospacing="1"/>
      <w:jc w:val="center"/>
    </w:pPr>
    <w:rPr>
      <w:rFonts w:ascii="宋体" w:hAnsi="宋体" w:cs="宋体"/>
      <w:b/>
      <w:bCs/>
      <w:kern w:val="0"/>
      <w:szCs w:val="21"/>
    </w:rPr>
  </w:style>
  <w:style w:type="paragraph" w:customStyle="1" w:styleId="874">
    <w:name w:val="xl64"/>
    <w:basedOn w:val="1"/>
    <w:qFormat/>
    <w:uiPriority w:val="0"/>
    <w:pPr>
      <w:widowControl/>
      <w:pBdr>
        <w:top w:val="single" w:color="auto" w:sz="12" w:space="0"/>
        <w:left w:val="single" w:color="auto" w:sz="8" w:space="0"/>
        <w:right w:val="single" w:color="auto" w:sz="8" w:space="0"/>
      </w:pBdr>
      <w:spacing w:before="100" w:beforeAutospacing="1" w:after="100" w:afterAutospacing="1"/>
      <w:jc w:val="center"/>
    </w:pPr>
    <w:rPr>
      <w:rFonts w:ascii="宋体" w:hAnsi="宋体" w:cs="宋体"/>
      <w:b/>
      <w:bCs/>
      <w:kern w:val="0"/>
      <w:szCs w:val="21"/>
    </w:rPr>
  </w:style>
  <w:style w:type="paragraph" w:customStyle="1" w:styleId="875">
    <w:name w:val="xl65"/>
    <w:basedOn w:val="1"/>
    <w:qFormat/>
    <w:uiPriority w:val="0"/>
    <w:pPr>
      <w:widowControl/>
      <w:pBdr>
        <w:top w:val="single" w:color="auto" w:sz="12" w:space="0"/>
        <w:left w:val="single" w:color="auto" w:sz="8" w:space="0"/>
      </w:pBdr>
      <w:spacing w:before="100" w:beforeAutospacing="1" w:after="100" w:afterAutospacing="1"/>
      <w:jc w:val="center"/>
    </w:pPr>
    <w:rPr>
      <w:rFonts w:ascii="宋体" w:hAnsi="宋体" w:cs="宋体"/>
      <w:b/>
      <w:bCs/>
      <w:kern w:val="0"/>
      <w:szCs w:val="21"/>
    </w:rPr>
  </w:style>
  <w:style w:type="paragraph" w:customStyle="1" w:styleId="876">
    <w:name w:val="xl66"/>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cs="宋体"/>
      <w:b/>
      <w:bCs/>
      <w:kern w:val="0"/>
      <w:szCs w:val="21"/>
    </w:rPr>
  </w:style>
  <w:style w:type="paragraph" w:customStyle="1" w:styleId="877">
    <w:name w:val="xl68"/>
    <w:basedOn w:val="1"/>
    <w:qFormat/>
    <w:uiPriority w:val="0"/>
    <w:pPr>
      <w:widowControl/>
      <w:pBdr>
        <w:bottom w:val="single" w:color="auto" w:sz="8" w:space="0"/>
        <w:right w:val="single" w:color="auto" w:sz="8" w:space="0"/>
      </w:pBdr>
      <w:spacing w:before="100" w:beforeAutospacing="1" w:after="100" w:afterAutospacing="1"/>
      <w:jc w:val="center"/>
    </w:pPr>
    <w:rPr>
      <w:b/>
      <w:bCs/>
      <w:kern w:val="0"/>
      <w:szCs w:val="21"/>
    </w:rPr>
  </w:style>
  <w:style w:type="paragraph" w:customStyle="1" w:styleId="878">
    <w:name w:val="xl69"/>
    <w:basedOn w:val="1"/>
    <w:qFormat/>
    <w:uiPriority w:val="0"/>
    <w:pPr>
      <w:widowControl/>
      <w:pBdr>
        <w:left w:val="single" w:color="auto" w:sz="8" w:space="0"/>
        <w:bottom w:val="single" w:color="auto" w:sz="8" w:space="0"/>
      </w:pBdr>
      <w:spacing w:before="100" w:beforeAutospacing="1" w:after="100" w:afterAutospacing="1"/>
      <w:jc w:val="center"/>
    </w:pPr>
    <w:rPr>
      <w:rFonts w:ascii="宋体" w:hAnsi="宋体" w:cs="宋体"/>
      <w:b/>
      <w:bCs/>
      <w:kern w:val="0"/>
      <w:szCs w:val="21"/>
    </w:rPr>
  </w:style>
  <w:style w:type="paragraph" w:customStyle="1" w:styleId="879">
    <w:name w:val="xl70"/>
    <w:basedOn w:val="1"/>
    <w:qFormat/>
    <w:uiPriority w:val="0"/>
    <w:pPr>
      <w:widowControl/>
      <w:pBdr>
        <w:top w:val="single" w:color="auto" w:sz="8" w:space="0"/>
        <w:left w:val="single" w:color="auto" w:sz="8" w:space="0"/>
        <w:bottom w:val="single" w:color="auto" w:sz="8" w:space="0"/>
      </w:pBdr>
      <w:spacing w:before="100" w:beforeAutospacing="1" w:after="100" w:afterAutospacing="1"/>
      <w:jc w:val="center"/>
    </w:pPr>
    <w:rPr>
      <w:rFonts w:ascii="宋体" w:hAnsi="宋体" w:cs="宋体"/>
      <w:b/>
      <w:bCs/>
      <w:kern w:val="0"/>
      <w:szCs w:val="21"/>
    </w:rPr>
  </w:style>
  <w:style w:type="paragraph" w:customStyle="1" w:styleId="880">
    <w:name w:val="xl72"/>
    <w:basedOn w:val="1"/>
    <w:qFormat/>
    <w:uiPriority w:val="0"/>
    <w:pPr>
      <w:widowControl/>
      <w:pBdr>
        <w:bottom w:val="single" w:color="auto" w:sz="8" w:space="0"/>
        <w:right w:val="single" w:color="auto" w:sz="8" w:space="0"/>
      </w:pBdr>
      <w:spacing w:before="100" w:beforeAutospacing="1" w:after="100" w:afterAutospacing="1"/>
    </w:pPr>
    <w:rPr>
      <w:kern w:val="0"/>
      <w:szCs w:val="21"/>
    </w:rPr>
  </w:style>
  <w:style w:type="paragraph" w:customStyle="1" w:styleId="881">
    <w:name w:val="xl73"/>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cs="宋体"/>
      <w:kern w:val="0"/>
      <w:szCs w:val="21"/>
    </w:rPr>
  </w:style>
  <w:style w:type="paragraph" w:customStyle="1" w:styleId="882">
    <w:name w:val="xl74"/>
    <w:basedOn w:val="1"/>
    <w:qFormat/>
    <w:uiPriority w:val="0"/>
    <w:pPr>
      <w:widowControl/>
      <w:pBdr>
        <w:bottom w:val="single" w:color="auto" w:sz="8" w:space="0"/>
        <w:right w:val="single" w:color="auto" w:sz="8" w:space="0"/>
      </w:pBdr>
      <w:spacing w:before="100" w:beforeAutospacing="1" w:after="100" w:afterAutospacing="1"/>
      <w:jc w:val="center"/>
    </w:pPr>
    <w:rPr>
      <w:kern w:val="0"/>
      <w:szCs w:val="21"/>
    </w:rPr>
  </w:style>
  <w:style w:type="paragraph" w:customStyle="1" w:styleId="883">
    <w:name w:val="xl75"/>
    <w:basedOn w:val="1"/>
    <w:qFormat/>
    <w:uiPriority w:val="0"/>
    <w:pPr>
      <w:widowControl/>
      <w:pBdr>
        <w:bottom w:val="single" w:color="auto" w:sz="8" w:space="0"/>
      </w:pBdr>
      <w:spacing w:before="100" w:beforeAutospacing="1" w:after="100" w:afterAutospacing="1"/>
      <w:jc w:val="center"/>
    </w:pPr>
    <w:rPr>
      <w:kern w:val="0"/>
      <w:szCs w:val="21"/>
    </w:rPr>
  </w:style>
  <w:style w:type="paragraph" w:customStyle="1" w:styleId="884">
    <w:name w:val="xl76"/>
    <w:basedOn w:val="1"/>
    <w:qFormat/>
    <w:uiPriority w:val="0"/>
    <w:pPr>
      <w:widowControl/>
      <w:pBdr>
        <w:top w:val="single" w:color="auto" w:sz="8" w:space="0"/>
        <w:right w:val="single" w:color="auto" w:sz="8" w:space="0"/>
      </w:pBdr>
      <w:spacing w:before="100" w:beforeAutospacing="1" w:after="100" w:afterAutospacing="1"/>
      <w:jc w:val="center"/>
    </w:pPr>
    <w:rPr>
      <w:kern w:val="0"/>
      <w:szCs w:val="21"/>
    </w:rPr>
  </w:style>
  <w:style w:type="paragraph" w:customStyle="1" w:styleId="885">
    <w:name w:val="xl77"/>
    <w:basedOn w:val="1"/>
    <w:qFormat/>
    <w:uiPriority w:val="0"/>
    <w:pPr>
      <w:widowControl/>
      <w:pBdr>
        <w:top w:val="single" w:color="auto" w:sz="8" w:space="0"/>
        <w:left w:val="single" w:color="auto" w:sz="8" w:space="0"/>
        <w:right w:val="single" w:color="auto" w:sz="8" w:space="0"/>
      </w:pBdr>
      <w:spacing w:before="100" w:beforeAutospacing="1" w:after="100" w:afterAutospacing="1"/>
      <w:jc w:val="center"/>
    </w:pPr>
    <w:rPr>
      <w:rFonts w:ascii="宋体" w:hAnsi="宋体" w:cs="宋体"/>
      <w:kern w:val="0"/>
      <w:szCs w:val="21"/>
    </w:rPr>
  </w:style>
  <w:style w:type="paragraph" w:customStyle="1" w:styleId="886">
    <w:name w:val="xl78"/>
    <w:basedOn w:val="1"/>
    <w:qFormat/>
    <w:uiPriority w:val="0"/>
    <w:pPr>
      <w:widowControl/>
      <w:pBdr>
        <w:top w:val="single" w:color="auto" w:sz="8" w:space="0"/>
        <w:left w:val="single" w:color="auto" w:sz="8" w:space="0"/>
        <w:right w:val="single" w:color="auto" w:sz="8" w:space="0"/>
      </w:pBdr>
      <w:spacing w:before="100" w:beforeAutospacing="1" w:after="100" w:afterAutospacing="1"/>
      <w:jc w:val="center"/>
    </w:pPr>
    <w:rPr>
      <w:kern w:val="0"/>
      <w:szCs w:val="21"/>
    </w:rPr>
  </w:style>
  <w:style w:type="paragraph" w:customStyle="1" w:styleId="887">
    <w:name w:val="xl79"/>
    <w:basedOn w:val="1"/>
    <w:qFormat/>
    <w:uiPriority w:val="0"/>
    <w:pPr>
      <w:widowControl/>
      <w:pBdr>
        <w:right w:val="single" w:color="auto" w:sz="8" w:space="0"/>
      </w:pBdr>
      <w:spacing w:before="100" w:beforeAutospacing="1" w:after="100" w:afterAutospacing="1"/>
      <w:jc w:val="center"/>
    </w:pPr>
    <w:rPr>
      <w:rFonts w:ascii="宋体" w:hAnsi="宋体" w:cs="宋体"/>
      <w:kern w:val="0"/>
      <w:szCs w:val="21"/>
    </w:rPr>
  </w:style>
  <w:style w:type="paragraph" w:customStyle="1" w:styleId="888">
    <w:name w:val="xl81"/>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rFonts w:ascii="宋体" w:hAnsi="宋体" w:cs="宋体"/>
      <w:kern w:val="0"/>
      <w:szCs w:val="21"/>
    </w:rPr>
  </w:style>
  <w:style w:type="paragraph" w:customStyle="1" w:styleId="889">
    <w:name w:val="xl82"/>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kern w:val="0"/>
      <w:szCs w:val="21"/>
    </w:rPr>
  </w:style>
  <w:style w:type="paragraph" w:customStyle="1" w:styleId="890">
    <w:name w:val="xl83"/>
    <w:basedOn w:val="1"/>
    <w:qFormat/>
    <w:uiPriority w:val="0"/>
    <w:pPr>
      <w:widowControl/>
      <w:pBdr>
        <w:left w:val="single" w:color="auto" w:sz="8" w:space="0"/>
        <w:bottom w:val="single" w:color="auto" w:sz="8" w:space="0"/>
      </w:pBdr>
      <w:spacing w:before="100" w:beforeAutospacing="1" w:after="100" w:afterAutospacing="1"/>
      <w:jc w:val="center"/>
    </w:pPr>
    <w:rPr>
      <w:kern w:val="0"/>
      <w:szCs w:val="21"/>
    </w:rPr>
  </w:style>
  <w:style w:type="paragraph" w:customStyle="1" w:styleId="891">
    <w:name w:val="xl84"/>
    <w:basedOn w:val="1"/>
    <w:qFormat/>
    <w:uiPriority w:val="0"/>
    <w:pPr>
      <w:widowControl/>
      <w:pBdr>
        <w:bottom w:val="single" w:color="auto" w:sz="8" w:space="0"/>
      </w:pBdr>
      <w:spacing w:before="100" w:beforeAutospacing="1" w:after="100" w:afterAutospacing="1"/>
      <w:jc w:val="center"/>
    </w:pPr>
    <w:rPr>
      <w:b/>
      <w:bCs/>
      <w:kern w:val="0"/>
      <w:szCs w:val="21"/>
    </w:rPr>
  </w:style>
  <w:style w:type="paragraph" w:customStyle="1" w:styleId="892">
    <w:name w:val="xl85"/>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cs="宋体"/>
      <w:color w:val="000000"/>
      <w:kern w:val="0"/>
      <w:szCs w:val="21"/>
    </w:rPr>
  </w:style>
  <w:style w:type="paragraph" w:customStyle="1" w:styleId="893">
    <w:name w:val="xl86"/>
    <w:basedOn w:val="1"/>
    <w:qFormat/>
    <w:uiPriority w:val="0"/>
    <w:pPr>
      <w:widowControl/>
      <w:pBdr>
        <w:bottom w:val="single" w:color="auto" w:sz="8" w:space="0"/>
        <w:right w:val="single" w:color="auto" w:sz="8" w:space="0"/>
      </w:pBdr>
      <w:spacing w:before="100" w:beforeAutospacing="1" w:after="100" w:afterAutospacing="1"/>
      <w:jc w:val="center"/>
    </w:pPr>
    <w:rPr>
      <w:color w:val="000000"/>
      <w:kern w:val="0"/>
      <w:szCs w:val="21"/>
    </w:rPr>
  </w:style>
  <w:style w:type="paragraph" w:customStyle="1" w:styleId="894">
    <w:name w:val="xl87"/>
    <w:basedOn w:val="1"/>
    <w:qFormat/>
    <w:uiPriority w:val="0"/>
    <w:pPr>
      <w:widowControl/>
      <w:pBdr>
        <w:bottom w:val="single" w:color="auto" w:sz="12" w:space="0"/>
        <w:right w:val="single" w:color="auto" w:sz="8" w:space="0"/>
      </w:pBdr>
      <w:spacing w:before="100" w:beforeAutospacing="1" w:after="100" w:afterAutospacing="1"/>
      <w:jc w:val="center"/>
    </w:pPr>
    <w:rPr>
      <w:kern w:val="0"/>
      <w:szCs w:val="21"/>
    </w:rPr>
  </w:style>
  <w:style w:type="paragraph" w:customStyle="1" w:styleId="895">
    <w:name w:val="xl88"/>
    <w:basedOn w:val="1"/>
    <w:qFormat/>
    <w:uiPriority w:val="0"/>
    <w:pPr>
      <w:widowControl/>
      <w:pBdr>
        <w:bottom w:val="single" w:color="auto" w:sz="12" w:space="0"/>
        <w:right w:val="single" w:color="auto" w:sz="8" w:space="0"/>
      </w:pBdr>
      <w:spacing w:before="100" w:beforeAutospacing="1" w:after="100" w:afterAutospacing="1"/>
      <w:jc w:val="center"/>
    </w:pPr>
    <w:rPr>
      <w:rFonts w:ascii="宋体" w:hAnsi="宋体" w:cs="宋体"/>
      <w:kern w:val="0"/>
      <w:szCs w:val="21"/>
    </w:rPr>
  </w:style>
  <w:style w:type="paragraph" w:customStyle="1" w:styleId="896">
    <w:name w:val="xl89"/>
    <w:basedOn w:val="1"/>
    <w:qFormat/>
    <w:uiPriority w:val="0"/>
    <w:pPr>
      <w:widowControl/>
      <w:pBdr>
        <w:bottom w:val="single" w:color="auto" w:sz="12" w:space="0"/>
      </w:pBdr>
      <w:spacing w:before="100" w:beforeAutospacing="1" w:after="100" w:afterAutospacing="1"/>
      <w:jc w:val="center"/>
    </w:pPr>
    <w:rPr>
      <w:kern w:val="0"/>
      <w:szCs w:val="21"/>
    </w:rPr>
  </w:style>
  <w:style w:type="character" w:customStyle="1" w:styleId="897">
    <w:name w:val="正 文 Char"/>
    <w:link w:val="898"/>
    <w:qFormat/>
    <w:uiPriority w:val="0"/>
    <w:rPr>
      <w:rFonts w:ascii="Arial" w:hAnsi="宋体" w:cs="Arial"/>
      <w:color w:val="000000"/>
      <w:kern w:val="2"/>
      <w:sz w:val="24"/>
      <w:szCs w:val="24"/>
      <w:lang w:val="zh-CN"/>
    </w:rPr>
  </w:style>
  <w:style w:type="paragraph" w:customStyle="1" w:styleId="898">
    <w:name w:val="正 文"/>
    <w:link w:val="897"/>
    <w:qFormat/>
    <w:uiPriority w:val="0"/>
    <w:pPr>
      <w:widowControl w:val="0"/>
      <w:spacing w:line="480" w:lineRule="exact"/>
      <w:ind w:firstLine="471"/>
      <w:jc w:val="both"/>
    </w:pPr>
    <w:rPr>
      <w:rFonts w:ascii="Arial" w:hAnsi="宋体" w:eastAsia="宋体" w:cs="Arial"/>
      <w:color w:val="000000"/>
      <w:kern w:val="2"/>
      <w:sz w:val="24"/>
      <w:szCs w:val="24"/>
      <w:lang w:val="zh-CN" w:eastAsia="zh-CN" w:bidi="ar-SA"/>
    </w:rPr>
  </w:style>
  <w:style w:type="paragraph" w:customStyle="1" w:styleId="899">
    <w:name w:val="表格名称"/>
    <w:basedOn w:val="1"/>
    <w:link w:val="900"/>
    <w:qFormat/>
    <w:uiPriority w:val="0"/>
    <w:pPr>
      <w:keepNext/>
      <w:wordWrap w:val="0"/>
      <w:topLinePunct/>
      <w:adjustRightInd w:val="0"/>
      <w:snapToGrid w:val="0"/>
      <w:ind w:firstLine="471"/>
      <w:jc w:val="center"/>
    </w:pPr>
    <w:rPr>
      <w:rFonts w:ascii="黑体" w:hAnsi="Arial" w:eastAsia="黑体"/>
      <w:bCs/>
      <w:sz w:val="24"/>
    </w:rPr>
  </w:style>
  <w:style w:type="character" w:customStyle="1" w:styleId="900">
    <w:name w:val="表格名称 Char Char"/>
    <w:link w:val="899"/>
    <w:qFormat/>
    <w:uiPriority w:val="0"/>
    <w:rPr>
      <w:rFonts w:ascii="黑体" w:hAnsi="Arial" w:eastAsia="黑体"/>
      <w:bCs/>
      <w:kern w:val="2"/>
      <w:sz w:val="24"/>
      <w:szCs w:val="24"/>
    </w:rPr>
  </w:style>
  <w:style w:type="paragraph" w:customStyle="1" w:styleId="901">
    <w:name w:val="样式 正 文 + 宋体1"/>
    <w:basedOn w:val="898"/>
    <w:link w:val="902"/>
    <w:qFormat/>
    <w:uiPriority w:val="0"/>
    <w:rPr>
      <w:rFonts w:ascii="宋体"/>
    </w:rPr>
  </w:style>
  <w:style w:type="character" w:customStyle="1" w:styleId="902">
    <w:name w:val="样式 正 文 + 宋体1 Char"/>
    <w:link w:val="901"/>
    <w:qFormat/>
    <w:uiPriority w:val="0"/>
    <w:rPr>
      <w:rFonts w:ascii="宋体" w:hAnsi="宋体" w:cs="Arial"/>
      <w:color w:val="000000"/>
      <w:kern w:val="2"/>
      <w:sz w:val="24"/>
      <w:szCs w:val="24"/>
      <w:lang w:val="zh-CN"/>
    </w:rPr>
  </w:style>
  <w:style w:type="paragraph" w:customStyle="1" w:styleId="903">
    <w:name w:val="样式 表格文字 + 首行缩进:  2.15 字符"/>
    <w:basedOn w:val="136"/>
    <w:qFormat/>
    <w:uiPriority w:val="0"/>
    <w:pPr>
      <w:spacing w:line="240" w:lineRule="auto"/>
    </w:pPr>
    <w:rPr>
      <w:rFonts w:ascii="Arial" w:hAnsi="Arial" w:cs="宋体"/>
      <w:sz w:val="21"/>
    </w:rPr>
  </w:style>
  <w:style w:type="paragraph" w:customStyle="1" w:styleId="904">
    <w:name w:val="AG-表 标题"/>
    <w:basedOn w:val="594"/>
    <w:link w:val="906"/>
    <w:qFormat/>
    <w:uiPriority w:val="0"/>
    <w:rPr>
      <w:rFonts w:eastAsia="黑体"/>
      <w:b w:val="0"/>
      <w:sz w:val="24"/>
      <w:szCs w:val="24"/>
    </w:rPr>
  </w:style>
  <w:style w:type="character" w:customStyle="1" w:styleId="905">
    <w:name w:val="表头及表尾 Char"/>
    <w:link w:val="594"/>
    <w:qFormat/>
    <w:uiPriority w:val="0"/>
    <w:rPr>
      <w:b/>
      <w:snapToGrid w:val="0"/>
      <w:sz w:val="21"/>
      <w:szCs w:val="21"/>
    </w:rPr>
  </w:style>
  <w:style w:type="character" w:customStyle="1" w:styleId="906">
    <w:name w:val="AG-表 标题 字符"/>
    <w:link w:val="904"/>
    <w:qFormat/>
    <w:uiPriority w:val="0"/>
    <w:rPr>
      <w:rFonts w:eastAsia="黑体"/>
      <w:snapToGrid w:val="0"/>
      <w:sz w:val="24"/>
      <w:szCs w:val="24"/>
    </w:rPr>
  </w:style>
  <w:style w:type="paragraph" w:customStyle="1" w:styleId="907">
    <w:name w:val="AKP-正+号"/>
    <w:basedOn w:val="234"/>
    <w:link w:val="908"/>
    <w:qFormat/>
    <w:uiPriority w:val="0"/>
    <w:pPr>
      <w:numPr>
        <w:ilvl w:val="0"/>
        <w:numId w:val="9"/>
      </w:numPr>
      <w:adjustRightInd w:val="0"/>
      <w:snapToGrid w:val="0"/>
      <w:ind w:left="0" w:firstLine="200"/>
    </w:pPr>
  </w:style>
  <w:style w:type="character" w:customStyle="1" w:styleId="908">
    <w:name w:val="AKP-正+号 字符"/>
    <w:link w:val="907"/>
    <w:qFormat/>
    <w:uiPriority w:val="0"/>
    <w:rPr>
      <w:kern w:val="2"/>
      <w:sz w:val="24"/>
      <w:szCs w:val="24"/>
    </w:rPr>
  </w:style>
  <w:style w:type="paragraph" w:customStyle="1" w:styleId="909">
    <w:name w:val="AHB-首字"/>
    <w:qFormat/>
    <w:uiPriority w:val="0"/>
    <w:pPr>
      <w:tabs>
        <w:tab w:val="center" w:pos="4200"/>
        <w:tab w:val="right" w:pos="8400"/>
      </w:tabs>
      <w:adjustRightInd w:val="0"/>
      <w:snapToGrid w:val="0"/>
      <w:jc w:val="center"/>
    </w:pPr>
    <w:rPr>
      <w:rFonts w:ascii="Times New Roman" w:hAnsi="Times New Roman" w:eastAsia="宋体" w:cs="Times New Roman"/>
      <w:b/>
      <w:snapToGrid w:val="0"/>
      <w:sz w:val="21"/>
      <w:szCs w:val="21"/>
      <w:lang w:val="en-US" w:eastAsia="zh-CN" w:bidi="ar-SA"/>
    </w:rPr>
  </w:style>
  <w:style w:type="paragraph" w:customStyle="1" w:styleId="910">
    <w:name w:val="河南正文"/>
    <w:basedOn w:val="36"/>
    <w:qFormat/>
    <w:uiPriority w:val="0"/>
    <w:pPr>
      <w:spacing w:after="0" w:line="520" w:lineRule="exact"/>
      <w:ind w:left="0" w:leftChars="0" w:firstLine="560" w:firstLineChars="200"/>
    </w:pPr>
    <w:rPr>
      <w:sz w:val="28"/>
      <w:szCs w:val="20"/>
    </w:rPr>
  </w:style>
  <w:style w:type="paragraph" w:customStyle="1" w:styleId="911">
    <w:name w:val="表格（海诚）"/>
    <w:qFormat/>
    <w:uiPriority w:val="0"/>
    <w:pPr>
      <w:spacing w:line="400" w:lineRule="exact"/>
      <w:jc w:val="center"/>
    </w:pPr>
    <w:rPr>
      <w:rFonts w:ascii="Times New Roman" w:hAnsi="Times New Roman" w:eastAsia="仿宋_GB2312" w:cs="Times New Roman"/>
      <w:kern w:val="2"/>
      <w:sz w:val="24"/>
      <w:lang w:val="en-US" w:eastAsia="zh-CN" w:bidi="ar-SA"/>
    </w:rPr>
  </w:style>
  <w:style w:type="paragraph" w:customStyle="1" w:styleId="912">
    <w:name w:val="样式 首行缩进:  2 字符1"/>
    <w:basedOn w:val="1"/>
    <w:link w:val="1733"/>
    <w:qFormat/>
    <w:uiPriority w:val="0"/>
    <w:pPr>
      <w:adjustRightInd w:val="0"/>
      <w:snapToGrid w:val="0"/>
      <w:spacing w:line="360" w:lineRule="auto"/>
      <w:ind w:firstLine="200" w:firstLineChars="200"/>
    </w:pPr>
    <w:rPr>
      <w:rFonts w:ascii="宋体" w:cs="宋体"/>
      <w:sz w:val="24"/>
      <w:szCs w:val="20"/>
    </w:rPr>
  </w:style>
  <w:style w:type="paragraph" w:customStyle="1" w:styleId="913">
    <w:name w:val="样式 小四 行距: 1.5 倍行距"/>
    <w:basedOn w:val="1"/>
    <w:qFormat/>
    <w:uiPriority w:val="0"/>
    <w:pPr>
      <w:adjustRightInd w:val="0"/>
      <w:snapToGrid w:val="0"/>
      <w:spacing w:line="360" w:lineRule="auto"/>
      <w:ind w:firstLine="200" w:firstLineChars="200"/>
    </w:pPr>
    <w:rPr>
      <w:rFonts w:ascii="宋体" w:cs="宋体"/>
      <w:sz w:val="24"/>
      <w:szCs w:val="20"/>
    </w:rPr>
  </w:style>
  <w:style w:type="character" w:customStyle="1" w:styleId="914">
    <w:name w:val="正文（海诚） Char"/>
    <w:link w:val="915"/>
    <w:qFormat/>
    <w:uiPriority w:val="0"/>
    <w:rPr>
      <w:rFonts w:eastAsia="仿宋_GB2312"/>
      <w:kern w:val="2"/>
      <w:sz w:val="28"/>
    </w:rPr>
  </w:style>
  <w:style w:type="paragraph" w:customStyle="1" w:styleId="915">
    <w:name w:val="正文（海诚）"/>
    <w:basedOn w:val="1"/>
    <w:link w:val="914"/>
    <w:qFormat/>
    <w:uiPriority w:val="0"/>
    <w:pPr>
      <w:spacing w:line="520" w:lineRule="exact"/>
      <w:ind w:firstLine="560" w:firstLineChars="200"/>
    </w:pPr>
    <w:rPr>
      <w:rFonts w:eastAsia="仿宋_GB2312"/>
      <w:sz w:val="28"/>
      <w:szCs w:val="20"/>
    </w:rPr>
  </w:style>
  <w:style w:type="paragraph" w:customStyle="1" w:styleId="916">
    <w:name w:val="参加人员"/>
    <w:basedOn w:val="1"/>
    <w:qFormat/>
    <w:uiPriority w:val="0"/>
    <w:pPr>
      <w:spacing w:line="500" w:lineRule="atLeast"/>
    </w:pPr>
    <w:rPr>
      <w:sz w:val="24"/>
    </w:rPr>
  </w:style>
  <w:style w:type="character" w:customStyle="1" w:styleId="917">
    <w:name w:val="三级标题（海诚） Char"/>
    <w:link w:val="918"/>
    <w:qFormat/>
    <w:uiPriority w:val="0"/>
    <w:rPr>
      <w:rFonts w:ascii="宋体" w:hAnsi="宋体" w:eastAsia="仿宋_GB2312"/>
      <w:b/>
      <w:kern w:val="2"/>
      <w:sz w:val="28"/>
    </w:rPr>
  </w:style>
  <w:style w:type="paragraph" w:customStyle="1" w:styleId="918">
    <w:name w:val="三级标题（海诚）"/>
    <w:basedOn w:val="5"/>
    <w:link w:val="917"/>
    <w:qFormat/>
    <w:uiPriority w:val="0"/>
    <w:pPr>
      <w:numPr>
        <w:ilvl w:val="0"/>
        <w:numId w:val="0"/>
      </w:numPr>
      <w:spacing w:line="500" w:lineRule="exact"/>
      <w:ind w:left="24" w:hanging="20"/>
      <w:jc w:val="both"/>
    </w:pPr>
    <w:rPr>
      <w:rFonts w:ascii="宋体" w:hAnsi="宋体" w:eastAsia="仿宋_GB2312"/>
      <w:b/>
      <w:bCs/>
    </w:rPr>
  </w:style>
  <w:style w:type="paragraph" w:customStyle="1" w:styleId="919">
    <w:name w:val="中文报告书样式"/>
    <w:basedOn w:val="1"/>
    <w:qFormat/>
    <w:uiPriority w:val="0"/>
    <w:pPr>
      <w:adjustRightInd w:val="0"/>
      <w:spacing w:line="480" w:lineRule="atLeast"/>
      <w:ind w:firstLine="482"/>
    </w:pPr>
    <w:rPr>
      <w:kern w:val="24"/>
      <w:sz w:val="24"/>
      <w:szCs w:val="20"/>
    </w:rPr>
  </w:style>
  <w:style w:type="paragraph" w:customStyle="1" w:styleId="920">
    <w:name w:val="样式 正文 行距: 固定值 25 磅"/>
    <w:basedOn w:val="1"/>
    <w:link w:val="921"/>
    <w:qFormat/>
    <w:uiPriority w:val="0"/>
    <w:pPr>
      <w:adjustRightInd w:val="0"/>
      <w:spacing w:line="500" w:lineRule="exact"/>
      <w:ind w:firstLine="200" w:firstLineChars="200"/>
    </w:pPr>
    <w:rPr>
      <w:rFonts w:cs="宋体"/>
      <w:sz w:val="24"/>
    </w:rPr>
  </w:style>
  <w:style w:type="character" w:customStyle="1" w:styleId="921">
    <w:name w:val="样式 正文 行距: 固定值 25 磅 Char"/>
    <w:link w:val="920"/>
    <w:qFormat/>
    <w:uiPriority w:val="0"/>
    <w:rPr>
      <w:rFonts w:cs="宋体"/>
      <w:kern w:val="2"/>
      <w:sz w:val="24"/>
      <w:szCs w:val="24"/>
    </w:rPr>
  </w:style>
  <w:style w:type="paragraph" w:customStyle="1" w:styleId="922">
    <w:name w:val="标题行"/>
    <w:basedOn w:val="1"/>
    <w:link w:val="923"/>
    <w:qFormat/>
    <w:uiPriority w:val="0"/>
    <w:pPr>
      <w:adjustRightInd w:val="0"/>
      <w:snapToGrid w:val="0"/>
      <w:spacing w:line="240" w:lineRule="atLeast"/>
      <w:jc w:val="center"/>
    </w:pPr>
    <w:rPr>
      <w:rFonts w:hAnsi="宋体"/>
      <w:b/>
      <w:color w:val="000000"/>
      <w:szCs w:val="21"/>
    </w:rPr>
  </w:style>
  <w:style w:type="character" w:customStyle="1" w:styleId="923">
    <w:name w:val="标题行 Char"/>
    <w:link w:val="922"/>
    <w:qFormat/>
    <w:uiPriority w:val="0"/>
    <w:rPr>
      <w:rFonts w:hAnsi="宋体"/>
      <w:b/>
      <w:color w:val="000000"/>
      <w:kern w:val="2"/>
      <w:sz w:val="21"/>
      <w:szCs w:val="21"/>
    </w:rPr>
  </w:style>
  <w:style w:type="character" w:customStyle="1" w:styleId="924">
    <w:name w:val="表格内容 Char"/>
    <w:link w:val="135"/>
    <w:qFormat/>
    <w:uiPriority w:val="0"/>
    <w:rPr>
      <w:kern w:val="2"/>
      <w:sz w:val="21"/>
      <w:szCs w:val="18"/>
    </w:rPr>
  </w:style>
  <w:style w:type="paragraph" w:customStyle="1" w:styleId="925">
    <w:name w:val="表、图名称"/>
    <w:qFormat/>
    <w:uiPriority w:val="0"/>
    <w:pPr>
      <w:widowControl w:val="0"/>
      <w:tabs>
        <w:tab w:val="center" w:pos="4200"/>
        <w:tab w:val="right" w:pos="8400"/>
      </w:tabs>
      <w:adjustRightInd w:val="0"/>
      <w:snapToGrid w:val="0"/>
      <w:jc w:val="center"/>
    </w:pPr>
    <w:rPr>
      <w:rFonts w:ascii="Times New Roman" w:hAnsi="Times New Roman" w:eastAsia="黑体" w:cs="Times New Roman"/>
      <w:snapToGrid w:val="0"/>
      <w:sz w:val="24"/>
      <w:szCs w:val="21"/>
      <w:lang w:val="en-US" w:eastAsia="zh-CN" w:bidi="ar-SA"/>
    </w:rPr>
  </w:style>
  <w:style w:type="paragraph" w:customStyle="1" w:styleId="926">
    <w:name w:val="标题 130"/>
    <w:basedOn w:val="5"/>
    <w:link w:val="927"/>
    <w:qFormat/>
    <w:uiPriority w:val="0"/>
    <w:pPr>
      <w:numPr>
        <w:ilvl w:val="0"/>
        <w:numId w:val="0"/>
      </w:numPr>
    </w:pPr>
    <w:rPr>
      <w:lang w:eastAsia="zh-TW"/>
    </w:rPr>
  </w:style>
  <w:style w:type="character" w:customStyle="1" w:styleId="927">
    <w:name w:val="标题 130 Char"/>
    <w:link w:val="926"/>
    <w:qFormat/>
    <w:uiPriority w:val="0"/>
    <w:rPr>
      <w:rFonts w:eastAsia="黑体"/>
      <w:bCs/>
      <w:kern w:val="2"/>
      <w:sz w:val="24"/>
      <w:szCs w:val="24"/>
      <w:lang w:eastAsia="zh-TW"/>
    </w:rPr>
  </w:style>
  <w:style w:type="paragraph" w:customStyle="1" w:styleId="928">
    <w:name w:val="标题  13"/>
    <w:basedOn w:val="926"/>
    <w:link w:val="929"/>
    <w:qFormat/>
    <w:uiPriority w:val="0"/>
    <w:pPr>
      <w:numPr>
        <w:ilvl w:val="2"/>
        <w:numId w:val="10"/>
      </w:numPr>
      <w:ind w:left="0" w:firstLine="0"/>
    </w:pPr>
  </w:style>
  <w:style w:type="character" w:customStyle="1" w:styleId="929">
    <w:name w:val="标题  13 Char"/>
    <w:link w:val="928"/>
    <w:qFormat/>
    <w:uiPriority w:val="0"/>
    <w:rPr>
      <w:rFonts w:eastAsia="黑体"/>
      <w:color w:val="000000"/>
      <w:sz w:val="28"/>
      <w:lang w:eastAsia="zh-TW"/>
    </w:rPr>
  </w:style>
  <w:style w:type="paragraph" w:customStyle="1" w:styleId="930">
    <w:name w:val="样式 小四 行距: 1.5 倍行距4"/>
    <w:basedOn w:val="1"/>
    <w:qFormat/>
    <w:uiPriority w:val="0"/>
    <w:pPr>
      <w:adjustRightInd w:val="0"/>
      <w:snapToGrid w:val="0"/>
      <w:spacing w:line="360" w:lineRule="auto"/>
      <w:ind w:firstLine="200" w:firstLineChars="200"/>
    </w:pPr>
    <w:rPr>
      <w:rFonts w:ascii="宋体" w:cs="宋体"/>
      <w:sz w:val="24"/>
      <w:szCs w:val="20"/>
    </w:rPr>
  </w:style>
  <w:style w:type="paragraph" w:customStyle="1" w:styleId="931">
    <w:name w:val="河南表格"/>
    <w:basedOn w:val="1"/>
    <w:qFormat/>
    <w:uiPriority w:val="0"/>
    <w:pPr>
      <w:spacing w:line="240" w:lineRule="atLeast"/>
      <w:jc w:val="center"/>
    </w:pPr>
    <w:rPr>
      <w:rFonts w:ascii="宋体" w:hAnsi="宋体"/>
      <w:b/>
      <w:szCs w:val="20"/>
    </w:rPr>
  </w:style>
  <w:style w:type="paragraph" w:customStyle="1" w:styleId="932">
    <w:name w:val="样式 标题 3 + 首行缩进:  0.68 字符"/>
    <w:basedOn w:val="5"/>
    <w:qFormat/>
    <w:uiPriority w:val="0"/>
    <w:pPr>
      <w:numPr>
        <w:ilvl w:val="0"/>
        <w:numId w:val="0"/>
      </w:numPr>
      <w:tabs>
        <w:tab w:val="left" w:pos="1260"/>
      </w:tabs>
      <w:spacing w:before="120" w:line="540" w:lineRule="exact"/>
      <w:ind w:left="1260" w:hanging="420"/>
      <w:jc w:val="both"/>
    </w:pPr>
    <w:rPr>
      <w:rFonts w:eastAsia="宋体"/>
      <w:bCs/>
    </w:rPr>
  </w:style>
  <w:style w:type="paragraph" w:customStyle="1" w:styleId="933">
    <w:name w:val="默认段落字体 Para Char Char Char Char Char Char Char Char Char1 Char Char Char Char"/>
    <w:basedOn w:val="1"/>
    <w:qFormat/>
    <w:uiPriority w:val="0"/>
  </w:style>
  <w:style w:type="paragraph" w:customStyle="1" w:styleId="934">
    <w:name w:val="字元 字元"/>
    <w:basedOn w:val="1"/>
    <w:qFormat/>
    <w:uiPriority w:val="0"/>
  </w:style>
  <w:style w:type="paragraph" w:customStyle="1" w:styleId="935">
    <w:name w:val="数字顺序样"/>
    <w:basedOn w:val="1"/>
    <w:qFormat/>
    <w:uiPriority w:val="0"/>
    <w:pPr>
      <w:numPr>
        <w:ilvl w:val="0"/>
        <w:numId w:val="11"/>
      </w:numPr>
    </w:pPr>
  </w:style>
  <w:style w:type="character" w:customStyle="1" w:styleId="936">
    <w:name w:val="规范正文 Char"/>
    <w:link w:val="937"/>
    <w:qFormat/>
    <w:uiPriority w:val="0"/>
    <w:rPr>
      <w:kern w:val="2"/>
      <w:sz w:val="24"/>
    </w:rPr>
  </w:style>
  <w:style w:type="paragraph" w:customStyle="1" w:styleId="937">
    <w:name w:val="规范正文"/>
    <w:basedOn w:val="1"/>
    <w:link w:val="936"/>
    <w:qFormat/>
    <w:uiPriority w:val="0"/>
    <w:pPr>
      <w:spacing w:line="360" w:lineRule="auto"/>
      <w:ind w:firstLine="480" w:firstLineChars="200"/>
    </w:pPr>
    <w:rPr>
      <w:sz w:val="24"/>
      <w:szCs w:val="20"/>
    </w:rPr>
  </w:style>
  <w:style w:type="paragraph" w:customStyle="1" w:styleId="938">
    <w:name w:val="正文++1"/>
    <w:basedOn w:val="1"/>
    <w:next w:val="1"/>
    <w:qFormat/>
    <w:uiPriority w:val="99"/>
    <w:pPr>
      <w:autoSpaceDE w:val="0"/>
      <w:autoSpaceDN w:val="0"/>
      <w:adjustRightInd w:val="0"/>
      <w:jc w:val="left"/>
    </w:pPr>
    <w:rPr>
      <w:kern w:val="0"/>
      <w:sz w:val="24"/>
    </w:rPr>
  </w:style>
  <w:style w:type="paragraph" w:customStyle="1" w:styleId="939">
    <w:name w:val="中编号文本"/>
    <w:basedOn w:val="234"/>
    <w:link w:val="940"/>
    <w:qFormat/>
    <w:uiPriority w:val="0"/>
    <w:pPr>
      <w:numPr>
        <w:ilvl w:val="0"/>
        <w:numId w:val="12"/>
      </w:numPr>
      <w:ind w:left="0" w:firstLine="0" w:firstLineChars="0"/>
    </w:pPr>
  </w:style>
  <w:style w:type="character" w:customStyle="1" w:styleId="940">
    <w:name w:val="中编号文本 Char"/>
    <w:link w:val="939"/>
    <w:qFormat/>
    <w:uiPriority w:val="0"/>
    <w:rPr>
      <w:kern w:val="2"/>
      <w:sz w:val="24"/>
      <w:szCs w:val="24"/>
    </w:rPr>
  </w:style>
  <w:style w:type="paragraph" w:customStyle="1" w:styleId="941">
    <w:name w:val="表格填充1"/>
    <w:basedOn w:val="1"/>
    <w:link w:val="942"/>
    <w:qFormat/>
    <w:uiPriority w:val="0"/>
    <w:pPr>
      <w:adjustRightInd w:val="0"/>
      <w:snapToGrid w:val="0"/>
      <w:spacing w:line="400" w:lineRule="exact"/>
      <w:jc w:val="center"/>
    </w:pPr>
    <w:rPr>
      <w:snapToGrid w:val="0"/>
      <w:szCs w:val="18"/>
    </w:rPr>
  </w:style>
  <w:style w:type="character" w:customStyle="1" w:styleId="942">
    <w:name w:val="表格填充1 Char"/>
    <w:link w:val="941"/>
    <w:qFormat/>
    <w:uiPriority w:val="0"/>
    <w:rPr>
      <w:snapToGrid w:val="0"/>
      <w:kern w:val="2"/>
      <w:sz w:val="21"/>
      <w:szCs w:val="18"/>
    </w:rPr>
  </w:style>
  <w:style w:type="paragraph" w:customStyle="1" w:styleId="943">
    <w:name w:val="正文总结性"/>
    <w:basedOn w:val="234"/>
    <w:link w:val="944"/>
    <w:qFormat/>
    <w:uiPriority w:val="0"/>
    <w:rPr>
      <w:rFonts w:eastAsia="黑体"/>
    </w:rPr>
  </w:style>
  <w:style w:type="character" w:customStyle="1" w:styleId="944">
    <w:name w:val="正文总结性 Char"/>
    <w:link w:val="943"/>
    <w:qFormat/>
    <w:uiPriority w:val="0"/>
    <w:rPr>
      <w:rFonts w:eastAsia="黑体"/>
      <w:kern w:val="2"/>
      <w:sz w:val="24"/>
      <w:szCs w:val="24"/>
    </w:rPr>
  </w:style>
  <w:style w:type="paragraph" w:customStyle="1" w:styleId="945">
    <w:name w:val="可研报告正文"/>
    <w:basedOn w:val="1"/>
    <w:qFormat/>
    <w:uiPriority w:val="0"/>
    <w:pPr>
      <w:tabs>
        <w:tab w:val="left" w:pos="5880"/>
      </w:tabs>
      <w:spacing w:before="156" w:beforeLines="50" w:line="440" w:lineRule="exact"/>
      <w:ind w:left="425" w:firstLine="482"/>
    </w:pPr>
    <w:rPr>
      <w:sz w:val="24"/>
    </w:rPr>
  </w:style>
  <w:style w:type="paragraph" w:customStyle="1" w:styleId="946">
    <w:name w:val="未确定"/>
    <w:basedOn w:val="1"/>
    <w:link w:val="1191"/>
    <w:qFormat/>
    <w:uiPriority w:val="0"/>
    <w:pPr>
      <w:spacing w:before="156" w:beforeLines="50" w:line="400" w:lineRule="exact"/>
      <w:ind w:firstLine="480" w:firstLineChars="200"/>
    </w:pPr>
    <w:rPr>
      <w:color w:val="800080"/>
      <w:sz w:val="24"/>
    </w:rPr>
  </w:style>
  <w:style w:type="character" w:customStyle="1" w:styleId="947">
    <w:name w:val="表格内容 Char Char"/>
    <w:qFormat/>
    <w:uiPriority w:val="0"/>
    <w:rPr>
      <w:kern w:val="2"/>
      <w:sz w:val="21"/>
      <w:szCs w:val="18"/>
    </w:rPr>
  </w:style>
  <w:style w:type="paragraph" w:customStyle="1" w:styleId="948">
    <w:name w:val="正文5"/>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character" w:customStyle="1" w:styleId="949">
    <w:name w:val="样式 正文 行距: 固定值 25 磅 Char Char"/>
    <w:qFormat/>
    <w:uiPriority w:val="0"/>
    <w:rPr>
      <w:kern w:val="2"/>
      <w:sz w:val="24"/>
      <w:szCs w:val="24"/>
    </w:rPr>
  </w:style>
  <w:style w:type="paragraph" w:customStyle="1" w:styleId="950">
    <w:name w:val="正文01"/>
    <w:basedOn w:val="1"/>
    <w:link w:val="1413"/>
    <w:qFormat/>
    <w:uiPriority w:val="0"/>
    <w:pPr>
      <w:spacing w:before="60" w:line="520" w:lineRule="exact"/>
      <w:ind w:firstLine="200" w:firstLineChars="200"/>
    </w:pPr>
    <w:rPr>
      <w:rFonts w:eastAsia="仿宋_GB2312"/>
      <w:color w:val="000000"/>
      <w:sz w:val="28"/>
      <w:szCs w:val="28"/>
    </w:rPr>
  </w:style>
  <w:style w:type="paragraph" w:customStyle="1" w:styleId="951">
    <w:name w:val="表格下方文字"/>
    <w:basedOn w:val="1"/>
    <w:qFormat/>
    <w:uiPriority w:val="0"/>
    <w:pPr>
      <w:adjustRightInd w:val="0"/>
      <w:snapToGrid w:val="0"/>
      <w:spacing w:before="400" w:line="520" w:lineRule="exact"/>
      <w:ind w:firstLine="200" w:firstLineChars="200"/>
    </w:pPr>
    <w:rPr>
      <w:rFonts w:eastAsia="仿宋_GB2312"/>
      <w:sz w:val="28"/>
    </w:rPr>
  </w:style>
  <w:style w:type="paragraph" w:customStyle="1" w:styleId="952">
    <w:name w:val="表中 字"/>
    <w:basedOn w:val="46"/>
    <w:link w:val="953"/>
    <w:qFormat/>
    <w:uiPriority w:val="0"/>
    <w:pPr>
      <w:spacing w:line="440" w:lineRule="exact"/>
      <w:jc w:val="center"/>
    </w:pPr>
    <w:rPr>
      <w:rFonts w:ascii="Times New Roman" w:hAnsi="Times New Roman" w:cs="Times New Roman"/>
    </w:rPr>
  </w:style>
  <w:style w:type="character" w:customStyle="1" w:styleId="953">
    <w:name w:val="表中 字 Char"/>
    <w:link w:val="952"/>
    <w:qFormat/>
    <w:uiPriority w:val="0"/>
    <w:rPr>
      <w:kern w:val="2"/>
      <w:sz w:val="21"/>
      <w:szCs w:val="21"/>
    </w:rPr>
  </w:style>
  <w:style w:type="paragraph" w:customStyle="1" w:styleId="954">
    <w:name w:val="正文 标数字"/>
    <w:basedOn w:val="234"/>
    <w:link w:val="955"/>
    <w:qFormat/>
    <w:uiPriority w:val="0"/>
    <w:pPr>
      <w:numPr>
        <w:ilvl w:val="0"/>
        <w:numId w:val="13"/>
      </w:numPr>
      <w:ind w:firstLine="0" w:firstLineChars="0"/>
    </w:pPr>
  </w:style>
  <w:style w:type="character" w:customStyle="1" w:styleId="955">
    <w:name w:val="正文 标数字 Char"/>
    <w:link w:val="954"/>
    <w:qFormat/>
    <w:uiPriority w:val="0"/>
    <w:rPr>
      <w:kern w:val="2"/>
      <w:sz w:val="24"/>
      <w:szCs w:val="24"/>
    </w:rPr>
  </w:style>
  <w:style w:type="paragraph" w:customStyle="1" w:styleId="956">
    <w:name w:val="纯文本5"/>
    <w:basedOn w:val="1"/>
    <w:qFormat/>
    <w:uiPriority w:val="0"/>
    <w:pPr>
      <w:adjustRightInd w:val="0"/>
      <w:textAlignment w:val="baseline"/>
    </w:pPr>
    <w:rPr>
      <w:rFonts w:ascii="宋体" w:hAnsi="Courier New"/>
      <w:szCs w:val="20"/>
    </w:rPr>
  </w:style>
  <w:style w:type="character" w:customStyle="1" w:styleId="957">
    <w:name w:val="标题1 Char"/>
    <w:qFormat/>
    <w:uiPriority w:val="0"/>
    <w:rPr>
      <w:rFonts w:ascii="楷体_GB2312" w:eastAsia="楷体_GB2312"/>
      <w:b/>
      <w:bCs/>
      <w:kern w:val="2"/>
      <w:sz w:val="32"/>
      <w:szCs w:val="36"/>
      <w:lang w:val="en-US" w:eastAsia="zh-CN" w:bidi="ar-SA"/>
    </w:rPr>
  </w:style>
  <w:style w:type="paragraph" w:customStyle="1" w:styleId="958">
    <w:name w:val="正文首行缩进2字"/>
    <w:basedOn w:val="1"/>
    <w:qFormat/>
    <w:uiPriority w:val="0"/>
    <w:pPr>
      <w:keepNext/>
      <w:keepLines/>
      <w:adjustRightInd w:val="0"/>
      <w:snapToGrid w:val="0"/>
      <w:spacing w:line="360" w:lineRule="auto"/>
      <w:ind w:firstLine="563" w:firstLineChars="201"/>
    </w:pPr>
    <w:rPr>
      <w:rFonts w:ascii="Arial Narrow" w:hAnsi="Arial Narrow"/>
      <w:sz w:val="28"/>
    </w:rPr>
  </w:style>
  <w:style w:type="paragraph" w:customStyle="1" w:styleId="959">
    <w:name w:val="表格文字分散对齐"/>
    <w:basedOn w:val="1"/>
    <w:qFormat/>
    <w:uiPriority w:val="0"/>
    <w:pPr>
      <w:spacing w:line="300" w:lineRule="auto"/>
      <w:jc w:val="distribute"/>
    </w:pPr>
  </w:style>
  <w:style w:type="paragraph" w:customStyle="1" w:styleId="960">
    <w:name w:val="表格文字两端对齐"/>
    <w:basedOn w:val="1"/>
    <w:qFormat/>
    <w:uiPriority w:val="0"/>
    <w:pPr>
      <w:jc w:val="center"/>
    </w:pPr>
    <w:rPr>
      <w:rFonts w:ascii="宋体" w:hAnsi="宋体"/>
      <w:color w:val="000000"/>
      <w:szCs w:val="21"/>
    </w:rPr>
  </w:style>
  <w:style w:type="character" w:customStyle="1" w:styleId="961">
    <w:name w:val="正文 首行缩进:  2 字符 Char Char Char Char"/>
    <w:link w:val="962"/>
    <w:qFormat/>
    <w:uiPriority w:val="0"/>
    <w:rPr>
      <w:kern w:val="2"/>
      <w:sz w:val="24"/>
      <w:szCs w:val="24"/>
    </w:rPr>
  </w:style>
  <w:style w:type="paragraph" w:customStyle="1" w:styleId="962">
    <w:name w:val="正文 首行缩进:  2 字符"/>
    <w:basedOn w:val="1"/>
    <w:link w:val="961"/>
    <w:qFormat/>
    <w:uiPriority w:val="0"/>
    <w:pPr>
      <w:snapToGrid w:val="0"/>
      <w:spacing w:line="500" w:lineRule="exact"/>
      <w:ind w:firstLine="480" w:firstLineChars="200"/>
      <w:jc w:val="left"/>
    </w:pPr>
    <w:rPr>
      <w:sz w:val="24"/>
    </w:rPr>
  </w:style>
  <w:style w:type="character" w:customStyle="1" w:styleId="963">
    <w:name w:val="表文字 Char"/>
    <w:link w:val="610"/>
    <w:qFormat/>
    <w:uiPriority w:val="0"/>
    <w:rPr>
      <w:kern w:val="2"/>
      <w:sz w:val="21"/>
    </w:rPr>
  </w:style>
  <w:style w:type="character" w:customStyle="1" w:styleId="964">
    <w:name w:val="页眉 Char1"/>
    <w:qFormat/>
    <w:uiPriority w:val="99"/>
    <w:rPr>
      <w:rFonts w:eastAsia="宋体"/>
      <w:kern w:val="2"/>
      <w:sz w:val="18"/>
      <w:szCs w:val="18"/>
      <w:lang w:val="en-US" w:eastAsia="zh-CN" w:bidi="ar-SA"/>
    </w:rPr>
  </w:style>
  <w:style w:type="paragraph" w:customStyle="1" w:styleId="965">
    <w:name w:val="流程文字"/>
    <w:basedOn w:val="1"/>
    <w:qFormat/>
    <w:uiPriority w:val="0"/>
    <w:pPr>
      <w:tabs>
        <w:tab w:val="left" w:pos="6480"/>
      </w:tabs>
      <w:topLinePunct/>
      <w:adjustRightInd w:val="0"/>
      <w:snapToGrid w:val="0"/>
      <w:jc w:val="center"/>
    </w:pPr>
    <w:rPr>
      <w:rFonts w:eastAsia="仿宋_GB2312"/>
      <w:szCs w:val="20"/>
    </w:rPr>
  </w:style>
  <w:style w:type="paragraph" w:customStyle="1" w:styleId="966">
    <w:name w:val="表内式样"/>
    <w:qFormat/>
    <w:uiPriority w:val="0"/>
    <w:pPr>
      <w:widowControl w:val="0"/>
      <w:jc w:val="center"/>
    </w:pPr>
    <w:rPr>
      <w:rFonts w:ascii="Times New Roman" w:hAnsi="Times New Roman" w:eastAsia="宋体" w:cs="Times New Roman"/>
      <w:kern w:val="2"/>
      <w:sz w:val="21"/>
      <w:szCs w:val="21"/>
      <w:lang w:val="en-US" w:eastAsia="zh-CN" w:bidi="ar-SA"/>
    </w:rPr>
  </w:style>
  <w:style w:type="paragraph" w:customStyle="1" w:styleId="967">
    <w:name w:val="报告书正文"/>
    <w:basedOn w:val="1"/>
    <w:link w:val="1175"/>
    <w:qFormat/>
    <w:uiPriority w:val="0"/>
    <w:pPr>
      <w:adjustRightInd w:val="0"/>
      <w:spacing w:line="360" w:lineRule="exact"/>
      <w:ind w:firstLine="454"/>
      <w:textAlignment w:val="baseline"/>
    </w:pPr>
    <w:rPr>
      <w:kern w:val="0"/>
      <w:sz w:val="24"/>
      <w:szCs w:val="20"/>
    </w:rPr>
  </w:style>
  <w:style w:type="character" w:customStyle="1" w:styleId="968">
    <w:name w:val="图表标题 Char"/>
    <w:link w:val="358"/>
    <w:qFormat/>
    <w:uiPriority w:val="0"/>
    <w:rPr>
      <w:b/>
      <w:kern w:val="2"/>
      <w:sz w:val="28"/>
    </w:rPr>
  </w:style>
  <w:style w:type="paragraph" w:customStyle="1" w:styleId="969">
    <w:name w:val="文本正文"/>
    <w:basedOn w:val="52"/>
    <w:link w:val="970"/>
    <w:qFormat/>
    <w:uiPriority w:val="0"/>
    <w:pPr>
      <w:spacing w:before="156" w:beforeLines="50" w:after="156" w:afterLines="50"/>
      <w:ind w:firstLine="538" w:firstLineChars="224"/>
    </w:pPr>
    <w:rPr>
      <w:color w:val="auto"/>
    </w:rPr>
  </w:style>
  <w:style w:type="character" w:customStyle="1" w:styleId="970">
    <w:name w:val="文本正文 Char"/>
    <w:link w:val="969"/>
    <w:qFormat/>
    <w:uiPriority w:val="0"/>
    <w:rPr>
      <w:kern w:val="2"/>
      <w:sz w:val="24"/>
      <w:szCs w:val="24"/>
    </w:rPr>
  </w:style>
  <w:style w:type="character" w:customStyle="1" w:styleId="971">
    <w:name w:val="标题3 Char"/>
    <w:qFormat/>
    <w:uiPriority w:val="0"/>
    <w:rPr>
      <w:rFonts w:ascii="宋体" w:hAnsi="宋体" w:eastAsia="宋体"/>
      <w:b/>
      <w:bCs/>
      <w:color w:val="000000"/>
      <w:kern w:val="2"/>
      <w:sz w:val="24"/>
      <w:szCs w:val="24"/>
      <w:lang w:val="en-US" w:eastAsia="zh-CN" w:bidi="ar-SA"/>
    </w:rPr>
  </w:style>
  <w:style w:type="paragraph" w:customStyle="1" w:styleId="972">
    <w:name w:val="表头样式1"/>
    <w:basedOn w:val="1"/>
    <w:qFormat/>
    <w:uiPriority w:val="0"/>
    <w:pPr>
      <w:autoSpaceDE w:val="0"/>
      <w:autoSpaceDN w:val="0"/>
      <w:adjustRightInd w:val="0"/>
    </w:pPr>
    <w:rPr>
      <w:b/>
      <w:bCs/>
      <w:szCs w:val="21"/>
    </w:rPr>
  </w:style>
  <w:style w:type="paragraph" w:customStyle="1" w:styleId="973">
    <w:name w:val="样式 标题4 + (符号) 宋体"/>
    <w:basedOn w:val="22"/>
    <w:link w:val="974"/>
    <w:qFormat/>
    <w:uiPriority w:val="0"/>
    <w:pPr>
      <w:adjustRightInd w:val="0"/>
      <w:snapToGrid w:val="0"/>
      <w:spacing w:before="10" w:after="10" w:line="480" w:lineRule="exact"/>
      <w:ind w:firstLine="0" w:firstLineChars="0"/>
      <w:jc w:val="left"/>
    </w:pPr>
    <w:rPr>
      <w:rFonts w:ascii="宋体" w:hAnsi="宋体"/>
    </w:rPr>
  </w:style>
  <w:style w:type="character" w:customStyle="1" w:styleId="974">
    <w:name w:val="样式 标题4 + (符号) 宋体 Char"/>
    <w:link w:val="973"/>
    <w:qFormat/>
    <w:uiPriority w:val="0"/>
    <w:rPr>
      <w:rFonts w:ascii="宋体" w:hAnsi="宋体"/>
      <w:kern w:val="2"/>
      <w:sz w:val="24"/>
      <w:szCs w:val="24"/>
    </w:rPr>
  </w:style>
  <w:style w:type="paragraph" w:customStyle="1" w:styleId="975">
    <w:name w:val="样式 标题3 + (符号) Times New Roman"/>
    <w:link w:val="976"/>
    <w:qFormat/>
    <w:uiPriority w:val="0"/>
    <w:pPr>
      <w:adjustRightInd w:val="0"/>
      <w:spacing w:before="70" w:beforeLines="70" w:after="10" w:afterLines="10"/>
      <w:textAlignment w:val="baseline"/>
      <w:outlineLvl w:val="2"/>
    </w:pPr>
    <w:rPr>
      <w:rFonts w:ascii="宋体" w:hAnsi="宋体" w:eastAsia="宋体" w:cs="Times New Roman"/>
      <w:b/>
      <w:bCs/>
      <w:color w:val="000000"/>
      <w:sz w:val="24"/>
      <w:lang w:val="en-US" w:eastAsia="zh-CN" w:bidi="ar-SA"/>
    </w:rPr>
  </w:style>
  <w:style w:type="character" w:customStyle="1" w:styleId="976">
    <w:name w:val="样式 标题3 + (符号) Times New Roman Char"/>
    <w:link w:val="975"/>
    <w:qFormat/>
    <w:uiPriority w:val="0"/>
    <w:rPr>
      <w:rFonts w:ascii="宋体" w:hAnsi="宋体"/>
      <w:b/>
      <w:bCs/>
      <w:color w:val="000000"/>
      <w:sz w:val="24"/>
    </w:rPr>
  </w:style>
  <w:style w:type="paragraph" w:customStyle="1" w:styleId="977">
    <w:name w:val="表内样式"/>
    <w:basedOn w:val="1"/>
    <w:next w:val="1"/>
    <w:qFormat/>
    <w:uiPriority w:val="0"/>
    <w:pPr>
      <w:jc w:val="center"/>
    </w:pPr>
    <w:rPr>
      <w:kern w:val="0"/>
      <w:szCs w:val="20"/>
    </w:rPr>
  </w:style>
  <w:style w:type="paragraph" w:customStyle="1" w:styleId="978">
    <w:name w:val="小节标题"/>
    <w:basedOn w:val="1"/>
    <w:qFormat/>
    <w:uiPriority w:val="0"/>
    <w:pPr>
      <w:widowControl/>
      <w:spacing w:before="175" w:after="102" w:line="351" w:lineRule="atLeast"/>
      <w:textAlignment w:val="baseline"/>
    </w:pPr>
    <w:rPr>
      <w:rFonts w:eastAsia="黑体"/>
      <w:color w:val="000000"/>
      <w:kern w:val="0"/>
      <w:szCs w:val="20"/>
      <w:u w:color="000000"/>
    </w:rPr>
  </w:style>
  <w:style w:type="character" w:customStyle="1" w:styleId="979">
    <w:name w:val="样式 样式 正文 首行缩进:  2 字符 SL CON + 首行缩进:  2 字符 + (符号) 宋体 Char"/>
    <w:link w:val="980"/>
    <w:qFormat/>
    <w:locked/>
    <w:uiPriority w:val="0"/>
    <w:rPr>
      <w:rFonts w:ascii="宋体" w:hAnsi="宋体"/>
      <w:sz w:val="24"/>
      <w:szCs w:val="24"/>
    </w:rPr>
  </w:style>
  <w:style w:type="paragraph" w:customStyle="1" w:styleId="980">
    <w:name w:val="样式 样式 正文 首行缩进:  2 字符 SL CON + 首行缩进:  2 字符 + (符号) 宋体"/>
    <w:basedOn w:val="1"/>
    <w:link w:val="979"/>
    <w:qFormat/>
    <w:uiPriority w:val="0"/>
    <w:pPr>
      <w:widowControl/>
      <w:tabs>
        <w:tab w:val="left" w:pos="377"/>
      </w:tabs>
      <w:spacing w:line="360" w:lineRule="auto"/>
      <w:ind w:firstLine="480" w:firstLineChars="200"/>
    </w:pPr>
    <w:rPr>
      <w:rFonts w:ascii="宋体" w:hAnsi="宋体"/>
      <w:kern w:val="0"/>
      <w:sz w:val="24"/>
    </w:rPr>
  </w:style>
  <w:style w:type="paragraph" w:customStyle="1" w:styleId="981">
    <w:name w:val="二级标题 大王 20100426"/>
    <w:basedOn w:val="1"/>
    <w:link w:val="982"/>
    <w:qFormat/>
    <w:uiPriority w:val="99"/>
    <w:pPr>
      <w:tabs>
        <w:tab w:val="left" w:pos="567"/>
      </w:tabs>
      <w:spacing w:before="48" w:beforeLines="20" w:after="120" w:afterLines="50"/>
      <w:outlineLvl w:val="1"/>
    </w:pPr>
    <w:rPr>
      <w:rFonts w:eastAsia="黑体"/>
      <w:b/>
      <w:snapToGrid w:val="0"/>
      <w:sz w:val="28"/>
      <w:szCs w:val="28"/>
    </w:rPr>
  </w:style>
  <w:style w:type="character" w:customStyle="1" w:styleId="982">
    <w:name w:val="二级标题 大王 20100426 Char"/>
    <w:link w:val="981"/>
    <w:qFormat/>
    <w:uiPriority w:val="99"/>
    <w:rPr>
      <w:rFonts w:eastAsia="黑体"/>
      <w:b/>
      <w:snapToGrid w:val="0"/>
      <w:kern w:val="2"/>
      <w:sz w:val="28"/>
      <w:szCs w:val="28"/>
    </w:rPr>
  </w:style>
  <w:style w:type="paragraph" w:customStyle="1" w:styleId="983">
    <w:name w:val="正文 大王 20100426"/>
    <w:basedOn w:val="1"/>
    <w:link w:val="984"/>
    <w:qFormat/>
    <w:uiPriority w:val="0"/>
    <w:pPr>
      <w:snapToGrid w:val="0"/>
      <w:spacing w:before="48" w:beforeLines="20" w:after="48" w:afterLines="20" w:line="360" w:lineRule="auto"/>
      <w:ind w:firstLine="520" w:firstLineChars="200"/>
    </w:pPr>
    <w:rPr>
      <w:snapToGrid w:val="0"/>
      <w:spacing w:val="10"/>
      <w:kern w:val="0"/>
      <w:sz w:val="24"/>
      <w:szCs w:val="20"/>
    </w:rPr>
  </w:style>
  <w:style w:type="character" w:customStyle="1" w:styleId="984">
    <w:name w:val="正文 大王 20100426 Char"/>
    <w:link w:val="983"/>
    <w:qFormat/>
    <w:uiPriority w:val="0"/>
    <w:rPr>
      <w:snapToGrid w:val="0"/>
      <w:spacing w:val="10"/>
      <w:sz w:val="24"/>
    </w:rPr>
  </w:style>
  <w:style w:type="paragraph" w:customStyle="1" w:styleId="985">
    <w:name w:val="三级标题 大王 20100426"/>
    <w:basedOn w:val="1"/>
    <w:qFormat/>
    <w:uiPriority w:val="0"/>
    <w:pPr>
      <w:numPr>
        <w:ilvl w:val="3"/>
        <w:numId w:val="14"/>
      </w:numPr>
      <w:spacing w:before="48" w:beforeLines="20" w:after="120" w:afterLines="50"/>
      <w:ind w:left="1418" w:hanging="567"/>
      <w:outlineLvl w:val="2"/>
    </w:pPr>
    <w:rPr>
      <w:rFonts w:eastAsia="黑体"/>
      <w:sz w:val="28"/>
      <w:szCs w:val="28"/>
    </w:rPr>
  </w:style>
  <w:style w:type="paragraph" w:customStyle="1" w:styleId="986">
    <w:name w:val="图表名 大王 20100426"/>
    <w:basedOn w:val="1"/>
    <w:link w:val="987"/>
    <w:qFormat/>
    <w:uiPriority w:val="0"/>
    <w:pPr>
      <w:widowControl/>
      <w:tabs>
        <w:tab w:val="left" w:pos="377"/>
      </w:tabs>
      <w:spacing w:before="120" w:beforeLines="50" w:after="120" w:afterLines="50"/>
      <w:jc w:val="center"/>
    </w:pPr>
    <w:rPr>
      <w:rFonts w:ascii="宋体" w:hAnsi="宋体" w:cs="宋体"/>
      <w:b/>
      <w:bCs/>
      <w:snapToGrid w:val="0"/>
      <w:kern w:val="0"/>
      <w:szCs w:val="20"/>
    </w:rPr>
  </w:style>
  <w:style w:type="character" w:customStyle="1" w:styleId="987">
    <w:name w:val="图表名 大王 20100426 Char"/>
    <w:link w:val="986"/>
    <w:qFormat/>
    <w:uiPriority w:val="0"/>
    <w:rPr>
      <w:rFonts w:ascii="宋体" w:hAnsi="宋体" w:cs="宋体"/>
      <w:b/>
      <w:bCs/>
      <w:snapToGrid w:val="0"/>
      <w:sz w:val="21"/>
    </w:rPr>
  </w:style>
  <w:style w:type="paragraph" w:customStyle="1" w:styleId="988">
    <w:name w:val="样式 正文 首行缩进:  2 字符 SL CON + 首行缩进:  2 字符"/>
    <w:basedOn w:val="1"/>
    <w:link w:val="989"/>
    <w:qFormat/>
    <w:uiPriority w:val="0"/>
    <w:pPr>
      <w:widowControl/>
      <w:tabs>
        <w:tab w:val="left" w:pos="377"/>
      </w:tabs>
      <w:spacing w:line="360" w:lineRule="auto"/>
      <w:ind w:firstLine="480" w:firstLineChars="200"/>
    </w:pPr>
    <w:rPr>
      <w:rFonts w:ascii="宋体" w:cs="宋体"/>
      <w:kern w:val="0"/>
      <w:sz w:val="24"/>
      <w:szCs w:val="20"/>
    </w:rPr>
  </w:style>
  <w:style w:type="character" w:customStyle="1" w:styleId="989">
    <w:name w:val="样式 正文 首行缩进:  2 字符 SL CON + 首行缩进:  2 字符 Char"/>
    <w:link w:val="988"/>
    <w:qFormat/>
    <w:uiPriority w:val="0"/>
    <w:rPr>
      <w:rFonts w:ascii="宋体" w:cs="宋体"/>
      <w:sz w:val="24"/>
    </w:rPr>
  </w:style>
  <w:style w:type="character" w:customStyle="1" w:styleId="990">
    <w:name w:val="表、图标题 Char Char"/>
    <w:link w:val="991"/>
    <w:qFormat/>
    <w:uiPriority w:val="0"/>
    <w:rPr>
      <w:rFonts w:ascii="宋体" w:hAnsi="宋体"/>
      <w:b/>
      <w:bCs/>
      <w:snapToGrid w:val="0"/>
      <w:sz w:val="24"/>
      <w:szCs w:val="21"/>
    </w:rPr>
  </w:style>
  <w:style w:type="paragraph" w:customStyle="1" w:styleId="991">
    <w:name w:val="表、图标题"/>
    <w:basedOn w:val="1"/>
    <w:link w:val="990"/>
    <w:qFormat/>
    <w:uiPriority w:val="0"/>
    <w:pPr>
      <w:adjustRightInd w:val="0"/>
      <w:snapToGrid w:val="0"/>
      <w:spacing w:line="480" w:lineRule="exact"/>
      <w:jc w:val="center"/>
    </w:pPr>
    <w:rPr>
      <w:rFonts w:ascii="宋体" w:hAnsi="宋体"/>
      <w:b/>
      <w:bCs/>
      <w:snapToGrid w:val="0"/>
      <w:kern w:val="0"/>
      <w:sz w:val="24"/>
      <w:szCs w:val="21"/>
    </w:rPr>
  </w:style>
  <w:style w:type="character" w:customStyle="1" w:styleId="992">
    <w:name w:val="表内容 Char Char"/>
    <w:link w:val="993"/>
    <w:qFormat/>
    <w:uiPriority w:val="0"/>
    <w:rPr>
      <w:kern w:val="2"/>
      <w:sz w:val="21"/>
    </w:rPr>
  </w:style>
  <w:style w:type="paragraph" w:customStyle="1" w:styleId="993">
    <w:name w:val="表内容"/>
    <w:basedOn w:val="1"/>
    <w:link w:val="992"/>
    <w:qFormat/>
    <w:uiPriority w:val="0"/>
    <w:pPr>
      <w:spacing w:line="320" w:lineRule="exact"/>
      <w:jc w:val="center"/>
    </w:pPr>
    <w:rPr>
      <w:szCs w:val="20"/>
    </w:rPr>
  </w:style>
  <w:style w:type="paragraph" w:customStyle="1" w:styleId="994">
    <w:name w:val="ALP-正+总"/>
    <w:basedOn w:val="234"/>
    <w:link w:val="995"/>
    <w:qFormat/>
    <w:uiPriority w:val="0"/>
    <w:rPr>
      <w:rFonts w:eastAsia="黑体"/>
    </w:rPr>
  </w:style>
  <w:style w:type="character" w:customStyle="1" w:styleId="995">
    <w:name w:val="ALP-正+总 字符"/>
    <w:link w:val="994"/>
    <w:qFormat/>
    <w:uiPriority w:val="0"/>
    <w:rPr>
      <w:rFonts w:eastAsia="黑体"/>
      <w:kern w:val="2"/>
      <w:sz w:val="24"/>
      <w:szCs w:val="24"/>
    </w:rPr>
  </w:style>
  <w:style w:type="character" w:customStyle="1" w:styleId="996">
    <w:name w:val="text_edit"/>
    <w:qFormat/>
    <w:uiPriority w:val="0"/>
  </w:style>
  <w:style w:type="character" w:customStyle="1" w:styleId="997">
    <w:name w:val="s1"/>
    <w:qFormat/>
    <w:uiPriority w:val="0"/>
    <w:rPr>
      <w:sz w:val="15"/>
      <w:szCs w:val="15"/>
    </w:rPr>
  </w:style>
  <w:style w:type="paragraph" w:customStyle="1" w:styleId="998">
    <w:name w:val="重点1"/>
    <w:basedOn w:val="234"/>
    <w:link w:val="999"/>
    <w:qFormat/>
    <w:uiPriority w:val="0"/>
    <w:pPr>
      <w:ind w:firstLine="482"/>
    </w:pPr>
    <w:rPr>
      <w:b/>
    </w:rPr>
  </w:style>
  <w:style w:type="character" w:customStyle="1" w:styleId="999">
    <w:name w:val="重点1 Char"/>
    <w:link w:val="998"/>
    <w:qFormat/>
    <w:uiPriority w:val="0"/>
    <w:rPr>
      <w:b/>
      <w:kern w:val="2"/>
      <w:sz w:val="24"/>
      <w:szCs w:val="24"/>
    </w:rPr>
  </w:style>
  <w:style w:type="paragraph" w:customStyle="1" w:styleId="1000">
    <w:name w:val="标题 2 SL CON"/>
    <w:basedOn w:val="1"/>
    <w:next w:val="1"/>
    <w:link w:val="1001"/>
    <w:qFormat/>
    <w:uiPriority w:val="0"/>
    <w:pPr>
      <w:widowControl/>
      <w:tabs>
        <w:tab w:val="left" w:pos="377"/>
        <w:tab w:val="left" w:pos="747"/>
      </w:tabs>
      <w:spacing w:before="100" w:beforeAutospacing="1" w:line="300" w:lineRule="auto"/>
      <w:ind w:left="747" w:hanging="680"/>
      <w:outlineLvl w:val="1"/>
    </w:pPr>
    <w:rPr>
      <w:rFonts w:eastAsia="黑体" w:cs="宋体"/>
      <w:kern w:val="0"/>
      <w:sz w:val="28"/>
      <w:szCs w:val="28"/>
    </w:rPr>
  </w:style>
  <w:style w:type="character" w:customStyle="1" w:styleId="1001">
    <w:name w:val="标题 2 SL CON Char"/>
    <w:link w:val="1000"/>
    <w:qFormat/>
    <w:uiPriority w:val="0"/>
    <w:rPr>
      <w:rFonts w:eastAsia="黑体" w:cs="宋体"/>
      <w:sz w:val="28"/>
      <w:szCs w:val="28"/>
    </w:rPr>
  </w:style>
  <w:style w:type="paragraph" w:customStyle="1" w:styleId="1002">
    <w:name w:val="标题 3 SL CON"/>
    <w:basedOn w:val="1"/>
    <w:next w:val="1"/>
    <w:link w:val="1004"/>
    <w:qFormat/>
    <w:uiPriority w:val="0"/>
    <w:pPr>
      <w:keepNext/>
      <w:keepLines/>
      <w:widowControl/>
      <w:tabs>
        <w:tab w:val="left" w:pos="377"/>
        <w:tab w:val="left" w:pos="568"/>
        <w:tab w:val="left" w:pos="960"/>
      </w:tabs>
      <w:spacing w:before="100" w:beforeAutospacing="1" w:line="360" w:lineRule="auto"/>
      <w:ind w:left="568" w:hanging="681"/>
      <w:outlineLvl w:val="2"/>
    </w:pPr>
    <w:rPr>
      <w:rFonts w:eastAsia="黑体" w:cs="宋体"/>
      <w:kern w:val="0"/>
      <w:sz w:val="24"/>
    </w:rPr>
  </w:style>
  <w:style w:type="paragraph" w:customStyle="1" w:styleId="1003">
    <w:name w:val="表格-1"/>
    <w:basedOn w:val="1"/>
    <w:qFormat/>
    <w:uiPriority w:val="0"/>
    <w:pPr>
      <w:autoSpaceDE w:val="0"/>
      <w:autoSpaceDN w:val="0"/>
      <w:adjustRightInd w:val="0"/>
      <w:snapToGrid w:val="0"/>
      <w:spacing w:line="480" w:lineRule="exact"/>
      <w:jc w:val="center"/>
    </w:pPr>
    <w:rPr>
      <w:rFonts w:ascii="宋体" w:hAnsi="宋体"/>
      <w:b/>
      <w:snapToGrid w:val="0"/>
      <w:kern w:val="0"/>
      <w:sz w:val="24"/>
    </w:rPr>
  </w:style>
  <w:style w:type="character" w:customStyle="1" w:styleId="1004">
    <w:name w:val="标题 3 SL CON Char"/>
    <w:link w:val="1002"/>
    <w:qFormat/>
    <w:uiPriority w:val="0"/>
    <w:rPr>
      <w:rFonts w:eastAsia="黑体" w:cs="宋体"/>
      <w:sz w:val="24"/>
      <w:szCs w:val="24"/>
    </w:rPr>
  </w:style>
  <w:style w:type="paragraph" w:customStyle="1" w:styleId="1005">
    <w:name w:val="表样式2"/>
    <w:basedOn w:val="1"/>
    <w:qFormat/>
    <w:uiPriority w:val="0"/>
    <w:pPr>
      <w:spacing w:line="360" w:lineRule="exact"/>
      <w:jc w:val="center"/>
    </w:pPr>
    <w:rPr>
      <w:rFonts w:ascii="宋体" w:hAnsi="宋体"/>
      <w:kern w:val="0"/>
      <w:szCs w:val="20"/>
    </w:rPr>
  </w:style>
  <w:style w:type="paragraph" w:styleId="1006">
    <w:name w:val="No Spacing"/>
    <w:link w:val="1007"/>
    <w:qFormat/>
    <w:uiPriority w:val="1"/>
    <w:rPr>
      <w:rFonts w:ascii="Calibri" w:hAnsi="Calibri" w:eastAsia="宋体" w:cs="Times New Roman"/>
      <w:sz w:val="22"/>
      <w:szCs w:val="22"/>
      <w:lang w:val="en-US" w:eastAsia="zh-CN" w:bidi="ar-SA"/>
    </w:rPr>
  </w:style>
  <w:style w:type="character" w:customStyle="1" w:styleId="1007">
    <w:name w:val="无间隔 字符"/>
    <w:link w:val="1006"/>
    <w:qFormat/>
    <w:uiPriority w:val="1"/>
    <w:rPr>
      <w:rFonts w:ascii="Calibri" w:hAnsi="Calibri" w:eastAsia="宋体" w:cs="Times New Roman"/>
      <w:sz w:val="22"/>
      <w:szCs w:val="22"/>
    </w:rPr>
  </w:style>
  <w:style w:type="character" w:customStyle="1" w:styleId="1008">
    <w:name w:val="环评正文 Char"/>
    <w:link w:val="747"/>
    <w:qFormat/>
    <w:uiPriority w:val="0"/>
    <w:rPr>
      <w:bCs/>
      <w:kern w:val="44"/>
      <w:sz w:val="24"/>
      <w:szCs w:val="24"/>
    </w:rPr>
  </w:style>
  <w:style w:type="character" w:customStyle="1" w:styleId="1009">
    <w:name w:val="title-text"/>
    <w:basedOn w:val="95"/>
    <w:qFormat/>
    <w:uiPriority w:val="0"/>
  </w:style>
  <w:style w:type="paragraph" w:customStyle="1" w:styleId="1010">
    <w:name w:val="表格字"/>
    <w:basedOn w:val="67"/>
    <w:link w:val="1014"/>
    <w:semiHidden/>
    <w:qFormat/>
    <w:uiPriority w:val="0"/>
    <w:pPr>
      <w:widowControl/>
      <w:snapToGrid w:val="0"/>
      <w:ind w:left="0" w:firstLine="0" w:firstLineChars="0"/>
      <w:jc w:val="center"/>
    </w:pPr>
    <w:rPr>
      <w:rFonts w:ascii="宋体"/>
      <w:spacing w:val="-12"/>
      <w:kern w:val="0"/>
      <w:szCs w:val="21"/>
    </w:rPr>
  </w:style>
  <w:style w:type="paragraph" w:customStyle="1" w:styleId="1011">
    <w:name w:val="环评正文2"/>
    <w:basedOn w:val="1"/>
    <w:link w:val="1012"/>
    <w:qFormat/>
    <w:uiPriority w:val="0"/>
    <w:pPr>
      <w:spacing w:line="360" w:lineRule="auto"/>
      <w:ind w:firstLine="200" w:firstLineChars="200"/>
    </w:pPr>
    <w:rPr>
      <w:rFonts w:ascii="宋体" w:hAnsi="宋体" w:eastAsia="仿宋_GB2312"/>
      <w:color w:val="000000"/>
      <w:kern w:val="16"/>
      <w:sz w:val="24"/>
    </w:rPr>
  </w:style>
  <w:style w:type="character" w:customStyle="1" w:styleId="1012">
    <w:name w:val="环评正文2 Char"/>
    <w:link w:val="1011"/>
    <w:qFormat/>
    <w:uiPriority w:val="0"/>
    <w:rPr>
      <w:rFonts w:ascii="宋体" w:hAnsi="宋体" w:eastAsia="仿宋_GB2312"/>
      <w:color w:val="000000"/>
      <w:kern w:val="16"/>
      <w:sz w:val="24"/>
      <w:szCs w:val="24"/>
    </w:rPr>
  </w:style>
  <w:style w:type="character" w:customStyle="1" w:styleId="1013">
    <w:name w:val="表题 Char1"/>
    <w:link w:val="457"/>
    <w:qFormat/>
    <w:uiPriority w:val="0"/>
    <w:rPr>
      <w:rFonts w:ascii="黑体" w:eastAsia="黑体"/>
      <w:bCs/>
      <w:color w:val="000000"/>
      <w:kern w:val="2"/>
      <w:sz w:val="24"/>
      <w:szCs w:val="24"/>
    </w:rPr>
  </w:style>
  <w:style w:type="character" w:customStyle="1" w:styleId="1014">
    <w:name w:val="表格字 Char"/>
    <w:link w:val="1010"/>
    <w:semiHidden/>
    <w:qFormat/>
    <w:uiPriority w:val="0"/>
    <w:rPr>
      <w:rFonts w:ascii="宋体"/>
      <w:spacing w:val="-12"/>
      <w:sz w:val="21"/>
      <w:szCs w:val="21"/>
    </w:rPr>
  </w:style>
  <w:style w:type="character" w:customStyle="1" w:styleId="1015">
    <w:name w:val="航标 Char"/>
    <w:link w:val="1016"/>
    <w:qFormat/>
    <w:uiPriority w:val="0"/>
    <w:rPr>
      <w:rFonts w:ascii="宋体" w:eastAsia="黑体"/>
      <w:bCs/>
      <w:kern w:val="2"/>
      <w:sz w:val="24"/>
      <w:szCs w:val="24"/>
    </w:rPr>
  </w:style>
  <w:style w:type="paragraph" w:customStyle="1" w:styleId="1016">
    <w:name w:val="航标"/>
    <w:basedOn w:val="1"/>
    <w:next w:val="1"/>
    <w:link w:val="1015"/>
    <w:qFormat/>
    <w:uiPriority w:val="0"/>
    <w:pPr>
      <w:widowControl/>
      <w:spacing w:line="360" w:lineRule="auto"/>
      <w:ind w:firstLine="482" w:firstLineChars="200"/>
      <w:jc w:val="left"/>
    </w:pPr>
    <w:rPr>
      <w:rFonts w:ascii="宋体" w:eastAsia="黑体"/>
      <w:bCs/>
      <w:sz w:val="24"/>
    </w:rPr>
  </w:style>
  <w:style w:type="character" w:customStyle="1" w:styleId="1017">
    <w:name w:val="普通文字 Char2"/>
    <w:qFormat/>
    <w:uiPriority w:val="0"/>
    <w:rPr>
      <w:rFonts w:ascii="宋体" w:hAnsi="宋体" w:eastAsia="宋体"/>
      <w:kern w:val="1"/>
      <w:sz w:val="28"/>
      <w:lang w:val="en-US" w:eastAsia="ar-SA" w:bidi="ar-SA"/>
    </w:rPr>
  </w:style>
  <w:style w:type="paragraph" w:customStyle="1" w:styleId="1018">
    <w:name w:val="Table Paragraph"/>
    <w:basedOn w:val="1"/>
    <w:qFormat/>
    <w:uiPriority w:val="1"/>
    <w:pPr>
      <w:autoSpaceDE w:val="0"/>
      <w:autoSpaceDN w:val="0"/>
      <w:adjustRightInd w:val="0"/>
      <w:jc w:val="left"/>
    </w:pPr>
    <w:rPr>
      <w:kern w:val="0"/>
      <w:sz w:val="24"/>
    </w:rPr>
  </w:style>
  <w:style w:type="paragraph" w:customStyle="1" w:styleId="1019">
    <w:name w:val="xl151"/>
    <w:basedOn w:val="1"/>
    <w:qFormat/>
    <w:uiPriority w:val="0"/>
    <w:pPr>
      <w:widowControl/>
      <w:spacing w:before="100" w:after="100"/>
      <w:jc w:val="center"/>
      <w:textAlignment w:val="center"/>
    </w:pPr>
    <w:rPr>
      <w:rFonts w:ascii="Arial Unicode MS" w:hAnsi="Arial Unicode MS" w:eastAsia="Arial Unicode MS"/>
      <w:b/>
      <w:kern w:val="0"/>
      <w:sz w:val="44"/>
      <w:szCs w:val="20"/>
    </w:rPr>
  </w:style>
  <w:style w:type="character" w:customStyle="1" w:styleId="1020">
    <w:name w:val="书正文 Char"/>
    <w:link w:val="1021"/>
    <w:qFormat/>
    <w:uiPriority w:val="0"/>
    <w:rPr>
      <w:sz w:val="24"/>
    </w:rPr>
  </w:style>
  <w:style w:type="paragraph" w:customStyle="1" w:styleId="1021">
    <w:name w:val="书正文"/>
    <w:basedOn w:val="1"/>
    <w:link w:val="1020"/>
    <w:qFormat/>
    <w:uiPriority w:val="0"/>
    <w:pPr>
      <w:adjustRightInd w:val="0"/>
      <w:spacing w:line="520" w:lineRule="exact"/>
      <w:ind w:firstLine="200" w:firstLineChars="200"/>
      <w:textAlignment w:val="baseline"/>
    </w:pPr>
    <w:rPr>
      <w:kern w:val="0"/>
      <w:sz w:val="24"/>
      <w:szCs w:val="20"/>
    </w:rPr>
  </w:style>
  <w:style w:type="character" w:customStyle="1" w:styleId="1022">
    <w:name w:val="style7"/>
    <w:basedOn w:val="95"/>
    <w:qFormat/>
    <w:uiPriority w:val="0"/>
  </w:style>
  <w:style w:type="character" w:customStyle="1" w:styleId="1023">
    <w:name w:val="what"/>
    <w:qFormat/>
    <w:uiPriority w:val="0"/>
    <w:rPr>
      <w:rFonts w:eastAsia="宋体"/>
      <w:kern w:val="2"/>
      <w:sz w:val="24"/>
      <w:szCs w:val="24"/>
      <w:lang w:val="en-US" w:eastAsia="zh-CN" w:bidi="ar-SA"/>
    </w:rPr>
  </w:style>
  <w:style w:type="paragraph" w:customStyle="1" w:styleId="1024">
    <w:name w:val="书表格"/>
    <w:basedOn w:val="1"/>
    <w:next w:val="1021"/>
    <w:qFormat/>
    <w:uiPriority w:val="0"/>
    <w:pPr>
      <w:autoSpaceDE w:val="0"/>
      <w:autoSpaceDN w:val="0"/>
      <w:adjustRightInd w:val="0"/>
      <w:jc w:val="center"/>
      <w:textAlignment w:val="bottom"/>
    </w:pPr>
    <w:rPr>
      <w:kern w:val="0"/>
      <w:szCs w:val="20"/>
    </w:rPr>
  </w:style>
  <w:style w:type="paragraph" w:customStyle="1" w:styleId="1025">
    <w:name w:val="书图表标题"/>
    <w:basedOn w:val="1"/>
    <w:next w:val="1024"/>
    <w:qFormat/>
    <w:uiPriority w:val="0"/>
    <w:pPr>
      <w:spacing w:line="520" w:lineRule="exact"/>
      <w:jc w:val="center"/>
    </w:pPr>
    <w:rPr>
      <w:rFonts w:ascii="黑体" w:eastAsia="黑体"/>
      <w:sz w:val="24"/>
    </w:rPr>
  </w:style>
  <w:style w:type="paragraph" w:customStyle="1" w:styleId="1026">
    <w:name w:val="表格，五宋"/>
    <w:qFormat/>
    <w:uiPriority w:val="0"/>
    <w:pPr>
      <w:adjustRightInd w:val="0"/>
      <w:snapToGrid w:val="0"/>
      <w:spacing w:line="240" w:lineRule="atLeast"/>
      <w:jc w:val="center"/>
    </w:pPr>
    <w:rPr>
      <w:rFonts w:ascii="Times New Roman" w:hAnsi="Times New Roman" w:eastAsia="宋体" w:cs="Times New Roman"/>
      <w:sz w:val="21"/>
      <w:lang w:val="en-US" w:eastAsia="zh-CN" w:bidi="ar-SA"/>
    </w:rPr>
  </w:style>
  <w:style w:type="character" w:customStyle="1" w:styleId="1027">
    <w:name w:val="副标题 Char1"/>
    <w:qFormat/>
    <w:uiPriority w:val="0"/>
    <w:rPr>
      <w:rFonts w:ascii="Cambria" w:hAnsi="Cambria" w:eastAsia="宋体" w:cs="Times New Roman"/>
      <w:b/>
      <w:bCs/>
      <w:kern w:val="28"/>
      <w:sz w:val="32"/>
      <w:szCs w:val="32"/>
      <w:lang w:bidi="ar-SA"/>
    </w:rPr>
  </w:style>
  <w:style w:type="character" w:customStyle="1" w:styleId="1028">
    <w:name w:val="table"/>
    <w:basedOn w:val="95"/>
    <w:qFormat/>
    <w:uiPriority w:val="0"/>
  </w:style>
  <w:style w:type="character" w:customStyle="1" w:styleId="1029">
    <w:name w:val="标题 4 Char"/>
    <w:qFormat/>
    <w:uiPriority w:val="0"/>
    <w:rPr>
      <w:rFonts w:ascii="Cambria" w:hAnsi="Cambria" w:eastAsia="宋体" w:cs="Times New Roman"/>
      <w:b/>
      <w:bCs/>
      <w:sz w:val="28"/>
      <w:szCs w:val="28"/>
      <w:lang w:bidi="ar-SA"/>
    </w:rPr>
  </w:style>
  <w:style w:type="character" w:customStyle="1" w:styleId="1030">
    <w:name w:val="批注框文本 Char1"/>
    <w:qFormat/>
    <w:uiPriority w:val="0"/>
    <w:rPr>
      <w:sz w:val="18"/>
      <w:szCs w:val="18"/>
    </w:rPr>
  </w:style>
  <w:style w:type="character" w:customStyle="1" w:styleId="1031">
    <w:name w:val="标题 5 Char"/>
    <w:qFormat/>
    <w:uiPriority w:val="9"/>
    <w:rPr>
      <w:b/>
      <w:bCs/>
      <w:sz w:val="28"/>
      <w:szCs w:val="28"/>
    </w:rPr>
  </w:style>
  <w:style w:type="character" w:customStyle="1" w:styleId="1032">
    <w:name w:val="未命名11"/>
    <w:qFormat/>
    <w:uiPriority w:val="0"/>
    <w:rPr>
      <w:rFonts w:ascii="宋体" w:eastAsia="宋体"/>
      <w:kern w:val="2"/>
      <w:sz w:val="18"/>
      <w:szCs w:val="18"/>
      <w:lang w:val="en-US" w:eastAsia="zh-CN" w:bidi="ar-SA"/>
    </w:rPr>
  </w:style>
  <w:style w:type="character" w:customStyle="1" w:styleId="1033">
    <w:name w:val="样式 宋体 四号 加粗"/>
    <w:qFormat/>
    <w:uiPriority w:val="0"/>
    <w:rPr>
      <w:rFonts w:ascii="宋体" w:hAnsi="宋体" w:eastAsia="黑体"/>
      <w:b/>
      <w:bCs/>
      <w:kern w:val="2"/>
      <w:sz w:val="24"/>
      <w:szCs w:val="24"/>
      <w:lang w:val="en-US" w:eastAsia="zh-CN" w:bidi="ar-SA"/>
    </w:rPr>
  </w:style>
  <w:style w:type="character" w:customStyle="1" w:styleId="1034">
    <w:name w:val="批注主题 Char1"/>
    <w:qFormat/>
    <w:uiPriority w:val="99"/>
    <w:rPr>
      <w:b/>
      <w:bCs/>
    </w:rPr>
  </w:style>
  <w:style w:type="character" w:customStyle="1" w:styleId="1035">
    <w:name w:val="样式 楷体_GB2312 黑色"/>
    <w:qFormat/>
    <w:uiPriority w:val="0"/>
    <w:rPr>
      <w:rFonts w:ascii="楷体_GB2312" w:eastAsia="楷体_GB2312"/>
      <w:color w:val="000000"/>
    </w:rPr>
  </w:style>
  <w:style w:type="character" w:customStyle="1" w:styleId="1036">
    <w:name w:val="sub_title1"/>
    <w:qFormat/>
    <w:uiPriority w:val="0"/>
    <w:rPr>
      <w:color w:val="FF6600"/>
      <w:sz w:val="21"/>
      <w:szCs w:val="21"/>
    </w:rPr>
  </w:style>
  <w:style w:type="character" w:customStyle="1" w:styleId="1037">
    <w:name w:val="postbody1"/>
    <w:qFormat/>
    <w:uiPriority w:val="0"/>
    <w:rPr>
      <w:sz w:val="21"/>
      <w:szCs w:val="21"/>
    </w:rPr>
  </w:style>
  <w:style w:type="character" w:customStyle="1" w:styleId="1038">
    <w:name w:val="标题 #1 + Times New Roman"/>
    <w:qFormat/>
    <w:uiPriority w:val="0"/>
    <w:rPr>
      <w:rFonts w:ascii="Times New Roman" w:hAnsi="Times New Roman" w:eastAsia="Times New Roman" w:cs="Times New Roman"/>
      <w:color w:val="000000"/>
      <w:spacing w:val="3"/>
      <w:w w:val="100"/>
      <w:position w:val="0"/>
      <w:sz w:val="29"/>
      <w:szCs w:val="29"/>
      <w:shd w:val="clear" w:color="auto" w:fill="FFFFFF"/>
      <w:lang w:val="en-US" w:eastAsia="en-US" w:bidi="ar-SA"/>
    </w:rPr>
  </w:style>
  <w:style w:type="character" w:customStyle="1" w:styleId="1039">
    <w:name w:val="正文文本缩进 Char2"/>
    <w:qFormat/>
    <w:uiPriority w:val="99"/>
  </w:style>
  <w:style w:type="character" w:customStyle="1" w:styleId="1040">
    <w:name w:val="正文首行缩进 2 Char1"/>
    <w:qFormat/>
    <w:uiPriority w:val="0"/>
  </w:style>
  <w:style w:type="character" w:customStyle="1" w:styleId="1041">
    <w:name w:val="纯文本 Char2"/>
    <w:qFormat/>
    <w:uiPriority w:val="0"/>
    <w:rPr>
      <w:rFonts w:ascii="宋体" w:eastAsia="宋体" w:cs="Courier New"/>
      <w:szCs w:val="21"/>
      <w:lang w:bidi="ar-SA"/>
    </w:rPr>
  </w:style>
  <w:style w:type="character" w:customStyle="1" w:styleId="1042">
    <w:name w:val="占位符文本1"/>
    <w:qFormat/>
    <w:uiPriority w:val="99"/>
    <w:rPr>
      <w:color w:val="808080"/>
    </w:rPr>
  </w:style>
  <w:style w:type="character" w:customStyle="1" w:styleId="1043">
    <w:name w:val="正文文本 2 Char1"/>
    <w:qFormat/>
    <w:uiPriority w:val="0"/>
  </w:style>
  <w:style w:type="character" w:customStyle="1" w:styleId="1044">
    <w:name w:val="product_05"/>
    <w:qFormat/>
    <w:uiPriority w:val="0"/>
  </w:style>
  <w:style w:type="character" w:customStyle="1" w:styleId="1045">
    <w:name w:val="tcapital"/>
    <w:qFormat/>
    <w:uiPriority w:val="0"/>
    <w:rPr>
      <w:rFonts w:ascii="Helvetica" w:hAnsi="Helvetica" w:eastAsia="黑体"/>
      <w:b/>
      <w:bCs/>
      <w:kern w:val="2"/>
      <w:sz w:val="36"/>
      <w:szCs w:val="36"/>
      <w:u w:val="none"/>
      <w:lang w:val="en-US" w:eastAsia="zh-CN" w:bidi="ar-SA"/>
    </w:rPr>
  </w:style>
  <w:style w:type="character" w:customStyle="1" w:styleId="1046">
    <w:name w:val="正文文本 + 间距 -1 pt"/>
    <w:qFormat/>
    <w:uiPriority w:val="0"/>
    <w:rPr>
      <w:rFonts w:ascii="Arial Unicode MS" w:eastAsia="Arial Unicode MS" w:cs="Arial Unicode MS"/>
      <w:color w:val="000000"/>
      <w:spacing w:val="-30"/>
      <w:w w:val="100"/>
      <w:position w:val="0"/>
      <w:sz w:val="21"/>
      <w:szCs w:val="21"/>
      <w:u w:val="none"/>
      <w:shd w:val="clear" w:color="auto" w:fill="FFFFFF"/>
      <w:lang w:val="zh-CN" w:eastAsia="zh-CN" w:bidi="ar-SA"/>
    </w:rPr>
  </w:style>
  <w:style w:type="character" w:customStyle="1" w:styleId="1047">
    <w:name w:val="style161"/>
    <w:qFormat/>
    <w:uiPriority w:val="0"/>
    <w:rPr>
      <w:color w:val="CC0000"/>
    </w:rPr>
  </w:style>
  <w:style w:type="character" w:customStyle="1" w:styleId="1048">
    <w:name w:val="批注文字 Char1"/>
    <w:qFormat/>
    <w:uiPriority w:val="99"/>
  </w:style>
  <w:style w:type="character" w:customStyle="1" w:styleId="1049">
    <w:name w:val="正文文本 3 Char1"/>
    <w:qFormat/>
    <w:uiPriority w:val="99"/>
    <w:rPr>
      <w:sz w:val="16"/>
      <w:szCs w:val="16"/>
    </w:rPr>
  </w:style>
  <w:style w:type="character" w:customStyle="1" w:styleId="1050">
    <w:name w:val="文档结构图 Char1"/>
    <w:qFormat/>
    <w:uiPriority w:val="0"/>
    <w:rPr>
      <w:rFonts w:ascii="宋体" w:eastAsia="宋体"/>
      <w:sz w:val="18"/>
      <w:szCs w:val="18"/>
    </w:rPr>
  </w:style>
  <w:style w:type="character" w:customStyle="1" w:styleId="1051">
    <w:name w:val="texd1"/>
    <w:qFormat/>
    <w:uiPriority w:val="0"/>
    <w:rPr>
      <w:rFonts w:eastAsia="黑体"/>
      <w:kern w:val="2"/>
      <w:sz w:val="20"/>
      <w:szCs w:val="20"/>
      <w:lang w:val="en-US" w:eastAsia="zh-CN" w:bidi="ar-SA"/>
    </w:rPr>
  </w:style>
  <w:style w:type="character" w:customStyle="1" w:styleId="1052">
    <w:name w:val="页眉1 Char"/>
    <w:qFormat/>
    <w:uiPriority w:val="99"/>
    <w:rPr>
      <w:rFonts w:eastAsia="宋体"/>
      <w:kern w:val="2"/>
      <w:sz w:val="18"/>
      <w:szCs w:val="18"/>
      <w:lang w:val="en-US" w:eastAsia="zh-CN" w:bidi="ar-SA"/>
    </w:rPr>
  </w:style>
  <w:style w:type="character" w:customStyle="1" w:styleId="1053">
    <w:name w:val="标题 Char1"/>
    <w:qFormat/>
    <w:uiPriority w:val="10"/>
    <w:rPr>
      <w:rFonts w:ascii="Cambria" w:hAnsi="Cambria" w:eastAsia="宋体" w:cs="Times New Roman"/>
      <w:b/>
      <w:bCs/>
      <w:sz w:val="32"/>
      <w:szCs w:val="32"/>
      <w:lang w:bidi="ar-SA"/>
    </w:rPr>
  </w:style>
  <w:style w:type="character" w:customStyle="1" w:styleId="1054">
    <w:name w:val="正文文本 Char1"/>
    <w:qFormat/>
    <w:uiPriority w:val="0"/>
  </w:style>
  <w:style w:type="character" w:customStyle="1" w:styleId="1055">
    <w:name w:val="正文文本缩进 2 Char1"/>
    <w:qFormat/>
    <w:uiPriority w:val="99"/>
  </w:style>
  <w:style w:type="character" w:customStyle="1" w:styleId="1056">
    <w:name w:val="日期 Char1"/>
    <w:qFormat/>
    <w:uiPriority w:val="0"/>
  </w:style>
  <w:style w:type="character" w:customStyle="1" w:styleId="1057">
    <w:name w:val="样式 字符缩放: 100%"/>
    <w:qFormat/>
    <w:uiPriority w:val="0"/>
    <w:rPr>
      <w:rFonts w:eastAsia="黑体"/>
      <w:spacing w:val="0"/>
      <w:w w:val="100"/>
      <w:kern w:val="2"/>
      <w:position w:val="0"/>
      <w:sz w:val="30"/>
      <w:szCs w:val="24"/>
      <w:lang w:val="en-US" w:eastAsia="zh-CN" w:bidi="ar-SA"/>
    </w:rPr>
  </w:style>
  <w:style w:type="character" w:customStyle="1" w:styleId="1058">
    <w:name w:val="正文文本_"/>
    <w:link w:val="1059"/>
    <w:qFormat/>
    <w:uiPriority w:val="0"/>
    <w:rPr>
      <w:rFonts w:eastAsia="Times New Roman"/>
      <w:shd w:val="clear" w:color="auto" w:fill="FFFFFF"/>
    </w:rPr>
  </w:style>
  <w:style w:type="paragraph" w:customStyle="1" w:styleId="1059">
    <w:name w:val="正文文本15"/>
    <w:basedOn w:val="1"/>
    <w:link w:val="1058"/>
    <w:qFormat/>
    <w:uiPriority w:val="0"/>
    <w:pPr>
      <w:shd w:val="clear" w:color="auto" w:fill="FFFFFF"/>
      <w:spacing w:before="1320" w:after="180" w:line="0" w:lineRule="atLeast"/>
      <w:ind w:hanging="840"/>
      <w:jc w:val="distribute"/>
    </w:pPr>
    <w:rPr>
      <w:rFonts w:eastAsia="Times New Roman"/>
      <w:kern w:val="0"/>
      <w:sz w:val="20"/>
      <w:szCs w:val="20"/>
    </w:rPr>
  </w:style>
  <w:style w:type="character" w:customStyle="1" w:styleId="1060">
    <w:name w:val="正文文本缩进 3 Char1"/>
    <w:qFormat/>
    <w:uiPriority w:val="0"/>
    <w:rPr>
      <w:sz w:val="16"/>
      <w:szCs w:val="16"/>
    </w:rPr>
  </w:style>
  <w:style w:type="character" w:customStyle="1" w:styleId="1061">
    <w:name w:val="标题 #2 + Verdana"/>
    <w:qFormat/>
    <w:uiPriority w:val="0"/>
    <w:rPr>
      <w:rFonts w:ascii="Verdana" w:hAnsi="Verdana" w:eastAsia="Verdana" w:cs="Verdana"/>
      <w:b/>
      <w:bCs/>
      <w:color w:val="000000"/>
      <w:spacing w:val="0"/>
      <w:w w:val="100"/>
      <w:position w:val="0"/>
      <w:sz w:val="15"/>
      <w:szCs w:val="15"/>
      <w:shd w:val="clear" w:color="auto" w:fill="FFFFFF"/>
      <w:lang w:bidi="ar-SA"/>
    </w:rPr>
  </w:style>
  <w:style w:type="character" w:customStyle="1" w:styleId="1062">
    <w:name w:val="正文文本 + 间距 1 pt"/>
    <w:qFormat/>
    <w:uiPriority w:val="0"/>
    <w:rPr>
      <w:rFonts w:ascii="MingLiU" w:eastAsia="MingLiU" w:cs="MingLiU"/>
      <w:color w:val="000000"/>
      <w:spacing w:val="22"/>
      <w:w w:val="100"/>
      <w:position w:val="0"/>
      <w:sz w:val="23"/>
      <w:szCs w:val="23"/>
      <w:u w:val="none"/>
      <w:shd w:val="clear" w:color="auto" w:fill="FFFFFF"/>
      <w:lang w:val="zh-CN" w:eastAsia="zh-CN" w:bidi="ar-SA"/>
    </w:rPr>
  </w:style>
  <w:style w:type="character" w:customStyle="1" w:styleId="1063">
    <w:name w:val="style51"/>
    <w:qFormat/>
    <w:uiPriority w:val="0"/>
    <w:rPr>
      <w:rFonts w:ascii="宋体" w:eastAsia="宋体"/>
      <w:kern w:val="2"/>
      <w:sz w:val="30"/>
      <w:szCs w:val="24"/>
      <w:lang w:val="en-US" w:eastAsia="zh-CN" w:bidi="ar-SA"/>
    </w:rPr>
  </w:style>
  <w:style w:type="character" w:customStyle="1" w:styleId="1064">
    <w:name w:val="样式 宋体 四号"/>
    <w:qFormat/>
    <w:uiPriority w:val="0"/>
    <w:rPr>
      <w:rFonts w:ascii="宋体" w:hAnsi="宋体" w:eastAsia="黑体"/>
      <w:kern w:val="2"/>
      <w:sz w:val="24"/>
      <w:szCs w:val="24"/>
      <w:lang w:val="en-US" w:eastAsia="zh-CN" w:bidi="ar-SA"/>
    </w:rPr>
  </w:style>
  <w:style w:type="paragraph" w:customStyle="1" w:styleId="1065">
    <w:name w:val="报告书四级标题"/>
    <w:basedOn w:val="1"/>
    <w:next w:val="967"/>
    <w:qFormat/>
    <w:uiPriority w:val="0"/>
    <w:pPr>
      <w:spacing w:line="520" w:lineRule="exact"/>
      <w:jc w:val="left"/>
      <w:outlineLvl w:val="3"/>
    </w:pPr>
    <w:rPr>
      <w:rFonts w:ascii="宋体" w:cs="黑体"/>
      <w:b/>
      <w:bCs/>
      <w:sz w:val="24"/>
    </w:rPr>
  </w:style>
  <w:style w:type="paragraph" w:customStyle="1" w:styleId="1066">
    <w:name w:val="表格l1"/>
    <w:basedOn w:val="1"/>
    <w:qFormat/>
    <w:uiPriority w:val="0"/>
    <w:pPr>
      <w:widowControl/>
      <w:jc w:val="center"/>
    </w:pPr>
    <w:rPr>
      <w:kern w:val="0"/>
      <w:szCs w:val="20"/>
    </w:rPr>
  </w:style>
  <w:style w:type="paragraph" w:customStyle="1" w:styleId="1067">
    <w:name w:val="报告书二级标准"/>
    <w:basedOn w:val="1068"/>
    <w:next w:val="967"/>
    <w:qFormat/>
    <w:uiPriority w:val="0"/>
    <w:pPr>
      <w:outlineLvl w:val="1"/>
    </w:pPr>
    <w:rPr>
      <w:sz w:val="30"/>
      <w:szCs w:val="30"/>
    </w:rPr>
  </w:style>
  <w:style w:type="paragraph" w:customStyle="1" w:styleId="1068">
    <w:name w:val="报告书一级标题"/>
    <w:basedOn w:val="1"/>
    <w:next w:val="1067"/>
    <w:qFormat/>
    <w:uiPriority w:val="0"/>
    <w:pPr>
      <w:spacing w:line="520" w:lineRule="exact"/>
      <w:jc w:val="left"/>
      <w:outlineLvl w:val="0"/>
    </w:pPr>
    <w:rPr>
      <w:rFonts w:ascii="宋体" w:cs="黑体"/>
      <w:b/>
      <w:bCs/>
      <w:sz w:val="32"/>
      <w:szCs w:val="32"/>
    </w:rPr>
  </w:style>
  <w:style w:type="paragraph" w:customStyle="1" w:styleId="1069">
    <w:name w:val="讲稿"/>
    <w:basedOn w:val="1"/>
    <w:qFormat/>
    <w:uiPriority w:val="0"/>
    <w:pPr>
      <w:ind w:firstLine="431"/>
    </w:pPr>
    <w:rPr>
      <w:rFonts w:ascii="Arial" w:hAnsi="Arial"/>
      <w:kern w:val="0"/>
      <w:szCs w:val="20"/>
    </w:rPr>
  </w:style>
  <w:style w:type="paragraph" w:customStyle="1" w:styleId="1070">
    <w:name w:val="正文首行缩进＋湿地"/>
    <w:basedOn w:val="1"/>
    <w:qFormat/>
    <w:uiPriority w:val="0"/>
    <w:pPr>
      <w:spacing w:line="440" w:lineRule="exact"/>
      <w:ind w:firstLine="225" w:firstLineChars="225"/>
    </w:pPr>
    <w:rPr>
      <w:rFonts w:ascii="仿宋_GB2312" w:eastAsia="仿宋_GB2312"/>
      <w:snapToGrid w:val="0"/>
      <w:kern w:val="0"/>
      <w:sz w:val="28"/>
      <w:szCs w:val="20"/>
    </w:rPr>
  </w:style>
  <w:style w:type="paragraph" w:customStyle="1" w:styleId="1071">
    <w:name w:val="表内文字20"/>
    <w:qFormat/>
    <w:uiPriority w:val="0"/>
    <w:pPr>
      <w:widowControl w:val="0"/>
      <w:spacing w:line="0" w:lineRule="atLeast"/>
      <w:jc w:val="center"/>
    </w:pPr>
    <w:rPr>
      <w:rFonts w:ascii="Times New Roman" w:hAnsi="Times New Roman" w:eastAsia="宋体" w:cs="Times New Roman"/>
      <w:sz w:val="21"/>
      <w:lang w:val="en-US" w:eastAsia="zh-CN" w:bidi="ar-SA"/>
    </w:rPr>
  </w:style>
  <w:style w:type="paragraph" w:customStyle="1" w:styleId="1072">
    <w:name w:val="正文001"/>
    <w:basedOn w:val="1"/>
    <w:link w:val="2357"/>
    <w:qFormat/>
    <w:uiPriority w:val="0"/>
    <w:pPr>
      <w:spacing w:before="60" w:line="420" w:lineRule="exact"/>
      <w:ind w:firstLine="482"/>
    </w:pPr>
    <w:rPr>
      <w:kern w:val="0"/>
      <w:sz w:val="24"/>
      <w:szCs w:val="20"/>
    </w:rPr>
  </w:style>
  <w:style w:type="paragraph" w:customStyle="1" w:styleId="1073">
    <w:name w:val="无间隔1"/>
    <w:basedOn w:val="1"/>
    <w:link w:val="2540"/>
    <w:qFormat/>
    <w:uiPriority w:val="0"/>
    <w:pPr>
      <w:widowControl/>
      <w:jc w:val="left"/>
    </w:pPr>
    <w:rPr>
      <w:rFonts w:ascii="Calibri" w:hAnsi="Calibri"/>
      <w:kern w:val="0"/>
      <w:sz w:val="24"/>
      <w:szCs w:val="32"/>
      <w:lang w:eastAsia="en-US" w:bidi="en-US"/>
    </w:rPr>
  </w:style>
  <w:style w:type="paragraph" w:customStyle="1" w:styleId="1074">
    <w:name w:val="表样式1"/>
    <w:basedOn w:val="1"/>
    <w:qFormat/>
    <w:uiPriority w:val="0"/>
    <w:pPr>
      <w:spacing w:line="360" w:lineRule="exact"/>
    </w:pPr>
    <w:rPr>
      <w:rFonts w:ascii="宋体"/>
      <w:color w:val="0000FF"/>
      <w:szCs w:val="21"/>
    </w:rPr>
  </w:style>
  <w:style w:type="paragraph" w:customStyle="1" w:styleId="1075">
    <w:name w:val="列出段落2"/>
    <w:basedOn w:val="1"/>
    <w:qFormat/>
    <w:uiPriority w:val="34"/>
    <w:pPr>
      <w:ind w:firstLine="200" w:firstLineChars="200"/>
    </w:pPr>
    <w:rPr>
      <w:rFonts w:ascii="Calibri" w:hAnsi="Calibri"/>
      <w:sz w:val="28"/>
      <w:szCs w:val="20"/>
    </w:rPr>
  </w:style>
  <w:style w:type="paragraph" w:customStyle="1" w:styleId="1076">
    <w:name w:val="TOC 标题11"/>
    <w:basedOn w:val="3"/>
    <w:next w:val="1"/>
    <w:qFormat/>
    <w:uiPriority w:val="0"/>
    <w:pPr>
      <w:widowControl/>
      <w:numPr>
        <w:numId w:val="0"/>
      </w:numPr>
      <w:spacing w:before="480" w:line="276" w:lineRule="auto"/>
      <w:outlineLvl w:val="9"/>
    </w:pPr>
    <w:rPr>
      <w:rFonts w:ascii="Cambria" w:hAnsi="Cambria" w:eastAsia="宋体"/>
      <w:b/>
      <w:color w:val="365F91"/>
      <w:kern w:val="0"/>
      <w:sz w:val="28"/>
      <w:szCs w:val="28"/>
    </w:rPr>
  </w:style>
  <w:style w:type="paragraph" w:customStyle="1" w:styleId="1077">
    <w:name w:val="表头1"/>
    <w:link w:val="1871"/>
    <w:qFormat/>
    <w:uiPriority w:val="0"/>
    <w:pPr>
      <w:widowControl w:val="0"/>
      <w:snapToGrid w:val="0"/>
      <w:spacing w:before="50" w:beforeLines="50" w:line="360" w:lineRule="auto"/>
      <w:jc w:val="center"/>
    </w:pPr>
    <w:rPr>
      <w:rFonts w:ascii="Times New Roman" w:hAnsi="Times New Roman" w:eastAsia="宋体" w:cs="Times New Roman"/>
      <w:b/>
      <w:bCs/>
      <w:snapToGrid w:val="0"/>
      <w:kern w:val="24"/>
      <w:sz w:val="24"/>
      <w:szCs w:val="24"/>
      <w:lang w:val="en-US" w:eastAsia="zh-CN" w:bidi="ar-SA"/>
    </w:rPr>
  </w:style>
  <w:style w:type="paragraph" w:customStyle="1" w:styleId="1078">
    <w:name w:val="仿宋体正文"/>
    <w:basedOn w:val="1"/>
    <w:qFormat/>
    <w:uiPriority w:val="0"/>
    <w:pPr>
      <w:spacing w:line="280" w:lineRule="exact"/>
      <w:jc w:val="center"/>
    </w:pPr>
    <w:rPr>
      <w:color w:val="000000"/>
      <w:spacing w:val="-14"/>
      <w:szCs w:val="21"/>
    </w:rPr>
  </w:style>
  <w:style w:type="paragraph" w:customStyle="1" w:styleId="1079">
    <w:name w:val="样式 标题 3 + 段前: 7.8 磅"/>
    <w:basedOn w:val="5"/>
    <w:qFormat/>
    <w:uiPriority w:val="0"/>
    <w:pPr>
      <w:keepNext w:val="0"/>
      <w:keepLines w:val="0"/>
      <w:numPr>
        <w:ilvl w:val="0"/>
        <w:numId w:val="0"/>
      </w:numPr>
      <w:ind w:firstLine="200" w:firstLineChars="200"/>
      <w:jc w:val="both"/>
      <w:outlineLvl w:val="9"/>
    </w:pPr>
    <w:rPr>
      <w:rFonts w:eastAsia="宋体"/>
      <w:bCs/>
      <w:szCs w:val="32"/>
    </w:rPr>
  </w:style>
  <w:style w:type="paragraph" w:customStyle="1" w:styleId="1080">
    <w:name w:val="环小四表内容"/>
    <w:basedOn w:val="1"/>
    <w:link w:val="1880"/>
    <w:qFormat/>
    <w:uiPriority w:val="0"/>
    <w:pPr>
      <w:wordWrap w:val="0"/>
      <w:spacing w:line="240" w:lineRule="exact"/>
      <w:jc w:val="center"/>
    </w:pPr>
    <w:rPr>
      <w:rFonts w:ascii="宋体"/>
      <w:sz w:val="18"/>
      <w:szCs w:val="21"/>
    </w:rPr>
  </w:style>
  <w:style w:type="paragraph" w:customStyle="1" w:styleId="1081">
    <w:name w:val="表内格式"/>
    <w:basedOn w:val="1"/>
    <w:qFormat/>
    <w:uiPriority w:val="0"/>
    <w:pPr>
      <w:jc w:val="center"/>
    </w:pPr>
    <w:rPr>
      <w:rFonts w:cs="宋体"/>
      <w:szCs w:val="21"/>
    </w:rPr>
  </w:style>
  <w:style w:type="paragraph" w:customStyle="1" w:styleId="1082">
    <w:name w:val="样式 标题 3ReHead 3 WSAh3标题 3 Char标题 32标题 311Re11Head 3 WSA1..."/>
    <w:basedOn w:val="5"/>
    <w:qFormat/>
    <w:uiPriority w:val="0"/>
    <w:pPr>
      <w:keepNext w:val="0"/>
      <w:keepLines w:val="0"/>
      <w:numPr>
        <w:ilvl w:val="0"/>
        <w:numId w:val="0"/>
      </w:numPr>
      <w:spacing w:before="50" w:beforeLines="50" w:line="480" w:lineRule="exact"/>
      <w:jc w:val="both"/>
    </w:pPr>
    <w:rPr>
      <w:rFonts w:ascii="宋体" w:hAnsi="黑体" w:eastAsia="宋体" w:cs="宋体"/>
      <w:bCs/>
    </w:rPr>
  </w:style>
  <w:style w:type="paragraph" w:customStyle="1" w:styleId="1083">
    <w:name w:val="一级表"/>
    <w:basedOn w:val="1"/>
    <w:qFormat/>
    <w:uiPriority w:val="0"/>
    <w:pPr>
      <w:spacing w:line="360" w:lineRule="auto"/>
      <w:jc w:val="left"/>
      <w:outlineLvl w:val="0"/>
    </w:pPr>
    <w:rPr>
      <w:b/>
      <w:sz w:val="28"/>
      <w:szCs w:val="20"/>
    </w:rPr>
  </w:style>
  <w:style w:type="paragraph" w:customStyle="1" w:styleId="1084">
    <w:name w:val="宋体正文小四蓝色"/>
    <w:qFormat/>
    <w:uiPriority w:val="0"/>
    <w:pPr>
      <w:adjustRightInd w:val="0"/>
      <w:spacing w:line="360" w:lineRule="auto"/>
      <w:ind w:firstLine="200" w:firstLineChars="200"/>
    </w:pPr>
    <w:rPr>
      <w:rFonts w:ascii="Times New Roman" w:hAnsi="Times New Roman" w:eastAsia="宋体" w:cs="Times New Roman"/>
      <w:color w:val="0000FF"/>
      <w:kern w:val="2"/>
      <w:sz w:val="24"/>
      <w:szCs w:val="24"/>
      <w:lang w:val="en-US" w:eastAsia="zh-CN" w:bidi="ar-SA"/>
    </w:rPr>
  </w:style>
  <w:style w:type="paragraph" w:customStyle="1" w:styleId="1085">
    <w:name w:val="纯文本 + Times New Roman"/>
    <w:basedOn w:val="46"/>
    <w:qFormat/>
    <w:uiPriority w:val="0"/>
    <w:pPr>
      <w:pBdr>
        <w:bottom w:val="single" w:color="auto" w:sz="6" w:space="1"/>
      </w:pBdr>
      <w:spacing w:line="500" w:lineRule="exact"/>
      <w:jc w:val="center"/>
    </w:pPr>
    <w:rPr>
      <w:rFonts w:ascii="Times New Roman" w:hAnsi="Times New Roman" w:cs="Times New Roman"/>
      <w:szCs w:val="20"/>
    </w:rPr>
  </w:style>
  <w:style w:type="paragraph" w:customStyle="1" w:styleId="1086">
    <w:name w:val="二级书"/>
    <w:basedOn w:val="1087"/>
    <w:next w:val="1021"/>
    <w:qFormat/>
    <w:uiPriority w:val="99"/>
    <w:pPr>
      <w:outlineLvl w:val="1"/>
    </w:pPr>
    <w:rPr>
      <w:sz w:val="30"/>
    </w:rPr>
  </w:style>
  <w:style w:type="paragraph" w:customStyle="1" w:styleId="1087">
    <w:name w:val="一级书"/>
    <w:basedOn w:val="1"/>
    <w:next w:val="1086"/>
    <w:qFormat/>
    <w:uiPriority w:val="0"/>
    <w:pPr>
      <w:spacing w:line="520" w:lineRule="exact"/>
      <w:jc w:val="left"/>
      <w:outlineLvl w:val="0"/>
    </w:pPr>
    <w:rPr>
      <w:rFonts w:ascii="宋体"/>
      <w:b/>
      <w:sz w:val="32"/>
      <w:szCs w:val="28"/>
    </w:rPr>
  </w:style>
  <w:style w:type="paragraph" w:customStyle="1" w:styleId="1088">
    <w:name w:val="正文样式1"/>
    <w:basedOn w:val="1"/>
    <w:link w:val="2584"/>
    <w:qFormat/>
    <w:uiPriority w:val="0"/>
    <w:pPr>
      <w:adjustRightInd w:val="0"/>
      <w:spacing w:line="400" w:lineRule="atLeast"/>
      <w:ind w:firstLine="454"/>
    </w:pPr>
    <w:rPr>
      <w:b/>
      <w:kern w:val="24"/>
      <w:sz w:val="24"/>
      <w:szCs w:val="20"/>
    </w:rPr>
  </w:style>
  <w:style w:type="paragraph" w:customStyle="1" w:styleId="1089">
    <w:name w:val="图件格式"/>
    <w:basedOn w:val="747"/>
    <w:qFormat/>
    <w:uiPriority w:val="0"/>
    <w:pPr>
      <w:tabs>
        <w:tab w:val="clear" w:pos="1750"/>
      </w:tabs>
      <w:spacing w:before="0" w:after="0" w:line="360" w:lineRule="auto"/>
      <w:ind w:left="0" w:firstLine="0" w:firstLineChars="0"/>
      <w:jc w:val="center"/>
    </w:pPr>
    <w:rPr>
      <w:rFonts w:ascii="宋体" w:cs="宋体"/>
      <w:bCs w:val="0"/>
      <w:kern w:val="2"/>
      <w:szCs w:val="20"/>
    </w:rPr>
  </w:style>
  <w:style w:type="paragraph" w:customStyle="1" w:styleId="1090">
    <w:name w:val="表格内文字格式"/>
    <w:basedOn w:val="1"/>
    <w:next w:val="1"/>
    <w:qFormat/>
    <w:uiPriority w:val="0"/>
    <w:pPr>
      <w:widowControl/>
      <w:spacing w:line="380" w:lineRule="exact"/>
      <w:jc w:val="center"/>
    </w:pPr>
    <w:rPr>
      <w:rFonts w:ascii="宋体"/>
      <w:snapToGrid w:val="0"/>
      <w:color w:val="000000"/>
      <w:kern w:val="0"/>
      <w:szCs w:val="20"/>
    </w:rPr>
  </w:style>
  <w:style w:type="paragraph" w:customStyle="1" w:styleId="1091">
    <w:name w:val="报告书三级标题"/>
    <w:basedOn w:val="35"/>
    <w:next w:val="657"/>
    <w:qFormat/>
    <w:uiPriority w:val="0"/>
    <w:pPr>
      <w:spacing w:before="100" w:beforeAutospacing="1" w:after="0" w:line="520" w:lineRule="exact"/>
      <w:jc w:val="left"/>
      <w:outlineLvl w:val="2"/>
    </w:pPr>
    <w:rPr>
      <w:rFonts w:ascii="宋体"/>
      <w:b/>
      <w:bCs/>
      <w:sz w:val="28"/>
      <w:szCs w:val="28"/>
    </w:rPr>
  </w:style>
  <w:style w:type="paragraph" w:customStyle="1" w:styleId="1092">
    <w:name w:val="reader-word-layer"/>
    <w:basedOn w:val="1"/>
    <w:qFormat/>
    <w:uiPriority w:val="0"/>
    <w:pPr>
      <w:widowControl/>
      <w:spacing w:before="100" w:beforeAutospacing="1" w:after="100" w:afterAutospacing="1"/>
      <w:jc w:val="left"/>
    </w:pPr>
    <w:rPr>
      <w:rFonts w:ascii="宋体" w:cs="宋体"/>
      <w:kern w:val="0"/>
      <w:sz w:val="24"/>
    </w:rPr>
  </w:style>
  <w:style w:type="paragraph" w:customStyle="1" w:styleId="1093">
    <w:name w:val="图表名"/>
    <w:basedOn w:val="1"/>
    <w:qFormat/>
    <w:uiPriority w:val="0"/>
    <w:pPr>
      <w:adjustRightInd w:val="0"/>
      <w:snapToGrid w:val="0"/>
      <w:spacing w:before="30" w:beforeLines="30"/>
      <w:jc w:val="center"/>
    </w:pPr>
    <w:rPr>
      <w:rFonts w:ascii="宋体" w:cs="Courier New"/>
      <w:bCs/>
      <w:kern w:val="0"/>
      <w:sz w:val="24"/>
      <w:szCs w:val="28"/>
    </w:rPr>
  </w:style>
  <w:style w:type="paragraph" w:customStyle="1" w:styleId="1094">
    <w:name w:val="样式"/>
    <w:qFormat/>
    <w:uiPriority w:val="0"/>
    <w:pPr>
      <w:widowControl w:val="0"/>
      <w:autoSpaceDE w:val="0"/>
      <w:autoSpaceDN w:val="0"/>
      <w:adjustRightInd w:val="0"/>
    </w:pPr>
    <w:rPr>
      <w:rFonts w:ascii="Times New Roman" w:hAnsi="Times New Roman" w:eastAsia="宋体" w:cs="Times New Roman"/>
      <w:sz w:val="24"/>
      <w:szCs w:val="24"/>
      <w:lang w:val="en-US" w:eastAsia="zh-CN" w:bidi="ar-SA"/>
    </w:rPr>
  </w:style>
  <w:style w:type="paragraph" w:customStyle="1" w:styleId="1095">
    <w:name w:val="二级表"/>
    <w:basedOn w:val="1083"/>
    <w:qFormat/>
    <w:uiPriority w:val="99"/>
    <w:pPr>
      <w:outlineLvl w:val="1"/>
    </w:pPr>
    <w:rPr>
      <w:sz w:val="24"/>
    </w:rPr>
  </w:style>
  <w:style w:type="paragraph" w:customStyle="1" w:styleId="1096">
    <w:name w:val="公式符号注解"/>
    <w:basedOn w:val="747"/>
    <w:qFormat/>
    <w:uiPriority w:val="0"/>
    <w:pPr>
      <w:tabs>
        <w:tab w:val="clear" w:pos="1750"/>
      </w:tabs>
      <w:spacing w:before="0" w:after="0" w:line="500" w:lineRule="exact"/>
      <w:ind w:left="0" w:firstLine="500" w:firstLineChars="500"/>
    </w:pPr>
    <w:rPr>
      <w:rFonts w:ascii="宋体" w:cs="宋体"/>
      <w:bCs w:val="0"/>
      <w:kern w:val="2"/>
      <w:szCs w:val="20"/>
    </w:rPr>
  </w:style>
  <w:style w:type="paragraph" w:customStyle="1" w:styleId="1097">
    <w:name w:val="正文31"/>
    <w:qFormat/>
    <w:uiPriority w:val="0"/>
    <w:pPr>
      <w:jc w:val="both"/>
    </w:pPr>
    <w:rPr>
      <w:rFonts w:ascii="Times New Roman" w:hAnsi="Times New Roman" w:eastAsia="宋体" w:cs="Times New Roman"/>
      <w:kern w:val="2"/>
      <w:sz w:val="21"/>
      <w:szCs w:val="21"/>
      <w:lang w:val="en-US" w:eastAsia="zh-CN" w:bidi="ar-SA"/>
    </w:rPr>
  </w:style>
  <w:style w:type="paragraph" w:customStyle="1" w:styleId="1098">
    <w:name w:val="宋体小四1.5倍行距"/>
    <w:basedOn w:val="1"/>
    <w:next w:val="1"/>
    <w:qFormat/>
    <w:uiPriority w:val="0"/>
    <w:rPr>
      <w:rFonts w:cs="宋体"/>
      <w:lang w:val="zh-CN"/>
    </w:rPr>
  </w:style>
  <w:style w:type="paragraph" w:customStyle="1" w:styleId="1099">
    <w:name w:val="三级书"/>
    <w:basedOn w:val="35"/>
    <w:next w:val="1024"/>
    <w:qFormat/>
    <w:uiPriority w:val="0"/>
    <w:pPr>
      <w:spacing w:after="0" w:line="520" w:lineRule="exact"/>
      <w:jc w:val="left"/>
      <w:outlineLvl w:val="2"/>
    </w:pPr>
    <w:rPr>
      <w:rFonts w:ascii="宋体"/>
      <w:b/>
      <w:sz w:val="28"/>
    </w:rPr>
  </w:style>
  <w:style w:type="paragraph" w:customStyle="1" w:styleId="1100">
    <w:name w:val="表格段落1"/>
    <w:basedOn w:val="1"/>
    <w:qFormat/>
    <w:uiPriority w:val="0"/>
    <w:pPr>
      <w:autoSpaceDE w:val="0"/>
      <w:autoSpaceDN w:val="0"/>
      <w:adjustRightInd w:val="0"/>
      <w:jc w:val="center"/>
    </w:pPr>
    <w:rPr>
      <w:color w:val="FF00FF"/>
      <w:szCs w:val="21"/>
    </w:rPr>
  </w:style>
  <w:style w:type="paragraph" w:customStyle="1" w:styleId="1101">
    <w:name w:val="样式 样式 样式 表内样式 + (符号) 宋体 + Times New Roman 五号 行距: 单倍行距 + 段前: 3.1 ..."/>
    <w:basedOn w:val="1"/>
    <w:qFormat/>
    <w:uiPriority w:val="0"/>
    <w:pPr>
      <w:keepLines/>
      <w:kinsoku w:val="0"/>
      <w:overflowPunct w:val="0"/>
      <w:adjustRightInd w:val="0"/>
      <w:jc w:val="center"/>
    </w:pPr>
    <w:rPr>
      <w:rFonts w:cs="宋体"/>
      <w:szCs w:val="21"/>
    </w:rPr>
  </w:style>
  <w:style w:type="paragraph" w:customStyle="1" w:styleId="1102">
    <w:name w:val="样式A"/>
    <w:basedOn w:val="1"/>
    <w:qFormat/>
    <w:uiPriority w:val="0"/>
    <w:pPr>
      <w:topLinePunct/>
      <w:adjustRightInd w:val="0"/>
      <w:spacing w:line="530" w:lineRule="exact"/>
      <w:ind w:firstLine="200" w:firstLineChars="200"/>
      <w:jc w:val="left"/>
      <w:textAlignment w:val="baseline"/>
    </w:pPr>
    <w:rPr>
      <w:rFonts w:eastAsia="幼圆"/>
      <w:kern w:val="0"/>
      <w:sz w:val="26"/>
      <w:szCs w:val="26"/>
    </w:rPr>
  </w:style>
  <w:style w:type="paragraph" w:customStyle="1" w:styleId="1103">
    <w:name w:val="样式 表头样式1 + 首行缩进:  2 字符 段前: 0.5 行"/>
    <w:basedOn w:val="972"/>
    <w:qFormat/>
    <w:uiPriority w:val="0"/>
    <w:pPr>
      <w:spacing w:after="100" w:afterAutospacing="1" w:line="360" w:lineRule="auto"/>
      <w:ind w:firstLine="200" w:firstLineChars="200"/>
      <w:jc w:val="center"/>
    </w:pPr>
    <w:rPr>
      <w:rFonts w:ascii="宋体"/>
      <w:color w:val="000000"/>
      <w:kern w:val="0"/>
      <w:sz w:val="24"/>
      <w:szCs w:val="20"/>
      <w:lang w:eastAsia="zh-TW"/>
    </w:rPr>
  </w:style>
  <w:style w:type="paragraph" w:customStyle="1" w:styleId="1104">
    <w:name w:val="样式 样式 样式 默认段落字体 Para Char Char Char Char + 字距调整二号 + +"/>
    <w:basedOn w:val="1"/>
    <w:qFormat/>
    <w:uiPriority w:val="0"/>
    <w:pPr>
      <w:spacing w:before="50" w:beforeLines="50" w:after="50" w:afterLines="50" w:line="360" w:lineRule="auto"/>
      <w:jc w:val="center"/>
    </w:pPr>
    <w:rPr>
      <w:rFonts w:eastAsia="黑体"/>
      <w:kern w:val="44"/>
      <w:sz w:val="32"/>
    </w:rPr>
  </w:style>
  <w:style w:type="paragraph" w:customStyle="1" w:styleId="1105">
    <w:name w:val="样式 首行缩进:  0.85 厘米 行距: 1.5 倍行距"/>
    <w:qFormat/>
    <w:uiPriority w:val="99"/>
    <w:pPr>
      <w:widowControl w:val="0"/>
      <w:snapToGrid w:val="0"/>
      <w:spacing w:line="360" w:lineRule="auto"/>
      <w:jc w:val="both"/>
    </w:pPr>
    <w:rPr>
      <w:rFonts w:ascii="Times New Roman" w:hAnsi="Times New Roman" w:eastAsia="宋体" w:cs="Times New Roman"/>
      <w:kern w:val="2"/>
      <w:sz w:val="24"/>
      <w:lang w:val="en-US" w:eastAsia="zh-CN" w:bidi="ar-SA"/>
    </w:rPr>
  </w:style>
  <w:style w:type="paragraph" w:customStyle="1" w:styleId="1106">
    <w:name w:val="报告表格"/>
    <w:basedOn w:val="1"/>
    <w:qFormat/>
    <w:uiPriority w:val="0"/>
    <w:pPr>
      <w:autoSpaceDE w:val="0"/>
      <w:autoSpaceDN w:val="0"/>
      <w:adjustRightInd w:val="0"/>
      <w:spacing w:before="40" w:after="40"/>
      <w:jc w:val="center"/>
      <w:textAlignment w:val="bottom"/>
    </w:pPr>
    <w:rPr>
      <w:kern w:val="0"/>
      <w:szCs w:val="20"/>
    </w:rPr>
  </w:style>
  <w:style w:type="paragraph" w:customStyle="1" w:styleId="1107">
    <w:name w:val="样式 首行缩进:  2 字符 段前: 0.5 行 段后: 0.5 行"/>
    <w:basedOn w:val="1"/>
    <w:qFormat/>
    <w:uiPriority w:val="0"/>
    <w:pPr>
      <w:spacing w:line="500" w:lineRule="exact"/>
      <w:ind w:firstLine="200" w:firstLineChars="200"/>
    </w:pPr>
    <w:rPr>
      <w:rFonts w:cs="宋体"/>
      <w:sz w:val="24"/>
      <w:szCs w:val="20"/>
    </w:rPr>
  </w:style>
  <w:style w:type="paragraph" w:customStyle="1" w:styleId="1108">
    <w:name w:val="表格内容格式"/>
    <w:basedOn w:val="1"/>
    <w:qFormat/>
    <w:uiPriority w:val="0"/>
    <w:pPr>
      <w:adjustRightInd w:val="0"/>
      <w:spacing w:line="240" w:lineRule="atLeast"/>
      <w:textAlignment w:val="baseline"/>
    </w:pPr>
    <w:rPr>
      <w:rFonts w:ascii="宋体"/>
      <w:snapToGrid w:val="0"/>
      <w:color w:val="000000"/>
      <w:kern w:val="0"/>
      <w:szCs w:val="21"/>
    </w:rPr>
  </w:style>
  <w:style w:type="paragraph" w:customStyle="1" w:styleId="1109">
    <w:name w:val="四级书"/>
    <w:basedOn w:val="1"/>
    <w:next w:val="1021"/>
    <w:qFormat/>
    <w:uiPriority w:val="0"/>
    <w:pPr>
      <w:spacing w:line="520" w:lineRule="exact"/>
      <w:jc w:val="left"/>
      <w:outlineLvl w:val="3"/>
    </w:pPr>
    <w:rPr>
      <w:b/>
      <w:bCs/>
      <w:sz w:val="24"/>
      <w:szCs w:val="20"/>
    </w:rPr>
  </w:style>
  <w:style w:type="paragraph" w:customStyle="1" w:styleId="1110">
    <w:name w:val="表样式1.1"/>
    <w:basedOn w:val="1074"/>
    <w:qFormat/>
    <w:uiPriority w:val="0"/>
    <w:pPr>
      <w:spacing w:line="340" w:lineRule="exact"/>
      <w:jc w:val="center"/>
    </w:pPr>
    <w:rPr>
      <w:rFonts w:cs="宋体"/>
      <w:color w:val="auto"/>
    </w:rPr>
  </w:style>
  <w:style w:type="paragraph" w:customStyle="1" w:styleId="1111">
    <w:name w:val="样式 正文（首行缩进两字） + 行距: 固定值 20 磅"/>
    <w:basedOn w:val="22"/>
    <w:qFormat/>
    <w:uiPriority w:val="0"/>
    <w:pPr>
      <w:spacing w:after="20" w:afterLines="20" w:line="400" w:lineRule="exact"/>
      <w:ind w:firstLine="200"/>
    </w:pPr>
    <w:rPr>
      <w:szCs w:val="20"/>
    </w:rPr>
  </w:style>
  <w:style w:type="paragraph" w:customStyle="1" w:styleId="1112">
    <w:name w:val="报告书图表标题"/>
    <w:basedOn w:val="1"/>
    <w:qFormat/>
    <w:uiPriority w:val="0"/>
    <w:pPr>
      <w:spacing w:before="100" w:beforeAutospacing="1" w:after="160" w:line="520" w:lineRule="exact"/>
      <w:jc w:val="center"/>
    </w:pPr>
    <w:rPr>
      <w:rFonts w:ascii="黑体" w:eastAsia="黑体"/>
      <w:sz w:val="24"/>
    </w:rPr>
  </w:style>
  <w:style w:type="paragraph" w:customStyle="1" w:styleId="1113">
    <w:name w:val="大标题"/>
    <w:basedOn w:val="1"/>
    <w:next w:val="1021"/>
    <w:qFormat/>
    <w:uiPriority w:val="0"/>
    <w:rPr>
      <w:b/>
      <w:sz w:val="30"/>
      <w:szCs w:val="20"/>
    </w:rPr>
  </w:style>
  <w:style w:type="paragraph" w:customStyle="1" w:styleId="1114">
    <w:name w:val="默认段落字体 Para Char Char Char Char Char"/>
    <w:basedOn w:val="1"/>
    <w:qFormat/>
    <w:uiPriority w:val="0"/>
  </w:style>
  <w:style w:type="paragraph" w:customStyle="1" w:styleId="1115">
    <w:name w:val="表格内容1"/>
    <w:qFormat/>
    <w:uiPriority w:val="0"/>
    <w:pPr>
      <w:widowControl w:val="0"/>
      <w:adjustRightInd w:val="0"/>
      <w:snapToGrid w:val="0"/>
      <w:spacing w:before="15" w:beforeLines="15" w:after="15" w:afterLines="15" w:line="240" w:lineRule="exact"/>
      <w:jc w:val="center"/>
    </w:pPr>
    <w:rPr>
      <w:rFonts w:ascii="宋体" w:hAnsi="Times New Roman" w:eastAsia="宋体" w:cs="Times New Roman"/>
      <w:snapToGrid w:val="0"/>
      <w:sz w:val="21"/>
      <w:szCs w:val="24"/>
      <w:lang w:val="en-US" w:eastAsia="zh-CN" w:bidi="ar-SA"/>
    </w:rPr>
  </w:style>
  <w:style w:type="paragraph" w:customStyle="1" w:styleId="1116">
    <w:name w:val="正文（用）"/>
    <w:basedOn w:val="1"/>
    <w:next w:val="1"/>
    <w:link w:val="1117"/>
    <w:qFormat/>
    <w:uiPriority w:val="0"/>
    <w:pPr>
      <w:spacing w:line="360" w:lineRule="auto"/>
      <w:ind w:firstLine="200" w:firstLineChars="200"/>
    </w:pPr>
    <w:rPr>
      <w:sz w:val="24"/>
    </w:rPr>
  </w:style>
  <w:style w:type="character" w:customStyle="1" w:styleId="1117">
    <w:name w:val="正文（用） Char"/>
    <w:link w:val="1116"/>
    <w:qFormat/>
    <w:uiPriority w:val="0"/>
    <w:rPr>
      <w:kern w:val="2"/>
      <w:sz w:val="24"/>
      <w:szCs w:val="24"/>
    </w:rPr>
  </w:style>
  <w:style w:type="paragraph" w:customStyle="1" w:styleId="1118">
    <w:name w:val="样式 样式1 + 宋体 首行缩进:  2 字符"/>
    <w:basedOn w:val="1"/>
    <w:qFormat/>
    <w:uiPriority w:val="0"/>
    <w:pPr>
      <w:numPr>
        <w:ilvl w:val="0"/>
        <w:numId w:val="15"/>
      </w:numPr>
      <w:spacing w:line="180" w:lineRule="atLeast"/>
      <w:ind w:firstLine="520" w:firstLineChars="200"/>
    </w:pPr>
    <w:rPr>
      <w:rFonts w:ascii="宋体" w:hAnsi="宋体"/>
      <w:sz w:val="28"/>
      <w:szCs w:val="28"/>
    </w:rPr>
  </w:style>
  <w:style w:type="paragraph" w:customStyle="1" w:styleId="1119">
    <w:name w:val="注X"/>
    <w:basedOn w:val="1"/>
    <w:qFormat/>
    <w:uiPriority w:val="0"/>
    <w:pPr>
      <w:widowControl/>
      <w:numPr>
        <w:ilvl w:val="0"/>
        <w:numId w:val="16"/>
      </w:numPr>
      <w:spacing w:line="440" w:lineRule="exact"/>
      <w:ind w:left="480" w:leftChars="200" w:hanging="280" w:hangingChars="280"/>
      <w:jc w:val="left"/>
    </w:pPr>
    <w:rPr>
      <w:rFonts w:ascii="宋体"/>
      <w:kern w:val="0"/>
      <w:szCs w:val="20"/>
    </w:rPr>
  </w:style>
  <w:style w:type="paragraph" w:customStyle="1" w:styleId="1120">
    <w:name w:val="表标题使用中"/>
    <w:basedOn w:val="1"/>
    <w:qFormat/>
    <w:uiPriority w:val="0"/>
    <w:pPr>
      <w:snapToGrid w:val="0"/>
      <w:spacing w:before="50" w:beforeLines="50" w:after="50" w:afterLines="50"/>
      <w:jc w:val="center"/>
    </w:pPr>
    <w:rPr>
      <w:rFonts w:eastAsia="黑体"/>
    </w:rPr>
  </w:style>
  <w:style w:type="paragraph" w:customStyle="1" w:styleId="1121">
    <w:name w:val="修订1"/>
    <w:hidden/>
    <w:qFormat/>
    <w:uiPriority w:val="99"/>
    <w:rPr>
      <w:rFonts w:ascii="Times New Roman" w:hAnsi="Times New Roman" w:eastAsia="宋体" w:cs="Times New Roman"/>
      <w:kern w:val="2"/>
      <w:sz w:val="21"/>
      <w:szCs w:val="24"/>
      <w:lang w:val="en-US" w:eastAsia="zh-CN" w:bidi="ar-SA"/>
    </w:rPr>
  </w:style>
  <w:style w:type="character" w:customStyle="1" w:styleId="1122">
    <w:name w:val="未处理的提及1"/>
    <w:semiHidden/>
    <w:unhideWhenUsed/>
    <w:qFormat/>
    <w:uiPriority w:val="99"/>
    <w:rPr>
      <w:color w:val="808080"/>
      <w:shd w:val="clear" w:color="auto" w:fill="E6E6E6"/>
    </w:rPr>
  </w:style>
  <w:style w:type="character" w:customStyle="1" w:styleId="1123">
    <w:name w:val="表格标题 (7) Exact"/>
    <w:link w:val="1124"/>
    <w:qFormat/>
    <w:uiPriority w:val="0"/>
    <w:rPr>
      <w:rFonts w:ascii="黑体" w:hAnsi="黑体" w:eastAsia="黑体" w:cs="黑体"/>
      <w:spacing w:val="4"/>
      <w:sz w:val="8"/>
      <w:szCs w:val="8"/>
      <w:shd w:val="clear" w:color="auto" w:fill="FFFFFF"/>
    </w:rPr>
  </w:style>
  <w:style w:type="paragraph" w:customStyle="1" w:styleId="1124">
    <w:name w:val="表格标题 (7)"/>
    <w:basedOn w:val="1"/>
    <w:link w:val="1123"/>
    <w:qFormat/>
    <w:uiPriority w:val="0"/>
    <w:pPr>
      <w:shd w:val="clear" w:color="auto" w:fill="FFFFFF"/>
      <w:spacing w:line="0" w:lineRule="atLeast"/>
      <w:jc w:val="left"/>
    </w:pPr>
    <w:rPr>
      <w:rFonts w:ascii="黑体" w:hAnsi="黑体" w:eastAsia="黑体" w:cs="黑体"/>
      <w:spacing w:val="4"/>
      <w:kern w:val="0"/>
      <w:sz w:val="8"/>
      <w:szCs w:val="8"/>
    </w:rPr>
  </w:style>
  <w:style w:type="character" w:customStyle="1" w:styleId="1125">
    <w:name w:val="正文文本 (19) Exact"/>
    <w:qFormat/>
    <w:uiPriority w:val="0"/>
    <w:rPr>
      <w:rFonts w:ascii="宋体" w:hAnsi="宋体" w:eastAsia="宋体" w:cs="宋体"/>
      <w:color w:val="000000"/>
      <w:spacing w:val="0"/>
      <w:w w:val="100"/>
      <w:position w:val="0"/>
      <w:sz w:val="45"/>
      <w:szCs w:val="45"/>
      <w:u w:val="none"/>
    </w:rPr>
  </w:style>
  <w:style w:type="character" w:customStyle="1" w:styleId="1126">
    <w:name w:val="正文文本14"/>
    <w:qFormat/>
    <w:uiPriority w:val="0"/>
    <w:rPr>
      <w:rFonts w:ascii="Arial Unicode MS" w:hAnsi="Arial Unicode MS" w:eastAsia="Arial Unicode MS" w:cs="Arial Unicode MS"/>
      <w:color w:val="000000"/>
      <w:spacing w:val="0"/>
      <w:w w:val="100"/>
      <w:position w:val="0"/>
      <w:sz w:val="21"/>
      <w:szCs w:val="21"/>
      <w:u w:val="none"/>
      <w:shd w:val="clear" w:color="auto" w:fill="FFFFFF"/>
      <w:lang w:val="zh-TW"/>
    </w:rPr>
  </w:style>
  <w:style w:type="character" w:customStyle="1" w:styleId="1127">
    <w:name w:val="正文文本20"/>
    <w:qFormat/>
    <w:uiPriority w:val="0"/>
    <w:rPr>
      <w:rFonts w:ascii="Arial Unicode MS" w:hAnsi="Arial Unicode MS" w:eastAsia="Arial Unicode MS" w:cs="Arial Unicode MS"/>
      <w:color w:val="000000"/>
      <w:spacing w:val="0"/>
      <w:w w:val="100"/>
      <w:position w:val="0"/>
      <w:sz w:val="21"/>
      <w:szCs w:val="21"/>
      <w:u w:val="none"/>
      <w:shd w:val="clear" w:color="auto" w:fill="FFFFFF"/>
      <w:lang w:val="en-US"/>
    </w:rPr>
  </w:style>
  <w:style w:type="paragraph" w:customStyle="1" w:styleId="1128">
    <w:name w:val="正文文本24"/>
    <w:basedOn w:val="1"/>
    <w:qFormat/>
    <w:uiPriority w:val="0"/>
    <w:pPr>
      <w:shd w:val="clear" w:color="auto" w:fill="FFFFFF"/>
      <w:spacing w:line="216" w:lineRule="exact"/>
      <w:jc w:val="distribute"/>
    </w:pPr>
    <w:rPr>
      <w:rFonts w:ascii="Arial Unicode MS" w:hAnsi="Arial Unicode MS" w:eastAsia="Arial Unicode MS" w:cs="Arial Unicode MS"/>
      <w:color w:val="000000"/>
      <w:spacing w:val="2"/>
      <w:kern w:val="0"/>
      <w:sz w:val="20"/>
      <w:szCs w:val="20"/>
      <w:lang w:val="zh-TW"/>
    </w:rPr>
  </w:style>
  <w:style w:type="character" w:customStyle="1" w:styleId="1129">
    <w:name w:val="标题 3 Char"/>
    <w:qFormat/>
    <w:uiPriority w:val="0"/>
    <w:rPr>
      <w:rFonts w:eastAsia="黑体"/>
      <w:bCs/>
      <w:kern w:val="2"/>
      <w:sz w:val="24"/>
      <w:szCs w:val="24"/>
    </w:rPr>
  </w:style>
  <w:style w:type="character" w:customStyle="1" w:styleId="1130">
    <w:name w:val="标题 1 Char1"/>
    <w:qFormat/>
    <w:uiPriority w:val="0"/>
    <w:rPr>
      <w:rFonts w:eastAsia="黑体"/>
      <w:bCs/>
      <w:kern w:val="44"/>
      <w:sz w:val="32"/>
      <w:szCs w:val="44"/>
    </w:rPr>
  </w:style>
  <w:style w:type="character" w:customStyle="1" w:styleId="1131">
    <w:name w:val="标题 2 Char1"/>
    <w:qFormat/>
    <w:uiPriority w:val="0"/>
    <w:rPr>
      <w:rFonts w:eastAsia="黑体"/>
      <w:bCs/>
      <w:kern w:val="2"/>
      <w:sz w:val="28"/>
      <w:szCs w:val="28"/>
      <w:lang w:val="zh-CN"/>
    </w:rPr>
  </w:style>
  <w:style w:type="character" w:customStyle="1" w:styleId="1132">
    <w:name w:val="正文文本 2 Char"/>
    <w:qFormat/>
    <w:uiPriority w:val="99"/>
    <w:rPr>
      <w:rFonts w:ascii="宋体" w:hAnsi="宋体" w:eastAsia="宋体"/>
      <w:color w:val="000000"/>
      <w:kern w:val="2"/>
      <w:sz w:val="24"/>
      <w:lang w:val="en-US" w:eastAsia="zh-CN" w:bidi="ar-SA"/>
    </w:rPr>
  </w:style>
  <w:style w:type="character" w:customStyle="1" w:styleId="1133">
    <w:name w:val="正文缩进 Char2"/>
    <w:qFormat/>
    <w:uiPriority w:val="0"/>
    <w:rPr>
      <w:rFonts w:eastAsia="宋体"/>
      <w:kern w:val="2"/>
      <w:sz w:val="24"/>
      <w:szCs w:val="24"/>
      <w:lang w:val="en-US" w:eastAsia="zh-CN" w:bidi="ar-SA"/>
    </w:rPr>
  </w:style>
  <w:style w:type="character" w:customStyle="1" w:styleId="1134">
    <w:name w:val="页脚 Char"/>
    <w:qFormat/>
    <w:uiPriority w:val="0"/>
    <w:rPr>
      <w:kern w:val="2"/>
      <w:sz w:val="18"/>
      <w:szCs w:val="18"/>
    </w:rPr>
  </w:style>
  <w:style w:type="character" w:customStyle="1" w:styleId="1135">
    <w:name w:val="批注框文本 Char"/>
    <w:qFormat/>
    <w:uiPriority w:val="99"/>
    <w:rPr>
      <w:kern w:val="2"/>
      <w:sz w:val="18"/>
      <w:szCs w:val="18"/>
    </w:rPr>
  </w:style>
  <w:style w:type="character" w:customStyle="1" w:styleId="1136">
    <w:name w:val="标题 6 Char"/>
    <w:qFormat/>
    <w:uiPriority w:val="0"/>
    <w:rPr>
      <w:rFonts w:ascii="Arial" w:hAnsi="Arial" w:eastAsia="黑体"/>
      <w:b/>
      <w:bCs/>
      <w:color w:val="000000"/>
      <w:kern w:val="2"/>
      <w:sz w:val="24"/>
    </w:rPr>
  </w:style>
  <w:style w:type="character" w:customStyle="1" w:styleId="1137">
    <w:name w:val="标题 7 Char"/>
    <w:qFormat/>
    <w:uiPriority w:val="0"/>
    <w:rPr>
      <w:b/>
      <w:bCs/>
      <w:color w:val="000000"/>
      <w:kern w:val="2"/>
      <w:sz w:val="24"/>
    </w:rPr>
  </w:style>
  <w:style w:type="character" w:customStyle="1" w:styleId="1138">
    <w:name w:val="标题 8 Char"/>
    <w:qFormat/>
    <w:uiPriority w:val="0"/>
    <w:rPr>
      <w:rFonts w:ascii="Arial" w:hAnsi="Arial" w:eastAsia="黑体"/>
      <w:color w:val="000000"/>
      <w:kern w:val="2"/>
      <w:sz w:val="24"/>
    </w:rPr>
  </w:style>
  <w:style w:type="character" w:customStyle="1" w:styleId="1139">
    <w:name w:val="标题 9 Char"/>
    <w:qFormat/>
    <w:uiPriority w:val="0"/>
    <w:rPr>
      <w:rFonts w:ascii="Arial" w:hAnsi="Arial" w:eastAsia="黑体"/>
      <w:color w:val="000000"/>
      <w:kern w:val="2"/>
      <w:sz w:val="21"/>
      <w:szCs w:val="21"/>
    </w:rPr>
  </w:style>
  <w:style w:type="character" w:customStyle="1" w:styleId="1140">
    <w:name w:val="正文文本缩进 3 Char"/>
    <w:qFormat/>
    <w:uiPriority w:val="0"/>
    <w:rPr>
      <w:kern w:val="2"/>
      <w:sz w:val="16"/>
      <w:szCs w:val="16"/>
    </w:rPr>
  </w:style>
  <w:style w:type="character" w:customStyle="1" w:styleId="1141">
    <w:name w:val="正文文本 Char"/>
    <w:qFormat/>
    <w:uiPriority w:val="0"/>
    <w:rPr>
      <w:kern w:val="2"/>
      <w:sz w:val="21"/>
      <w:szCs w:val="24"/>
    </w:rPr>
  </w:style>
  <w:style w:type="character" w:customStyle="1" w:styleId="1142">
    <w:name w:val="日期 Char"/>
    <w:qFormat/>
    <w:uiPriority w:val="99"/>
    <w:rPr>
      <w:rFonts w:ascii="CG Times" w:hAnsi="CG Times"/>
      <w:kern w:val="2"/>
      <w:sz w:val="24"/>
      <w:szCs w:val="24"/>
    </w:rPr>
  </w:style>
  <w:style w:type="character" w:customStyle="1" w:styleId="1143">
    <w:name w:val="正文文本缩进 2 Char"/>
    <w:qFormat/>
    <w:uiPriority w:val="0"/>
    <w:rPr>
      <w:color w:val="FF0000"/>
      <w:kern w:val="2"/>
      <w:sz w:val="24"/>
      <w:szCs w:val="24"/>
    </w:rPr>
  </w:style>
  <w:style w:type="character" w:customStyle="1" w:styleId="1144">
    <w:name w:val="正文文本 3 Char"/>
    <w:qFormat/>
    <w:uiPriority w:val="99"/>
    <w:rPr>
      <w:kern w:val="2"/>
      <w:sz w:val="16"/>
      <w:szCs w:val="16"/>
    </w:rPr>
  </w:style>
  <w:style w:type="character" w:customStyle="1" w:styleId="1145">
    <w:name w:val="文档结构图 Char"/>
    <w:qFormat/>
    <w:uiPriority w:val="99"/>
    <w:rPr>
      <w:kern w:val="2"/>
      <w:sz w:val="21"/>
      <w:szCs w:val="24"/>
      <w:shd w:val="clear" w:color="auto" w:fill="000080"/>
    </w:rPr>
  </w:style>
  <w:style w:type="character" w:customStyle="1" w:styleId="1146">
    <w:name w:val="批注主题 Char"/>
    <w:qFormat/>
    <w:uiPriority w:val="99"/>
    <w:rPr>
      <w:b/>
      <w:bCs/>
      <w:kern w:val="2"/>
      <w:sz w:val="21"/>
    </w:rPr>
  </w:style>
  <w:style w:type="character" w:customStyle="1" w:styleId="1147">
    <w:name w:val="正文首行缩进 2 Char"/>
    <w:link w:val="1148"/>
    <w:qFormat/>
    <w:uiPriority w:val="99"/>
    <w:rPr>
      <w:rFonts w:ascii="宋体" w:hAnsi="宋体" w:eastAsia="宋体"/>
      <w:snapToGrid w:val="0"/>
      <w:color w:val="000000"/>
      <w:w w:val="135"/>
      <w:kern w:val="2"/>
      <w:sz w:val="24"/>
      <w:lang w:val="en-US" w:eastAsia="zh-CN" w:bidi="ar-SA"/>
    </w:rPr>
  </w:style>
  <w:style w:type="paragraph" w:customStyle="1" w:styleId="1148">
    <w:name w:val="正文首行缩进 21"/>
    <w:basedOn w:val="1"/>
    <w:link w:val="1147"/>
    <w:qFormat/>
    <w:uiPriority w:val="0"/>
    <w:pPr>
      <w:widowControl/>
      <w:spacing w:after="120" w:line="300" w:lineRule="auto"/>
      <w:ind w:firstLine="420"/>
    </w:pPr>
    <w:rPr>
      <w:rFonts w:ascii="宋体" w:hAnsi="宋体"/>
      <w:snapToGrid w:val="0"/>
      <w:color w:val="000000"/>
      <w:w w:val="135"/>
      <w:sz w:val="24"/>
      <w:szCs w:val="20"/>
    </w:rPr>
  </w:style>
  <w:style w:type="character" w:customStyle="1" w:styleId="1149">
    <w:name w:val="脚注文本 Char"/>
    <w:qFormat/>
    <w:uiPriority w:val="99"/>
    <w:rPr>
      <w:kern w:val="2"/>
      <w:sz w:val="18"/>
      <w:szCs w:val="18"/>
    </w:rPr>
  </w:style>
  <w:style w:type="character" w:customStyle="1" w:styleId="1150">
    <w:name w:val="注释标题 Char"/>
    <w:qFormat/>
    <w:uiPriority w:val="99"/>
    <w:rPr>
      <w:rFonts w:ascii="宋体"/>
      <w:kern w:val="2"/>
      <w:sz w:val="28"/>
    </w:rPr>
  </w:style>
  <w:style w:type="character" w:customStyle="1" w:styleId="1151">
    <w:name w:val="题注 Char1"/>
    <w:qFormat/>
    <w:uiPriority w:val="0"/>
    <w:rPr>
      <w:rFonts w:ascii="Arial" w:hAnsi="Arial" w:eastAsia="黑体" w:cs="Arial"/>
      <w:kern w:val="2"/>
    </w:rPr>
  </w:style>
  <w:style w:type="character" w:customStyle="1" w:styleId="1152">
    <w:name w:val="标题 Char"/>
    <w:qFormat/>
    <w:uiPriority w:val="99"/>
    <w:rPr>
      <w:rFonts w:ascii="Arial" w:hAnsi="Arial" w:cs="Arial"/>
      <w:b/>
      <w:bCs/>
      <w:kern w:val="2"/>
      <w:sz w:val="32"/>
      <w:szCs w:val="32"/>
    </w:rPr>
  </w:style>
  <w:style w:type="character" w:customStyle="1" w:styleId="1153">
    <w:name w:val="z-窗体底端 Char"/>
    <w:qFormat/>
    <w:uiPriority w:val="0"/>
    <w:rPr>
      <w:rFonts w:ascii="Arial" w:hAnsi="Arial" w:eastAsia="仿宋_GB2312" w:cs="Arial"/>
      <w:vanish/>
      <w:kern w:val="2"/>
      <w:sz w:val="16"/>
      <w:szCs w:val="16"/>
    </w:rPr>
  </w:style>
  <w:style w:type="character" w:customStyle="1" w:styleId="1154">
    <w:name w:val="z-窗体顶端 Char"/>
    <w:qFormat/>
    <w:uiPriority w:val="0"/>
    <w:rPr>
      <w:rFonts w:ascii="Arial" w:hAnsi="Arial" w:eastAsia="仿宋_GB2312" w:cs="Arial"/>
      <w:vanish/>
      <w:kern w:val="2"/>
      <w:sz w:val="16"/>
      <w:szCs w:val="16"/>
    </w:rPr>
  </w:style>
  <w:style w:type="character" w:customStyle="1" w:styleId="1155">
    <w:name w:val="称呼 Char"/>
    <w:qFormat/>
    <w:uiPriority w:val="99"/>
    <w:rPr>
      <w:rFonts w:ascii="仿宋_GB2312" w:eastAsia="仿宋_GB2312"/>
      <w:kern w:val="2"/>
      <w:sz w:val="28"/>
      <w:szCs w:val="24"/>
    </w:rPr>
  </w:style>
  <w:style w:type="character" w:customStyle="1" w:styleId="1156">
    <w:name w:val="电子邮件签名 Char"/>
    <w:qFormat/>
    <w:uiPriority w:val="0"/>
    <w:rPr>
      <w:rFonts w:ascii="仿宋_GB2312" w:eastAsia="仿宋_GB2312"/>
      <w:kern w:val="2"/>
      <w:sz w:val="28"/>
      <w:szCs w:val="24"/>
    </w:rPr>
  </w:style>
  <w:style w:type="character" w:customStyle="1" w:styleId="1157">
    <w:name w:val="副标题 Char"/>
    <w:qFormat/>
    <w:uiPriority w:val="0"/>
    <w:rPr>
      <w:rFonts w:ascii="Arial" w:hAnsi="Arial" w:cs="Arial"/>
      <w:b/>
      <w:bCs/>
      <w:kern w:val="28"/>
      <w:sz w:val="32"/>
      <w:szCs w:val="32"/>
    </w:rPr>
  </w:style>
  <w:style w:type="character" w:customStyle="1" w:styleId="1158">
    <w:name w:val="宏文本 Char"/>
    <w:qFormat/>
    <w:uiPriority w:val="0"/>
    <w:rPr>
      <w:rFonts w:ascii="Courier New" w:hAnsi="Courier New" w:cs="Courier New"/>
      <w:kern w:val="2"/>
      <w:sz w:val="24"/>
      <w:szCs w:val="24"/>
    </w:rPr>
  </w:style>
  <w:style w:type="character" w:customStyle="1" w:styleId="1159">
    <w:name w:val="结束语 Char"/>
    <w:qFormat/>
    <w:uiPriority w:val="0"/>
    <w:rPr>
      <w:rFonts w:ascii="仿宋_GB2312" w:eastAsia="仿宋_GB2312"/>
      <w:kern w:val="2"/>
      <w:sz w:val="28"/>
      <w:szCs w:val="24"/>
    </w:rPr>
  </w:style>
  <w:style w:type="character" w:customStyle="1" w:styleId="1160">
    <w:name w:val="签名 Char"/>
    <w:qFormat/>
    <w:uiPriority w:val="0"/>
    <w:rPr>
      <w:rFonts w:ascii="仿宋_GB2312" w:eastAsia="仿宋_GB2312"/>
      <w:kern w:val="2"/>
      <w:sz w:val="28"/>
      <w:szCs w:val="24"/>
    </w:rPr>
  </w:style>
  <w:style w:type="character" w:customStyle="1" w:styleId="1161">
    <w:name w:val="尾注文本 Char"/>
    <w:qFormat/>
    <w:uiPriority w:val="0"/>
    <w:rPr>
      <w:rFonts w:ascii="仿宋_GB2312" w:eastAsia="仿宋_GB2312"/>
      <w:kern w:val="2"/>
      <w:sz w:val="28"/>
      <w:szCs w:val="24"/>
    </w:rPr>
  </w:style>
  <w:style w:type="character" w:customStyle="1" w:styleId="1162">
    <w:name w:val="信息标题 Char"/>
    <w:qFormat/>
    <w:uiPriority w:val="0"/>
    <w:rPr>
      <w:rFonts w:ascii="Arial" w:hAnsi="Arial" w:eastAsia="仿宋_GB2312" w:cs="Arial"/>
      <w:kern w:val="2"/>
      <w:sz w:val="24"/>
      <w:szCs w:val="24"/>
      <w:shd w:val="pct20" w:color="auto" w:fill="auto"/>
    </w:rPr>
  </w:style>
  <w:style w:type="character" w:customStyle="1" w:styleId="1163">
    <w:name w:val="无间隔 Char"/>
    <w:qFormat/>
    <w:uiPriority w:val="0"/>
    <w:rPr>
      <w:rFonts w:ascii="Calibri" w:hAnsi="Calibri" w:eastAsia="宋体" w:cs="Times New Roman"/>
      <w:sz w:val="22"/>
      <w:szCs w:val="22"/>
    </w:rPr>
  </w:style>
  <w:style w:type="character" w:customStyle="1" w:styleId="1164">
    <w:name w:val="正文文本缩进 字符"/>
    <w:link w:val="36"/>
    <w:qFormat/>
    <w:uiPriority w:val="0"/>
    <w:rPr>
      <w:kern w:val="2"/>
      <w:sz w:val="21"/>
      <w:szCs w:val="24"/>
    </w:rPr>
  </w:style>
  <w:style w:type="character" w:customStyle="1" w:styleId="1165">
    <w:name w:val="正文文本缩进 Char1"/>
    <w:basedOn w:val="95"/>
    <w:qFormat/>
    <w:uiPriority w:val="99"/>
  </w:style>
  <w:style w:type="paragraph" w:customStyle="1" w:styleId="1166">
    <w:name w:val="真正文"/>
    <w:basedOn w:val="1"/>
    <w:qFormat/>
    <w:uiPriority w:val="0"/>
    <w:pPr>
      <w:spacing w:line="360" w:lineRule="auto"/>
      <w:ind w:firstLine="480" w:firstLineChars="200"/>
    </w:pPr>
    <w:rPr>
      <w:sz w:val="24"/>
    </w:rPr>
  </w:style>
  <w:style w:type="paragraph" w:customStyle="1" w:styleId="1167">
    <w:name w:val="表头图头"/>
    <w:basedOn w:val="1"/>
    <w:qFormat/>
    <w:uiPriority w:val="0"/>
    <w:pPr>
      <w:jc w:val="center"/>
    </w:pPr>
    <w:rPr>
      <w:rFonts w:eastAsia="黑体"/>
      <w:sz w:val="24"/>
    </w:rPr>
  </w:style>
  <w:style w:type="character" w:customStyle="1" w:styleId="1168">
    <w:name w:val="占位符文本2"/>
    <w:unhideWhenUsed/>
    <w:qFormat/>
    <w:uiPriority w:val="99"/>
    <w:rPr>
      <w:color w:val="808080"/>
    </w:rPr>
  </w:style>
  <w:style w:type="character" w:customStyle="1" w:styleId="1169">
    <w:name w:val="表、图名 Char"/>
    <w:link w:val="1170"/>
    <w:semiHidden/>
    <w:qFormat/>
    <w:uiPriority w:val="0"/>
    <w:rPr>
      <w:rFonts w:ascii="黑体" w:eastAsia="黑体"/>
      <w:kern w:val="2"/>
      <w:sz w:val="24"/>
      <w:szCs w:val="24"/>
    </w:rPr>
  </w:style>
  <w:style w:type="paragraph" w:customStyle="1" w:styleId="1170">
    <w:name w:val="表、图名"/>
    <w:basedOn w:val="1"/>
    <w:link w:val="1169"/>
    <w:qFormat/>
    <w:uiPriority w:val="0"/>
    <w:pPr>
      <w:adjustRightInd w:val="0"/>
      <w:snapToGrid w:val="0"/>
      <w:spacing w:line="312" w:lineRule="atLeast"/>
      <w:jc w:val="center"/>
    </w:pPr>
    <w:rPr>
      <w:rFonts w:ascii="黑体" w:eastAsia="黑体"/>
      <w:sz w:val="24"/>
    </w:rPr>
  </w:style>
  <w:style w:type="character" w:customStyle="1" w:styleId="1171">
    <w:name w:val="question-title2"/>
    <w:qFormat/>
    <w:uiPriority w:val="0"/>
  </w:style>
  <w:style w:type="character" w:customStyle="1" w:styleId="1172">
    <w:name w:val="我的正文 Char"/>
    <w:link w:val="1173"/>
    <w:qFormat/>
    <w:uiPriority w:val="0"/>
    <w:rPr>
      <w:rFonts w:cs="宋体"/>
      <w:kern w:val="2"/>
      <w:sz w:val="24"/>
    </w:rPr>
  </w:style>
  <w:style w:type="paragraph" w:customStyle="1" w:styleId="1173">
    <w:name w:val="我的正文"/>
    <w:basedOn w:val="1"/>
    <w:link w:val="1172"/>
    <w:qFormat/>
    <w:uiPriority w:val="99"/>
    <w:pPr>
      <w:spacing w:line="360" w:lineRule="auto"/>
      <w:ind w:firstLine="480" w:firstLineChars="200"/>
    </w:pPr>
    <w:rPr>
      <w:rFonts w:cs="宋体"/>
      <w:sz w:val="24"/>
      <w:szCs w:val="20"/>
    </w:rPr>
  </w:style>
  <w:style w:type="character" w:customStyle="1" w:styleId="1174">
    <w:name w:val="段 Char"/>
    <w:link w:val="463"/>
    <w:qFormat/>
    <w:locked/>
    <w:uiPriority w:val="0"/>
    <w:rPr>
      <w:rFonts w:ascii="宋体"/>
      <w:sz w:val="21"/>
    </w:rPr>
  </w:style>
  <w:style w:type="character" w:customStyle="1" w:styleId="1175">
    <w:name w:val="报告书正文 Char"/>
    <w:link w:val="967"/>
    <w:qFormat/>
    <w:uiPriority w:val="0"/>
    <w:rPr>
      <w:sz w:val="24"/>
    </w:rPr>
  </w:style>
  <w:style w:type="paragraph" w:customStyle="1" w:styleId="1176">
    <w:name w:val="四级标题1.1.1.2"/>
    <w:basedOn w:val="1"/>
    <w:next w:val="1"/>
    <w:qFormat/>
    <w:uiPriority w:val="0"/>
    <w:pPr>
      <w:keepNext/>
      <w:keepLines/>
      <w:widowControl/>
      <w:adjustRightInd w:val="0"/>
      <w:spacing w:before="40" w:after="40" w:line="360" w:lineRule="auto"/>
      <w:ind w:firstLine="200" w:firstLineChars="200"/>
      <w:textAlignment w:val="baseline"/>
      <w:outlineLvl w:val="3"/>
    </w:pPr>
    <w:rPr>
      <w:rFonts w:ascii="Verdana" w:hAnsi="Verdana"/>
      <w:kern w:val="0"/>
      <w:sz w:val="28"/>
      <w:szCs w:val="20"/>
      <w:lang w:eastAsia="en-US"/>
    </w:rPr>
  </w:style>
  <w:style w:type="paragraph" w:customStyle="1" w:styleId="1177">
    <w:name w:val="Tblhead"/>
    <w:basedOn w:val="1"/>
    <w:next w:val="1"/>
    <w:qFormat/>
    <w:uiPriority w:val="0"/>
    <w:pPr>
      <w:pageBreakBefore/>
      <w:suppressAutoHyphens/>
      <w:autoSpaceDE w:val="0"/>
      <w:autoSpaceDN w:val="0"/>
      <w:adjustRightInd w:val="0"/>
      <w:jc w:val="center"/>
      <w:textAlignment w:val="baseline"/>
    </w:pPr>
    <w:rPr>
      <w:rFonts w:ascii="宋体"/>
      <w:spacing w:val="-3"/>
      <w:kern w:val="0"/>
      <w:sz w:val="24"/>
      <w:szCs w:val="20"/>
    </w:rPr>
  </w:style>
  <w:style w:type="paragraph" w:customStyle="1" w:styleId="1178">
    <w:name w:val="宏福正文-2"/>
    <w:basedOn w:val="1"/>
    <w:qFormat/>
    <w:uiPriority w:val="0"/>
    <w:pPr>
      <w:adjustRightInd w:val="0"/>
      <w:spacing w:before="240" w:line="400" w:lineRule="atLeast"/>
      <w:ind w:firstLine="567"/>
      <w:jc w:val="left"/>
      <w:textAlignment w:val="baseline"/>
    </w:pPr>
    <w:rPr>
      <w:sz w:val="28"/>
      <w:szCs w:val="20"/>
    </w:rPr>
  </w:style>
  <w:style w:type="paragraph" w:customStyle="1" w:styleId="1179">
    <w:name w:val="数字编号列项（二级）"/>
    <w:qFormat/>
    <w:uiPriority w:val="0"/>
    <w:pPr>
      <w:ind w:left="1260" w:leftChars="400" w:hanging="420" w:hangingChars="200"/>
      <w:jc w:val="both"/>
    </w:pPr>
    <w:rPr>
      <w:rFonts w:ascii="宋体" w:hAnsi="Times New Roman" w:eastAsia="宋体" w:cs="Times New Roman"/>
      <w:sz w:val="21"/>
      <w:lang w:val="en-US" w:eastAsia="zh-CN" w:bidi="ar-SA"/>
    </w:rPr>
  </w:style>
  <w:style w:type="paragraph" w:customStyle="1" w:styleId="1180">
    <w:name w:val="Style7"/>
    <w:basedOn w:val="1"/>
    <w:unhideWhenUsed/>
    <w:qFormat/>
    <w:uiPriority w:val="0"/>
    <w:pPr>
      <w:spacing w:line="533" w:lineRule="exact"/>
      <w:ind w:firstLine="629"/>
    </w:pPr>
    <w:rPr>
      <w:sz w:val="24"/>
      <w:szCs w:val="20"/>
    </w:rPr>
  </w:style>
  <w:style w:type="paragraph" w:customStyle="1" w:styleId="1181">
    <w:name w:val="三级"/>
    <w:basedOn w:val="1"/>
    <w:qFormat/>
    <w:uiPriority w:val="0"/>
    <w:pPr>
      <w:adjustRightInd w:val="0"/>
      <w:textAlignment w:val="baseline"/>
    </w:pPr>
    <w:rPr>
      <w:b/>
      <w:sz w:val="28"/>
      <w:szCs w:val="20"/>
    </w:rPr>
  </w:style>
  <w:style w:type="paragraph" w:customStyle="1" w:styleId="1182">
    <w:name w:val="列出段落3"/>
    <w:basedOn w:val="1"/>
    <w:qFormat/>
    <w:uiPriority w:val="0"/>
    <w:pPr>
      <w:ind w:firstLine="420" w:firstLineChars="200"/>
    </w:pPr>
    <w:rPr>
      <w:rFonts w:ascii="Calibri" w:hAnsi="Calibri"/>
      <w:szCs w:val="22"/>
    </w:rPr>
  </w:style>
  <w:style w:type="character" w:customStyle="1" w:styleId="1183">
    <w:name w:val="普通(网站) 字符"/>
    <w:link w:val="81"/>
    <w:qFormat/>
    <w:uiPriority w:val="99"/>
    <w:rPr>
      <w:rFonts w:ascii="宋体" w:hAnsi="宋体"/>
      <w:sz w:val="24"/>
      <w:szCs w:val="24"/>
    </w:rPr>
  </w:style>
  <w:style w:type="character" w:customStyle="1" w:styleId="1184">
    <w:name w:val="表内容 Char"/>
    <w:qFormat/>
    <w:uiPriority w:val="0"/>
    <w:rPr>
      <w:sz w:val="21"/>
      <w:szCs w:val="21"/>
      <w:lang w:val="zh-CN" w:eastAsia="zh-CN"/>
    </w:rPr>
  </w:style>
  <w:style w:type="character" w:customStyle="1" w:styleId="1185">
    <w:name w:val="样式5 Char3"/>
    <w:qFormat/>
    <w:uiPriority w:val="0"/>
    <w:rPr>
      <w:kern w:val="2"/>
      <w:sz w:val="24"/>
      <w:szCs w:val="24"/>
    </w:rPr>
  </w:style>
  <w:style w:type="character" w:customStyle="1" w:styleId="1186">
    <w:name w:val="样式4 Char Char"/>
    <w:qFormat/>
    <w:uiPriority w:val="0"/>
    <w:rPr>
      <w:rFonts w:eastAsia="黑体"/>
      <w:b/>
      <w:kern w:val="2"/>
      <w:sz w:val="24"/>
      <w:szCs w:val="24"/>
    </w:rPr>
  </w:style>
  <w:style w:type="paragraph" w:customStyle="1" w:styleId="1187">
    <w:name w:val="标题1级"/>
    <w:basedOn w:val="3"/>
    <w:qFormat/>
    <w:uiPriority w:val="0"/>
    <w:pPr>
      <w:numPr>
        <w:numId w:val="0"/>
      </w:numPr>
      <w:ind w:left="432" w:hanging="432"/>
    </w:pPr>
  </w:style>
  <w:style w:type="paragraph" w:customStyle="1" w:styleId="1188">
    <w:name w:val="标题21"/>
    <w:basedOn w:val="1"/>
    <w:qFormat/>
    <w:uiPriority w:val="0"/>
    <w:pPr>
      <w:numPr>
        <w:ilvl w:val="1"/>
        <w:numId w:val="17"/>
      </w:numPr>
    </w:pPr>
  </w:style>
  <w:style w:type="character" w:customStyle="1" w:styleId="1189">
    <w:name w:val="样式1 Char Char"/>
    <w:qFormat/>
    <w:uiPriority w:val="0"/>
    <w:rPr>
      <w:rFonts w:ascii="Verdana" w:hAnsi="Verdana" w:eastAsia="仿宋_GB2312"/>
      <w:kern w:val="2"/>
      <w:sz w:val="30"/>
      <w:lang w:val="zh-CN" w:eastAsia="zh-CN" w:bidi="ar-SA"/>
    </w:rPr>
  </w:style>
  <w:style w:type="character" w:customStyle="1" w:styleId="1190">
    <w:name w:val="表 Char Char"/>
    <w:link w:val="446"/>
    <w:qFormat/>
    <w:uiPriority w:val="0"/>
    <w:rPr>
      <w:sz w:val="21"/>
    </w:rPr>
  </w:style>
  <w:style w:type="character" w:customStyle="1" w:styleId="1191">
    <w:name w:val="未确定 Char Char"/>
    <w:link w:val="946"/>
    <w:qFormat/>
    <w:uiPriority w:val="0"/>
    <w:rPr>
      <w:color w:val="800080"/>
      <w:kern w:val="2"/>
      <w:sz w:val="24"/>
      <w:szCs w:val="24"/>
    </w:rPr>
  </w:style>
  <w:style w:type="character" w:customStyle="1" w:styleId="1192">
    <w:name w:val="样式1 Char Char Char Char Char Char"/>
    <w:link w:val="1193"/>
    <w:qFormat/>
    <w:uiPriority w:val="0"/>
    <w:rPr>
      <w:rFonts w:ascii="Arial" w:hAnsi="Arial" w:cs="宋体"/>
      <w:b/>
      <w:bCs/>
      <w:snapToGrid w:val="0"/>
      <w:kern w:val="2"/>
      <w:sz w:val="28"/>
      <w:szCs w:val="24"/>
    </w:rPr>
  </w:style>
  <w:style w:type="paragraph" w:customStyle="1" w:styleId="1193">
    <w:name w:val="样式1 Char Char Char Char"/>
    <w:basedOn w:val="1"/>
    <w:link w:val="1192"/>
    <w:qFormat/>
    <w:uiPriority w:val="0"/>
    <w:pPr>
      <w:keepNext/>
      <w:keepLines/>
      <w:tabs>
        <w:tab w:val="left" w:pos="360"/>
      </w:tabs>
      <w:adjustRightInd w:val="0"/>
      <w:snapToGrid w:val="0"/>
      <w:spacing w:line="520" w:lineRule="exact"/>
      <w:outlineLvl w:val="1"/>
    </w:pPr>
    <w:rPr>
      <w:rFonts w:ascii="Arial" w:hAnsi="Arial" w:cs="宋体"/>
      <w:b/>
      <w:bCs/>
      <w:snapToGrid w:val="0"/>
      <w:sz w:val="28"/>
    </w:rPr>
  </w:style>
  <w:style w:type="character" w:customStyle="1" w:styleId="1194">
    <w:name w:val="正文B Char Char"/>
    <w:link w:val="1195"/>
    <w:qFormat/>
    <w:uiPriority w:val="0"/>
    <w:rPr>
      <w:rFonts w:ascii="Verdana" w:hAnsi="Verdana" w:eastAsia="楷体_GB2312"/>
      <w:spacing w:val="8"/>
      <w:sz w:val="28"/>
    </w:rPr>
  </w:style>
  <w:style w:type="paragraph" w:customStyle="1" w:styleId="1195">
    <w:name w:val="正文B"/>
    <w:basedOn w:val="1"/>
    <w:link w:val="1194"/>
    <w:qFormat/>
    <w:uiPriority w:val="0"/>
    <w:pPr>
      <w:adjustRightInd w:val="0"/>
      <w:spacing w:line="390" w:lineRule="exact"/>
      <w:ind w:firstLine="601"/>
      <w:textAlignment w:val="baseline"/>
    </w:pPr>
    <w:rPr>
      <w:rFonts w:ascii="Verdana" w:hAnsi="Verdana" w:eastAsia="楷体_GB2312"/>
      <w:spacing w:val="8"/>
      <w:kern w:val="0"/>
      <w:sz w:val="28"/>
      <w:szCs w:val="20"/>
    </w:rPr>
  </w:style>
  <w:style w:type="character" w:customStyle="1" w:styleId="1196">
    <w:name w:val="样式 宋体 小四"/>
    <w:qFormat/>
    <w:uiPriority w:val="0"/>
    <w:rPr>
      <w:rFonts w:ascii="Times New Roman" w:hAnsi="Times New Roman" w:eastAsia="宋体"/>
      <w:kern w:val="0"/>
      <w:sz w:val="28"/>
      <w:lang w:eastAsia="en-US"/>
    </w:rPr>
  </w:style>
  <w:style w:type="character" w:customStyle="1" w:styleId="1197">
    <w:name w:val="标题1 Char Char"/>
    <w:qFormat/>
    <w:uiPriority w:val="0"/>
    <w:rPr>
      <w:rFonts w:ascii="Verdana" w:hAnsi="Verdana" w:eastAsia="宋体"/>
      <w:b/>
      <w:bCs/>
      <w:color w:val="000000"/>
      <w:kern w:val="44"/>
      <w:sz w:val="44"/>
      <w:szCs w:val="44"/>
      <w:lang w:val="en-US" w:eastAsia="zh-CN" w:bidi="ar-SA"/>
    </w:rPr>
  </w:style>
  <w:style w:type="character" w:customStyle="1" w:styleId="1198">
    <w:name w:val="标题 B Char Char"/>
    <w:link w:val="1199"/>
    <w:qFormat/>
    <w:uiPriority w:val="0"/>
    <w:rPr>
      <w:rFonts w:ascii="Arial Rounded MT Bold" w:hAnsi="Arial Rounded MT Bold" w:eastAsia="黑体"/>
      <w:spacing w:val="8"/>
      <w:sz w:val="32"/>
    </w:rPr>
  </w:style>
  <w:style w:type="paragraph" w:customStyle="1" w:styleId="1199">
    <w:name w:val="标题 B"/>
    <w:basedOn w:val="4"/>
    <w:link w:val="1198"/>
    <w:qFormat/>
    <w:uiPriority w:val="0"/>
    <w:pPr>
      <w:keepLines w:val="0"/>
      <w:numPr>
        <w:ilvl w:val="0"/>
        <w:numId w:val="0"/>
      </w:numPr>
      <w:snapToGrid/>
      <w:spacing w:before="840" w:after="240" w:line="400" w:lineRule="exact"/>
      <w:jc w:val="center"/>
      <w:textAlignment w:val="baseline"/>
      <w:outlineLvl w:val="9"/>
    </w:pPr>
    <w:rPr>
      <w:rFonts w:ascii="Arial Rounded MT Bold" w:hAnsi="Arial Rounded MT Bold"/>
      <w:bCs w:val="0"/>
      <w:spacing w:val="8"/>
      <w:kern w:val="0"/>
      <w:sz w:val="32"/>
      <w:szCs w:val="20"/>
      <w:lang w:val="en-US"/>
    </w:rPr>
  </w:style>
  <w:style w:type="character" w:customStyle="1" w:styleId="1200">
    <w:name w:val="样式 样式 样式 样式 样式 样式 首行缩进:  2 字符 + 首行缩进:  2 字符2 + 仿宋_GB2312 + 首行缩进:... Char Char"/>
    <w:link w:val="1201"/>
    <w:qFormat/>
    <w:uiPriority w:val="0"/>
    <w:rPr>
      <w:rFonts w:ascii="Verdana" w:hAnsi="Verdana" w:eastAsia="楷体_GB2312"/>
      <w:spacing w:val="12"/>
      <w:sz w:val="28"/>
    </w:rPr>
  </w:style>
  <w:style w:type="paragraph" w:customStyle="1" w:styleId="1201">
    <w:name w:val="样式 样式 样式 样式 样式 样式 首行缩进:  2 字符 + 首行缩进:  2 字符2 + 仿宋_GB2312 + 首行缩进:..."/>
    <w:basedOn w:val="1"/>
    <w:link w:val="1200"/>
    <w:qFormat/>
    <w:uiPriority w:val="0"/>
    <w:pPr>
      <w:spacing w:line="560" w:lineRule="exact"/>
      <w:ind w:firstLine="624" w:firstLineChars="200"/>
    </w:pPr>
    <w:rPr>
      <w:rFonts w:ascii="Verdana" w:hAnsi="Verdana" w:eastAsia="楷体_GB2312"/>
      <w:spacing w:val="12"/>
      <w:kern w:val="0"/>
      <w:sz w:val="28"/>
      <w:szCs w:val="20"/>
    </w:rPr>
  </w:style>
  <w:style w:type="character" w:customStyle="1" w:styleId="1202">
    <w:name w:val="表蕊 Char1"/>
    <w:link w:val="506"/>
    <w:qFormat/>
    <w:uiPriority w:val="0"/>
    <w:rPr>
      <w:rFonts w:eastAsia="楷体_GB2312"/>
      <w:spacing w:val="-10"/>
      <w:sz w:val="21"/>
      <w:szCs w:val="21"/>
    </w:rPr>
  </w:style>
  <w:style w:type="character" w:customStyle="1" w:styleId="1203">
    <w:name w:val="纯文本 Char Char"/>
    <w:qFormat/>
    <w:uiPriority w:val="0"/>
    <w:rPr>
      <w:rFonts w:ascii="宋体" w:hAnsi="Courier New" w:eastAsia="宋体"/>
      <w:kern w:val="2"/>
      <w:sz w:val="21"/>
      <w:lang w:val="en-US" w:eastAsia="zh-CN"/>
    </w:rPr>
  </w:style>
  <w:style w:type="character" w:customStyle="1" w:styleId="1204">
    <w:name w:val="表头 Char Char"/>
    <w:qFormat/>
    <w:uiPriority w:val="0"/>
    <w:rPr>
      <w:rFonts w:ascii="Verdana" w:hAnsi="Verdana" w:eastAsia="黑体"/>
      <w:spacing w:val="-10"/>
      <w:kern w:val="0"/>
      <w:sz w:val="21"/>
      <w:lang w:val="en-US" w:eastAsia="zh-CN" w:bidi="ar-SA"/>
    </w:rPr>
  </w:style>
  <w:style w:type="paragraph" w:customStyle="1" w:styleId="1205">
    <w:name w:val="样式 标题 1 + (中文) 黑体 小三 非加粗 黑色 居中 行距: 1.5 倍行距"/>
    <w:basedOn w:val="3"/>
    <w:qFormat/>
    <w:uiPriority w:val="0"/>
    <w:pPr>
      <w:numPr>
        <w:numId w:val="0"/>
      </w:numPr>
    </w:pPr>
    <w:rPr>
      <w:rFonts w:cs="宋体"/>
      <w:bCs w:val="0"/>
      <w:color w:val="0000FF"/>
      <w:sz w:val="30"/>
      <w:szCs w:val="20"/>
    </w:rPr>
  </w:style>
  <w:style w:type="paragraph" w:customStyle="1" w:styleId="1206">
    <w:name w:val="样式 正文001 + 首行缩进:  2 字符1"/>
    <w:basedOn w:val="1"/>
    <w:qFormat/>
    <w:uiPriority w:val="0"/>
    <w:pPr>
      <w:spacing w:before="60" w:line="460" w:lineRule="exact"/>
      <w:ind w:firstLine="480" w:firstLineChars="200"/>
    </w:pPr>
    <w:rPr>
      <w:sz w:val="24"/>
      <w:szCs w:val="20"/>
    </w:rPr>
  </w:style>
  <w:style w:type="paragraph" w:customStyle="1" w:styleId="1207">
    <w:name w:val="样式1标题2"/>
    <w:basedOn w:val="115"/>
    <w:qFormat/>
    <w:uiPriority w:val="0"/>
    <w:pPr>
      <w:keepNext/>
      <w:keepLines/>
      <w:spacing w:line="240" w:lineRule="auto"/>
      <w:jc w:val="left"/>
      <w:outlineLvl w:val="1"/>
    </w:pPr>
    <w:rPr>
      <w:rFonts w:ascii="Times New Roman"/>
      <w:sz w:val="30"/>
      <w:szCs w:val="44"/>
    </w:rPr>
  </w:style>
  <w:style w:type="paragraph" w:customStyle="1" w:styleId="1208">
    <w:name w:val="段落编号"/>
    <w:basedOn w:val="52"/>
    <w:qFormat/>
    <w:uiPriority w:val="0"/>
    <w:pPr>
      <w:tabs>
        <w:tab w:val="left" w:pos="0"/>
        <w:tab w:val="left" w:pos="1062"/>
      </w:tabs>
      <w:adjustRightInd w:val="0"/>
      <w:spacing w:before="60" w:after="60" w:line="500" w:lineRule="exact"/>
      <w:ind w:firstLine="0" w:firstLineChars="0"/>
      <w:textAlignment w:val="baseline"/>
    </w:pPr>
    <w:rPr>
      <w:color w:val="auto"/>
      <w:spacing w:val="6"/>
      <w:kern w:val="0"/>
      <w:sz w:val="28"/>
      <w:szCs w:val="20"/>
    </w:rPr>
  </w:style>
  <w:style w:type="paragraph" w:customStyle="1" w:styleId="1209">
    <w:name w:val="摘要图体"/>
    <w:basedOn w:val="1"/>
    <w:qFormat/>
    <w:uiPriority w:val="0"/>
    <w:pPr>
      <w:widowControl/>
      <w:tabs>
        <w:tab w:val="left" w:pos="480"/>
      </w:tabs>
      <w:spacing w:before="312" w:beforeLines="100" w:after="156" w:afterLines="50"/>
      <w:jc w:val="center"/>
    </w:pPr>
    <w:rPr>
      <w:rFonts w:eastAsia="仿宋_GB2312"/>
      <w:b/>
      <w:kern w:val="0"/>
      <w:sz w:val="24"/>
    </w:rPr>
  </w:style>
  <w:style w:type="paragraph" w:customStyle="1" w:styleId="1210">
    <w:name w:val="样式 标题 2 Char + 楷体_GB2312 行距: 固定值 30 磅"/>
    <w:basedOn w:val="4"/>
    <w:qFormat/>
    <w:uiPriority w:val="0"/>
    <w:pPr>
      <w:numPr>
        <w:ilvl w:val="0"/>
        <w:numId w:val="0"/>
      </w:numPr>
      <w:adjustRightInd/>
      <w:snapToGrid/>
      <w:spacing w:line="520" w:lineRule="exact"/>
    </w:pPr>
    <w:rPr>
      <w:rFonts w:ascii="楷体_GB2312" w:hAnsi="Arial" w:eastAsia="楷体_GB2312" w:cs="宋体"/>
      <w:b/>
      <w:sz w:val="32"/>
      <w:szCs w:val="20"/>
      <w:lang w:val="en-US"/>
    </w:rPr>
  </w:style>
  <w:style w:type="paragraph" w:customStyle="1" w:styleId="1211">
    <w:name w:val="style31"/>
    <w:basedOn w:val="1"/>
    <w:qFormat/>
    <w:uiPriority w:val="0"/>
    <w:pPr>
      <w:widowControl/>
      <w:spacing w:before="100" w:beforeAutospacing="1" w:after="100" w:afterAutospacing="1"/>
      <w:jc w:val="left"/>
    </w:pPr>
    <w:rPr>
      <w:rFonts w:ascii="仿宋_GB2312" w:hAnsi="宋体" w:eastAsia="仿宋_GB2312" w:cs="宋体"/>
      <w:kern w:val="0"/>
      <w:szCs w:val="21"/>
    </w:rPr>
  </w:style>
  <w:style w:type="paragraph" w:customStyle="1" w:styleId="1212">
    <w:name w:val="摘要标题2"/>
    <w:basedOn w:val="7"/>
    <w:qFormat/>
    <w:uiPriority w:val="0"/>
    <w:pPr>
      <w:numPr>
        <w:ilvl w:val="0"/>
        <w:numId w:val="0"/>
      </w:numPr>
      <w:adjustRightInd/>
      <w:spacing w:before="50" w:after="156" w:afterLines="50" w:line="240" w:lineRule="auto"/>
      <w:ind w:firstLine="480" w:firstLineChars="200"/>
    </w:pPr>
    <w:rPr>
      <w:rFonts w:ascii="Arial" w:hAnsi="Arial"/>
      <w:bCs w:val="0"/>
    </w:rPr>
  </w:style>
  <w:style w:type="paragraph" w:customStyle="1" w:styleId="1213">
    <w:name w:val="目录标题"/>
    <w:basedOn w:val="1"/>
    <w:next w:val="1"/>
    <w:qFormat/>
    <w:uiPriority w:val="0"/>
    <w:pPr>
      <w:widowControl/>
      <w:spacing w:before="215" w:after="419" w:line="436" w:lineRule="atLeast"/>
      <w:ind w:firstLine="419"/>
      <w:jc w:val="center"/>
      <w:textAlignment w:val="baseline"/>
    </w:pPr>
    <w:rPr>
      <w:rFonts w:ascii="Arial" w:eastAsia="黑体"/>
      <w:color w:val="000000"/>
      <w:spacing w:val="283"/>
      <w:kern w:val="0"/>
      <w:sz w:val="42"/>
      <w:szCs w:val="20"/>
      <w:u w:color="000000"/>
    </w:rPr>
  </w:style>
  <w:style w:type="paragraph" w:customStyle="1" w:styleId="1214">
    <w:name w:val="样式 (西文) Times New Roman 四号 段前: 0 磅 段后: 0 磅 行距: 1.5 倍行距 首行缩进..."/>
    <w:basedOn w:val="1"/>
    <w:qFormat/>
    <w:uiPriority w:val="0"/>
    <w:pPr>
      <w:spacing w:line="360" w:lineRule="auto"/>
      <w:ind w:firstLine="200" w:firstLineChars="200"/>
    </w:pPr>
    <w:rPr>
      <w:rFonts w:cs="宋体"/>
      <w:sz w:val="24"/>
      <w:szCs w:val="20"/>
    </w:rPr>
  </w:style>
  <w:style w:type="paragraph" w:customStyle="1" w:styleId="1215">
    <w:name w:val="摘要表题"/>
    <w:basedOn w:val="1"/>
    <w:qFormat/>
    <w:uiPriority w:val="0"/>
    <w:pPr>
      <w:widowControl/>
      <w:tabs>
        <w:tab w:val="left" w:pos="480"/>
      </w:tabs>
      <w:adjustRightInd w:val="0"/>
      <w:snapToGrid w:val="0"/>
      <w:spacing w:before="156" w:beforeLines="50" w:after="120"/>
      <w:jc w:val="center"/>
    </w:pPr>
    <w:rPr>
      <w:rFonts w:eastAsia="仿宋_GB2312"/>
      <w:b/>
      <w:kern w:val="0"/>
      <w:sz w:val="24"/>
    </w:rPr>
  </w:style>
  <w:style w:type="paragraph" w:customStyle="1" w:styleId="1216">
    <w:name w:val="样式 宋体 小四 黑色 段前: 6 磅 段后: 6 磅 行距: 1.5 倍行距"/>
    <w:basedOn w:val="1"/>
    <w:qFormat/>
    <w:uiPriority w:val="0"/>
    <w:pPr>
      <w:spacing w:before="120" w:after="120" w:line="360" w:lineRule="auto"/>
      <w:ind w:firstLine="480" w:firstLineChars="200"/>
    </w:pPr>
    <w:rPr>
      <w:rFonts w:cs="宋体"/>
      <w:color w:val="000000"/>
      <w:sz w:val="28"/>
      <w:szCs w:val="20"/>
    </w:rPr>
  </w:style>
  <w:style w:type="paragraph" w:customStyle="1" w:styleId="1217">
    <w:name w:val="陈策标题"/>
    <w:basedOn w:val="1"/>
    <w:qFormat/>
    <w:uiPriority w:val="0"/>
    <w:pPr>
      <w:spacing w:before="240" w:line="500" w:lineRule="exact"/>
      <w:ind w:firstLine="674" w:firstLineChars="200"/>
    </w:pPr>
    <w:rPr>
      <w:rFonts w:ascii="仿宋_GB2312" w:hAnsi="宋体" w:eastAsia="仿宋_GB2312"/>
      <w:sz w:val="30"/>
      <w:szCs w:val="20"/>
    </w:rPr>
  </w:style>
  <w:style w:type="paragraph" w:customStyle="1" w:styleId="1218">
    <w:name w:val="单位"/>
    <w:qFormat/>
    <w:uiPriority w:val="0"/>
    <w:pPr>
      <w:spacing w:before="156" w:beforeLines="50"/>
      <w:ind w:left="1440" w:right="280" w:rightChars="100"/>
      <w:jc w:val="right"/>
    </w:pPr>
    <w:rPr>
      <w:rFonts w:ascii="Times New Roman" w:hAnsi="Times New Roman" w:eastAsia="仿宋_GB2312" w:cs="Times New Roman"/>
      <w:sz w:val="21"/>
      <w:lang w:val="en-US" w:eastAsia="zh-CN" w:bidi="ar-SA"/>
    </w:rPr>
  </w:style>
  <w:style w:type="paragraph" w:customStyle="1" w:styleId="1219">
    <w:name w:val="摘要标题1"/>
    <w:basedOn w:val="5"/>
    <w:qFormat/>
    <w:uiPriority w:val="0"/>
    <w:pPr>
      <w:widowControl w:val="0"/>
      <w:numPr>
        <w:ilvl w:val="0"/>
        <w:numId w:val="0"/>
      </w:numPr>
      <w:adjustRightInd/>
      <w:spacing w:before="187" w:beforeLines="60" w:after="62" w:afterLines="20" w:line="240" w:lineRule="auto"/>
      <w:ind w:firstLine="482" w:firstLineChars="200"/>
      <w:jc w:val="both"/>
      <w:textAlignment w:val="auto"/>
    </w:pPr>
    <w:rPr>
      <w:rFonts w:eastAsia="宋体"/>
      <w:b/>
      <w:bCs/>
      <w:color w:val="auto"/>
      <w:kern w:val="2"/>
      <w:szCs w:val="24"/>
    </w:rPr>
  </w:style>
  <w:style w:type="paragraph" w:customStyle="1" w:styleId="1220">
    <w:name w:val="样式 (西文) 宋体 (中文) 仿宋_GB2312 小三 行距: 最小值 25 磅"/>
    <w:basedOn w:val="1"/>
    <w:qFormat/>
    <w:uiPriority w:val="0"/>
    <w:pPr>
      <w:spacing w:line="460" w:lineRule="atLeast"/>
      <w:ind w:firstLine="600" w:firstLineChars="200"/>
    </w:pPr>
    <w:rPr>
      <w:rFonts w:ascii="宋体" w:hAnsi="宋体" w:eastAsia="仿宋_GB2312"/>
      <w:sz w:val="30"/>
      <w:szCs w:val="20"/>
    </w:rPr>
  </w:style>
  <w:style w:type="paragraph" w:customStyle="1" w:styleId="1221">
    <w:name w:val="首行缩进:  2 字符 段前: 0.5 行 + 首行缩进:  2 字符"/>
    <w:basedOn w:val="1"/>
    <w:qFormat/>
    <w:uiPriority w:val="0"/>
    <w:pPr>
      <w:spacing w:before="156" w:beforeLines="50" w:after="156" w:afterLines="50" w:line="360" w:lineRule="auto"/>
      <w:ind w:firstLine="480" w:firstLineChars="200"/>
    </w:pPr>
    <w:rPr>
      <w:rFonts w:eastAsia="仿宋_GB2312" w:cs="宋体"/>
      <w:bCs/>
      <w:color w:val="000000"/>
      <w:sz w:val="24"/>
      <w:szCs w:val="21"/>
    </w:rPr>
  </w:style>
  <w:style w:type="paragraph" w:customStyle="1" w:styleId="1222">
    <w:name w:val="样式 (西文) Times New Roman (符号) 宋体 四号 段前: 0 磅 段后: 0 磅 行距: 1.5 ..."/>
    <w:basedOn w:val="1"/>
    <w:qFormat/>
    <w:uiPriority w:val="0"/>
    <w:pPr>
      <w:spacing w:line="360" w:lineRule="auto"/>
      <w:ind w:firstLine="200" w:firstLineChars="200"/>
    </w:pPr>
    <w:rPr>
      <w:rFonts w:hAnsi="宋体" w:cs="宋体"/>
      <w:sz w:val="24"/>
      <w:szCs w:val="20"/>
    </w:rPr>
  </w:style>
  <w:style w:type="paragraph" w:customStyle="1" w:styleId="1223">
    <w:name w:val="水印"/>
    <w:basedOn w:val="1"/>
    <w:qFormat/>
    <w:uiPriority w:val="0"/>
    <w:pPr>
      <w:adjustRightInd w:val="0"/>
      <w:spacing w:line="240" w:lineRule="atLeast"/>
      <w:textAlignment w:val="baseline"/>
    </w:pPr>
    <w:rPr>
      <w:kern w:val="0"/>
      <w:sz w:val="32"/>
      <w:szCs w:val="20"/>
    </w:rPr>
  </w:style>
  <w:style w:type="paragraph" w:customStyle="1" w:styleId="1224">
    <w:name w:val="数据来源"/>
    <w:basedOn w:val="1"/>
    <w:next w:val="1"/>
    <w:qFormat/>
    <w:uiPriority w:val="0"/>
    <w:pPr>
      <w:tabs>
        <w:tab w:val="left" w:pos="1440"/>
      </w:tabs>
      <w:ind w:left="400" w:leftChars="400"/>
    </w:pPr>
    <w:rPr>
      <w:rFonts w:ascii="宋体" w:hAnsi="宋体" w:eastAsia="楷体_GB2312"/>
      <w:sz w:val="18"/>
    </w:rPr>
  </w:style>
  <w:style w:type="paragraph" w:customStyle="1" w:styleId="1225">
    <w:name w:val="图题"/>
    <w:link w:val="2013"/>
    <w:qFormat/>
    <w:uiPriority w:val="0"/>
    <w:pPr>
      <w:numPr>
        <w:ilvl w:val="0"/>
        <w:numId w:val="18"/>
      </w:numPr>
      <w:tabs>
        <w:tab w:val="left" w:pos="480"/>
      </w:tabs>
      <w:spacing w:before="156" w:beforeLines="50" w:after="156" w:afterLines="50"/>
      <w:ind w:left="0" w:firstLine="0"/>
      <w:jc w:val="center"/>
    </w:pPr>
    <w:rPr>
      <w:rFonts w:ascii="Times New Roman" w:hAnsi="Times New Roman" w:eastAsia="仿宋_GB2312" w:cs="Times New Roman"/>
      <w:b/>
      <w:sz w:val="24"/>
      <w:szCs w:val="24"/>
      <w:lang w:val="en-US" w:eastAsia="zh-CN" w:bidi="ar-SA"/>
    </w:rPr>
  </w:style>
  <w:style w:type="paragraph" w:customStyle="1" w:styleId="1226">
    <w:name w:val="缩进2个字"/>
    <w:basedOn w:val="1"/>
    <w:qFormat/>
    <w:uiPriority w:val="0"/>
    <w:pPr>
      <w:spacing w:line="520" w:lineRule="exact"/>
      <w:jc w:val="center"/>
    </w:pPr>
    <w:rPr>
      <w:rFonts w:ascii="仿宋_GB2312" w:hAnsi="宋体" w:eastAsia="仿宋_GB2312"/>
      <w:b/>
      <w:color w:val="000000"/>
      <w:sz w:val="30"/>
      <w:szCs w:val="20"/>
    </w:rPr>
  </w:style>
  <w:style w:type="paragraph" w:customStyle="1" w:styleId="1227">
    <w:name w:val="样式 正文缩进正文（首行缩进两字）正文2表格首行缩进两字正文2 Char1正文2 Char Char表格 Char..."/>
    <w:basedOn w:val="22"/>
    <w:qFormat/>
    <w:uiPriority w:val="0"/>
    <w:pPr>
      <w:spacing w:line="360" w:lineRule="auto"/>
      <w:ind w:firstLine="200"/>
    </w:pPr>
    <w:rPr>
      <w:rFonts w:cs="宋体"/>
      <w:color w:val="000000"/>
      <w:szCs w:val="20"/>
    </w:rPr>
  </w:style>
  <w:style w:type="paragraph" w:customStyle="1" w:styleId="1228">
    <w:name w:val="样式 样式 正文文本缩进 + 楷体_GB2312 首行缩进:  2 字符 段后: 0.3 行 行距: 1.5 倍行距 + 首行缩..."/>
    <w:basedOn w:val="1"/>
    <w:qFormat/>
    <w:uiPriority w:val="0"/>
    <w:pPr>
      <w:spacing w:after="30" w:line="360" w:lineRule="auto"/>
      <w:ind w:firstLine="200" w:firstLineChars="200"/>
    </w:pPr>
    <w:rPr>
      <w:rFonts w:ascii="楷体_GB2312" w:hAnsi="楷体_GB2312" w:eastAsia="楷体_GB2312"/>
      <w:szCs w:val="20"/>
    </w:rPr>
  </w:style>
  <w:style w:type="table" w:customStyle="1" w:styleId="1229">
    <w:name w:val="无格式表格 41"/>
    <w:basedOn w:val="88"/>
    <w:qFormat/>
    <w:uiPriority w:val="44"/>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paragraph" w:customStyle="1" w:styleId="1230">
    <w:name w:val="产污描述"/>
    <w:basedOn w:val="234"/>
    <w:link w:val="1231"/>
    <w:qFormat/>
    <w:uiPriority w:val="0"/>
    <w:rPr>
      <w:rFonts w:eastAsia="黑体"/>
      <w:u w:val="single"/>
    </w:rPr>
  </w:style>
  <w:style w:type="character" w:customStyle="1" w:styleId="1231">
    <w:name w:val="产污描述 字符"/>
    <w:link w:val="1230"/>
    <w:qFormat/>
    <w:uiPriority w:val="0"/>
    <w:rPr>
      <w:rFonts w:eastAsia="黑体"/>
      <w:kern w:val="2"/>
      <w:sz w:val="24"/>
      <w:szCs w:val="24"/>
      <w:u w:val="single"/>
    </w:rPr>
  </w:style>
  <w:style w:type="paragraph" w:customStyle="1" w:styleId="1232">
    <w:name w:val="正文小字"/>
    <w:basedOn w:val="1"/>
    <w:link w:val="1233"/>
    <w:qFormat/>
    <w:uiPriority w:val="0"/>
    <w:pPr>
      <w:spacing w:line="360" w:lineRule="auto"/>
      <w:ind w:firstLine="480" w:firstLineChars="200"/>
    </w:pPr>
  </w:style>
  <w:style w:type="character" w:customStyle="1" w:styleId="1233">
    <w:name w:val="正文小字 字符"/>
    <w:link w:val="1232"/>
    <w:qFormat/>
    <w:uiPriority w:val="0"/>
    <w:rPr>
      <w:kern w:val="2"/>
      <w:sz w:val="21"/>
      <w:szCs w:val="24"/>
    </w:rPr>
  </w:style>
  <w:style w:type="character" w:customStyle="1" w:styleId="1234">
    <w:name w:val="表格格式 Char"/>
    <w:link w:val="1235"/>
    <w:qFormat/>
    <w:uiPriority w:val="0"/>
    <w:rPr>
      <w:kern w:val="2"/>
      <w:sz w:val="21"/>
      <w:szCs w:val="24"/>
    </w:rPr>
  </w:style>
  <w:style w:type="paragraph" w:customStyle="1" w:styleId="1235">
    <w:name w:val="表格格式"/>
    <w:basedOn w:val="1"/>
    <w:link w:val="1234"/>
    <w:qFormat/>
    <w:uiPriority w:val="0"/>
    <w:pPr>
      <w:jc w:val="center"/>
    </w:pPr>
  </w:style>
  <w:style w:type="character" w:customStyle="1" w:styleId="1236">
    <w:name w:val="正文内容 Char"/>
    <w:link w:val="1237"/>
    <w:qFormat/>
    <w:uiPriority w:val="0"/>
    <w:rPr>
      <w:rFonts w:cs="宋体"/>
      <w:sz w:val="24"/>
    </w:rPr>
  </w:style>
  <w:style w:type="paragraph" w:customStyle="1" w:styleId="1237">
    <w:name w:val="正文内容"/>
    <w:basedOn w:val="1"/>
    <w:link w:val="1236"/>
    <w:qFormat/>
    <w:uiPriority w:val="0"/>
    <w:pPr>
      <w:spacing w:line="360" w:lineRule="auto"/>
      <w:ind w:firstLine="200" w:firstLineChars="200"/>
    </w:pPr>
    <w:rPr>
      <w:rFonts w:cs="宋体"/>
      <w:kern w:val="0"/>
      <w:sz w:val="24"/>
      <w:szCs w:val="20"/>
    </w:rPr>
  </w:style>
  <w:style w:type="character" w:customStyle="1" w:styleId="1238">
    <w:name w:val="图名 Char"/>
    <w:link w:val="613"/>
    <w:qFormat/>
    <w:locked/>
    <w:uiPriority w:val="0"/>
    <w:rPr>
      <w:rFonts w:eastAsia="黑体"/>
      <w:kern w:val="2"/>
      <w:sz w:val="21"/>
      <w:szCs w:val="24"/>
    </w:rPr>
  </w:style>
  <w:style w:type="paragraph" w:customStyle="1" w:styleId="1239">
    <w:name w:val="列表段落1"/>
    <w:basedOn w:val="1"/>
    <w:qFormat/>
    <w:uiPriority w:val="0"/>
    <w:pPr>
      <w:ind w:firstLine="420" w:firstLineChars="200"/>
    </w:pPr>
    <w:rPr>
      <w:rFonts w:ascii="Calibri" w:hAnsi="Calibri"/>
      <w:szCs w:val="22"/>
    </w:rPr>
  </w:style>
  <w:style w:type="character" w:customStyle="1" w:styleId="1240">
    <w:name w:val="普通(网站) Char"/>
    <w:qFormat/>
    <w:uiPriority w:val="99"/>
    <w:rPr>
      <w:rFonts w:ascii="宋体" w:hAnsi="宋体" w:cs="宋体"/>
      <w:sz w:val="24"/>
      <w:szCs w:val="24"/>
    </w:rPr>
  </w:style>
  <w:style w:type="paragraph" w:customStyle="1" w:styleId="1241">
    <w:name w:val="样式正文无级"/>
    <w:basedOn w:val="188"/>
    <w:link w:val="1242"/>
    <w:qFormat/>
    <w:uiPriority w:val="0"/>
    <w:pPr>
      <w:spacing w:beforeLines="0" w:afterLines="0"/>
    </w:pPr>
  </w:style>
  <w:style w:type="character" w:customStyle="1" w:styleId="1242">
    <w:name w:val="样式正文无级 Char"/>
    <w:link w:val="1241"/>
    <w:qFormat/>
    <w:uiPriority w:val="0"/>
    <w:rPr>
      <w:kern w:val="2"/>
      <w:sz w:val="24"/>
      <w:szCs w:val="24"/>
    </w:rPr>
  </w:style>
  <w:style w:type="character" w:customStyle="1" w:styleId="1243">
    <w:name w:val="页脚 字符1"/>
    <w:qFormat/>
    <w:uiPriority w:val="99"/>
    <w:rPr>
      <w:rFonts w:ascii="宋体"/>
      <w:color w:val="000000"/>
      <w:sz w:val="18"/>
      <w:szCs w:val="18"/>
    </w:rPr>
  </w:style>
  <w:style w:type="paragraph" w:customStyle="1" w:styleId="1244">
    <w:name w:val="样式 标题 2 + (符号) 宋体 四号 两端对齐 段前: 10 磅 段后: 10 磅"/>
    <w:basedOn w:val="4"/>
    <w:qFormat/>
    <w:uiPriority w:val="0"/>
    <w:pPr>
      <w:keepLines w:val="0"/>
      <w:numPr>
        <w:ilvl w:val="0"/>
        <w:numId w:val="0"/>
      </w:numPr>
      <w:spacing w:before="200" w:after="200" w:line="600" w:lineRule="exact"/>
    </w:pPr>
    <w:rPr>
      <w:rFonts w:hAnsi="宋体" w:cs="宋体"/>
      <w:b/>
      <w:szCs w:val="20"/>
      <w:lang w:val="en-US"/>
    </w:rPr>
  </w:style>
  <w:style w:type="paragraph" w:customStyle="1" w:styleId="1245">
    <w:name w:val="标题04"/>
    <w:basedOn w:val="7"/>
    <w:qFormat/>
    <w:uiPriority w:val="0"/>
    <w:pPr>
      <w:numPr>
        <w:ilvl w:val="0"/>
        <w:numId w:val="0"/>
      </w:numPr>
      <w:snapToGrid w:val="0"/>
      <w:spacing w:before="200" w:after="200" w:line="480" w:lineRule="exact"/>
    </w:pPr>
    <w:rPr>
      <w:rFonts w:ascii="Arial" w:hAnsi="Arial" w:cs="宋体"/>
      <w:bCs w:val="0"/>
      <w:snapToGrid w:val="0"/>
      <w:kern w:val="28"/>
      <w:sz w:val="28"/>
    </w:rPr>
  </w:style>
  <w:style w:type="table" w:customStyle="1" w:styleId="1246">
    <w:name w:val="验收"/>
    <w:basedOn w:val="88"/>
    <w:qFormat/>
    <w:uiPriority w:val="99"/>
    <w:pPr>
      <w:widowControl w:val="0"/>
      <w:jc w:val="center"/>
    </w:pPr>
    <w:rPr>
      <w:kern w:val="2"/>
      <w:sz w:val="21"/>
      <w:szCs w:val="22"/>
    </w:rPr>
    <w:tblPr>
      <w:tblBorders>
        <w:top w:val="single" w:color="auto" w:sz="4" w:space="0"/>
        <w:bottom w:val="single" w:color="auto" w:sz="4" w:space="0"/>
        <w:insideH w:val="single" w:color="auto" w:sz="4" w:space="0"/>
        <w:insideV w:val="single" w:color="auto" w:sz="4" w:space="0"/>
      </w:tblBorders>
    </w:tblPr>
    <w:tcPr>
      <w:vAlign w:val="center"/>
    </w:tcPr>
  </w:style>
  <w:style w:type="character" w:customStyle="1" w:styleId="1247">
    <w:name w:val="图片 Char"/>
    <w:link w:val="112"/>
    <w:qFormat/>
    <w:uiPriority w:val="0"/>
    <w:rPr>
      <w:kern w:val="2"/>
      <w:sz w:val="24"/>
      <w:szCs w:val="24"/>
    </w:rPr>
  </w:style>
  <w:style w:type="paragraph" w:customStyle="1" w:styleId="1248">
    <w:name w:val="表格（窄）"/>
    <w:basedOn w:val="1"/>
    <w:qFormat/>
    <w:uiPriority w:val="0"/>
    <w:pPr>
      <w:adjustRightInd w:val="0"/>
      <w:snapToGrid w:val="0"/>
      <w:spacing w:beforeLines="10" w:afterLines="10"/>
      <w:ind w:left="-97" w:leftChars="-51" w:right="-107" w:rightChars="-51" w:hanging="10" w:hangingChars="5"/>
      <w:jc w:val="center"/>
    </w:pPr>
    <w:rPr>
      <w:rFonts w:ascii="宋体" w:hAnsi="宋体" w:cs="宋体"/>
      <w:bCs/>
      <w:snapToGrid w:val="0"/>
      <w:szCs w:val="21"/>
    </w:rPr>
  </w:style>
  <w:style w:type="paragraph" w:customStyle="1" w:styleId="1249">
    <w:name w:val="博士论文正文"/>
    <w:basedOn w:val="1"/>
    <w:semiHidden/>
    <w:qFormat/>
    <w:uiPriority w:val="0"/>
    <w:pPr>
      <w:snapToGrid w:val="0"/>
      <w:spacing w:beforeLines="20" w:afterLines="20" w:line="360" w:lineRule="auto"/>
      <w:ind w:firstLine="200" w:firstLineChars="200"/>
    </w:pPr>
    <w:rPr>
      <w:sz w:val="24"/>
      <w:szCs w:val="20"/>
    </w:rPr>
  </w:style>
  <w:style w:type="character" w:customStyle="1" w:styleId="1250">
    <w:name w:val="正文2 Char"/>
    <w:qFormat/>
    <w:uiPriority w:val="0"/>
    <w:rPr>
      <w:rFonts w:ascii="宋体" w:hAnsi="宋体" w:cs="宋体"/>
      <w:sz w:val="24"/>
      <w:szCs w:val="24"/>
    </w:rPr>
  </w:style>
  <w:style w:type="paragraph" w:customStyle="1" w:styleId="1251">
    <w:name w:val="国寰表内"/>
    <w:basedOn w:val="1"/>
    <w:link w:val="1252"/>
    <w:qFormat/>
    <w:uiPriority w:val="0"/>
    <w:pPr>
      <w:adjustRightInd w:val="0"/>
      <w:snapToGrid w:val="0"/>
      <w:spacing w:line="280" w:lineRule="atLeast"/>
      <w:ind w:right="28"/>
    </w:pPr>
    <w:rPr>
      <w:snapToGrid w:val="0"/>
      <w:color w:val="000000"/>
      <w:kern w:val="0"/>
      <w:sz w:val="18"/>
      <w:szCs w:val="20"/>
    </w:rPr>
  </w:style>
  <w:style w:type="character" w:customStyle="1" w:styleId="1252">
    <w:name w:val="国寰表内 Char"/>
    <w:link w:val="1251"/>
    <w:qFormat/>
    <w:uiPriority w:val="0"/>
    <w:rPr>
      <w:snapToGrid w:val="0"/>
      <w:color w:val="000000"/>
      <w:sz w:val="18"/>
    </w:rPr>
  </w:style>
  <w:style w:type="character" w:customStyle="1" w:styleId="1253">
    <w:name w:val="表 Char"/>
    <w:qFormat/>
    <w:uiPriority w:val="0"/>
    <w:rPr>
      <w:rFonts w:ascii="Times New Roman" w:hAnsi="Times New Roman" w:eastAsia="宋体" w:cs="Times New Roman"/>
      <w:snapToGrid w:val="0"/>
      <w:color w:val="000000"/>
      <w:kern w:val="0"/>
      <w:sz w:val="18"/>
      <w:szCs w:val="18"/>
    </w:rPr>
  </w:style>
  <w:style w:type="character" w:customStyle="1" w:styleId="1254">
    <w:name w:val="表格内 Char"/>
    <w:link w:val="1255"/>
    <w:qFormat/>
    <w:uiPriority w:val="0"/>
    <w:rPr>
      <w:snapToGrid w:val="0"/>
      <w:szCs w:val="21"/>
    </w:rPr>
  </w:style>
  <w:style w:type="paragraph" w:customStyle="1" w:styleId="1255">
    <w:name w:val="表格内"/>
    <w:basedOn w:val="1"/>
    <w:link w:val="1254"/>
    <w:qFormat/>
    <w:uiPriority w:val="0"/>
    <w:pPr>
      <w:adjustRightInd w:val="0"/>
      <w:snapToGrid w:val="0"/>
      <w:spacing w:line="360" w:lineRule="exact"/>
      <w:jc w:val="center"/>
    </w:pPr>
    <w:rPr>
      <w:snapToGrid w:val="0"/>
      <w:kern w:val="0"/>
      <w:sz w:val="20"/>
      <w:szCs w:val="21"/>
    </w:rPr>
  </w:style>
  <w:style w:type="paragraph" w:customStyle="1" w:styleId="1256">
    <w:name w:val="样式 四号 首行缩进:  2 字符 字符缩放: 90% 行距: 固定值 28 磅"/>
    <w:basedOn w:val="1"/>
    <w:qFormat/>
    <w:uiPriority w:val="0"/>
    <w:pPr>
      <w:spacing w:line="480" w:lineRule="exact"/>
      <w:ind w:firstLine="200" w:firstLineChars="200"/>
    </w:pPr>
    <w:rPr>
      <w:rFonts w:eastAsia="方正书宋简体"/>
      <w:w w:val="90"/>
      <w:sz w:val="28"/>
      <w:szCs w:val="28"/>
    </w:rPr>
  </w:style>
  <w:style w:type="character" w:customStyle="1" w:styleId="1257">
    <w:name w:val="表头 Char1"/>
    <w:qFormat/>
    <w:uiPriority w:val="0"/>
    <w:rPr>
      <w:rFonts w:eastAsia="宋体"/>
      <w:bCs/>
      <w:snapToGrid w:val="0"/>
      <w:color w:val="000000"/>
      <w:kern w:val="2"/>
      <w:sz w:val="21"/>
      <w:szCs w:val="21"/>
      <w:lang w:val="en-US" w:eastAsia="zh-CN" w:bidi="ar-SA"/>
    </w:rPr>
  </w:style>
  <w:style w:type="character" w:customStyle="1" w:styleId="1258">
    <w:name w:val="说明书正文 Char"/>
    <w:link w:val="1259"/>
    <w:qFormat/>
    <w:uiPriority w:val="0"/>
    <w:rPr>
      <w:sz w:val="24"/>
      <w:szCs w:val="24"/>
    </w:rPr>
  </w:style>
  <w:style w:type="paragraph" w:customStyle="1" w:styleId="1259">
    <w:name w:val="说明书正文"/>
    <w:basedOn w:val="1"/>
    <w:link w:val="1258"/>
    <w:qFormat/>
    <w:uiPriority w:val="0"/>
    <w:pPr>
      <w:adjustRightInd w:val="0"/>
      <w:spacing w:line="440" w:lineRule="exact"/>
      <w:ind w:firstLine="200" w:firstLineChars="200"/>
      <w:textAlignment w:val="baseline"/>
    </w:pPr>
    <w:rPr>
      <w:kern w:val="0"/>
      <w:sz w:val="24"/>
    </w:rPr>
  </w:style>
  <w:style w:type="paragraph" w:customStyle="1" w:styleId="1260">
    <w:name w:val="表内"/>
    <w:basedOn w:val="1255"/>
    <w:link w:val="1330"/>
    <w:qFormat/>
    <w:uiPriority w:val="0"/>
    <w:pPr>
      <w:adjustRightInd/>
      <w:snapToGrid/>
    </w:pPr>
    <w:rPr>
      <w:rFonts w:ascii="宋体"/>
      <w:snapToGrid/>
      <w:color w:val="FF0000"/>
    </w:rPr>
  </w:style>
  <w:style w:type="paragraph" w:customStyle="1" w:styleId="1261">
    <w:name w:val="标注"/>
    <w:basedOn w:val="1"/>
    <w:link w:val="1262"/>
    <w:qFormat/>
    <w:uiPriority w:val="0"/>
    <w:pPr>
      <w:ind w:firstLine="360" w:firstLineChars="200"/>
    </w:pPr>
    <w:rPr>
      <w:sz w:val="18"/>
      <w:szCs w:val="21"/>
    </w:rPr>
  </w:style>
  <w:style w:type="character" w:customStyle="1" w:styleId="1262">
    <w:name w:val="标注 Char"/>
    <w:link w:val="1261"/>
    <w:qFormat/>
    <w:uiPriority w:val="0"/>
    <w:rPr>
      <w:kern w:val="2"/>
      <w:sz w:val="18"/>
      <w:szCs w:val="21"/>
    </w:rPr>
  </w:style>
  <w:style w:type="character" w:customStyle="1" w:styleId="1263">
    <w:name w:val="样式 列表 + 黑色 Char"/>
    <w:qFormat/>
    <w:uiPriority w:val="0"/>
    <w:rPr>
      <w:rFonts w:ascii="黑体" w:eastAsia="黑体"/>
      <w:color w:val="000000"/>
      <w:kern w:val="2"/>
      <w:sz w:val="24"/>
      <w:szCs w:val="24"/>
      <w:lang w:val="en-US" w:eastAsia="zh-CN" w:bidi="ar-SA"/>
    </w:rPr>
  </w:style>
  <w:style w:type="character" w:customStyle="1" w:styleId="1264">
    <w:name w:val="表头 + 居中 Char"/>
    <w:link w:val="1265"/>
    <w:qFormat/>
    <w:uiPriority w:val="0"/>
    <w:rPr>
      <w:rFonts w:ascii="Arial" w:hAnsi="Arial" w:eastAsia="黑体"/>
      <w:szCs w:val="21"/>
    </w:rPr>
  </w:style>
  <w:style w:type="paragraph" w:customStyle="1" w:styleId="1265">
    <w:name w:val="表头 + 居中"/>
    <w:basedOn w:val="1"/>
    <w:next w:val="1"/>
    <w:link w:val="1264"/>
    <w:qFormat/>
    <w:uiPriority w:val="0"/>
    <w:pPr>
      <w:keepNext/>
      <w:keepLines/>
      <w:spacing w:beforeLines="50" w:afterLines="50"/>
      <w:jc w:val="center"/>
    </w:pPr>
    <w:rPr>
      <w:rFonts w:ascii="Arial" w:hAnsi="Arial" w:eastAsia="黑体"/>
      <w:kern w:val="0"/>
      <w:sz w:val="20"/>
      <w:szCs w:val="21"/>
    </w:rPr>
  </w:style>
  <w:style w:type="character" w:customStyle="1" w:styleId="1266">
    <w:name w:val="正文文字缩进2字符 Char Char Char"/>
    <w:qFormat/>
    <w:uiPriority w:val="0"/>
    <w:rPr>
      <w:rFonts w:ascii="宋体" w:eastAsia="宋体"/>
      <w:spacing w:val="6"/>
      <w:kern w:val="2"/>
      <w:sz w:val="28"/>
      <w:lang w:val="en-US" w:eastAsia="zh-CN" w:bidi="ar-SA"/>
    </w:rPr>
  </w:style>
  <w:style w:type="character" w:customStyle="1" w:styleId="1267">
    <w:name w:val="text"/>
    <w:basedOn w:val="95"/>
    <w:qFormat/>
    <w:uiPriority w:val="0"/>
  </w:style>
  <w:style w:type="character" w:customStyle="1" w:styleId="1268">
    <w:name w:val="王　正文 Char"/>
    <w:link w:val="1269"/>
    <w:qFormat/>
    <w:uiPriority w:val="0"/>
    <w:rPr>
      <w:rFonts w:hAnsi="宋体" w:cs="宋体"/>
      <w:kern w:val="24"/>
      <w:sz w:val="28"/>
      <w:szCs w:val="28"/>
    </w:rPr>
  </w:style>
  <w:style w:type="paragraph" w:customStyle="1" w:styleId="1269">
    <w:name w:val="王　正文"/>
    <w:basedOn w:val="1"/>
    <w:link w:val="1268"/>
    <w:qFormat/>
    <w:uiPriority w:val="0"/>
    <w:pPr>
      <w:spacing w:line="480" w:lineRule="exact"/>
      <w:ind w:firstLine="560" w:firstLineChars="200"/>
    </w:pPr>
    <w:rPr>
      <w:rFonts w:hAnsi="宋体" w:cs="宋体"/>
      <w:kern w:val="24"/>
      <w:sz w:val="28"/>
      <w:szCs w:val="28"/>
    </w:rPr>
  </w:style>
  <w:style w:type="character" w:customStyle="1" w:styleId="1270">
    <w:name w:val="titlebig"/>
    <w:basedOn w:val="95"/>
    <w:qFormat/>
    <w:uiPriority w:val="0"/>
  </w:style>
  <w:style w:type="character" w:customStyle="1" w:styleId="1271">
    <w:name w:val="正文新 Char"/>
    <w:link w:val="1272"/>
    <w:semiHidden/>
    <w:qFormat/>
    <w:uiPriority w:val="0"/>
    <w:rPr>
      <w:rFonts w:ascii="宋体" w:hAnsi="宋体"/>
      <w:sz w:val="24"/>
      <w:szCs w:val="24"/>
    </w:rPr>
  </w:style>
  <w:style w:type="paragraph" w:customStyle="1" w:styleId="1272">
    <w:name w:val="正文新"/>
    <w:basedOn w:val="1"/>
    <w:link w:val="1271"/>
    <w:qFormat/>
    <w:uiPriority w:val="0"/>
    <w:pPr>
      <w:spacing w:line="460" w:lineRule="exact"/>
      <w:ind w:firstLine="482"/>
    </w:pPr>
    <w:rPr>
      <w:rFonts w:ascii="宋体" w:hAnsi="宋体"/>
      <w:kern w:val="0"/>
      <w:sz w:val="24"/>
    </w:rPr>
  </w:style>
  <w:style w:type="character" w:customStyle="1" w:styleId="1273">
    <w:name w:val="标3 Char"/>
    <w:link w:val="1274"/>
    <w:qFormat/>
    <w:uiPriority w:val="0"/>
    <w:rPr>
      <w:rFonts w:ascii="黑体" w:hAnsi="宋体" w:eastAsia="黑体"/>
      <w:b/>
      <w:bCs/>
      <w:color w:val="000000"/>
      <w:sz w:val="24"/>
      <w:szCs w:val="24"/>
    </w:rPr>
  </w:style>
  <w:style w:type="paragraph" w:customStyle="1" w:styleId="1274">
    <w:name w:val="标3"/>
    <w:basedOn w:val="5"/>
    <w:link w:val="1273"/>
    <w:qFormat/>
    <w:uiPriority w:val="0"/>
    <w:pPr>
      <w:widowControl w:val="0"/>
      <w:numPr>
        <w:ilvl w:val="0"/>
        <w:numId w:val="0"/>
      </w:numPr>
      <w:spacing w:before="120" w:after="120" w:line="520" w:lineRule="exact"/>
    </w:pPr>
    <w:rPr>
      <w:rFonts w:ascii="黑体" w:hAnsi="宋体"/>
      <w:b/>
      <w:bCs/>
      <w:szCs w:val="24"/>
    </w:rPr>
  </w:style>
  <w:style w:type="character" w:customStyle="1" w:styleId="1275">
    <w:name w:val="正文首行缩进-修改 Char"/>
    <w:link w:val="847"/>
    <w:qFormat/>
    <w:uiPriority w:val="0"/>
    <w:rPr>
      <w:kern w:val="2"/>
      <w:sz w:val="24"/>
      <w:szCs w:val="24"/>
    </w:rPr>
  </w:style>
  <w:style w:type="character" w:customStyle="1" w:styleId="1276">
    <w:name w:val="新正文 Char"/>
    <w:link w:val="751"/>
    <w:qFormat/>
    <w:uiPriority w:val="0"/>
    <w:rPr>
      <w:rFonts w:ascii="仿宋_GB2312" w:eastAsia="仿宋_GB2312"/>
      <w:bCs/>
      <w:sz w:val="28"/>
    </w:rPr>
  </w:style>
  <w:style w:type="character" w:customStyle="1" w:styleId="1277">
    <w:name w:val="表格1 Char"/>
    <w:link w:val="208"/>
    <w:qFormat/>
    <w:uiPriority w:val="0"/>
    <w:rPr>
      <w:b/>
      <w:bCs/>
      <w:color w:val="000000"/>
      <w:sz w:val="24"/>
    </w:rPr>
  </w:style>
  <w:style w:type="character" w:customStyle="1" w:styleId="1278">
    <w:name w:val="正文首行缩进-修改 Char Char"/>
    <w:qFormat/>
    <w:uiPriority w:val="0"/>
    <w:rPr>
      <w:rFonts w:eastAsia="宋体"/>
      <w:kern w:val="2"/>
      <w:sz w:val="24"/>
      <w:szCs w:val="24"/>
      <w:lang w:val="en-US" w:eastAsia="zh-CN" w:bidi="ar-SA"/>
    </w:rPr>
  </w:style>
  <w:style w:type="character" w:customStyle="1" w:styleId="1279">
    <w:name w:val="正文1111111 Char Char"/>
    <w:link w:val="1280"/>
    <w:semiHidden/>
    <w:qFormat/>
    <w:uiPriority w:val="0"/>
    <w:rPr>
      <w:rFonts w:ascii="宋体" w:hAnsi="Arial Narrow"/>
      <w:sz w:val="24"/>
      <w:szCs w:val="24"/>
    </w:rPr>
  </w:style>
  <w:style w:type="paragraph" w:customStyle="1" w:styleId="1280">
    <w:name w:val="正文1111111"/>
    <w:basedOn w:val="1"/>
    <w:link w:val="1279"/>
    <w:semiHidden/>
    <w:qFormat/>
    <w:uiPriority w:val="0"/>
    <w:pPr>
      <w:spacing w:line="460" w:lineRule="exact"/>
      <w:ind w:firstLine="200" w:firstLineChars="200"/>
    </w:pPr>
    <w:rPr>
      <w:rFonts w:ascii="宋体" w:hAnsi="Arial Narrow"/>
      <w:kern w:val="0"/>
      <w:sz w:val="24"/>
    </w:rPr>
  </w:style>
  <w:style w:type="character" w:customStyle="1" w:styleId="1281">
    <w:name w:val="zt41"/>
    <w:qFormat/>
    <w:uiPriority w:val="0"/>
    <w:rPr>
      <w:sz w:val="18"/>
      <w:szCs w:val="18"/>
    </w:rPr>
  </w:style>
  <w:style w:type="character" w:customStyle="1" w:styleId="1282">
    <w:name w:val="标2 Char"/>
    <w:link w:val="849"/>
    <w:qFormat/>
    <w:uiPriority w:val="0"/>
    <w:rPr>
      <w:rFonts w:eastAsia="黑体"/>
      <w:sz w:val="28"/>
      <w:szCs w:val="28"/>
      <w:lang w:val="zh-CN"/>
    </w:rPr>
  </w:style>
  <w:style w:type="character" w:customStyle="1" w:styleId="1283">
    <w:name w:val="样式正文 Char Char"/>
    <w:qFormat/>
    <w:uiPriority w:val="0"/>
    <w:rPr>
      <w:rFonts w:eastAsia="宋体"/>
      <w:kern w:val="2"/>
      <w:sz w:val="28"/>
      <w:lang w:val="en-US" w:eastAsia="zh-CN" w:bidi="ar-SA"/>
    </w:rPr>
  </w:style>
  <w:style w:type="character" w:customStyle="1" w:styleId="1284">
    <w:name w:val="正5 Char"/>
    <w:link w:val="1285"/>
    <w:qFormat/>
    <w:uiPriority w:val="0"/>
    <w:rPr>
      <w:rFonts w:ascii="宋体"/>
      <w:color w:val="000000"/>
      <w:sz w:val="24"/>
      <w:szCs w:val="24"/>
    </w:rPr>
  </w:style>
  <w:style w:type="paragraph" w:customStyle="1" w:styleId="1285">
    <w:name w:val="正5"/>
    <w:basedOn w:val="1"/>
    <w:link w:val="1284"/>
    <w:qFormat/>
    <w:uiPriority w:val="0"/>
    <w:pPr>
      <w:spacing w:line="460" w:lineRule="exact"/>
      <w:ind w:firstLine="200" w:firstLineChars="200"/>
    </w:pPr>
    <w:rPr>
      <w:rFonts w:ascii="宋体"/>
      <w:color w:val="000000"/>
      <w:kern w:val="0"/>
      <w:sz w:val="24"/>
    </w:rPr>
  </w:style>
  <w:style w:type="character" w:customStyle="1" w:styleId="1286">
    <w:name w:val="样式正文 Char Char1"/>
    <w:qFormat/>
    <w:uiPriority w:val="0"/>
    <w:rPr>
      <w:rFonts w:eastAsia="宋体"/>
      <w:kern w:val="2"/>
      <w:sz w:val="28"/>
      <w:szCs w:val="24"/>
      <w:lang w:val="en-US" w:eastAsia="zh-CN" w:bidi="ar-SA"/>
    </w:rPr>
  </w:style>
  <w:style w:type="character" w:customStyle="1" w:styleId="1287">
    <w:name w:val="正文文字缩进 2 Char"/>
    <w:qFormat/>
    <w:uiPriority w:val="0"/>
    <w:rPr>
      <w:rFonts w:ascii="宋体"/>
      <w:kern w:val="2"/>
      <w:sz w:val="24"/>
    </w:rPr>
  </w:style>
  <w:style w:type="character" w:customStyle="1" w:styleId="1288">
    <w:name w:val="材料正文 Char Char"/>
    <w:qFormat/>
    <w:uiPriority w:val="0"/>
    <w:rPr>
      <w:rFonts w:eastAsia="方正仿宋简体"/>
      <w:kern w:val="2"/>
      <w:sz w:val="24"/>
    </w:rPr>
  </w:style>
  <w:style w:type="character" w:customStyle="1" w:styleId="1289">
    <w:name w:val="表格内 Char Char"/>
    <w:qFormat/>
    <w:uiPriority w:val="0"/>
    <w:rPr>
      <w:rFonts w:eastAsia="宋体"/>
      <w:snapToGrid w:val="0"/>
      <w:sz w:val="21"/>
      <w:szCs w:val="21"/>
      <w:lang w:val="en-US" w:eastAsia="zh-CN" w:bidi="ar-SA"/>
    </w:rPr>
  </w:style>
  <w:style w:type="character" w:customStyle="1" w:styleId="1290">
    <w:name w:val="正文文本首行缩进 字符"/>
    <w:link w:val="86"/>
    <w:qFormat/>
    <w:uiPriority w:val="0"/>
    <w:rPr>
      <w:rFonts w:ascii="宋体" w:hAnsi="宋体"/>
      <w:snapToGrid w:val="0"/>
      <w:color w:val="000000"/>
      <w:kern w:val="2"/>
      <w:sz w:val="24"/>
      <w:szCs w:val="24"/>
    </w:rPr>
  </w:style>
  <w:style w:type="paragraph" w:customStyle="1" w:styleId="1291">
    <w:name w:val="p15"/>
    <w:basedOn w:val="1"/>
    <w:qFormat/>
    <w:uiPriority w:val="0"/>
    <w:pPr>
      <w:widowControl/>
      <w:spacing w:line="480" w:lineRule="atLeast"/>
      <w:ind w:firstLine="420"/>
    </w:pPr>
    <w:rPr>
      <w:kern w:val="0"/>
      <w:sz w:val="28"/>
      <w:szCs w:val="28"/>
    </w:rPr>
  </w:style>
  <w:style w:type="paragraph" w:customStyle="1" w:styleId="1292">
    <w:name w:val="正文缩进5"/>
    <w:basedOn w:val="1"/>
    <w:qFormat/>
    <w:uiPriority w:val="0"/>
    <w:pPr>
      <w:spacing w:line="360" w:lineRule="exact"/>
      <w:ind w:firstLine="510"/>
    </w:pPr>
    <w:rPr>
      <w:sz w:val="24"/>
      <w:szCs w:val="20"/>
    </w:rPr>
  </w:style>
  <w:style w:type="paragraph" w:customStyle="1" w:styleId="1293">
    <w:name w:val="正文文本缩进2"/>
    <w:basedOn w:val="1"/>
    <w:qFormat/>
    <w:uiPriority w:val="0"/>
    <w:pPr>
      <w:adjustRightInd w:val="0"/>
      <w:spacing w:line="360" w:lineRule="atLeast"/>
      <w:ind w:left="280" w:firstLine="560"/>
      <w:jc w:val="left"/>
      <w:textAlignment w:val="baseline"/>
    </w:pPr>
    <w:rPr>
      <w:kern w:val="0"/>
      <w:sz w:val="24"/>
    </w:rPr>
  </w:style>
  <w:style w:type="paragraph" w:customStyle="1" w:styleId="1294">
    <w:name w:val="Знак Знак1"/>
    <w:basedOn w:val="1"/>
    <w:qFormat/>
    <w:uiPriority w:val="0"/>
  </w:style>
  <w:style w:type="paragraph" w:customStyle="1" w:styleId="1295">
    <w:name w:val="样式  表头"/>
    <w:basedOn w:val="129"/>
    <w:qFormat/>
    <w:uiPriority w:val="0"/>
    <w:pPr>
      <w:adjustRightInd w:val="0"/>
      <w:snapToGrid w:val="0"/>
      <w:spacing w:after="0" w:line="520" w:lineRule="exact"/>
      <w:ind w:firstLine="0"/>
    </w:pPr>
    <w:rPr>
      <w:rFonts w:eastAsia="黑体"/>
      <w:snapToGrid w:val="0"/>
      <w:kern w:val="0"/>
      <w:szCs w:val="24"/>
    </w:rPr>
  </w:style>
  <w:style w:type="paragraph" w:customStyle="1" w:styleId="1296">
    <w:name w:val="样式 标题 1 + (中文) 黑体 二号"/>
    <w:basedOn w:val="3"/>
    <w:qFormat/>
    <w:uiPriority w:val="0"/>
    <w:pPr>
      <w:keepLines w:val="0"/>
      <w:numPr>
        <w:numId w:val="0"/>
      </w:numPr>
      <w:adjustRightInd w:val="0"/>
      <w:snapToGrid w:val="0"/>
      <w:spacing w:beforeLines="100" w:afterLines="100" w:line="480" w:lineRule="auto"/>
    </w:pPr>
    <w:rPr>
      <w:b/>
      <w:kern w:val="2"/>
      <w:sz w:val="44"/>
      <w:szCs w:val="20"/>
    </w:rPr>
  </w:style>
  <w:style w:type="paragraph" w:customStyle="1" w:styleId="1297">
    <w:name w:val="正文样式"/>
    <w:basedOn w:val="1"/>
    <w:qFormat/>
    <w:uiPriority w:val="0"/>
    <w:pPr>
      <w:spacing w:line="360" w:lineRule="auto"/>
      <w:ind w:firstLine="480" w:firstLineChars="200"/>
    </w:pPr>
    <w:rPr>
      <w:rFonts w:ascii="宋体" w:hAnsi="宋体"/>
      <w:sz w:val="24"/>
    </w:rPr>
  </w:style>
  <w:style w:type="paragraph" w:customStyle="1" w:styleId="1298">
    <w:name w:val="论文正文"/>
    <w:basedOn w:val="1"/>
    <w:qFormat/>
    <w:uiPriority w:val="0"/>
    <w:pPr>
      <w:ind w:firstLine="567"/>
    </w:pPr>
    <w:rPr>
      <w:sz w:val="28"/>
      <w:szCs w:val="20"/>
    </w:rPr>
  </w:style>
  <w:style w:type="paragraph" w:customStyle="1" w:styleId="1299">
    <w:name w:val="正文缩进3"/>
    <w:basedOn w:val="1"/>
    <w:qFormat/>
    <w:uiPriority w:val="0"/>
    <w:pPr>
      <w:adjustRightInd w:val="0"/>
      <w:snapToGrid w:val="0"/>
      <w:spacing w:line="480" w:lineRule="exact"/>
      <w:ind w:firstLine="200" w:firstLineChars="200"/>
    </w:pPr>
    <w:rPr>
      <w:rFonts w:eastAsia="方正仿宋简体"/>
      <w:sz w:val="28"/>
      <w:szCs w:val="20"/>
    </w:rPr>
  </w:style>
  <w:style w:type="paragraph" w:customStyle="1" w:styleId="1300">
    <w:name w:val="样式 列表 + 段前: 0.5 行"/>
    <w:basedOn w:val="1"/>
    <w:qFormat/>
    <w:uiPriority w:val="0"/>
    <w:pPr>
      <w:spacing w:line="480" w:lineRule="exact"/>
      <w:ind w:firstLine="480" w:firstLineChars="200"/>
    </w:pPr>
    <w:rPr>
      <w:rFonts w:ascii="黑体" w:hAnsi="宋体" w:eastAsia="黑体"/>
      <w:kern w:val="0"/>
      <w:sz w:val="24"/>
      <w:szCs w:val="32"/>
    </w:rPr>
  </w:style>
  <w:style w:type="paragraph" w:customStyle="1" w:styleId="1301">
    <w:name w:val="表中正文居中"/>
    <w:qFormat/>
    <w:uiPriority w:val="0"/>
    <w:pPr>
      <w:spacing w:before="120" w:after="120" w:line="240" w:lineRule="atLeast"/>
      <w:jc w:val="center"/>
    </w:pPr>
    <w:rPr>
      <w:rFonts w:ascii="宋体" w:hAnsi="Times New Roman" w:eastAsia="宋体" w:cs="Times New Roman"/>
      <w:kern w:val="2"/>
      <w:sz w:val="21"/>
      <w:lang w:val="en-US" w:eastAsia="zh-CN" w:bidi="ar-SA"/>
    </w:rPr>
  </w:style>
  <w:style w:type="paragraph" w:customStyle="1" w:styleId="1302">
    <w:name w:val="样式 标题2　自动设置"/>
    <w:basedOn w:val="4"/>
    <w:qFormat/>
    <w:uiPriority w:val="0"/>
    <w:pPr>
      <w:numPr>
        <w:ilvl w:val="0"/>
        <w:numId w:val="0"/>
      </w:numPr>
      <w:tabs>
        <w:tab w:val="left" w:pos="360"/>
      </w:tabs>
      <w:adjustRightInd/>
      <w:snapToGrid/>
      <w:spacing w:before="120" w:after="60"/>
    </w:pPr>
    <w:rPr>
      <w:rFonts w:ascii="宋体" w:hAnsi="宋体" w:eastAsia="宋体" w:cs="宋体"/>
      <w:b/>
      <w:kern w:val="0"/>
      <w:szCs w:val="20"/>
      <w:lang w:val="en-US"/>
    </w:rPr>
  </w:style>
  <w:style w:type="paragraph" w:customStyle="1" w:styleId="1303">
    <w:name w:val="样式 标题 1 + 黑体 二号 段前: 20 磅 段后: 20 磅 行距: 固定值 28 磅"/>
    <w:basedOn w:val="3"/>
    <w:qFormat/>
    <w:uiPriority w:val="0"/>
    <w:pPr>
      <w:keepLines w:val="0"/>
      <w:numPr>
        <w:numId w:val="0"/>
      </w:numPr>
      <w:adjustRightInd w:val="0"/>
      <w:snapToGrid w:val="0"/>
      <w:spacing w:beforeLines="100" w:afterLines="100" w:line="480" w:lineRule="auto"/>
    </w:pPr>
    <w:rPr>
      <w:rFonts w:ascii="黑体" w:hAnsi="黑体" w:cs="宋体"/>
      <w:b/>
      <w:kern w:val="2"/>
      <w:sz w:val="44"/>
      <w:szCs w:val="20"/>
    </w:rPr>
  </w:style>
  <w:style w:type="paragraph" w:customStyle="1" w:styleId="1304">
    <w:name w:val="参考文献、索引标题"/>
    <w:basedOn w:val="1"/>
    <w:next w:val="1"/>
    <w:qFormat/>
    <w:uiPriority w:val="0"/>
    <w:pPr>
      <w:widowControl/>
      <w:shd w:val="clear" w:color="FFFFFF" w:fill="FFFFFF"/>
      <w:spacing w:before="640" w:after="200"/>
      <w:jc w:val="center"/>
      <w:outlineLvl w:val="0"/>
    </w:pPr>
    <w:rPr>
      <w:rFonts w:ascii="黑体" w:eastAsia="黑体"/>
      <w:kern w:val="0"/>
      <w:szCs w:val="20"/>
    </w:rPr>
  </w:style>
  <w:style w:type="paragraph" w:customStyle="1" w:styleId="1305">
    <w:name w:val="样式 标题 4常用标题 4 + 段前: 6 磅 段后: 6 磅 行距: 固定值 26 磅"/>
    <w:basedOn w:val="7"/>
    <w:qFormat/>
    <w:uiPriority w:val="0"/>
    <w:pPr>
      <w:numPr>
        <w:ilvl w:val="0"/>
        <w:numId w:val="0"/>
      </w:numPr>
      <w:tabs>
        <w:tab w:val="left" w:pos="360"/>
      </w:tabs>
      <w:adjustRightInd/>
      <w:spacing w:before="120" w:after="120" w:line="240" w:lineRule="auto"/>
    </w:pPr>
    <w:rPr>
      <w:rFonts w:ascii="Arial" w:hAnsi="Arial" w:cs="宋体"/>
      <w:b/>
      <w:sz w:val="28"/>
      <w:szCs w:val="20"/>
    </w:rPr>
  </w:style>
  <w:style w:type="paragraph" w:customStyle="1" w:styleId="1306">
    <w:name w:val="样式 样式 标题 1 + 黑体 二号 段前: 20 磅 段后: 20 磅 行距: 固定值 28 磅 + 非加粗 段前: 1 行..."/>
    <w:basedOn w:val="1"/>
    <w:qFormat/>
    <w:uiPriority w:val="0"/>
    <w:pPr>
      <w:keepNext/>
      <w:adjustRightInd w:val="0"/>
      <w:snapToGrid w:val="0"/>
      <w:spacing w:beforeLines="100" w:afterLines="100" w:line="480" w:lineRule="auto"/>
      <w:jc w:val="center"/>
      <w:outlineLvl w:val="0"/>
    </w:pPr>
    <w:rPr>
      <w:rFonts w:ascii="黑体" w:hAnsi="黑体" w:eastAsia="黑体" w:cs="宋体"/>
      <w:sz w:val="44"/>
      <w:szCs w:val="20"/>
    </w:rPr>
  </w:style>
  <w:style w:type="paragraph" w:customStyle="1" w:styleId="1307">
    <w:name w:val="标题4+"/>
    <w:basedOn w:val="7"/>
    <w:qFormat/>
    <w:uiPriority w:val="0"/>
    <w:pPr>
      <w:numPr>
        <w:ilvl w:val="0"/>
        <w:numId w:val="0"/>
      </w:numPr>
      <w:snapToGrid w:val="0"/>
      <w:spacing w:before="120" w:after="120" w:line="600" w:lineRule="exact"/>
    </w:pPr>
    <w:rPr>
      <w:snapToGrid w:val="0"/>
      <w:kern w:val="0"/>
      <w:sz w:val="28"/>
    </w:rPr>
  </w:style>
  <w:style w:type="paragraph" w:customStyle="1" w:styleId="1308">
    <w:name w:val="样式 样式4 +"/>
    <w:basedOn w:val="140"/>
    <w:qFormat/>
    <w:uiPriority w:val="0"/>
    <w:pPr>
      <w:tabs>
        <w:tab w:val="clear" w:pos="425"/>
      </w:tabs>
      <w:spacing w:before="280" w:beforeLines="0" w:after="290" w:afterLines="0"/>
      <w:ind w:left="0" w:firstLine="482"/>
      <w:outlineLvl w:val="3"/>
    </w:pPr>
    <w:rPr>
      <w:b/>
      <w:kern w:val="2"/>
      <w:sz w:val="24"/>
      <w:szCs w:val="28"/>
    </w:rPr>
  </w:style>
  <w:style w:type="paragraph" w:customStyle="1" w:styleId="1309">
    <w:name w:val="表文"/>
    <w:basedOn w:val="1"/>
    <w:qFormat/>
    <w:uiPriority w:val="0"/>
    <w:pPr>
      <w:spacing w:line="360" w:lineRule="exact"/>
      <w:jc w:val="center"/>
    </w:pPr>
    <w:rPr>
      <w:rFonts w:cs="宋体"/>
      <w:color w:val="000000"/>
      <w:szCs w:val="21"/>
    </w:rPr>
  </w:style>
  <w:style w:type="paragraph" w:customStyle="1" w:styleId="1310">
    <w:name w:val="小表格"/>
    <w:basedOn w:val="1"/>
    <w:qFormat/>
    <w:uiPriority w:val="0"/>
    <w:pPr>
      <w:jc w:val="center"/>
    </w:pPr>
    <w:rPr>
      <w:rFonts w:ascii="宋体" w:hAnsi="宋体"/>
      <w:sz w:val="18"/>
      <w:szCs w:val="20"/>
    </w:rPr>
  </w:style>
  <w:style w:type="paragraph" w:customStyle="1" w:styleId="1311">
    <w:name w:val="表字"/>
    <w:basedOn w:val="1"/>
    <w:qFormat/>
    <w:uiPriority w:val="0"/>
    <w:pPr>
      <w:adjustRightInd w:val="0"/>
      <w:snapToGrid w:val="0"/>
      <w:spacing w:line="240" w:lineRule="atLeast"/>
      <w:jc w:val="center"/>
    </w:pPr>
    <w:rPr>
      <w:rFonts w:ascii="宋体" w:hAnsi="宋体"/>
    </w:rPr>
  </w:style>
  <w:style w:type="paragraph" w:customStyle="1" w:styleId="1312">
    <w:name w:val="样式 列表 + 黑色"/>
    <w:basedOn w:val="67"/>
    <w:qFormat/>
    <w:uiPriority w:val="0"/>
    <w:pPr>
      <w:spacing w:afterLines="150"/>
      <w:ind w:left="0" w:firstLine="0" w:firstLineChars="0"/>
      <w:jc w:val="right"/>
    </w:pPr>
    <w:rPr>
      <w:rFonts w:ascii="黑体" w:eastAsia="黑体"/>
      <w:b/>
      <w:color w:val="000000"/>
      <w:sz w:val="24"/>
    </w:rPr>
  </w:style>
  <w:style w:type="paragraph" w:customStyle="1" w:styleId="1313">
    <w:name w:val="样式 表格头 + (符号) 宋体 段前: 0.5 行"/>
    <w:basedOn w:val="1"/>
    <w:qFormat/>
    <w:uiPriority w:val="0"/>
    <w:pPr>
      <w:keepNext/>
      <w:keepLines/>
      <w:adjustRightInd w:val="0"/>
      <w:snapToGrid w:val="0"/>
      <w:spacing w:beforeLines="50" w:line="400" w:lineRule="exact"/>
      <w:jc w:val="center"/>
    </w:pPr>
    <w:rPr>
      <w:rFonts w:ascii="Arial" w:hAnsi="宋体" w:cs="宋体"/>
      <w:snapToGrid w:val="0"/>
      <w:color w:val="000000"/>
      <w:kern w:val="0"/>
      <w:sz w:val="28"/>
      <w:szCs w:val="20"/>
    </w:rPr>
  </w:style>
  <w:style w:type="paragraph" w:customStyle="1" w:styleId="1314">
    <w:name w:val="图标"/>
    <w:basedOn w:val="1"/>
    <w:qFormat/>
    <w:uiPriority w:val="0"/>
    <w:pPr>
      <w:tabs>
        <w:tab w:val="left" w:pos="6395"/>
      </w:tabs>
      <w:spacing w:line="480" w:lineRule="exact"/>
      <w:jc w:val="center"/>
      <w:outlineLvl w:val="5"/>
    </w:pPr>
    <w:rPr>
      <w:rFonts w:ascii="宋体" w:hAnsi="宋体"/>
      <w:b/>
      <w:bCs/>
      <w:sz w:val="36"/>
      <w:szCs w:val="20"/>
    </w:rPr>
  </w:style>
  <w:style w:type="paragraph" w:customStyle="1" w:styleId="1315">
    <w:name w:val="报告名称副标题"/>
    <w:basedOn w:val="1"/>
    <w:next w:val="1"/>
    <w:qFormat/>
    <w:uiPriority w:val="0"/>
    <w:pPr>
      <w:widowControl/>
      <w:adjustRightInd w:val="0"/>
      <w:snapToGrid w:val="0"/>
      <w:spacing w:before="140" w:after="120" w:line="700" w:lineRule="exact"/>
      <w:jc w:val="center"/>
    </w:pPr>
    <w:rPr>
      <w:rFonts w:eastAsia="黑体"/>
      <w:sz w:val="44"/>
      <w:szCs w:val="20"/>
    </w:rPr>
  </w:style>
  <w:style w:type="paragraph" w:customStyle="1" w:styleId="1316">
    <w:name w:val="正文四级"/>
    <w:basedOn w:val="1"/>
    <w:semiHidden/>
    <w:qFormat/>
    <w:uiPriority w:val="0"/>
    <w:pPr>
      <w:tabs>
        <w:tab w:val="left" w:pos="1022"/>
      </w:tabs>
      <w:ind w:left="1022" w:hanging="420"/>
      <w:jc w:val="left"/>
      <w:outlineLvl w:val="3"/>
    </w:pPr>
    <w:rPr>
      <w:b/>
      <w:sz w:val="30"/>
    </w:rPr>
  </w:style>
  <w:style w:type="paragraph" w:customStyle="1" w:styleId="1317">
    <w:name w:val="文本框文字"/>
    <w:basedOn w:val="46"/>
    <w:next w:val="46"/>
    <w:qFormat/>
    <w:uiPriority w:val="0"/>
    <w:pPr>
      <w:spacing w:line="360" w:lineRule="exact"/>
    </w:pPr>
    <w:rPr>
      <w:rFonts w:cs="Times New Roman"/>
      <w:sz w:val="24"/>
      <w:szCs w:val="20"/>
    </w:rPr>
  </w:style>
  <w:style w:type="paragraph" w:customStyle="1" w:styleId="1318">
    <w:name w:val="多"/>
    <w:basedOn w:val="1"/>
    <w:qFormat/>
    <w:uiPriority w:val="0"/>
    <w:pPr>
      <w:spacing w:line="300" w:lineRule="auto"/>
      <w:ind w:firstLine="200" w:firstLineChars="200"/>
    </w:pPr>
    <w:rPr>
      <w:rFonts w:ascii="宋体" w:hAnsi="宋体" w:cs="宋体"/>
      <w:sz w:val="24"/>
    </w:rPr>
  </w:style>
  <w:style w:type="paragraph" w:customStyle="1" w:styleId="1319">
    <w:name w:val="正文表格头"/>
    <w:basedOn w:val="1"/>
    <w:qFormat/>
    <w:uiPriority w:val="0"/>
    <w:pPr>
      <w:jc w:val="center"/>
    </w:pPr>
    <w:rPr>
      <w:rFonts w:eastAsia="黑体"/>
      <w:sz w:val="28"/>
    </w:rPr>
  </w:style>
  <w:style w:type="paragraph" w:customStyle="1" w:styleId="1320">
    <w:name w:val="样式 标题 3样式　标题 3　自动设置标题 3 Char章 + Times New 表题3"/>
    <w:basedOn w:val="5"/>
    <w:qFormat/>
    <w:uiPriority w:val="0"/>
    <w:pPr>
      <w:widowControl w:val="0"/>
      <w:numPr>
        <w:ilvl w:val="0"/>
        <w:numId w:val="0"/>
      </w:numPr>
      <w:tabs>
        <w:tab w:val="left" w:pos="360"/>
        <w:tab w:val="left" w:pos="3800"/>
        <w:tab w:val="left" w:pos="5200"/>
      </w:tabs>
      <w:autoSpaceDE w:val="0"/>
      <w:autoSpaceDN w:val="0"/>
      <w:spacing w:before="120" w:after="120" w:line="240" w:lineRule="auto"/>
      <w:jc w:val="both"/>
      <w:textAlignment w:val="auto"/>
    </w:pPr>
    <w:rPr>
      <w:rFonts w:eastAsia="宋体" w:cs="宋体"/>
      <w:b/>
      <w:bCs/>
      <w:color w:val="auto"/>
      <w:kern w:val="2"/>
      <w:szCs w:val="28"/>
    </w:rPr>
  </w:style>
  <w:style w:type="paragraph" w:customStyle="1" w:styleId="1321">
    <w:name w:val="表中正文"/>
    <w:basedOn w:val="1"/>
    <w:qFormat/>
    <w:uiPriority w:val="0"/>
    <w:pPr>
      <w:spacing w:before="60" w:after="60" w:line="240" w:lineRule="exact"/>
      <w:jc w:val="center"/>
    </w:pPr>
    <w:rPr>
      <w:rFonts w:ascii="宋体" w:hAnsi="宋体"/>
      <w:spacing w:val="-8"/>
    </w:rPr>
  </w:style>
  <w:style w:type="paragraph" w:customStyle="1" w:styleId="1322">
    <w:name w:val="标题3+"/>
    <w:basedOn w:val="5"/>
    <w:qFormat/>
    <w:uiPriority w:val="0"/>
    <w:pPr>
      <w:widowControl w:val="0"/>
      <w:numPr>
        <w:ilvl w:val="0"/>
        <w:numId w:val="0"/>
      </w:numPr>
      <w:snapToGrid w:val="0"/>
      <w:spacing w:before="120" w:after="120" w:line="600" w:lineRule="exact"/>
      <w:jc w:val="both"/>
      <w:textAlignment w:val="auto"/>
    </w:pPr>
    <w:rPr>
      <w:snapToGrid w:val="0"/>
      <w:color w:val="auto"/>
      <w:sz w:val="30"/>
      <w:szCs w:val="32"/>
    </w:rPr>
  </w:style>
  <w:style w:type="paragraph" w:customStyle="1" w:styleId="1323">
    <w:name w:val="表格式 Char Char"/>
    <w:basedOn w:val="67"/>
    <w:qFormat/>
    <w:uiPriority w:val="0"/>
    <w:pPr>
      <w:spacing w:before="60"/>
      <w:ind w:left="0" w:firstLine="0" w:firstLineChars="0"/>
      <w:jc w:val="center"/>
    </w:pPr>
    <w:rPr>
      <w:rFonts w:ascii="宋体" w:hAnsi="宋体"/>
      <w:color w:val="000000"/>
      <w:szCs w:val="20"/>
    </w:rPr>
  </w:style>
  <w:style w:type="paragraph" w:customStyle="1" w:styleId="1324">
    <w:name w:val="样式 标题 5标题 5+ + 首行缩进:  2 字符"/>
    <w:basedOn w:val="8"/>
    <w:qFormat/>
    <w:uiPriority w:val="0"/>
    <w:pPr>
      <w:keepNext w:val="0"/>
      <w:keepLines w:val="0"/>
      <w:numPr>
        <w:ilvl w:val="0"/>
        <w:numId w:val="0"/>
      </w:numPr>
      <w:adjustRightInd w:val="0"/>
      <w:snapToGrid w:val="0"/>
      <w:spacing w:before="0" w:afterLines="50" w:line="480" w:lineRule="exact"/>
      <w:ind w:firstLine="560" w:firstLineChars="200"/>
    </w:pPr>
    <w:rPr>
      <w:rFonts w:hAnsi="宋体"/>
      <w:b w:val="0"/>
      <w:color w:val="auto"/>
      <w:kern w:val="0"/>
      <w:szCs w:val="20"/>
    </w:rPr>
  </w:style>
  <w:style w:type="paragraph" w:customStyle="1" w:styleId="1325">
    <w:name w:val="标题2+"/>
    <w:basedOn w:val="4"/>
    <w:qFormat/>
    <w:uiPriority w:val="0"/>
    <w:pPr>
      <w:numPr>
        <w:ilvl w:val="0"/>
        <w:numId w:val="0"/>
      </w:numPr>
      <w:spacing w:before="120" w:after="120" w:line="470" w:lineRule="exact"/>
      <w:jc w:val="center"/>
    </w:pPr>
    <w:rPr>
      <w:rFonts w:cs="宋体"/>
      <w:snapToGrid w:val="0"/>
      <w:kern w:val="0"/>
      <w:sz w:val="32"/>
      <w:szCs w:val="20"/>
      <w:lang w:val="en-US"/>
    </w:rPr>
  </w:style>
  <w:style w:type="paragraph" w:customStyle="1" w:styleId="1326">
    <w:name w:val="样式 标题3 + 段前: 0.5 行 段后: 0.5 行"/>
    <w:basedOn w:val="1"/>
    <w:qFormat/>
    <w:uiPriority w:val="0"/>
    <w:pPr>
      <w:keepNext/>
      <w:keepLines/>
      <w:adjustRightInd w:val="0"/>
      <w:snapToGrid w:val="0"/>
      <w:spacing w:beforeLines="50" w:afterLines="50" w:line="480" w:lineRule="exact"/>
      <w:outlineLvl w:val="2"/>
    </w:pPr>
    <w:rPr>
      <w:rFonts w:eastAsia="黑体" w:cs="宋体"/>
      <w:sz w:val="28"/>
      <w:szCs w:val="20"/>
    </w:rPr>
  </w:style>
  <w:style w:type="paragraph" w:customStyle="1" w:styleId="1327">
    <w:name w:val="样式 标题 1 + 自动设置"/>
    <w:basedOn w:val="3"/>
    <w:qFormat/>
    <w:uiPriority w:val="0"/>
    <w:pPr>
      <w:numPr>
        <w:numId w:val="0"/>
      </w:numPr>
      <w:tabs>
        <w:tab w:val="left" w:pos="360"/>
        <w:tab w:val="left" w:pos="700"/>
      </w:tabs>
      <w:autoSpaceDE w:val="0"/>
      <w:autoSpaceDN w:val="0"/>
      <w:adjustRightInd w:val="0"/>
      <w:spacing w:before="120" w:after="60" w:line="240" w:lineRule="auto"/>
      <w:jc w:val="left"/>
    </w:pPr>
    <w:rPr>
      <w:rFonts w:eastAsia="宋体"/>
      <w:b/>
      <w:sz w:val="28"/>
      <w:szCs w:val="20"/>
    </w:rPr>
  </w:style>
  <w:style w:type="paragraph" w:customStyle="1" w:styleId="1328">
    <w:name w:val="正文格式"/>
    <w:basedOn w:val="1"/>
    <w:next w:val="1"/>
    <w:link w:val="1615"/>
    <w:qFormat/>
    <w:uiPriority w:val="0"/>
    <w:pPr>
      <w:adjustRightInd w:val="0"/>
      <w:spacing w:line="360" w:lineRule="auto"/>
      <w:ind w:firstLine="482"/>
      <w:jc w:val="left"/>
    </w:pPr>
    <w:rPr>
      <w:rFonts w:ascii="宋体" w:hAnsi="Calibri"/>
      <w:kern w:val="0"/>
      <w:sz w:val="24"/>
    </w:rPr>
  </w:style>
  <w:style w:type="character" w:customStyle="1" w:styleId="1329">
    <w:name w:val="表名 Char"/>
    <w:link w:val="621"/>
    <w:qFormat/>
    <w:uiPriority w:val="0"/>
    <w:rPr>
      <w:rFonts w:ascii="Arial" w:hAnsi="Arial" w:eastAsia="楷体_GB2312" w:cs="Arial"/>
      <w:b/>
      <w:kern w:val="2"/>
      <w:sz w:val="24"/>
      <w:szCs w:val="24"/>
    </w:rPr>
  </w:style>
  <w:style w:type="character" w:customStyle="1" w:styleId="1330">
    <w:name w:val="表内 Char"/>
    <w:link w:val="1260"/>
    <w:qFormat/>
    <w:uiPriority w:val="0"/>
    <w:rPr>
      <w:rFonts w:ascii="宋体"/>
      <w:color w:val="FF0000"/>
      <w:szCs w:val="21"/>
    </w:rPr>
  </w:style>
  <w:style w:type="paragraph" w:customStyle="1" w:styleId="1331">
    <w:name w:val="备注"/>
    <w:basedOn w:val="1"/>
    <w:link w:val="1332"/>
    <w:qFormat/>
    <w:uiPriority w:val="0"/>
    <w:pPr>
      <w:autoSpaceDE w:val="0"/>
      <w:autoSpaceDN w:val="0"/>
      <w:adjustRightInd w:val="0"/>
      <w:ind w:firstLine="360" w:firstLineChars="200"/>
    </w:pPr>
    <w:rPr>
      <w:sz w:val="18"/>
      <w:szCs w:val="18"/>
    </w:rPr>
  </w:style>
  <w:style w:type="character" w:customStyle="1" w:styleId="1332">
    <w:name w:val="备注 Char"/>
    <w:link w:val="1331"/>
    <w:qFormat/>
    <w:uiPriority w:val="0"/>
    <w:rPr>
      <w:kern w:val="2"/>
      <w:sz w:val="18"/>
      <w:szCs w:val="18"/>
    </w:rPr>
  </w:style>
  <w:style w:type="table" w:customStyle="1" w:styleId="1333">
    <w:name w:val="验收1"/>
    <w:basedOn w:val="88"/>
    <w:qFormat/>
    <w:uiPriority w:val="99"/>
    <w:pPr>
      <w:widowControl w:val="0"/>
      <w:jc w:val="center"/>
    </w:pPr>
    <w:rPr>
      <w:kern w:val="2"/>
      <w:sz w:val="21"/>
      <w:szCs w:val="22"/>
    </w:rPr>
    <w:tblPr>
      <w:tblBorders>
        <w:top w:val="single" w:color="auto" w:sz="4" w:space="0"/>
        <w:bottom w:val="single" w:color="auto" w:sz="4" w:space="0"/>
        <w:insideH w:val="single" w:color="auto" w:sz="4" w:space="0"/>
        <w:insideV w:val="single" w:color="auto" w:sz="4" w:space="0"/>
      </w:tblBorders>
    </w:tblPr>
    <w:tcPr>
      <w:vAlign w:val="center"/>
    </w:tcPr>
  </w:style>
  <w:style w:type="character" w:customStyle="1" w:styleId="1334">
    <w:name w:val="正文文本缩进 2 字符1"/>
    <w:semiHidden/>
    <w:qFormat/>
    <w:uiPriority w:val="99"/>
    <w:rPr>
      <w:rFonts w:hint="default" w:ascii="Times New Roman" w:hAnsi="Times New Roman" w:eastAsia="宋体" w:cs="Times New Roman"/>
      <w:sz w:val="24"/>
    </w:rPr>
  </w:style>
  <w:style w:type="character" w:customStyle="1" w:styleId="1335">
    <w:name w:val="日期 字符1"/>
    <w:semiHidden/>
    <w:qFormat/>
    <w:uiPriority w:val="99"/>
    <w:rPr>
      <w:rFonts w:hint="default" w:ascii="Times New Roman" w:hAnsi="Times New Roman" w:eastAsia="宋体" w:cs="Times New Roman"/>
      <w:sz w:val="24"/>
    </w:rPr>
  </w:style>
  <w:style w:type="table" w:customStyle="1" w:styleId="1336">
    <w:name w:val="验收2"/>
    <w:basedOn w:val="88"/>
    <w:qFormat/>
    <w:uiPriority w:val="99"/>
    <w:pPr>
      <w:widowControl w:val="0"/>
      <w:jc w:val="center"/>
    </w:pPr>
    <w:rPr>
      <w:rFonts w:ascii="Calibri" w:hAnsi="Calibri"/>
    </w:rPr>
    <w:tblPr>
      <w:tblBorders>
        <w:top w:val="single" w:color="auto" w:sz="4" w:space="0"/>
        <w:bottom w:val="single" w:color="auto" w:sz="4" w:space="0"/>
        <w:insideH w:val="single" w:color="auto" w:sz="4" w:space="0"/>
        <w:insideV w:val="single" w:color="auto" w:sz="4" w:space="0"/>
      </w:tblBorders>
    </w:tblPr>
    <w:tcPr>
      <w:vAlign w:val="center"/>
    </w:tcPr>
  </w:style>
  <w:style w:type="table" w:customStyle="1" w:styleId="1337">
    <w:name w:val="验收11"/>
    <w:basedOn w:val="88"/>
    <w:qFormat/>
    <w:uiPriority w:val="99"/>
    <w:pPr>
      <w:widowControl w:val="0"/>
      <w:jc w:val="center"/>
    </w:pPr>
    <w:tblPr>
      <w:tblBorders>
        <w:top w:val="single" w:color="auto" w:sz="4" w:space="0"/>
        <w:bottom w:val="single" w:color="auto" w:sz="4" w:space="0"/>
        <w:insideH w:val="single" w:color="auto" w:sz="4" w:space="0"/>
        <w:insideV w:val="single" w:color="auto" w:sz="4" w:space="0"/>
      </w:tblBorders>
    </w:tblPr>
    <w:tcPr>
      <w:vAlign w:val="center"/>
    </w:tcPr>
  </w:style>
  <w:style w:type="character" w:customStyle="1" w:styleId="1338">
    <w:name w:val="Body text_"/>
    <w:link w:val="1339"/>
    <w:qFormat/>
    <w:uiPriority w:val="0"/>
    <w:rPr>
      <w:rFonts w:ascii="Arial Unicode MS" w:hAnsi="Arial Unicode MS" w:eastAsia="Arial Unicode MS" w:cs="Arial Unicode MS"/>
      <w:sz w:val="27"/>
      <w:szCs w:val="27"/>
      <w:shd w:val="clear" w:color="auto" w:fill="FFFFFF"/>
    </w:rPr>
  </w:style>
  <w:style w:type="paragraph" w:customStyle="1" w:styleId="1339">
    <w:name w:val="正文文本3"/>
    <w:basedOn w:val="1"/>
    <w:link w:val="1338"/>
    <w:qFormat/>
    <w:uiPriority w:val="0"/>
    <w:pPr>
      <w:shd w:val="clear" w:color="auto" w:fill="FFFFFF"/>
      <w:spacing w:line="504" w:lineRule="exact"/>
      <w:jc w:val="distribute"/>
    </w:pPr>
    <w:rPr>
      <w:rFonts w:ascii="Arial Unicode MS" w:hAnsi="Arial Unicode MS" w:eastAsia="Arial Unicode MS" w:cs="Arial Unicode MS"/>
      <w:kern w:val="0"/>
      <w:sz w:val="27"/>
      <w:szCs w:val="27"/>
    </w:rPr>
  </w:style>
  <w:style w:type="paragraph" w:customStyle="1" w:styleId="1340">
    <w:name w:val="P-表中字"/>
    <w:link w:val="1344"/>
    <w:qFormat/>
    <w:uiPriority w:val="0"/>
    <w:pPr>
      <w:adjustRightInd w:val="0"/>
      <w:snapToGrid w:val="0"/>
      <w:jc w:val="center"/>
    </w:pPr>
    <w:rPr>
      <w:rFonts w:ascii="Times New Roman" w:hAnsi="Times New Roman" w:eastAsia="宋体" w:cs="Times New Roman"/>
      <w:snapToGrid w:val="0"/>
      <w:sz w:val="21"/>
      <w:szCs w:val="21"/>
      <w:lang w:val="en-US" w:eastAsia="zh-CN" w:bidi="ar-SA"/>
    </w:rPr>
  </w:style>
  <w:style w:type="paragraph" w:customStyle="1" w:styleId="1341">
    <w:name w:val="P-表 标题"/>
    <w:basedOn w:val="1"/>
    <w:link w:val="1342"/>
    <w:qFormat/>
    <w:uiPriority w:val="0"/>
    <w:pPr>
      <w:widowControl/>
      <w:tabs>
        <w:tab w:val="center" w:pos="4200"/>
        <w:tab w:val="right" w:pos="8400"/>
      </w:tabs>
      <w:adjustRightInd w:val="0"/>
      <w:snapToGrid w:val="0"/>
      <w:jc w:val="center"/>
    </w:pPr>
    <w:rPr>
      <w:rFonts w:eastAsia="黑体"/>
      <w:snapToGrid w:val="0"/>
      <w:kern w:val="0"/>
      <w:sz w:val="24"/>
    </w:rPr>
  </w:style>
  <w:style w:type="character" w:customStyle="1" w:styleId="1342">
    <w:name w:val="P-表 标题 字符"/>
    <w:link w:val="1341"/>
    <w:qFormat/>
    <w:uiPriority w:val="0"/>
    <w:rPr>
      <w:rFonts w:eastAsia="黑体"/>
      <w:snapToGrid w:val="0"/>
      <w:sz w:val="24"/>
      <w:szCs w:val="24"/>
    </w:rPr>
  </w:style>
  <w:style w:type="paragraph" w:customStyle="1" w:styleId="1343">
    <w:name w:val="AF-表中表"/>
    <w:basedOn w:val="1340"/>
    <w:link w:val="1345"/>
    <w:qFormat/>
    <w:uiPriority w:val="0"/>
  </w:style>
  <w:style w:type="character" w:customStyle="1" w:styleId="1344">
    <w:name w:val="P-表中字 字符"/>
    <w:link w:val="1340"/>
    <w:qFormat/>
    <w:uiPriority w:val="0"/>
    <w:rPr>
      <w:snapToGrid w:val="0"/>
      <w:sz w:val="21"/>
      <w:szCs w:val="21"/>
    </w:rPr>
  </w:style>
  <w:style w:type="character" w:customStyle="1" w:styleId="1345">
    <w:name w:val="AF-表中表 字符"/>
    <w:link w:val="1343"/>
    <w:qFormat/>
    <w:uiPriority w:val="0"/>
    <w:rPr>
      <w:snapToGrid w:val="0"/>
      <w:sz w:val="21"/>
      <w:szCs w:val="21"/>
    </w:rPr>
  </w:style>
  <w:style w:type="character" w:customStyle="1" w:styleId="1346">
    <w:name w:val="P-表名 字符"/>
    <w:link w:val="1347"/>
    <w:qFormat/>
    <w:locked/>
    <w:uiPriority w:val="0"/>
    <w:rPr>
      <w:rFonts w:ascii="黑体" w:hAnsi="黑体" w:eastAsia="黑体"/>
      <w:sz w:val="24"/>
      <w:szCs w:val="24"/>
    </w:rPr>
  </w:style>
  <w:style w:type="paragraph" w:customStyle="1" w:styleId="1347">
    <w:name w:val="P-表名"/>
    <w:basedOn w:val="1"/>
    <w:link w:val="1346"/>
    <w:qFormat/>
    <w:uiPriority w:val="0"/>
    <w:pPr>
      <w:widowControl/>
      <w:tabs>
        <w:tab w:val="center" w:pos="4200"/>
        <w:tab w:val="right" w:pos="8400"/>
      </w:tabs>
      <w:adjustRightInd w:val="0"/>
      <w:snapToGrid w:val="0"/>
      <w:jc w:val="center"/>
    </w:pPr>
    <w:rPr>
      <w:rFonts w:ascii="黑体" w:hAnsi="黑体" w:eastAsia="黑体"/>
      <w:kern w:val="0"/>
      <w:sz w:val="24"/>
    </w:rPr>
  </w:style>
  <w:style w:type="paragraph" w:customStyle="1" w:styleId="1348">
    <w:name w:val="修订11"/>
    <w:qFormat/>
    <w:uiPriority w:val="99"/>
    <w:rPr>
      <w:rFonts w:ascii="Times New Roman" w:hAnsi="Times New Roman" w:eastAsia="宋体" w:cs="Times New Roman"/>
      <w:kern w:val="2"/>
      <w:sz w:val="21"/>
      <w:szCs w:val="24"/>
      <w:lang w:val="en-US" w:eastAsia="zh-CN" w:bidi="ar-SA"/>
    </w:rPr>
  </w:style>
  <w:style w:type="paragraph" w:customStyle="1" w:styleId="1349">
    <w:name w:val="正文 New New New New New New New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1350">
    <w:name w:val="修订2"/>
    <w:semiHidden/>
    <w:qFormat/>
    <w:uiPriority w:val="99"/>
    <w:rPr>
      <w:rFonts w:ascii="Times New Roman" w:hAnsi="Times New Roman" w:eastAsia="宋体" w:cs="Times New Roman"/>
      <w:kern w:val="2"/>
      <w:sz w:val="24"/>
      <w:szCs w:val="22"/>
      <w:lang w:val="en-US" w:eastAsia="zh-CN" w:bidi="ar-SA"/>
    </w:rPr>
  </w:style>
  <w:style w:type="paragraph" w:customStyle="1" w:styleId="1351">
    <w:name w:val="环保表内字（五号）"/>
    <w:basedOn w:val="1"/>
    <w:link w:val="1357"/>
    <w:qFormat/>
    <w:uiPriority w:val="0"/>
    <w:pPr>
      <w:topLinePunct/>
      <w:adjustRightInd w:val="0"/>
      <w:snapToGrid w:val="0"/>
      <w:spacing w:line="360" w:lineRule="auto"/>
      <w:ind w:firstLine="200" w:firstLineChars="200"/>
    </w:pPr>
    <w:rPr>
      <w:rFonts w:cs="宋体"/>
      <w:bCs/>
      <w:kern w:val="0"/>
      <w:sz w:val="24"/>
      <w:szCs w:val="21"/>
    </w:rPr>
  </w:style>
  <w:style w:type="paragraph" w:customStyle="1" w:styleId="1352">
    <w:name w:val="AJ-表文编号"/>
    <w:basedOn w:val="907"/>
    <w:link w:val="1355"/>
    <w:qFormat/>
    <w:uiPriority w:val="0"/>
    <w:pPr>
      <w:numPr>
        <w:ilvl w:val="0"/>
        <w:numId w:val="0"/>
      </w:numPr>
      <w:spacing w:line="240" w:lineRule="auto"/>
      <w:jc w:val="left"/>
    </w:pPr>
    <w:rPr>
      <w:color w:val="000000"/>
      <w:sz w:val="21"/>
      <w:szCs w:val="21"/>
    </w:rPr>
  </w:style>
  <w:style w:type="character" w:customStyle="1" w:styleId="1353">
    <w:name w:val="Table caption (5)_"/>
    <w:link w:val="1354"/>
    <w:qFormat/>
    <w:locked/>
    <w:uiPriority w:val="0"/>
    <w:rPr>
      <w:rFonts w:ascii="Arial Unicode MS" w:hAnsi="Arial Unicode MS" w:eastAsia="Arial Unicode MS" w:cs="Arial Unicode MS"/>
      <w:sz w:val="27"/>
      <w:szCs w:val="27"/>
      <w:shd w:val="clear" w:color="auto" w:fill="FFFFFF"/>
    </w:rPr>
  </w:style>
  <w:style w:type="paragraph" w:customStyle="1" w:styleId="1354">
    <w:name w:val="Table caption (5)"/>
    <w:basedOn w:val="1"/>
    <w:link w:val="1353"/>
    <w:qFormat/>
    <w:uiPriority w:val="0"/>
    <w:pPr>
      <w:shd w:val="clear" w:color="auto" w:fill="FFFFFF"/>
      <w:spacing w:before="180" w:line="0" w:lineRule="atLeast"/>
      <w:jc w:val="left"/>
    </w:pPr>
    <w:rPr>
      <w:rFonts w:ascii="Arial Unicode MS" w:hAnsi="Arial Unicode MS" w:eastAsia="Arial Unicode MS" w:cs="Arial Unicode MS"/>
      <w:kern w:val="0"/>
      <w:sz w:val="27"/>
      <w:szCs w:val="27"/>
    </w:rPr>
  </w:style>
  <w:style w:type="character" w:customStyle="1" w:styleId="1355">
    <w:name w:val="AJ-表文编号 字符"/>
    <w:link w:val="1352"/>
    <w:qFormat/>
    <w:uiPriority w:val="0"/>
    <w:rPr>
      <w:rFonts w:eastAsia="宋体"/>
      <w:color w:val="000000"/>
      <w:kern w:val="2"/>
      <w:sz w:val="21"/>
      <w:szCs w:val="21"/>
    </w:rPr>
  </w:style>
  <w:style w:type="character" w:customStyle="1" w:styleId="1356">
    <w:name w:val="Table caption (5) + 12.5 pt"/>
    <w:qFormat/>
    <w:uiPriority w:val="0"/>
    <w:rPr>
      <w:rFonts w:ascii="Arial Unicode MS" w:hAnsi="Arial Unicode MS" w:eastAsia="Arial Unicode MS" w:cs="Arial Unicode MS"/>
      <w:color w:val="000000"/>
      <w:spacing w:val="0"/>
      <w:w w:val="100"/>
      <w:position w:val="0"/>
      <w:sz w:val="25"/>
      <w:szCs w:val="25"/>
      <w:shd w:val="clear" w:color="auto" w:fill="FFFFFF"/>
      <w:lang w:val="en-US"/>
    </w:rPr>
  </w:style>
  <w:style w:type="character" w:customStyle="1" w:styleId="1357">
    <w:name w:val="环保表内字（五号） Char"/>
    <w:link w:val="1351"/>
    <w:qFormat/>
    <w:uiPriority w:val="0"/>
    <w:rPr>
      <w:rFonts w:cs="宋体"/>
      <w:bCs/>
      <w:sz w:val="24"/>
      <w:szCs w:val="21"/>
    </w:rPr>
  </w:style>
  <w:style w:type="paragraph" w:customStyle="1" w:styleId="1358">
    <w:name w:val="P-样式正文无级"/>
    <w:basedOn w:val="188"/>
    <w:link w:val="1359"/>
    <w:qFormat/>
    <w:uiPriority w:val="0"/>
    <w:pPr>
      <w:spacing w:beforeLines="0" w:afterLines="0"/>
    </w:pPr>
  </w:style>
  <w:style w:type="character" w:customStyle="1" w:styleId="1359">
    <w:name w:val="P-样式正文无级 字符"/>
    <w:link w:val="1358"/>
    <w:qFormat/>
    <w:uiPriority w:val="0"/>
    <w:rPr>
      <w:kern w:val="2"/>
      <w:sz w:val="24"/>
      <w:szCs w:val="24"/>
    </w:rPr>
  </w:style>
  <w:style w:type="paragraph" w:customStyle="1" w:styleId="1360">
    <w:name w:val="表 标题"/>
    <w:basedOn w:val="594"/>
    <w:link w:val="1361"/>
    <w:qFormat/>
    <w:uiPriority w:val="0"/>
    <w:rPr>
      <w:rFonts w:eastAsia="黑体"/>
      <w:b w:val="0"/>
      <w:sz w:val="24"/>
      <w:szCs w:val="24"/>
    </w:rPr>
  </w:style>
  <w:style w:type="character" w:customStyle="1" w:styleId="1361">
    <w:name w:val="表 标题 Char"/>
    <w:link w:val="1360"/>
    <w:qFormat/>
    <w:uiPriority w:val="0"/>
    <w:rPr>
      <w:rFonts w:eastAsia="黑体"/>
      <w:snapToGrid w:val="0"/>
      <w:sz w:val="24"/>
      <w:szCs w:val="24"/>
    </w:rPr>
  </w:style>
  <w:style w:type="paragraph" w:customStyle="1" w:styleId="1362">
    <w:name w:val="正文 编号"/>
    <w:basedOn w:val="1358"/>
    <w:link w:val="1363"/>
    <w:qFormat/>
    <w:uiPriority w:val="0"/>
    <w:pPr>
      <w:ind w:left="987" w:firstLine="0" w:firstLineChars="0"/>
    </w:pPr>
  </w:style>
  <w:style w:type="character" w:customStyle="1" w:styleId="1363">
    <w:name w:val="正文 编号 Char"/>
    <w:link w:val="1362"/>
    <w:qFormat/>
    <w:uiPriority w:val="0"/>
    <w:rPr>
      <w:kern w:val="2"/>
      <w:sz w:val="24"/>
      <w:szCs w:val="24"/>
    </w:rPr>
  </w:style>
  <w:style w:type="character" w:customStyle="1" w:styleId="1364">
    <w:name w:val="正文文本 + MS Gothic"/>
    <w:qFormat/>
    <w:uiPriority w:val="0"/>
    <w:rPr>
      <w:rFonts w:ascii="MS Gothic" w:hAnsi="MS Gothic" w:eastAsia="MS Gothic" w:cs="MS Gothic"/>
      <w:color w:val="000000"/>
      <w:spacing w:val="20"/>
      <w:w w:val="100"/>
      <w:position w:val="0"/>
      <w:sz w:val="19"/>
      <w:szCs w:val="19"/>
      <w:shd w:val="clear" w:color="auto" w:fill="FFFFFF"/>
      <w:lang w:val="en-US"/>
    </w:rPr>
  </w:style>
  <w:style w:type="character" w:customStyle="1" w:styleId="1365">
    <w:name w:val="引用 字符"/>
    <w:link w:val="1366"/>
    <w:qFormat/>
    <w:uiPriority w:val="29"/>
    <w:rPr>
      <w:rFonts w:eastAsia="黑体"/>
      <w:b/>
      <w:iCs/>
      <w:color w:val="000000"/>
    </w:rPr>
  </w:style>
  <w:style w:type="paragraph" w:styleId="1366">
    <w:name w:val="Quote"/>
    <w:basedOn w:val="1"/>
    <w:next w:val="1"/>
    <w:link w:val="1365"/>
    <w:qFormat/>
    <w:uiPriority w:val="29"/>
    <w:pPr>
      <w:spacing w:line="360" w:lineRule="auto"/>
      <w:jc w:val="center"/>
    </w:pPr>
    <w:rPr>
      <w:rFonts w:eastAsia="黑体"/>
      <w:b/>
      <w:iCs/>
      <w:color w:val="000000"/>
      <w:kern w:val="0"/>
      <w:sz w:val="20"/>
      <w:szCs w:val="20"/>
    </w:rPr>
  </w:style>
  <w:style w:type="character" w:customStyle="1" w:styleId="1367">
    <w:name w:val="正文文本 + MS Gothic4"/>
    <w:qFormat/>
    <w:uiPriority w:val="0"/>
    <w:rPr>
      <w:rFonts w:ascii="MS Gothic" w:hAnsi="MS Gothic" w:eastAsia="MS Gothic" w:cs="MS Gothic"/>
      <w:color w:val="000000"/>
      <w:spacing w:val="0"/>
      <w:w w:val="100"/>
      <w:position w:val="0"/>
      <w:sz w:val="19"/>
      <w:szCs w:val="19"/>
      <w:u w:val="none"/>
      <w:shd w:val="clear" w:color="auto" w:fill="FFFFFF"/>
      <w:lang w:val="en-US"/>
    </w:rPr>
  </w:style>
  <w:style w:type="character" w:customStyle="1" w:styleId="1368">
    <w:name w:val="正文文本 + Calibri1"/>
    <w:qFormat/>
    <w:uiPriority w:val="0"/>
    <w:rPr>
      <w:rFonts w:ascii="Calibri" w:hAnsi="Calibri" w:eastAsia="Calibri" w:cs="Calibri"/>
      <w:color w:val="000000"/>
      <w:spacing w:val="0"/>
      <w:w w:val="100"/>
      <w:position w:val="0"/>
      <w:sz w:val="14"/>
      <w:szCs w:val="14"/>
      <w:u w:val="none"/>
      <w:shd w:val="clear" w:color="auto" w:fill="FFFFFF"/>
    </w:rPr>
  </w:style>
  <w:style w:type="character" w:customStyle="1" w:styleId="1369">
    <w:name w:val="正文文本 + 间距 0 pt2"/>
    <w:qFormat/>
    <w:uiPriority w:val="0"/>
    <w:rPr>
      <w:rFonts w:ascii="宋体" w:hAnsi="宋体" w:eastAsia="宋体" w:cs="宋体"/>
      <w:color w:val="000000"/>
      <w:spacing w:val="0"/>
      <w:w w:val="100"/>
      <w:position w:val="0"/>
      <w:sz w:val="21"/>
      <w:szCs w:val="21"/>
      <w:u w:val="none"/>
      <w:shd w:val="clear" w:color="auto" w:fill="FFFFFF"/>
      <w:lang w:val="zh-CN"/>
    </w:rPr>
  </w:style>
  <w:style w:type="paragraph" w:customStyle="1" w:styleId="1370">
    <w:name w:val="正文文本9"/>
    <w:basedOn w:val="1"/>
    <w:qFormat/>
    <w:uiPriority w:val="0"/>
    <w:pPr>
      <w:shd w:val="clear" w:color="auto" w:fill="FFFFFF"/>
      <w:spacing w:before="720" w:line="312" w:lineRule="exact"/>
      <w:jc w:val="distribute"/>
    </w:pPr>
    <w:rPr>
      <w:rFonts w:ascii="宋体" w:hAnsi="宋体" w:cs="宋体"/>
      <w:spacing w:val="30"/>
      <w:szCs w:val="21"/>
    </w:rPr>
  </w:style>
  <w:style w:type="character" w:customStyle="1" w:styleId="1371">
    <w:name w:val="引用 字符1"/>
    <w:qFormat/>
    <w:uiPriority w:val="29"/>
    <w:rPr>
      <w:i/>
      <w:iCs/>
      <w:color w:val="404040"/>
      <w:kern w:val="2"/>
      <w:sz w:val="21"/>
      <w:szCs w:val="24"/>
    </w:rPr>
  </w:style>
  <w:style w:type="paragraph" w:customStyle="1" w:styleId="1372">
    <w:name w:val="李发荣个人标题3"/>
    <w:basedOn w:val="5"/>
    <w:next w:val="1"/>
    <w:qFormat/>
    <w:uiPriority w:val="0"/>
    <w:pPr>
      <w:widowControl w:val="0"/>
      <w:numPr>
        <w:ilvl w:val="0"/>
        <w:numId w:val="0"/>
      </w:numPr>
      <w:adjustRightInd/>
      <w:spacing w:beforeLines="20" w:afterLines="20"/>
      <w:jc w:val="both"/>
      <w:textAlignment w:val="auto"/>
    </w:pPr>
    <w:rPr>
      <w:rFonts w:ascii="黑体" w:hAnsi="Arial"/>
      <w:bCs/>
      <w:color w:val="auto"/>
      <w:kern w:val="2"/>
      <w:szCs w:val="28"/>
    </w:rPr>
  </w:style>
  <w:style w:type="character" w:customStyle="1" w:styleId="1373">
    <w:name w:val="表格标题 (4) + MS Gothic"/>
    <w:qFormat/>
    <w:uiPriority w:val="0"/>
    <w:rPr>
      <w:rFonts w:ascii="MS Gothic" w:hAnsi="MS Gothic" w:eastAsia="MS Gothic" w:cs="MS Gothic"/>
      <w:color w:val="000000"/>
      <w:spacing w:val="0"/>
      <w:w w:val="100"/>
      <w:position w:val="0"/>
      <w:sz w:val="19"/>
      <w:szCs w:val="19"/>
      <w:u w:val="none"/>
      <w:lang w:val="en-US"/>
    </w:rPr>
  </w:style>
  <w:style w:type="character" w:customStyle="1" w:styleId="1374">
    <w:name w:val="标题 #6 + 间距 -1 pt1"/>
    <w:qFormat/>
    <w:uiPriority w:val="0"/>
    <w:rPr>
      <w:rFonts w:ascii="宋体" w:hAnsi="宋体" w:eastAsia="宋体" w:cs="宋体"/>
      <w:color w:val="000000"/>
      <w:spacing w:val="-20"/>
      <w:w w:val="100"/>
      <w:position w:val="0"/>
      <w:sz w:val="31"/>
      <w:szCs w:val="31"/>
      <w:u w:val="none"/>
      <w:lang w:val="en-US"/>
    </w:rPr>
  </w:style>
  <w:style w:type="character" w:customStyle="1" w:styleId="1375">
    <w:name w:val="标题 #9 (2)"/>
    <w:qFormat/>
    <w:uiPriority w:val="0"/>
    <w:rPr>
      <w:rFonts w:ascii="宋体" w:hAnsi="宋体" w:eastAsia="宋体" w:cs="宋体"/>
      <w:color w:val="000000"/>
      <w:spacing w:val="0"/>
      <w:w w:val="100"/>
      <w:position w:val="0"/>
      <w:sz w:val="31"/>
      <w:szCs w:val="31"/>
      <w:u w:val="none"/>
      <w:lang w:val="zh-CN"/>
    </w:rPr>
  </w:style>
  <w:style w:type="character" w:customStyle="1" w:styleId="1376">
    <w:name w:val="标题 #5 (2) + 间距 0 pt1"/>
    <w:qFormat/>
    <w:uiPriority w:val="0"/>
    <w:rPr>
      <w:rFonts w:ascii="宋体" w:hAnsi="宋体" w:eastAsia="宋体" w:cs="宋体"/>
      <w:color w:val="000000"/>
      <w:spacing w:val="0"/>
      <w:w w:val="100"/>
      <w:position w:val="0"/>
      <w:sz w:val="31"/>
      <w:szCs w:val="31"/>
      <w:u w:val="none"/>
      <w:lang w:val="zh-CN"/>
    </w:rPr>
  </w:style>
  <w:style w:type="character" w:customStyle="1" w:styleId="1377">
    <w:name w:val="正文文本 + 间距 0 pt13"/>
    <w:qFormat/>
    <w:uiPriority w:val="0"/>
    <w:rPr>
      <w:rFonts w:ascii="宋体" w:hAnsi="宋体" w:eastAsia="宋体" w:cs="宋体"/>
      <w:color w:val="000000"/>
      <w:spacing w:val="0"/>
      <w:w w:val="100"/>
      <w:position w:val="0"/>
      <w:sz w:val="21"/>
      <w:szCs w:val="21"/>
      <w:u w:val="none"/>
      <w:shd w:val="clear" w:color="auto" w:fill="FFFFFF"/>
      <w:lang w:val="zh-CN"/>
    </w:rPr>
  </w:style>
  <w:style w:type="character" w:customStyle="1" w:styleId="1378">
    <w:name w:val="标题 #5 + 间距 -2 pt"/>
    <w:qFormat/>
    <w:uiPriority w:val="0"/>
    <w:rPr>
      <w:rFonts w:ascii="宋体" w:hAnsi="宋体" w:eastAsia="宋体" w:cs="宋体"/>
      <w:color w:val="000000"/>
      <w:spacing w:val="-40"/>
      <w:w w:val="100"/>
      <w:position w:val="0"/>
      <w:sz w:val="31"/>
      <w:szCs w:val="31"/>
      <w:u w:val="none"/>
      <w:lang w:val="en-US"/>
    </w:rPr>
  </w:style>
  <w:style w:type="character" w:customStyle="1" w:styleId="1379">
    <w:name w:val="正文文本 (10) + MS Gothic5"/>
    <w:qFormat/>
    <w:uiPriority w:val="0"/>
    <w:rPr>
      <w:rFonts w:ascii="MS Gothic" w:hAnsi="MS Gothic" w:eastAsia="MS Gothic" w:cs="MS Gothic"/>
      <w:color w:val="000000"/>
      <w:spacing w:val="0"/>
      <w:w w:val="100"/>
      <w:position w:val="0"/>
      <w:sz w:val="19"/>
      <w:szCs w:val="19"/>
      <w:u w:val="none"/>
      <w:lang w:val="en-US"/>
    </w:rPr>
  </w:style>
  <w:style w:type="character" w:customStyle="1" w:styleId="1380">
    <w:name w:val="表格标题 (2) + SimSun2"/>
    <w:qFormat/>
    <w:uiPriority w:val="0"/>
    <w:rPr>
      <w:rFonts w:ascii="宋体" w:hAnsi="宋体" w:eastAsia="宋体" w:cs="宋体"/>
      <w:color w:val="000000"/>
      <w:spacing w:val="30"/>
      <w:w w:val="100"/>
      <w:position w:val="0"/>
      <w:sz w:val="21"/>
      <w:szCs w:val="21"/>
      <w:u w:val="single"/>
      <w:lang w:val="en-US"/>
    </w:rPr>
  </w:style>
  <w:style w:type="character" w:customStyle="1" w:styleId="1381">
    <w:name w:val="正文文本 (10) + 间距 3 pt2"/>
    <w:qFormat/>
    <w:uiPriority w:val="0"/>
    <w:rPr>
      <w:rFonts w:ascii="宋体" w:hAnsi="宋体" w:eastAsia="宋体" w:cs="宋体"/>
      <w:color w:val="000000"/>
      <w:spacing w:val="70"/>
      <w:w w:val="100"/>
      <w:position w:val="0"/>
      <w:sz w:val="21"/>
      <w:szCs w:val="21"/>
      <w:u w:val="none"/>
      <w:lang w:val="zh-CN"/>
    </w:rPr>
  </w:style>
  <w:style w:type="character" w:customStyle="1" w:styleId="1382">
    <w:name w:val="标题 #6 + 间距 0 pt2"/>
    <w:qFormat/>
    <w:uiPriority w:val="0"/>
    <w:rPr>
      <w:rFonts w:ascii="宋体" w:hAnsi="宋体" w:eastAsia="宋体" w:cs="宋体"/>
      <w:color w:val="000000"/>
      <w:spacing w:val="0"/>
      <w:w w:val="100"/>
      <w:position w:val="0"/>
      <w:sz w:val="31"/>
      <w:szCs w:val="31"/>
      <w:u w:val="none"/>
      <w:lang w:val="zh-CN"/>
    </w:rPr>
  </w:style>
  <w:style w:type="character" w:customStyle="1" w:styleId="1383">
    <w:name w:val="标题 #6 (2)_"/>
    <w:link w:val="1384"/>
    <w:qFormat/>
    <w:uiPriority w:val="0"/>
    <w:rPr>
      <w:rFonts w:ascii="宋体" w:hAnsi="宋体" w:cs="宋体"/>
      <w:sz w:val="31"/>
      <w:szCs w:val="31"/>
      <w:shd w:val="clear" w:color="auto" w:fill="FFFFFF"/>
    </w:rPr>
  </w:style>
  <w:style w:type="paragraph" w:customStyle="1" w:styleId="1384">
    <w:name w:val="标题 #6 (2)5"/>
    <w:basedOn w:val="1"/>
    <w:link w:val="1383"/>
    <w:qFormat/>
    <w:uiPriority w:val="0"/>
    <w:pPr>
      <w:shd w:val="clear" w:color="auto" w:fill="FFFFFF"/>
      <w:spacing w:before="180" w:after="420" w:line="0" w:lineRule="atLeast"/>
      <w:ind w:firstLine="200" w:firstLineChars="200"/>
      <w:jc w:val="distribute"/>
      <w:outlineLvl w:val="5"/>
    </w:pPr>
    <w:rPr>
      <w:rFonts w:ascii="宋体" w:hAnsi="宋体" w:cs="宋体"/>
      <w:kern w:val="0"/>
      <w:sz w:val="31"/>
      <w:szCs w:val="31"/>
    </w:rPr>
  </w:style>
  <w:style w:type="character" w:customStyle="1" w:styleId="1385">
    <w:name w:val="正文文本 (10) + Candara"/>
    <w:qFormat/>
    <w:uiPriority w:val="0"/>
    <w:rPr>
      <w:rFonts w:ascii="Candara" w:hAnsi="Candara" w:eastAsia="Candara" w:cs="Candara"/>
      <w:color w:val="000000"/>
      <w:spacing w:val="0"/>
      <w:w w:val="100"/>
      <w:position w:val="0"/>
      <w:sz w:val="33"/>
      <w:szCs w:val="33"/>
      <w:u w:val="none"/>
    </w:rPr>
  </w:style>
  <w:style w:type="character" w:customStyle="1" w:styleId="1386">
    <w:name w:val="正文文本 + MS Gothic49"/>
    <w:qFormat/>
    <w:uiPriority w:val="0"/>
    <w:rPr>
      <w:rFonts w:ascii="MS Gothic" w:hAnsi="MS Gothic" w:eastAsia="MS Gothic" w:cs="MS Gothic"/>
      <w:color w:val="000000"/>
      <w:spacing w:val="0"/>
      <w:w w:val="100"/>
      <w:position w:val="0"/>
      <w:sz w:val="19"/>
      <w:szCs w:val="19"/>
      <w:u w:val="none"/>
      <w:shd w:val="clear" w:color="auto" w:fill="FFFFFF"/>
      <w:lang w:val="en-US"/>
    </w:rPr>
  </w:style>
  <w:style w:type="character" w:customStyle="1" w:styleId="1387">
    <w:name w:val="标题 #6_"/>
    <w:link w:val="1388"/>
    <w:qFormat/>
    <w:uiPriority w:val="0"/>
    <w:rPr>
      <w:rFonts w:ascii="宋体" w:hAnsi="宋体" w:cs="宋体"/>
      <w:spacing w:val="-40"/>
      <w:sz w:val="31"/>
      <w:szCs w:val="31"/>
      <w:shd w:val="clear" w:color="auto" w:fill="FFFFFF"/>
    </w:rPr>
  </w:style>
  <w:style w:type="paragraph" w:customStyle="1" w:styleId="1388">
    <w:name w:val="标题 #6"/>
    <w:basedOn w:val="1"/>
    <w:link w:val="1387"/>
    <w:qFormat/>
    <w:uiPriority w:val="0"/>
    <w:pPr>
      <w:shd w:val="clear" w:color="auto" w:fill="FFFFFF"/>
      <w:spacing w:before="240" w:after="420" w:line="0" w:lineRule="atLeast"/>
      <w:ind w:firstLine="200" w:firstLineChars="200"/>
      <w:jc w:val="distribute"/>
      <w:outlineLvl w:val="5"/>
    </w:pPr>
    <w:rPr>
      <w:rFonts w:ascii="宋体" w:hAnsi="宋体" w:cs="宋体"/>
      <w:spacing w:val="-40"/>
      <w:kern w:val="0"/>
      <w:sz w:val="31"/>
      <w:szCs w:val="31"/>
    </w:rPr>
  </w:style>
  <w:style w:type="character" w:customStyle="1" w:styleId="1389">
    <w:name w:val="正文文本 + Times New Roman5"/>
    <w:qFormat/>
    <w:uiPriority w:val="0"/>
    <w:rPr>
      <w:rFonts w:ascii="Times New Roman" w:hAnsi="Times New Roman" w:eastAsia="Times New Roman" w:cs="Times New Roman"/>
      <w:i/>
      <w:iCs/>
      <w:color w:val="000000"/>
      <w:spacing w:val="0"/>
      <w:w w:val="100"/>
      <w:position w:val="0"/>
      <w:sz w:val="20"/>
      <w:szCs w:val="20"/>
      <w:u w:val="none"/>
      <w:shd w:val="clear" w:color="auto" w:fill="FFFFFF"/>
      <w:lang w:val="zh-CN"/>
    </w:rPr>
  </w:style>
  <w:style w:type="character" w:customStyle="1" w:styleId="1390">
    <w:name w:val="标题 #9 (3) + 间距 0 pt1"/>
    <w:qFormat/>
    <w:uiPriority w:val="0"/>
    <w:rPr>
      <w:rFonts w:ascii="宋体" w:hAnsi="宋体" w:eastAsia="宋体" w:cs="宋体"/>
      <w:color w:val="000000"/>
      <w:spacing w:val="0"/>
      <w:w w:val="100"/>
      <w:position w:val="0"/>
      <w:sz w:val="31"/>
      <w:szCs w:val="31"/>
      <w:u w:val="none"/>
      <w:lang w:val="zh-CN"/>
    </w:rPr>
  </w:style>
  <w:style w:type="character" w:customStyle="1" w:styleId="1391">
    <w:name w:val="页眉或页脚 + SimSun2"/>
    <w:qFormat/>
    <w:uiPriority w:val="0"/>
    <w:rPr>
      <w:rFonts w:ascii="宋体" w:hAnsi="宋体" w:eastAsia="宋体" w:cs="宋体"/>
      <w:color w:val="000000"/>
      <w:spacing w:val="0"/>
      <w:w w:val="100"/>
      <w:position w:val="0"/>
      <w:sz w:val="17"/>
      <w:szCs w:val="17"/>
      <w:u w:val="none"/>
      <w:lang w:val="zh-CN"/>
    </w:rPr>
  </w:style>
  <w:style w:type="character" w:customStyle="1" w:styleId="1392">
    <w:name w:val="正文文本 (10) + 7.5 pt1"/>
    <w:qFormat/>
    <w:uiPriority w:val="0"/>
    <w:rPr>
      <w:rFonts w:ascii="宋体" w:hAnsi="宋体" w:eastAsia="宋体" w:cs="宋体"/>
      <w:color w:val="000000"/>
      <w:spacing w:val="10"/>
      <w:w w:val="100"/>
      <w:position w:val="0"/>
      <w:sz w:val="15"/>
      <w:szCs w:val="15"/>
      <w:u w:val="none"/>
      <w:lang w:val="en-US"/>
    </w:rPr>
  </w:style>
  <w:style w:type="character" w:customStyle="1" w:styleId="1393">
    <w:name w:val="正文文本 + 间距 3 pt"/>
    <w:qFormat/>
    <w:uiPriority w:val="0"/>
    <w:rPr>
      <w:rFonts w:ascii="宋体" w:hAnsi="宋体" w:eastAsia="宋体" w:cs="宋体"/>
      <w:color w:val="000000"/>
      <w:spacing w:val="60"/>
      <w:w w:val="100"/>
      <w:position w:val="0"/>
      <w:sz w:val="21"/>
      <w:szCs w:val="21"/>
      <w:u w:val="none"/>
      <w:shd w:val="clear" w:color="auto" w:fill="FFFFFF"/>
      <w:lang w:val="zh-CN"/>
    </w:rPr>
  </w:style>
  <w:style w:type="character" w:customStyle="1" w:styleId="1394">
    <w:name w:val="标题 #4 (2)_"/>
    <w:link w:val="1395"/>
    <w:qFormat/>
    <w:uiPriority w:val="0"/>
    <w:rPr>
      <w:rFonts w:ascii="宋体" w:hAnsi="宋体" w:cs="宋体"/>
      <w:spacing w:val="-40"/>
      <w:sz w:val="31"/>
      <w:szCs w:val="31"/>
      <w:shd w:val="clear" w:color="auto" w:fill="FFFFFF"/>
    </w:rPr>
  </w:style>
  <w:style w:type="paragraph" w:customStyle="1" w:styleId="1395">
    <w:name w:val="标题 #4 (2)"/>
    <w:basedOn w:val="1"/>
    <w:link w:val="1394"/>
    <w:qFormat/>
    <w:uiPriority w:val="0"/>
    <w:pPr>
      <w:shd w:val="clear" w:color="auto" w:fill="FFFFFF"/>
      <w:spacing w:before="300" w:after="420" w:line="0" w:lineRule="atLeast"/>
      <w:ind w:firstLine="200" w:firstLineChars="200"/>
      <w:outlineLvl w:val="3"/>
    </w:pPr>
    <w:rPr>
      <w:rFonts w:ascii="宋体" w:hAnsi="宋体" w:cs="宋体"/>
      <w:spacing w:val="-40"/>
      <w:kern w:val="0"/>
      <w:sz w:val="31"/>
      <w:szCs w:val="31"/>
    </w:rPr>
  </w:style>
  <w:style w:type="table" w:customStyle="1" w:styleId="1396">
    <w:name w:val="环评"/>
    <w:basedOn w:val="88"/>
    <w:qFormat/>
    <w:uiPriority w:val="0"/>
    <w:pPr>
      <w:jc w:val="center"/>
    </w:pPr>
    <w:rPr>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character" w:customStyle="1" w:styleId="1397">
    <w:name w:val="正文文本 (10) + 7.5 pt3"/>
    <w:qFormat/>
    <w:uiPriority w:val="0"/>
    <w:rPr>
      <w:rFonts w:ascii="宋体" w:hAnsi="宋体" w:eastAsia="宋体" w:cs="宋体"/>
      <w:color w:val="000000"/>
      <w:spacing w:val="0"/>
      <w:w w:val="100"/>
      <w:position w:val="0"/>
      <w:sz w:val="15"/>
      <w:szCs w:val="15"/>
      <w:u w:val="none"/>
      <w:lang w:val="en-US"/>
    </w:rPr>
  </w:style>
  <w:style w:type="character" w:customStyle="1" w:styleId="1398">
    <w:name w:val="正文文本 (10) + 间距 0 pt8"/>
    <w:qFormat/>
    <w:uiPriority w:val="0"/>
    <w:rPr>
      <w:rFonts w:ascii="宋体" w:hAnsi="宋体" w:eastAsia="宋体" w:cs="宋体"/>
      <w:color w:val="000000"/>
      <w:spacing w:val="0"/>
      <w:w w:val="100"/>
      <w:position w:val="0"/>
      <w:sz w:val="21"/>
      <w:szCs w:val="21"/>
      <w:u w:val="none"/>
    </w:rPr>
  </w:style>
  <w:style w:type="character" w:customStyle="1" w:styleId="1399">
    <w:name w:val="明显引用 字符"/>
    <w:link w:val="1400"/>
    <w:qFormat/>
    <w:uiPriority w:val="30"/>
    <w:rPr>
      <w:iCs/>
      <w:sz w:val="18"/>
    </w:rPr>
  </w:style>
  <w:style w:type="paragraph" w:styleId="1400">
    <w:name w:val="Intense Quote"/>
    <w:basedOn w:val="1"/>
    <w:next w:val="1"/>
    <w:link w:val="1399"/>
    <w:qFormat/>
    <w:uiPriority w:val="30"/>
    <w:pPr>
      <w:pBdr>
        <w:top w:val="single" w:color="4472C4" w:sz="4" w:space="10"/>
        <w:bottom w:val="single" w:color="4472C4" w:sz="4" w:space="10"/>
      </w:pBdr>
      <w:spacing w:line="280" w:lineRule="exact"/>
      <w:jc w:val="center"/>
    </w:pPr>
    <w:rPr>
      <w:iCs/>
      <w:kern w:val="0"/>
      <w:sz w:val="18"/>
      <w:szCs w:val="20"/>
    </w:rPr>
  </w:style>
  <w:style w:type="character" w:customStyle="1" w:styleId="1401">
    <w:name w:val="标题 #7 (2)_"/>
    <w:link w:val="1402"/>
    <w:qFormat/>
    <w:uiPriority w:val="0"/>
    <w:rPr>
      <w:rFonts w:ascii="宋体" w:hAnsi="宋体" w:cs="宋体"/>
      <w:spacing w:val="-30"/>
      <w:sz w:val="31"/>
      <w:szCs w:val="31"/>
      <w:shd w:val="clear" w:color="auto" w:fill="FFFFFF"/>
    </w:rPr>
  </w:style>
  <w:style w:type="paragraph" w:customStyle="1" w:styleId="1402">
    <w:name w:val="标题 #7 (2)"/>
    <w:basedOn w:val="1"/>
    <w:link w:val="1401"/>
    <w:qFormat/>
    <w:uiPriority w:val="0"/>
    <w:pPr>
      <w:shd w:val="clear" w:color="auto" w:fill="FFFFFF"/>
      <w:spacing w:after="420" w:line="0" w:lineRule="atLeast"/>
      <w:ind w:firstLine="200" w:firstLineChars="200"/>
      <w:jc w:val="distribute"/>
      <w:outlineLvl w:val="6"/>
    </w:pPr>
    <w:rPr>
      <w:rFonts w:ascii="宋体" w:hAnsi="宋体" w:cs="宋体"/>
      <w:spacing w:val="-30"/>
      <w:kern w:val="0"/>
      <w:sz w:val="31"/>
      <w:szCs w:val="31"/>
    </w:rPr>
  </w:style>
  <w:style w:type="character" w:customStyle="1" w:styleId="1403">
    <w:name w:val="标题 #11 (2)_"/>
    <w:link w:val="1404"/>
    <w:qFormat/>
    <w:uiPriority w:val="0"/>
    <w:rPr>
      <w:rFonts w:ascii="宋体" w:hAnsi="宋体" w:cs="宋体"/>
      <w:sz w:val="31"/>
      <w:szCs w:val="31"/>
      <w:shd w:val="clear" w:color="auto" w:fill="FFFFFF"/>
    </w:rPr>
  </w:style>
  <w:style w:type="paragraph" w:customStyle="1" w:styleId="1404">
    <w:name w:val="标题 #11 (2)"/>
    <w:basedOn w:val="1"/>
    <w:link w:val="1403"/>
    <w:qFormat/>
    <w:uiPriority w:val="0"/>
    <w:pPr>
      <w:shd w:val="clear" w:color="auto" w:fill="FFFFFF"/>
      <w:spacing w:line="456" w:lineRule="exact"/>
      <w:ind w:firstLine="520" w:firstLineChars="200"/>
      <w:jc w:val="distribute"/>
    </w:pPr>
    <w:rPr>
      <w:rFonts w:ascii="宋体" w:hAnsi="宋体" w:cs="宋体"/>
      <w:kern w:val="0"/>
      <w:sz w:val="31"/>
      <w:szCs w:val="31"/>
    </w:rPr>
  </w:style>
  <w:style w:type="character" w:customStyle="1" w:styleId="1405">
    <w:name w:val="正文文本 + 7.5 pt"/>
    <w:qFormat/>
    <w:uiPriority w:val="0"/>
    <w:rPr>
      <w:rFonts w:ascii="宋体" w:hAnsi="宋体" w:eastAsia="宋体" w:cs="宋体"/>
      <w:color w:val="000000"/>
      <w:spacing w:val="0"/>
      <w:w w:val="100"/>
      <w:position w:val="0"/>
      <w:sz w:val="15"/>
      <w:szCs w:val="15"/>
      <w:u w:val="none"/>
      <w:shd w:val="clear" w:color="auto" w:fill="FFFFFF"/>
    </w:rPr>
  </w:style>
  <w:style w:type="character" w:customStyle="1" w:styleId="1406">
    <w:name w:val="标题 #4 + 间距 -1 pt2"/>
    <w:qFormat/>
    <w:uiPriority w:val="0"/>
    <w:rPr>
      <w:rFonts w:ascii="宋体" w:hAnsi="宋体" w:eastAsia="宋体" w:cs="宋体"/>
      <w:color w:val="000000"/>
      <w:spacing w:val="-20"/>
      <w:w w:val="100"/>
      <w:position w:val="0"/>
      <w:sz w:val="31"/>
      <w:szCs w:val="31"/>
      <w:u w:val="none"/>
      <w:shd w:val="clear" w:color="auto" w:fill="FFFFFF"/>
      <w:lang w:val="en-US"/>
    </w:rPr>
  </w:style>
  <w:style w:type="character" w:customStyle="1" w:styleId="1407">
    <w:name w:val="标题 #9 (3)"/>
    <w:qFormat/>
    <w:uiPriority w:val="0"/>
    <w:rPr>
      <w:rFonts w:ascii="宋体" w:hAnsi="宋体" w:eastAsia="宋体" w:cs="宋体"/>
      <w:color w:val="000000"/>
      <w:spacing w:val="-20"/>
      <w:w w:val="100"/>
      <w:position w:val="0"/>
      <w:sz w:val="31"/>
      <w:szCs w:val="31"/>
      <w:u w:val="none"/>
      <w:lang w:val="en-US"/>
    </w:rPr>
  </w:style>
  <w:style w:type="character" w:customStyle="1" w:styleId="1408">
    <w:name w:val="标题 #5 (2) + 间距 0 pt2"/>
    <w:qFormat/>
    <w:uiPriority w:val="0"/>
    <w:rPr>
      <w:rFonts w:ascii="宋体" w:hAnsi="宋体" w:eastAsia="宋体" w:cs="宋体"/>
      <w:color w:val="000000"/>
      <w:spacing w:val="0"/>
      <w:w w:val="100"/>
      <w:position w:val="0"/>
      <w:sz w:val="31"/>
      <w:szCs w:val="31"/>
      <w:u w:val="none"/>
      <w:lang w:val="zh-CN"/>
    </w:rPr>
  </w:style>
  <w:style w:type="character" w:customStyle="1" w:styleId="1409">
    <w:name w:val="标题 #4 + 间距 -1 pt"/>
    <w:qFormat/>
    <w:uiPriority w:val="0"/>
    <w:rPr>
      <w:rFonts w:ascii="宋体" w:hAnsi="宋体" w:eastAsia="宋体" w:cs="宋体"/>
      <w:color w:val="000000"/>
      <w:spacing w:val="-30"/>
      <w:w w:val="100"/>
      <w:position w:val="0"/>
      <w:sz w:val="31"/>
      <w:szCs w:val="31"/>
      <w:u w:val="none"/>
      <w:shd w:val="clear" w:color="auto" w:fill="FFFFFF"/>
      <w:lang w:val="en-US"/>
    </w:rPr>
  </w:style>
  <w:style w:type="character" w:customStyle="1" w:styleId="1410">
    <w:name w:val="正文文本 (4) + 间距 -2 pt"/>
    <w:qFormat/>
    <w:uiPriority w:val="0"/>
    <w:rPr>
      <w:rFonts w:ascii="宋体" w:hAnsi="宋体" w:eastAsia="宋体" w:cs="宋体"/>
      <w:color w:val="000000"/>
      <w:spacing w:val="-40"/>
      <w:w w:val="100"/>
      <w:position w:val="0"/>
      <w:sz w:val="31"/>
      <w:szCs w:val="31"/>
      <w:shd w:val="clear" w:color="auto" w:fill="FFFFFF"/>
      <w:lang w:val="en-US"/>
    </w:rPr>
  </w:style>
  <w:style w:type="character" w:customStyle="1" w:styleId="1411">
    <w:name w:val="标题 #6 (2) + 间距 -1 pt1"/>
    <w:qFormat/>
    <w:uiPriority w:val="0"/>
    <w:rPr>
      <w:rFonts w:ascii="宋体" w:hAnsi="宋体" w:eastAsia="宋体" w:cs="宋体"/>
      <w:color w:val="000000"/>
      <w:spacing w:val="-20"/>
      <w:w w:val="100"/>
      <w:position w:val="0"/>
      <w:sz w:val="31"/>
      <w:szCs w:val="31"/>
      <w:u w:val="none"/>
      <w:lang w:val="en-US"/>
    </w:rPr>
  </w:style>
  <w:style w:type="character" w:customStyle="1" w:styleId="1412">
    <w:name w:val="正文文本 (10) + 间距 4 pt3"/>
    <w:qFormat/>
    <w:uiPriority w:val="0"/>
    <w:rPr>
      <w:rFonts w:ascii="宋体" w:hAnsi="宋体" w:eastAsia="宋体" w:cs="宋体"/>
      <w:color w:val="000000"/>
      <w:spacing w:val="90"/>
      <w:w w:val="100"/>
      <w:position w:val="0"/>
      <w:sz w:val="21"/>
      <w:szCs w:val="21"/>
      <w:u w:val="none"/>
      <w:lang w:val="zh-CN"/>
    </w:rPr>
  </w:style>
  <w:style w:type="character" w:customStyle="1" w:styleId="1413">
    <w:name w:val="正文01 Char"/>
    <w:link w:val="950"/>
    <w:qFormat/>
    <w:uiPriority w:val="0"/>
    <w:rPr>
      <w:rFonts w:eastAsia="仿宋_GB2312"/>
      <w:color w:val="000000"/>
      <w:kern w:val="2"/>
      <w:sz w:val="28"/>
      <w:szCs w:val="28"/>
    </w:rPr>
  </w:style>
  <w:style w:type="character" w:customStyle="1" w:styleId="1414">
    <w:name w:val="图片标题 (8) + 7.5 pt1"/>
    <w:qFormat/>
    <w:uiPriority w:val="0"/>
    <w:rPr>
      <w:rFonts w:ascii="宋体" w:hAnsi="宋体" w:eastAsia="宋体" w:cs="宋体"/>
      <w:color w:val="000000"/>
      <w:spacing w:val="0"/>
      <w:w w:val="100"/>
      <w:position w:val="0"/>
      <w:sz w:val="15"/>
      <w:szCs w:val="15"/>
      <w:u w:val="none"/>
      <w:lang w:val="en-US"/>
    </w:rPr>
  </w:style>
  <w:style w:type="character" w:customStyle="1" w:styleId="1415">
    <w:name w:val="表格标题 (4)_"/>
    <w:link w:val="1416"/>
    <w:qFormat/>
    <w:uiPriority w:val="0"/>
    <w:rPr>
      <w:rFonts w:ascii="宋体" w:hAnsi="宋体" w:cs="宋体"/>
      <w:spacing w:val="30"/>
      <w:sz w:val="21"/>
      <w:szCs w:val="21"/>
      <w:shd w:val="clear" w:color="auto" w:fill="FFFFFF"/>
    </w:rPr>
  </w:style>
  <w:style w:type="paragraph" w:customStyle="1" w:styleId="1416">
    <w:name w:val="表格标题 (4)2"/>
    <w:basedOn w:val="1"/>
    <w:link w:val="1415"/>
    <w:qFormat/>
    <w:uiPriority w:val="0"/>
    <w:pPr>
      <w:shd w:val="clear" w:color="auto" w:fill="FFFFFF"/>
      <w:spacing w:after="60" w:line="0" w:lineRule="atLeast"/>
      <w:ind w:firstLine="200" w:firstLineChars="200"/>
    </w:pPr>
    <w:rPr>
      <w:rFonts w:ascii="宋体" w:hAnsi="宋体" w:cs="宋体"/>
      <w:spacing w:val="30"/>
      <w:kern w:val="0"/>
      <w:szCs w:val="21"/>
    </w:rPr>
  </w:style>
  <w:style w:type="character" w:customStyle="1" w:styleId="1417">
    <w:name w:val="正文文本 + MS Gothic52"/>
    <w:qFormat/>
    <w:uiPriority w:val="0"/>
    <w:rPr>
      <w:rFonts w:ascii="MS Gothic" w:hAnsi="MS Gothic" w:eastAsia="MS Gothic" w:cs="MS Gothic"/>
      <w:color w:val="000000"/>
      <w:spacing w:val="0"/>
      <w:w w:val="100"/>
      <w:position w:val="0"/>
      <w:sz w:val="19"/>
      <w:szCs w:val="19"/>
      <w:u w:val="none"/>
      <w:shd w:val="clear" w:color="auto" w:fill="FFFFFF"/>
      <w:lang w:val="en-US"/>
    </w:rPr>
  </w:style>
  <w:style w:type="character" w:customStyle="1" w:styleId="1418">
    <w:name w:val="标题 #6 (2)4"/>
    <w:qFormat/>
    <w:uiPriority w:val="0"/>
    <w:rPr>
      <w:rFonts w:ascii="宋体" w:hAnsi="宋体" w:eastAsia="宋体" w:cs="宋体"/>
      <w:color w:val="000000"/>
      <w:spacing w:val="0"/>
      <w:w w:val="100"/>
      <w:position w:val="0"/>
      <w:sz w:val="31"/>
      <w:szCs w:val="31"/>
      <w:u w:val="none"/>
      <w:lang w:val="zh-CN"/>
    </w:rPr>
  </w:style>
  <w:style w:type="character" w:customStyle="1" w:styleId="1419">
    <w:name w:val="标题 #2 + 间距 0 pt2"/>
    <w:qFormat/>
    <w:uiPriority w:val="0"/>
    <w:rPr>
      <w:rFonts w:ascii="宋体" w:hAnsi="宋体" w:eastAsia="宋体" w:cs="宋体"/>
      <w:color w:val="000000"/>
      <w:spacing w:val="0"/>
      <w:w w:val="100"/>
      <w:position w:val="0"/>
      <w:sz w:val="47"/>
      <w:szCs w:val="47"/>
      <w:u w:val="none"/>
      <w:lang w:val="zh-CN"/>
    </w:rPr>
  </w:style>
  <w:style w:type="character" w:customStyle="1" w:styleId="1420">
    <w:name w:val="正文文本 + 7.5 pt5"/>
    <w:qFormat/>
    <w:uiPriority w:val="0"/>
    <w:rPr>
      <w:rFonts w:ascii="宋体" w:hAnsi="宋体" w:eastAsia="宋体" w:cs="宋体"/>
      <w:color w:val="000000"/>
      <w:spacing w:val="0"/>
      <w:w w:val="100"/>
      <w:position w:val="0"/>
      <w:sz w:val="15"/>
      <w:szCs w:val="15"/>
      <w:u w:val="none"/>
      <w:shd w:val="clear" w:color="auto" w:fill="FFFFFF"/>
      <w:lang w:val="en-US"/>
    </w:rPr>
  </w:style>
  <w:style w:type="character" w:customStyle="1" w:styleId="1421">
    <w:name w:val="表格标题 (2)_"/>
    <w:link w:val="1422"/>
    <w:qFormat/>
    <w:uiPriority w:val="0"/>
    <w:rPr>
      <w:rFonts w:ascii="MS Gothic" w:hAnsi="MS Gothic" w:eastAsia="MS Gothic" w:cs="MS Gothic"/>
      <w:sz w:val="19"/>
      <w:szCs w:val="19"/>
      <w:shd w:val="clear" w:color="auto" w:fill="FFFFFF"/>
    </w:rPr>
  </w:style>
  <w:style w:type="paragraph" w:customStyle="1" w:styleId="1422">
    <w:name w:val="表格标题 (2)1"/>
    <w:basedOn w:val="1"/>
    <w:link w:val="1421"/>
    <w:qFormat/>
    <w:uiPriority w:val="0"/>
    <w:pPr>
      <w:shd w:val="clear" w:color="auto" w:fill="FFFFFF"/>
      <w:spacing w:line="0" w:lineRule="atLeast"/>
      <w:ind w:firstLine="200" w:firstLineChars="200"/>
    </w:pPr>
    <w:rPr>
      <w:rFonts w:ascii="MS Gothic" w:hAnsi="MS Gothic" w:eastAsia="MS Gothic" w:cs="MS Gothic"/>
      <w:kern w:val="0"/>
      <w:sz w:val="19"/>
      <w:szCs w:val="19"/>
    </w:rPr>
  </w:style>
  <w:style w:type="character" w:customStyle="1" w:styleId="1423">
    <w:name w:val="正文文本 + Sylfaen"/>
    <w:qFormat/>
    <w:uiPriority w:val="0"/>
    <w:rPr>
      <w:rFonts w:ascii="Sylfaen" w:hAnsi="Sylfaen" w:eastAsia="Sylfaen" w:cs="Sylfaen"/>
      <w:color w:val="000000"/>
      <w:spacing w:val="0"/>
      <w:w w:val="100"/>
      <w:position w:val="0"/>
      <w:sz w:val="13"/>
      <w:szCs w:val="13"/>
      <w:u w:val="none"/>
      <w:shd w:val="clear" w:color="auto" w:fill="FFFFFF"/>
    </w:rPr>
  </w:style>
  <w:style w:type="character" w:customStyle="1" w:styleId="1424">
    <w:name w:val="标题 #3_"/>
    <w:link w:val="1425"/>
    <w:qFormat/>
    <w:uiPriority w:val="0"/>
    <w:rPr>
      <w:rFonts w:ascii="宋体" w:hAnsi="宋体" w:cs="宋体"/>
      <w:sz w:val="31"/>
      <w:szCs w:val="31"/>
      <w:shd w:val="clear" w:color="auto" w:fill="FFFFFF"/>
    </w:rPr>
  </w:style>
  <w:style w:type="paragraph" w:customStyle="1" w:styleId="1425">
    <w:name w:val="标题 #31"/>
    <w:basedOn w:val="1"/>
    <w:link w:val="1424"/>
    <w:qFormat/>
    <w:uiPriority w:val="0"/>
    <w:pPr>
      <w:shd w:val="clear" w:color="auto" w:fill="FFFFFF"/>
      <w:spacing w:before="660" w:after="420" w:line="0" w:lineRule="atLeast"/>
      <w:ind w:firstLine="200" w:firstLineChars="200"/>
      <w:outlineLvl w:val="2"/>
    </w:pPr>
    <w:rPr>
      <w:rFonts w:ascii="宋体" w:hAnsi="宋体" w:cs="宋体"/>
      <w:kern w:val="0"/>
      <w:sz w:val="31"/>
      <w:szCs w:val="31"/>
    </w:rPr>
  </w:style>
  <w:style w:type="character" w:customStyle="1" w:styleId="1426">
    <w:name w:val="正文文本 + 7.5 pt11"/>
    <w:qFormat/>
    <w:uiPriority w:val="0"/>
    <w:rPr>
      <w:rFonts w:ascii="宋体" w:hAnsi="宋体" w:eastAsia="宋体" w:cs="宋体"/>
      <w:color w:val="000000"/>
      <w:spacing w:val="0"/>
      <w:w w:val="100"/>
      <w:position w:val="0"/>
      <w:sz w:val="15"/>
      <w:szCs w:val="15"/>
      <w:u w:val="none"/>
      <w:shd w:val="clear" w:color="auto" w:fill="FFFFFF"/>
      <w:lang w:val="en-US"/>
    </w:rPr>
  </w:style>
  <w:style w:type="character" w:customStyle="1" w:styleId="1427">
    <w:name w:val="标题 #5 (2) + 间距 -1 pt2"/>
    <w:qFormat/>
    <w:uiPriority w:val="0"/>
    <w:rPr>
      <w:rFonts w:ascii="宋体" w:hAnsi="宋体" w:eastAsia="宋体" w:cs="宋体"/>
      <w:color w:val="000000"/>
      <w:spacing w:val="-20"/>
      <w:w w:val="100"/>
      <w:position w:val="0"/>
      <w:sz w:val="31"/>
      <w:szCs w:val="31"/>
      <w:u w:val="none"/>
      <w:lang w:val="en-US"/>
    </w:rPr>
  </w:style>
  <w:style w:type="character" w:customStyle="1" w:styleId="1428">
    <w:name w:val="标题 #6 (2) + 间距 -1 pt2"/>
    <w:qFormat/>
    <w:uiPriority w:val="0"/>
    <w:rPr>
      <w:rFonts w:ascii="宋体" w:hAnsi="宋体" w:eastAsia="宋体" w:cs="宋体"/>
      <w:color w:val="000000"/>
      <w:spacing w:val="-20"/>
      <w:w w:val="100"/>
      <w:position w:val="0"/>
      <w:sz w:val="31"/>
      <w:szCs w:val="31"/>
      <w:u w:val="none"/>
      <w:lang w:val="en-US"/>
    </w:rPr>
  </w:style>
  <w:style w:type="character" w:customStyle="1" w:styleId="1429">
    <w:name w:val="表格标题 + MS Gothic1"/>
    <w:qFormat/>
    <w:uiPriority w:val="0"/>
    <w:rPr>
      <w:rFonts w:ascii="MS Gothic" w:hAnsi="MS Gothic" w:eastAsia="MS Gothic" w:cs="MS Gothic"/>
      <w:color w:val="000000"/>
      <w:spacing w:val="20"/>
      <w:w w:val="100"/>
      <w:position w:val="0"/>
      <w:sz w:val="19"/>
      <w:szCs w:val="19"/>
      <w:u w:val="none"/>
      <w:shd w:val="clear" w:color="auto" w:fill="FFFFFF"/>
      <w:lang w:val="en-US"/>
    </w:rPr>
  </w:style>
  <w:style w:type="character" w:customStyle="1" w:styleId="1430">
    <w:name w:val="标题 #2_"/>
    <w:link w:val="1431"/>
    <w:qFormat/>
    <w:uiPriority w:val="0"/>
    <w:rPr>
      <w:rFonts w:ascii="宋体" w:hAnsi="宋体" w:cs="宋体"/>
      <w:spacing w:val="50"/>
      <w:sz w:val="47"/>
      <w:szCs w:val="47"/>
      <w:shd w:val="clear" w:color="auto" w:fill="FFFFFF"/>
    </w:rPr>
  </w:style>
  <w:style w:type="paragraph" w:customStyle="1" w:styleId="1431">
    <w:name w:val="标题 #2"/>
    <w:basedOn w:val="1"/>
    <w:link w:val="1430"/>
    <w:qFormat/>
    <w:uiPriority w:val="0"/>
    <w:pPr>
      <w:shd w:val="clear" w:color="auto" w:fill="FFFFFF"/>
      <w:spacing w:after="660" w:line="0" w:lineRule="atLeast"/>
      <w:ind w:firstLine="200" w:firstLineChars="200"/>
      <w:jc w:val="center"/>
      <w:outlineLvl w:val="1"/>
    </w:pPr>
    <w:rPr>
      <w:rFonts w:ascii="宋体" w:hAnsi="宋体" w:cs="宋体"/>
      <w:spacing w:val="50"/>
      <w:kern w:val="0"/>
      <w:sz w:val="47"/>
      <w:szCs w:val="47"/>
    </w:rPr>
  </w:style>
  <w:style w:type="character" w:customStyle="1" w:styleId="1432">
    <w:name w:val="标题 #4 + 间距 -1 pt1"/>
    <w:qFormat/>
    <w:uiPriority w:val="0"/>
    <w:rPr>
      <w:rFonts w:ascii="宋体" w:hAnsi="宋体" w:eastAsia="宋体" w:cs="宋体"/>
      <w:color w:val="000000"/>
      <w:spacing w:val="-20"/>
      <w:w w:val="100"/>
      <w:position w:val="0"/>
      <w:sz w:val="31"/>
      <w:szCs w:val="31"/>
      <w:u w:val="none"/>
      <w:shd w:val="clear" w:color="auto" w:fill="FFFFFF"/>
      <w:lang w:val="en-US"/>
    </w:rPr>
  </w:style>
  <w:style w:type="character" w:customStyle="1" w:styleId="1433">
    <w:name w:val="表格标题 (2)"/>
    <w:qFormat/>
    <w:uiPriority w:val="0"/>
    <w:rPr>
      <w:rFonts w:ascii="MS Gothic" w:hAnsi="MS Gothic" w:eastAsia="MS Gothic" w:cs="MS Gothic"/>
      <w:color w:val="000000"/>
      <w:spacing w:val="0"/>
      <w:w w:val="100"/>
      <w:position w:val="0"/>
      <w:sz w:val="19"/>
      <w:szCs w:val="19"/>
      <w:u w:val="single"/>
      <w:lang w:val="en-US"/>
    </w:rPr>
  </w:style>
  <w:style w:type="character" w:customStyle="1" w:styleId="1434">
    <w:name w:val="标题 #44"/>
    <w:qFormat/>
    <w:uiPriority w:val="0"/>
    <w:rPr>
      <w:rFonts w:ascii="宋体" w:hAnsi="宋体" w:eastAsia="宋体" w:cs="宋体"/>
      <w:color w:val="000000"/>
      <w:spacing w:val="0"/>
      <w:w w:val="100"/>
      <w:position w:val="0"/>
      <w:sz w:val="31"/>
      <w:szCs w:val="31"/>
      <w:u w:val="none"/>
      <w:shd w:val="clear" w:color="auto" w:fill="FFFFFF"/>
      <w:lang w:val="zh-CN"/>
    </w:rPr>
  </w:style>
  <w:style w:type="character" w:customStyle="1" w:styleId="1435">
    <w:name w:val="正文文本 (6)_"/>
    <w:link w:val="1436"/>
    <w:qFormat/>
    <w:uiPriority w:val="0"/>
    <w:rPr>
      <w:rFonts w:ascii="MS Gothic" w:hAnsi="MS Gothic" w:eastAsia="MS Gothic" w:cs="MS Gothic"/>
      <w:sz w:val="19"/>
      <w:szCs w:val="19"/>
      <w:shd w:val="clear" w:color="auto" w:fill="FFFFFF"/>
    </w:rPr>
  </w:style>
  <w:style w:type="paragraph" w:customStyle="1" w:styleId="1436">
    <w:name w:val="正文文本 (6)3"/>
    <w:basedOn w:val="1"/>
    <w:link w:val="1435"/>
    <w:qFormat/>
    <w:uiPriority w:val="0"/>
    <w:pPr>
      <w:shd w:val="clear" w:color="auto" w:fill="FFFFFF"/>
      <w:spacing w:line="466" w:lineRule="exact"/>
      <w:ind w:firstLine="200" w:firstLineChars="200"/>
      <w:jc w:val="distribute"/>
    </w:pPr>
    <w:rPr>
      <w:rFonts w:ascii="MS Gothic" w:hAnsi="MS Gothic" w:eastAsia="MS Gothic" w:cs="MS Gothic"/>
      <w:kern w:val="0"/>
      <w:sz w:val="19"/>
      <w:szCs w:val="19"/>
    </w:rPr>
  </w:style>
  <w:style w:type="character" w:customStyle="1" w:styleId="1437">
    <w:name w:val="标题 #3 + 间距 -2 pt1"/>
    <w:qFormat/>
    <w:uiPriority w:val="0"/>
    <w:rPr>
      <w:rFonts w:ascii="宋体" w:hAnsi="宋体" w:eastAsia="宋体" w:cs="宋体"/>
      <w:color w:val="000000"/>
      <w:spacing w:val="-40"/>
      <w:w w:val="100"/>
      <w:position w:val="0"/>
      <w:sz w:val="31"/>
      <w:szCs w:val="31"/>
      <w:u w:val="none"/>
      <w:lang w:val="en-US"/>
    </w:rPr>
  </w:style>
  <w:style w:type="character" w:customStyle="1" w:styleId="1438">
    <w:name w:val="正文文本 (6)2"/>
    <w:qFormat/>
    <w:uiPriority w:val="0"/>
    <w:rPr>
      <w:rFonts w:ascii="MS Gothic" w:hAnsi="MS Gothic" w:eastAsia="MS Gothic" w:cs="MS Gothic"/>
      <w:color w:val="000000"/>
      <w:spacing w:val="0"/>
      <w:w w:val="100"/>
      <w:position w:val="0"/>
      <w:sz w:val="19"/>
      <w:szCs w:val="19"/>
      <w:u w:val="none"/>
      <w:lang w:val="en-US"/>
    </w:rPr>
  </w:style>
  <w:style w:type="character" w:customStyle="1" w:styleId="1439">
    <w:name w:val="页眉或页脚2"/>
    <w:qFormat/>
    <w:uiPriority w:val="0"/>
    <w:rPr>
      <w:rFonts w:ascii="Calibri" w:hAnsi="Calibri" w:eastAsia="Calibri" w:cs="Calibri"/>
      <w:color w:val="000000"/>
      <w:spacing w:val="0"/>
      <w:w w:val="100"/>
      <w:position w:val="0"/>
      <w:sz w:val="17"/>
      <w:szCs w:val="17"/>
      <w:u w:val="none"/>
      <w:lang w:val="en-US"/>
    </w:rPr>
  </w:style>
  <w:style w:type="character" w:customStyle="1" w:styleId="1440">
    <w:name w:val="正文文本 (10) + 7.5 pt6"/>
    <w:qFormat/>
    <w:uiPriority w:val="0"/>
    <w:rPr>
      <w:rFonts w:ascii="宋体" w:hAnsi="宋体" w:eastAsia="宋体" w:cs="宋体"/>
      <w:color w:val="000000"/>
      <w:spacing w:val="0"/>
      <w:w w:val="100"/>
      <w:position w:val="0"/>
      <w:sz w:val="15"/>
      <w:szCs w:val="15"/>
      <w:u w:val="none"/>
      <w:lang w:val="en-US"/>
    </w:rPr>
  </w:style>
  <w:style w:type="character" w:customStyle="1" w:styleId="1441">
    <w:name w:val="标题 #4 (2) + 间距 -1 pt1"/>
    <w:qFormat/>
    <w:uiPriority w:val="0"/>
    <w:rPr>
      <w:rFonts w:ascii="宋体" w:hAnsi="宋体" w:eastAsia="宋体" w:cs="宋体"/>
      <w:color w:val="000000"/>
      <w:spacing w:val="-20"/>
      <w:w w:val="100"/>
      <w:position w:val="0"/>
      <w:sz w:val="31"/>
      <w:szCs w:val="31"/>
      <w:u w:val="none"/>
      <w:lang w:val="en-US"/>
    </w:rPr>
  </w:style>
  <w:style w:type="character" w:customStyle="1" w:styleId="1442">
    <w:name w:val="标题 #4 (2) + 间距 0 pt2"/>
    <w:qFormat/>
    <w:uiPriority w:val="0"/>
    <w:rPr>
      <w:rFonts w:ascii="宋体" w:hAnsi="宋体" w:eastAsia="宋体" w:cs="宋体"/>
      <w:color w:val="000000"/>
      <w:spacing w:val="0"/>
      <w:w w:val="100"/>
      <w:position w:val="0"/>
      <w:sz w:val="31"/>
      <w:szCs w:val="31"/>
      <w:u w:val="none"/>
      <w:lang w:val="zh-CN"/>
    </w:rPr>
  </w:style>
  <w:style w:type="character" w:customStyle="1" w:styleId="1443">
    <w:name w:val="正文文本 + MS Gothic3"/>
    <w:qFormat/>
    <w:uiPriority w:val="0"/>
    <w:rPr>
      <w:rFonts w:ascii="MS Gothic" w:hAnsi="MS Gothic" w:eastAsia="MS Gothic" w:cs="MS Gothic"/>
      <w:color w:val="000000"/>
      <w:spacing w:val="0"/>
      <w:w w:val="100"/>
      <w:position w:val="0"/>
      <w:sz w:val="19"/>
      <w:szCs w:val="19"/>
      <w:u w:val="none"/>
      <w:shd w:val="clear" w:color="auto" w:fill="FFFFFF"/>
      <w:lang w:val="en-US"/>
    </w:rPr>
  </w:style>
  <w:style w:type="character" w:customStyle="1" w:styleId="1444">
    <w:name w:val="标题 #6 (2)"/>
    <w:qFormat/>
    <w:uiPriority w:val="0"/>
    <w:rPr>
      <w:rFonts w:ascii="宋体" w:hAnsi="宋体" w:eastAsia="宋体" w:cs="宋体"/>
      <w:color w:val="000000"/>
      <w:spacing w:val="0"/>
      <w:w w:val="100"/>
      <w:position w:val="0"/>
      <w:sz w:val="31"/>
      <w:szCs w:val="31"/>
      <w:u w:val="none"/>
      <w:lang w:val="zh-CN"/>
    </w:rPr>
  </w:style>
  <w:style w:type="character" w:customStyle="1" w:styleId="1445">
    <w:name w:val="正文文本 + 7.5 pt7"/>
    <w:qFormat/>
    <w:uiPriority w:val="0"/>
    <w:rPr>
      <w:rFonts w:ascii="宋体" w:hAnsi="宋体" w:eastAsia="宋体" w:cs="宋体"/>
      <w:color w:val="000000"/>
      <w:spacing w:val="0"/>
      <w:w w:val="100"/>
      <w:position w:val="0"/>
      <w:sz w:val="15"/>
      <w:szCs w:val="15"/>
      <w:u w:val="none"/>
      <w:shd w:val="clear" w:color="auto" w:fill="FFFFFF"/>
    </w:rPr>
  </w:style>
  <w:style w:type="character" w:customStyle="1" w:styleId="1446">
    <w:name w:val="正文文本 (10) + 15.5 pt1"/>
    <w:qFormat/>
    <w:uiPriority w:val="0"/>
    <w:rPr>
      <w:rFonts w:ascii="宋体" w:hAnsi="宋体" w:eastAsia="宋体" w:cs="宋体"/>
      <w:color w:val="000000"/>
      <w:spacing w:val="-20"/>
      <w:w w:val="100"/>
      <w:position w:val="0"/>
      <w:sz w:val="31"/>
      <w:szCs w:val="31"/>
      <w:u w:val="none"/>
      <w:lang w:val="en-US"/>
    </w:rPr>
  </w:style>
  <w:style w:type="character" w:customStyle="1" w:styleId="1447">
    <w:name w:val="表格标题 + MS Gothic"/>
    <w:qFormat/>
    <w:uiPriority w:val="0"/>
    <w:rPr>
      <w:rFonts w:ascii="MS Gothic" w:hAnsi="MS Gothic" w:eastAsia="MS Gothic" w:cs="MS Gothic"/>
      <w:color w:val="000000"/>
      <w:spacing w:val="0"/>
      <w:w w:val="100"/>
      <w:position w:val="0"/>
      <w:sz w:val="19"/>
      <w:szCs w:val="19"/>
      <w:u w:val="none"/>
      <w:shd w:val="clear" w:color="auto" w:fill="FFFFFF"/>
      <w:lang w:val="en-US"/>
    </w:rPr>
  </w:style>
  <w:style w:type="character" w:customStyle="1" w:styleId="1448">
    <w:name w:val="正文文本 + MS Gothic5"/>
    <w:qFormat/>
    <w:uiPriority w:val="0"/>
    <w:rPr>
      <w:rFonts w:ascii="MS Gothic" w:hAnsi="MS Gothic" w:eastAsia="MS Gothic" w:cs="MS Gothic"/>
      <w:color w:val="000000"/>
      <w:spacing w:val="20"/>
      <w:w w:val="100"/>
      <w:position w:val="0"/>
      <w:sz w:val="19"/>
      <w:szCs w:val="19"/>
      <w:u w:val="none"/>
      <w:shd w:val="clear" w:color="auto" w:fill="FFFFFF"/>
      <w:lang w:val="en-US"/>
    </w:rPr>
  </w:style>
  <w:style w:type="character" w:customStyle="1" w:styleId="1449">
    <w:name w:val="标题 #8 (3)"/>
    <w:qFormat/>
    <w:uiPriority w:val="0"/>
    <w:rPr>
      <w:rFonts w:ascii="宋体" w:hAnsi="宋体" w:eastAsia="宋体" w:cs="宋体"/>
      <w:color w:val="000000"/>
      <w:spacing w:val="0"/>
      <w:w w:val="100"/>
      <w:position w:val="0"/>
      <w:sz w:val="31"/>
      <w:szCs w:val="31"/>
      <w:u w:val="none"/>
      <w:lang w:val="zh-CN"/>
    </w:rPr>
  </w:style>
  <w:style w:type="character" w:customStyle="1" w:styleId="1450">
    <w:name w:val="正文文本 (10)4"/>
    <w:qFormat/>
    <w:uiPriority w:val="0"/>
    <w:rPr>
      <w:rFonts w:ascii="宋体" w:hAnsi="宋体" w:eastAsia="宋体" w:cs="宋体"/>
      <w:color w:val="000000"/>
      <w:spacing w:val="30"/>
      <w:w w:val="100"/>
      <w:position w:val="0"/>
      <w:sz w:val="21"/>
      <w:szCs w:val="21"/>
      <w:u w:val="none"/>
      <w:lang w:val="zh-CN"/>
    </w:rPr>
  </w:style>
  <w:style w:type="character" w:customStyle="1" w:styleId="1451">
    <w:name w:val="正文文本 (10) + 间距 0 pt7"/>
    <w:qFormat/>
    <w:uiPriority w:val="0"/>
    <w:rPr>
      <w:rFonts w:ascii="宋体" w:hAnsi="宋体" w:eastAsia="宋体" w:cs="宋体"/>
      <w:color w:val="000000"/>
      <w:spacing w:val="0"/>
      <w:w w:val="100"/>
      <w:position w:val="0"/>
      <w:sz w:val="21"/>
      <w:szCs w:val="21"/>
      <w:u w:val="none"/>
      <w:lang w:val="zh-CN"/>
    </w:rPr>
  </w:style>
  <w:style w:type="character" w:customStyle="1" w:styleId="1452">
    <w:name w:val="图片标题 (8)1"/>
    <w:qFormat/>
    <w:uiPriority w:val="0"/>
    <w:rPr>
      <w:rFonts w:ascii="宋体" w:hAnsi="宋体" w:eastAsia="宋体" w:cs="宋体"/>
      <w:color w:val="000000"/>
      <w:spacing w:val="30"/>
      <w:w w:val="100"/>
      <w:position w:val="0"/>
      <w:sz w:val="21"/>
      <w:szCs w:val="21"/>
      <w:u w:val="none"/>
      <w:lang w:val="zh-CN"/>
    </w:rPr>
  </w:style>
  <w:style w:type="character" w:customStyle="1" w:styleId="1453">
    <w:name w:val="标题 #43"/>
    <w:qFormat/>
    <w:uiPriority w:val="0"/>
    <w:rPr>
      <w:rFonts w:ascii="宋体" w:hAnsi="宋体" w:eastAsia="宋体" w:cs="宋体"/>
      <w:color w:val="000000"/>
      <w:spacing w:val="0"/>
      <w:w w:val="100"/>
      <w:position w:val="0"/>
      <w:sz w:val="31"/>
      <w:szCs w:val="31"/>
      <w:u w:val="none"/>
      <w:shd w:val="clear" w:color="auto" w:fill="FFFFFF"/>
      <w:lang w:val="zh-CN"/>
    </w:rPr>
  </w:style>
  <w:style w:type="character" w:customStyle="1" w:styleId="1454">
    <w:name w:val="标题 #5 (2) + 间距 -1 pt1"/>
    <w:qFormat/>
    <w:uiPriority w:val="0"/>
    <w:rPr>
      <w:rFonts w:ascii="宋体" w:hAnsi="宋体" w:eastAsia="宋体" w:cs="宋体"/>
      <w:color w:val="000000"/>
      <w:spacing w:val="-20"/>
      <w:w w:val="100"/>
      <w:position w:val="0"/>
      <w:sz w:val="31"/>
      <w:szCs w:val="31"/>
      <w:u w:val="none"/>
      <w:lang w:val="en-US"/>
    </w:rPr>
  </w:style>
  <w:style w:type="character" w:customStyle="1" w:styleId="1455">
    <w:name w:val="正文文本 (10) + 7.5 pt4"/>
    <w:qFormat/>
    <w:uiPriority w:val="0"/>
    <w:rPr>
      <w:rFonts w:ascii="宋体" w:hAnsi="宋体" w:eastAsia="宋体" w:cs="宋体"/>
      <w:color w:val="000000"/>
      <w:spacing w:val="20"/>
      <w:w w:val="100"/>
      <w:position w:val="0"/>
      <w:sz w:val="15"/>
      <w:szCs w:val="15"/>
      <w:u w:val="none"/>
      <w:lang w:val="en-US"/>
    </w:rPr>
  </w:style>
  <w:style w:type="character" w:customStyle="1" w:styleId="1456">
    <w:name w:val="标题 #9 (3)_"/>
    <w:link w:val="1457"/>
    <w:qFormat/>
    <w:uiPriority w:val="0"/>
    <w:rPr>
      <w:rFonts w:ascii="宋体" w:hAnsi="宋体" w:cs="宋体"/>
      <w:spacing w:val="-20"/>
      <w:sz w:val="31"/>
      <w:szCs w:val="31"/>
      <w:shd w:val="clear" w:color="auto" w:fill="FFFFFF"/>
    </w:rPr>
  </w:style>
  <w:style w:type="paragraph" w:customStyle="1" w:styleId="1457">
    <w:name w:val="标题 #9 (3)1"/>
    <w:basedOn w:val="1"/>
    <w:link w:val="1456"/>
    <w:qFormat/>
    <w:uiPriority w:val="0"/>
    <w:pPr>
      <w:shd w:val="clear" w:color="auto" w:fill="FFFFFF"/>
      <w:spacing w:after="420" w:line="0" w:lineRule="atLeast"/>
      <w:ind w:firstLine="200" w:firstLineChars="200"/>
      <w:outlineLvl w:val="8"/>
    </w:pPr>
    <w:rPr>
      <w:rFonts w:ascii="宋体" w:hAnsi="宋体" w:cs="宋体"/>
      <w:spacing w:val="-20"/>
      <w:kern w:val="0"/>
      <w:sz w:val="31"/>
      <w:szCs w:val="31"/>
    </w:rPr>
  </w:style>
  <w:style w:type="character" w:customStyle="1" w:styleId="1458">
    <w:name w:val="图片标题 (8)_"/>
    <w:link w:val="1459"/>
    <w:qFormat/>
    <w:uiPriority w:val="0"/>
    <w:rPr>
      <w:rFonts w:ascii="宋体" w:hAnsi="宋体" w:cs="宋体"/>
      <w:spacing w:val="30"/>
      <w:sz w:val="21"/>
      <w:szCs w:val="21"/>
      <w:shd w:val="clear" w:color="auto" w:fill="FFFFFF"/>
    </w:rPr>
  </w:style>
  <w:style w:type="paragraph" w:customStyle="1" w:styleId="1459">
    <w:name w:val="图片标题 (8)3"/>
    <w:basedOn w:val="1"/>
    <w:link w:val="1458"/>
    <w:qFormat/>
    <w:uiPriority w:val="0"/>
    <w:pPr>
      <w:shd w:val="clear" w:color="auto" w:fill="FFFFFF"/>
      <w:spacing w:line="221" w:lineRule="exact"/>
      <w:ind w:firstLine="200" w:firstLineChars="200"/>
    </w:pPr>
    <w:rPr>
      <w:rFonts w:ascii="宋体" w:hAnsi="宋体" w:cs="宋体"/>
      <w:spacing w:val="30"/>
      <w:kern w:val="0"/>
      <w:szCs w:val="21"/>
    </w:rPr>
  </w:style>
  <w:style w:type="character" w:customStyle="1" w:styleId="1460">
    <w:name w:val="标题 #5 + 间距 -1 pt1"/>
    <w:qFormat/>
    <w:uiPriority w:val="0"/>
    <w:rPr>
      <w:rFonts w:ascii="宋体" w:hAnsi="宋体" w:eastAsia="宋体" w:cs="宋体"/>
      <w:color w:val="000000"/>
      <w:spacing w:val="-20"/>
      <w:w w:val="100"/>
      <w:position w:val="0"/>
      <w:sz w:val="31"/>
      <w:szCs w:val="31"/>
      <w:u w:val="none"/>
      <w:lang w:val="en-US"/>
    </w:rPr>
  </w:style>
  <w:style w:type="character" w:customStyle="1" w:styleId="1461">
    <w:name w:val="正文文本 (10) + MS Gothic2"/>
    <w:qFormat/>
    <w:uiPriority w:val="0"/>
    <w:rPr>
      <w:rFonts w:ascii="MS Gothic" w:hAnsi="MS Gothic" w:eastAsia="MS Gothic" w:cs="MS Gothic"/>
      <w:color w:val="000000"/>
      <w:spacing w:val="0"/>
      <w:w w:val="100"/>
      <w:position w:val="0"/>
      <w:sz w:val="19"/>
      <w:szCs w:val="19"/>
      <w:u w:val="none"/>
      <w:lang w:val="en-US"/>
    </w:rPr>
  </w:style>
  <w:style w:type="character" w:customStyle="1" w:styleId="1462">
    <w:name w:val="正文文本5"/>
    <w:qFormat/>
    <w:uiPriority w:val="0"/>
    <w:rPr>
      <w:rFonts w:ascii="宋体" w:hAnsi="宋体" w:eastAsia="宋体" w:cs="宋体"/>
      <w:color w:val="000000"/>
      <w:spacing w:val="30"/>
      <w:w w:val="100"/>
      <w:position w:val="0"/>
      <w:sz w:val="21"/>
      <w:szCs w:val="21"/>
      <w:u w:val="none"/>
      <w:shd w:val="clear" w:color="auto" w:fill="FFFFFF"/>
      <w:lang w:val="zh-CN"/>
    </w:rPr>
  </w:style>
  <w:style w:type="character" w:customStyle="1" w:styleId="1463">
    <w:name w:val="正文文本 (10)6"/>
    <w:qFormat/>
    <w:uiPriority w:val="0"/>
    <w:rPr>
      <w:rFonts w:ascii="宋体" w:hAnsi="宋体" w:eastAsia="宋体" w:cs="宋体"/>
      <w:color w:val="000000"/>
      <w:spacing w:val="30"/>
      <w:w w:val="100"/>
      <w:position w:val="0"/>
      <w:sz w:val="21"/>
      <w:szCs w:val="21"/>
      <w:u w:val="none"/>
      <w:lang w:val="zh-CN"/>
    </w:rPr>
  </w:style>
  <w:style w:type="character" w:customStyle="1" w:styleId="1464">
    <w:name w:val="页眉或页脚"/>
    <w:qFormat/>
    <w:uiPriority w:val="99"/>
    <w:rPr>
      <w:rFonts w:ascii="Calibri" w:hAnsi="Calibri" w:eastAsia="Calibri" w:cs="Calibri"/>
      <w:color w:val="000000"/>
      <w:spacing w:val="0"/>
      <w:w w:val="100"/>
      <w:position w:val="0"/>
      <w:sz w:val="17"/>
      <w:szCs w:val="17"/>
      <w:u w:val="none"/>
      <w:lang w:val="en-US"/>
    </w:rPr>
  </w:style>
  <w:style w:type="character" w:customStyle="1" w:styleId="1465">
    <w:name w:val="正文文本 (10)1"/>
    <w:qFormat/>
    <w:uiPriority w:val="0"/>
    <w:rPr>
      <w:rFonts w:ascii="宋体" w:hAnsi="宋体" w:eastAsia="宋体" w:cs="宋体"/>
      <w:color w:val="000000"/>
      <w:spacing w:val="30"/>
      <w:w w:val="100"/>
      <w:position w:val="0"/>
      <w:sz w:val="21"/>
      <w:szCs w:val="21"/>
      <w:u w:val="none"/>
      <w:lang w:val="zh-CN"/>
    </w:rPr>
  </w:style>
  <w:style w:type="character" w:customStyle="1" w:styleId="1466">
    <w:name w:val="正文文本 (10) + 间距 0 pt9"/>
    <w:qFormat/>
    <w:uiPriority w:val="0"/>
    <w:rPr>
      <w:rFonts w:ascii="宋体" w:hAnsi="宋体" w:eastAsia="宋体" w:cs="宋体"/>
      <w:color w:val="000000"/>
      <w:spacing w:val="0"/>
      <w:w w:val="100"/>
      <w:position w:val="0"/>
      <w:sz w:val="21"/>
      <w:szCs w:val="21"/>
      <w:u w:val="none"/>
      <w:lang w:val="zh-CN"/>
    </w:rPr>
  </w:style>
  <w:style w:type="character" w:customStyle="1" w:styleId="1467">
    <w:name w:val="正文文本 (10)3"/>
    <w:qFormat/>
    <w:uiPriority w:val="0"/>
    <w:rPr>
      <w:rFonts w:ascii="宋体" w:hAnsi="宋体" w:eastAsia="宋体" w:cs="宋体"/>
      <w:color w:val="000000"/>
      <w:spacing w:val="30"/>
      <w:w w:val="100"/>
      <w:position w:val="0"/>
      <w:sz w:val="21"/>
      <w:szCs w:val="21"/>
      <w:u w:val="none"/>
      <w:lang w:val="zh-CN"/>
    </w:rPr>
  </w:style>
  <w:style w:type="character" w:customStyle="1" w:styleId="1468">
    <w:name w:val="正文文本 (10) + 间距 0 pt4"/>
    <w:qFormat/>
    <w:uiPriority w:val="0"/>
    <w:rPr>
      <w:rFonts w:ascii="宋体" w:hAnsi="宋体" w:eastAsia="宋体" w:cs="宋体"/>
      <w:color w:val="000000"/>
      <w:spacing w:val="0"/>
      <w:w w:val="100"/>
      <w:position w:val="0"/>
      <w:sz w:val="21"/>
      <w:szCs w:val="21"/>
      <w:u w:val="none"/>
      <w:lang w:val="zh-CN"/>
    </w:rPr>
  </w:style>
  <w:style w:type="character" w:customStyle="1" w:styleId="1469">
    <w:name w:val="正文文本 + 间距 0 pt10"/>
    <w:qFormat/>
    <w:uiPriority w:val="0"/>
    <w:rPr>
      <w:rFonts w:ascii="宋体" w:hAnsi="宋体" w:eastAsia="宋体" w:cs="宋体"/>
      <w:color w:val="000000"/>
      <w:spacing w:val="0"/>
      <w:w w:val="100"/>
      <w:position w:val="0"/>
      <w:sz w:val="21"/>
      <w:szCs w:val="21"/>
      <w:u w:val="none"/>
      <w:shd w:val="clear" w:color="auto" w:fill="FFFFFF"/>
      <w:lang w:val="zh-CN"/>
    </w:rPr>
  </w:style>
  <w:style w:type="character" w:customStyle="1" w:styleId="1470">
    <w:name w:val="正文文本 (10) + 7.5 pt2"/>
    <w:qFormat/>
    <w:uiPriority w:val="0"/>
    <w:rPr>
      <w:rFonts w:ascii="宋体" w:hAnsi="宋体" w:eastAsia="宋体" w:cs="宋体"/>
      <w:color w:val="000000"/>
      <w:spacing w:val="0"/>
      <w:w w:val="100"/>
      <w:position w:val="0"/>
      <w:sz w:val="15"/>
      <w:szCs w:val="15"/>
      <w:u w:val="none"/>
      <w:lang w:val="en-US"/>
    </w:rPr>
  </w:style>
  <w:style w:type="character" w:customStyle="1" w:styleId="1471">
    <w:name w:val="正文文本 (4)1"/>
    <w:qFormat/>
    <w:uiPriority w:val="0"/>
    <w:rPr>
      <w:rFonts w:ascii="宋体" w:hAnsi="宋体" w:eastAsia="宋体" w:cs="宋体"/>
      <w:color w:val="000000"/>
      <w:spacing w:val="0"/>
      <w:w w:val="100"/>
      <w:position w:val="0"/>
      <w:sz w:val="31"/>
      <w:szCs w:val="31"/>
      <w:u w:val="none"/>
      <w:lang w:val="zh-CN"/>
    </w:rPr>
  </w:style>
  <w:style w:type="character" w:customStyle="1" w:styleId="1472">
    <w:name w:val="表格标题 (4) + 间距 0 pt2"/>
    <w:qFormat/>
    <w:uiPriority w:val="0"/>
    <w:rPr>
      <w:rFonts w:ascii="宋体" w:hAnsi="宋体" w:eastAsia="宋体" w:cs="宋体"/>
      <w:color w:val="000000"/>
      <w:spacing w:val="0"/>
      <w:w w:val="100"/>
      <w:position w:val="0"/>
      <w:sz w:val="21"/>
      <w:szCs w:val="21"/>
      <w:u w:val="none"/>
    </w:rPr>
  </w:style>
  <w:style w:type="character" w:customStyle="1" w:styleId="1473">
    <w:name w:val="表格标题 (4) + 间距 0 pt1"/>
    <w:qFormat/>
    <w:uiPriority w:val="0"/>
    <w:rPr>
      <w:rFonts w:ascii="宋体" w:hAnsi="宋体" w:eastAsia="宋体" w:cs="宋体"/>
      <w:color w:val="000000"/>
      <w:spacing w:val="0"/>
      <w:w w:val="100"/>
      <w:position w:val="0"/>
      <w:sz w:val="21"/>
      <w:szCs w:val="21"/>
      <w:u w:val="none"/>
      <w:lang w:val="zh-CN"/>
    </w:rPr>
  </w:style>
  <w:style w:type="character" w:customStyle="1" w:styleId="1474">
    <w:name w:val="正文文本 (10)_"/>
    <w:link w:val="1475"/>
    <w:qFormat/>
    <w:uiPriority w:val="0"/>
    <w:rPr>
      <w:rFonts w:ascii="宋体" w:hAnsi="宋体" w:cs="宋体"/>
      <w:spacing w:val="30"/>
      <w:sz w:val="21"/>
      <w:szCs w:val="21"/>
      <w:shd w:val="clear" w:color="auto" w:fill="FFFFFF"/>
    </w:rPr>
  </w:style>
  <w:style w:type="paragraph" w:customStyle="1" w:styleId="1475">
    <w:name w:val="正文文本 (10)8"/>
    <w:basedOn w:val="1"/>
    <w:link w:val="1474"/>
    <w:qFormat/>
    <w:uiPriority w:val="0"/>
    <w:pPr>
      <w:shd w:val="clear" w:color="auto" w:fill="FFFFFF"/>
      <w:spacing w:line="456" w:lineRule="exact"/>
      <w:ind w:firstLine="200" w:firstLineChars="200"/>
      <w:jc w:val="distribute"/>
    </w:pPr>
    <w:rPr>
      <w:rFonts w:ascii="宋体" w:hAnsi="宋体" w:cs="宋体"/>
      <w:spacing w:val="30"/>
      <w:kern w:val="0"/>
      <w:szCs w:val="21"/>
    </w:rPr>
  </w:style>
  <w:style w:type="character" w:customStyle="1" w:styleId="1476">
    <w:name w:val="正文文本 (7)_"/>
    <w:link w:val="1477"/>
    <w:qFormat/>
    <w:uiPriority w:val="0"/>
    <w:rPr>
      <w:rFonts w:ascii="宋体" w:hAnsi="宋体" w:cs="宋体"/>
      <w:spacing w:val="-40"/>
      <w:sz w:val="31"/>
      <w:szCs w:val="31"/>
      <w:shd w:val="clear" w:color="auto" w:fill="FFFFFF"/>
    </w:rPr>
  </w:style>
  <w:style w:type="paragraph" w:customStyle="1" w:styleId="1477">
    <w:name w:val="正文文本 (7)1"/>
    <w:basedOn w:val="1"/>
    <w:link w:val="1476"/>
    <w:qFormat/>
    <w:uiPriority w:val="0"/>
    <w:pPr>
      <w:shd w:val="clear" w:color="auto" w:fill="FFFFFF"/>
      <w:spacing w:before="420" w:after="420" w:line="0" w:lineRule="atLeast"/>
      <w:ind w:firstLine="200" w:firstLineChars="200"/>
    </w:pPr>
    <w:rPr>
      <w:rFonts w:ascii="宋体" w:hAnsi="宋体" w:cs="宋体"/>
      <w:spacing w:val="-40"/>
      <w:kern w:val="0"/>
      <w:sz w:val="31"/>
      <w:szCs w:val="31"/>
    </w:rPr>
  </w:style>
  <w:style w:type="character" w:customStyle="1" w:styleId="1478">
    <w:name w:val="正文文本 (10) + 7.5 pt7"/>
    <w:qFormat/>
    <w:uiPriority w:val="0"/>
    <w:rPr>
      <w:rFonts w:ascii="宋体" w:hAnsi="宋体" w:eastAsia="宋体" w:cs="宋体"/>
      <w:color w:val="000000"/>
      <w:spacing w:val="-30"/>
      <w:w w:val="100"/>
      <w:position w:val="0"/>
      <w:sz w:val="15"/>
      <w:szCs w:val="15"/>
      <w:u w:val="none"/>
      <w:lang w:val="zh-CN"/>
    </w:rPr>
  </w:style>
  <w:style w:type="character" w:customStyle="1" w:styleId="1479">
    <w:name w:val="正文文本 + 间距 0 pt1"/>
    <w:qFormat/>
    <w:uiPriority w:val="0"/>
    <w:rPr>
      <w:rFonts w:ascii="宋体" w:hAnsi="宋体" w:eastAsia="宋体" w:cs="宋体"/>
      <w:color w:val="000000"/>
      <w:spacing w:val="0"/>
      <w:w w:val="100"/>
      <w:position w:val="0"/>
      <w:sz w:val="21"/>
      <w:szCs w:val="21"/>
      <w:u w:val="none"/>
      <w:shd w:val="clear" w:color="auto" w:fill="FFFFFF"/>
      <w:lang w:val="zh-CN"/>
    </w:rPr>
  </w:style>
  <w:style w:type="character" w:customStyle="1" w:styleId="1480">
    <w:name w:val="正文文本 (10)7"/>
    <w:qFormat/>
    <w:uiPriority w:val="0"/>
    <w:rPr>
      <w:rFonts w:ascii="宋体" w:hAnsi="宋体" w:eastAsia="宋体" w:cs="宋体"/>
      <w:color w:val="000000"/>
      <w:spacing w:val="30"/>
      <w:w w:val="100"/>
      <w:position w:val="0"/>
      <w:sz w:val="21"/>
      <w:szCs w:val="21"/>
      <w:u w:val="none"/>
      <w:lang w:val="zh-CN"/>
    </w:rPr>
  </w:style>
  <w:style w:type="character" w:customStyle="1" w:styleId="1481">
    <w:name w:val="标题 #5"/>
    <w:qFormat/>
    <w:uiPriority w:val="0"/>
    <w:rPr>
      <w:rFonts w:ascii="宋体" w:hAnsi="宋体" w:eastAsia="宋体" w:cs="宋体"/>
      <w:color w:val="000000"/>
      <w:spacing w:val="0"/>
      <w:w w:val="100"/>
      <w:position w:val="0"/>
      <w:sz w:val="31"/>
      <w:szCs w:val="31"/>
      <w:u w:val="none"/>
      <w:lang w:val="zh-CN"/>
    </w:rPr>
  </w:style>
  <w:style w:type="character" w:customStyle="1" w:styleId="1482">
    <w:name w:val="标题 #6 + 间距 -1 pt2"/>
    <w:qFormat/>
    <w:uiPriority w:val="0"/>
    <w:rPr>
      <w:rFonts w:ascii="宋体" w:hAnsi="宋体" w:eastAsia="宋体" w:cs="宋体"/>
      <w:color w:val="000000"/>
      <w:spacing w:val="-20"/>
      <w:w w:val="100"/>
      <w:position w:val="0"/>
      <w:sz w:val="31"/>
      <w:szCs w:val="31"/>
      <w:u w:val="none"/>
      <w:lang w:val="en-US"/>
    </w:rPr>
  </w:style>
  <w:style w:type="character" w:customStyle="1" w:styleId="1483">
    <w:name w:val="标题 #5_"/>
    <w:link w:val="1484"/>
    <w:qFormat/>
    <w:uiPriority w:val="0"/>
    <w:rPr>
      <w:rFonts w:ascii="宋体" w:hAnsi="宋体" w:cs="宋体"/>
      <w:sz w:val="31"/>
      <w:szCs w:val="31"/>
      <w:shd w:val="clear" w:color="auto" w:fill="FFFFFF"/>
    </w:rPr>
  </w:style>
  <w:style w:type="paragraph" w:customStyle="1" w:styleId="1484">
    <w:name w:val="标题 #53"/>
    <w:basedOn w:val="1"/>
    <w:link w:val="1483"/>
    <w:qFormat/>
    <w:uiPriority w:val="0"/>
    <w:pPr>
      <w:shd w:val="clear" w:color="auto" w:fill="FFFFFF"/>
      <w:spacing w:before="420" w:after="420" w:line="0" w:lineRule="atLeast"/>
      <w:ind w:firstLine="200" w:firstLineChars="200"/>
      <w:outlineLvl w:val="4"/>
    </w:pPr>
    <w:rPr>
      <w:rFonts w:ascii="宋体" w:hAnsi="宋体" w:cs="宋体"/>
      <w:kern w:val="0"/>
      <w:sz w:val="31"/>
      <w:szCs w:val="31"/>
    </w:rPr>
  </w:style>
  <w:style w:type="character" w:customStyle="1" w:styleId="1485">
    <w:name w:val="标题 #9 (2) + 间距 -1 pt2"/>
    <w:qFormat/>
    <w:uiPriority w:val="0"/>
    <w:rPr>
      <w:rFonts w:ascii="宋体" w:hAnsi="宋体" w:eastAsia="宋体" w:cs="宋体"/>
      <w:color w:val="000000"/>
      <w:spacing w:val="-20"/>
      <w:w w:val="100"/>
      <w:position w:val="0"/>
      <w:sz w:val="31"/>
      <w:szCs w:val="31"/>
      <w:u w:val="none"/>
      <w:lang w:val="en-US"/>
    </w:rPr>
  </w:style>
  <w:style w:type="character" w:customStyle="1" w:styleId="1486">
    <w:name w:val="正文文本 + MS Gothic53"/>
    <w:qFormat/>
    <w:uiPriority w:val="0"/>
    <w:rPr>
      <w:rFonts w:ascii="MS Gothic" w:hAnsi="MS Gothic" w:eastAsia="MS Gothic" w:cs="MS Gothic"/>
      <w:color w:val="000000"/>
      <w:spacing w:val="0"/>
      <w:w w:val="100"/>
      <w:position w:val="0"/>
      <w:sz w:val="19"/>
      <w:szCs w:val="19"/>
      <w:u w:val="none"/>
      <w:shd w:val="clear" w:color="auto" w:fill="FFFFFF"/>
      <w:lang w:val="en-US"/>
    </w:rPr>
  </w:style>
  <w:style w:type="character" w:customStyle="1" w:styleId="1487">
    <w:name w:val="表格标题_"/>
    <w:link w:val="339"/>
    <w:qFormat/>
    <w:uiPriority w:val="0"/>
    <w:rPr>
      <w:rFonts w:eastAsia="文鼎CS中宋"/>
      <w:sz w:val="24"/>
    </w:rPr>
  </w:style>
  <w:style w:type="character" w:customStyle="1" w:styleId="1488">
    <w:name w:val="标题 #7 (2) + 间距 0 pt1"/>
    <w:qFormat/>
    <w:uiPriority w:val="0"/>
    <w:rPr>
      <w:rFonts w:ascii="宋体" w:hAnsi="宋体" w:eastAsia="宋体" w:cs="宋体"/>
      <w:color w:val="000000"/>
      <w:spacing w:val="0"/>
      <w:w w:val="100"/>
      <w:position w:val="0"/>
      <w:sz w:val="31"/>
      <w:szCs w:val="31"/>
      <w:u w:val="none"/>
      <w:lang w:val="zh-CN"/>
    </w:rPr>
  </w:style>
  <w:style w:type="character" w:customStyle="1" w:styleId="1489">
    <w:name w:val="正文文本 + 间距 0 pt9"/>
    <w:qFormat/>
    <w:uiPriority w:val="0"/>
    <w:rPr>
      <w:rFonts w:ascii="宋体" w:hAnsi="宋体" w:eastAsia="宋体" w:cs="宋体"/>
      <w:color w:val="000000"/>
      <w:spacing w:val="0"/>
      <w:w w:val="100"/>
      <w:position w:val="0"/>
      <w:sz w:val="21"/>
      <w:szCs w:val="21"/>
      <w:u w:val="none"/>
      <w:shd w:val="clear" w:color="auto" w:fill="FFFFFF"/>
      <w:lang w:val="zh-CN"/>
    </w:rPr>
  </w:style>
  <w:style w:type="character" w:customStyle="1" w:styleId="1490">
    <w:name w:val="页眉或页脚_"/>
    <w:link w:val="1491"/>
    <w:qFormat/>
    <w:uiPriority w:val="0"/>
    <w:rPr>
      <w:rFonts w:ascii="Calibri" w:hAnsi="Calibri" w:eastAsia="Calibri" w:cs="Calibri"/>
      <w:sz w:val="17"/>
      <w:szCs w:val="17"/>
      <w:shd w:val="clear" w:color="auto" w:fill="FFFFFF"/>
    </w:rPr>
  </w:style>
  <w:style w:type="paragraph" w:customStyle="1" w:styleId="1491">
    <w:name w:val="页眉或页脚3"/>
    <w:basedOn w:val="1"/>
    <w:link w:val="1490"/>
    <w:qFormat/>
    <w:uiPriority w:val="0"/>
    <w:pPr>
      <w:shd w:val="clear" w:color="auto" w:fill="FFFFFF"/>
      <w:spacing w:line="0" w:lineRule="atLeast"/>
      <w:ind w:firstLine="200" w:firstLineChars="200"/>
    </w:pPr>
    <w:rPr>
      <w:rFonts w:ascii="Calibri" w:hAnsi="Calibri" w:eastAsia="Calibri" w:cs="Calibri"/>
      <w:kern w:val="0"/>
      <w:sz w:val="17"/>
      <w:szCs w:val="17"/>
    </w:rPr>
  </w:style>
  <w:style w:type="character" w:customStyle="1" w:styleId="1492">
    <w:name w:val="正文文本 (4)_"/>
    <w:link w:val="1493"/>
    <w:qFormat/>
    <w:uiPriority w:val="0"/>
    <w:rPr>
      <w:rFonts w:ascii="宋体" w:hAnsi="宋体" w:cs="宋体"/>
      <w:sz w:val="31"/>
      <w:szCs w:val="31"/>
      <w:shd w:val="clear" w:color="auto" w:fill="FFFFFF"/>
    </w:rPr>
  </w:style>
  <w:style w:type="paragraph" w:customStyle="1" w:styleId="1493">
    <w:name w:val="正文文本 (4)3"/>
    <w:basedOn w:val="1"/>
    <w:link w:val="1492"/>
    <w:qFormat/>
    <w:uiPriority w:val="0"/>
    <w:pPr>
      <w:shd w:val="clear" w:color="auto" w:fill="FFFFFF"/>
      <w:spacing w:before="1500" w:after="420" w:line="0" w:lineRule="atLeast"/>
      <w:ind w:firstLine="200" w:firstLineChars="200"/>
    </w:pPr>
    <w:rPr>
      <w:rFonts w:ascii="宋体" w:hAnsi="宋体" w:cs="宋体"/>
      <w:kern w:val="0"/>
      <w:sz w:val="31"/>
      <w:szCs w:val="31"/>
    </w:rPr>
  </w:style>
  <w:style w:type="character" w:customStyle="1" w:styleId="1494">
    <w:name w:val="正文文本 + 间距 2 pt1"/>
    <w:qFormat/>
    <w:uiPriority w:val="0"/>
    <w:rPr>
      <w:rFonts w:ascii="宋体" w:hAnsi="宋体" w:eastAsia="宋体" w:cs="宋体"/>
      <w:color w:val="000000"/>
      <w:spacing w:val="40"/>
      <w:w w:val="100"/>
      <w:position w:val="0"/>
      <w:sz w:val="21"/>
      <w:szCs w:val="21"/>
      <w:u w:val="none"/>
      <w:shd w:val="clear" w:color="auto" w:fill="FFFFFF"/>
      <w:lang w:val="zh-CN"/>
    </w:rPr>
  </w:style>
  <w:style w:type="character" w:customStyle="1" w:styleId="1495">
    <w:name w:val="页眉或页脚 + SimSun"/>
    <w:qFormat/>
    <w:uiPriority w:val="99"/>
    <w:rPr>
      <w:rFonts w:ascii="宋体" w:hAnsi="宋体" w:eastAsia="宋体" w:cs="宋体"/>
      <w:color w:val="000000"/>
      <w:spacing w:val="0"/>
      <w:w w:val="100"/>
      <w:position w:val="0"/>
      <w:sz w:val="17"/>
      <w:szCs w:val="17"/>
      <w:u w:val="none"/>
      <w:lang w:val="zh-CN"/>
    </w:rPr>
  </w:style>
  <w:style w:type="character" w:customStyle="1" w:styleId="1496">
    <w:name w:val="标题 #8 (3) + 间距 -1 pt"/>
    <w:qFormat/>
    <w:uiPriority w:val="0"/>
    <w:rPr>
      <w:rFonts w:ascii="宋体" w:hAnsi="宋体" w:eastAsia="宋体" w:cs="宋体"/>
      <w:color w:val="000000"/>
      <w:spacing w:val="-30"/>
      <w:w w:val="100"/>
      <w:position w:val="0"/>
      <w:sz w:val="31"/>
      <w:szCs w:val="31"/>
      <w:u w:val="none"/>
      <w:lang w:val="en-US"/>
    </w:rPr>
  </w:style>
  <w:style w:type="character" w:customStyle="1" w:styleId="1497">
    <w:name w:val="正文文本 + 间距 0 pt"/>
    <w:qFormat/>
    <w:uiPriority w:val="0"/>
    <w:rPr>
      <w:rFonts w:ascii="宋体" w:hAnsi="宋体" w:eastAsia="宋体" w:cs="宋体"/>
      <w:color w:val="000000"/>
      <w:spacing w:val="0"/>
      <w:w w:val="100"/>
      <w:position w:val="0"/>
      <w:sz w:val="21"/>
      <w:szCs w:val="21"/>
      <w:u w:val="none"/>
      <w:shd w:val="clear" w:color="auto" w:fill="FFFFFF"/>
      <w:lang w:val="zh-CN"/>
    </w:rPr>
  </w:style>
  <w:style w:type="character" w:customStyle="1" w:styleId="1498">
    <w:name w:val="标题 #8 (3)_"/>
    <w:link w:val="1499"/>
    <w:qFormat/>
    <w:uiPriority w:val="0"/>
    <w:rPr>
      <w:rFonts w:ascii="宋体" w:hAnsi="宋体" w:cs="宋体"/>
      <w:sz w:val="31"/>
      <w:szCs w:val="31"/>
      <w:shd w:val="clear" w:color="auto" w:fill="FFFFFF"/>
    </w:rPr>
  </w:style>
  <w:style w:type="paragraph" w:customStyle="1" w:styleId="1499">
    <w:name w:val="标题 #8 (3)1"/>
    <w:basedOn w:val="1"/>
    <w:link w:val="1498"/>
    <w:qFormat/>
    <w:uiPriority w:val="0"/>
    <w:pPr>
      <w:shd w:val="clear" w:color="auto" w:fill="FFFFFF"/>
      <w:spacing w:before="420" w:after="420" w:line="0" w:lineRule="atLeast"/>
      <w:ind w:firstLine="200" w:firstLineChars="200"/>
      <w:jc w:val="distribute"/>
      <w:outlineLvl w:val="7"/>
    </w:pPr>
    <w:rPr>
      <w:rFonts w:ascii="宋体" w:hAnsi="宋体" w:cs="宋体"/>
      <w:kern w:val="0"/>
      <w:sz w:val="31"/>
      <w:szCs w:val="31"/>
    </w:rPr>
  </w:style>
  <w:style w:type="character" w:customStyle="1" w:styleId="1500">
    <w:name w:val="标题 #4 (2) + 间距 0 pt1"/>
    <w:qFormat/>
    <w:uiPriority w:val="0"/>
    <w:rPr>
      <w:rFonts w:ascii="宋体" w:hAnsi="宋体" w:eastAsia="宋体" w:cs="宋体"/>
      <w:color w:val="000000"/>
      <w:spacing w:val="0"/>
      <w:w w:val="100"/>
      <w:position w:val="0"/>
      <w:sz w:val="31"/>
      <w:szCs w:val="31"/>
      <w:u w:val="none"/>
      <w:lang w:val="zh-CN"/>
    </w:rPr>
  </w:style>
  <w:style w:type="character" w:customStyle="1" w:styleId="1501">
    <w:name w:val="表格标题 (2) + SimSun3"/>
    <w:qFormat/>
    <w:uiPriority w:val="0"/>
    <w:rPr>
      <w:rFonts w:ascii="宋体" w:hAnsi="宋体" w:eastAsia="宋体" w:cs="宋体"/>
      <w:color w:val="000000"/>
      <w:spacing w:val="0"/>
      <w:w w:val="100"/>
      <w:position w:val="0"/>
      <w:sz w:val="21"/>
      <w:szCs w:val="21"/>
      <w:u w:val="single"/>
      <w:lang w:val="zh-CN"/>
    </w:rPr>
  </w:style>
  <w:style w:type="character" w:customStyle="1" w:styleId="1502">
    <w:name w:val="标题 #6 + 间距 0 pt1"/>
    <w:qFormat/>
    <w:uiPriority w:val="0"/>
    <w:rPr>
      <w:rFonts w:ascii="宋体" w:hAnsi="宋体" w:eastAsia="宋体" w:cs="宋体"/>
      <w:color w:val="000000"/>
      <w:spacing w:val="0"/>
      <w:w w:val="100"/>
      <w:position w:val="0"/>
      <w:sz w:val="31"/>
      <w:szCs w:val="31"/>
      <w:u w:val="none"/>
      <w:lang w:val="zh-CN"/>
    </w:rPr>
  </w:style>
  <w:style w:type="character" w:customStyle="1" w:styleId="1503">
    <w:name w:val="标题 #7 + 间距 -1 pt1"/>
    <w:qFormat/>
    <w:uiPriority w:val="0"/>
    <w:rPr>
      <w:rFonts w:ascii="宋体" w:hAnsi="宋体" w:eastAsia="宋体" w:cs="宋体"/>
      <w:color w:val="000000"/>
      <w:spacing w:val="-20"/>
      <w:w w:val="100"/>
      <w:position w:val="0"/>
      <w:sz w:val="31"/>
      <w:szCs w:val="31"/>
      <w:u w:val="none"/>
      <w:lang w:val="en-US"/>
    </w:rPr>
  </w:style>
  <w:style w:type="character" w:customStyle="1" w:styleId="1504">
    <w:name w:val="标题 #9 (2)_"/>
    <w:link w:val="1505"/>
    <w:qFormat/>
    <w:uiPriority w:val="0"/>
    <w:rPr>
      <w:rFonts w:ascii="宋体" w:hAnsi="宋体" w:cs="宋体"/>
      <w:sz w:val="31"/>
      <w:szCs w:val="31"/>
      <w:shd w:val="clear" w:color="auto" w:fill="FFFFFF"/>
    </w:rPr>
  </w:style>
  <w:style w:type="paragraph" w:customStyle="1" w:styleId="1505">
    <w:name w:val="标题 #9 (2)2"/>
    <w:basedOn w:val="1"/>
    <w:link w:val="1504"/>
    <w:qFormat/>
    <w:uiPriority w:val="0"/>
    <w:pPr>
      <w:shd w:val="clear" w:color="auto" w:fill="FFFFFF"/>
      <w:spacing w:before="480" w:after="480" w:line="0" w:lineRule="atLeast"/>
      <w:ind w:firstLine="200" w:firstLineChars="200"/>
      <w:jc w:val="distribute"/>
      <w:outlineLvl w:val="8"/>
    </w:pPr>
    <w:rPr>
      <w:rFonts w:ascii="宋体" w:hAnsi="宋体" w:cs="宋体"/>
      <w:kern w:val="0"/>
      <w:sz w:val="31"/>
      <w:szCs w:val="31"/>
    </w:rPr>
  </w:style>
  <w:style w:type="character" w:customStyle="1" w:styleId="1506">
    <w:name w:val="正文文本 (10) + 15.5 pt"/>
    <w:qFormat/>
    <w:uiPriority w:val="0"/>
    <w:rPr>
      <w:rFonts w:ascii="宋体" w:hAnsi="宋体" w:eastAsia="宋体" w:cs="宋体"/>
      <w:color w:val="000000"/>
      <w:spacing w:val="0"/>
      <w:w w:val="100"/>
      <w:position w:val="0"/>
      <w:sz w:val="31"/>
      <w:szCs w:val="31"/>
      <w:u w:val="none"/>
      <w:lang w:val="zh-CN"/>
    </w:rPr>
  </w:style>
  <w:style w:type="character" w:customStyle="1" w:styleId="1507">
    <w:name w:val="标题 #4_"/>
    <w:link w:val="1508"/>
    <w:qFormat/>
    <w:uiPriority w:val="0"/>
    <w:rPr>
      <w:rFonts w:ascii="宋体" w:hAnsi="宋体" w:cs="宋体"/>
      <w:sz w:val="31"/>
      <w:szCs w:val="31"/>
      <w:shd w:val="clear" w:color="auto" w:fill="FFFFFF"/>
    </w:rPr>
  </w:style>
  <w:style w:type="paragraph" w:customStyle="1" w:styleId="1508">
    <w:name w:val="标题 #4"/>
    <w:basedOn w:val="1"/>
    <w:link w:val="1507"/>
    <w:qFormat/>
    <w:uiPriority w:val="0"/>
    <w:pPr>
      <w:shd w:val="clear" w:color="auto" w:fill="FFFFFF"/>
      <w:spacing w:before="660" w:after="420" w:line="0" w:lineRule="atLeast"/>
      <w:jc w:val="left"/>
      <w:outlineLvl w:val="3"/>
    </w:pPr>
    <w:rPr>
      <w:rFonts w:ascii="宋体" w:hAnsi="宋体" w:cs="宋体"/>
      <w:kern w:val="0"/>
      <w:sz w:val="31"/>
      <w:szCs w:val="31"/>
    </w:rPr>
  </w:style>
  <w:style w:type="character" w:customStyle="1" w:styleId="1509">
    <w:name w:val="标题 #9 (2)1"/>
    <w:qFormat/>
    <w:uiPriority w:val="0"/>
    <w:rPr>
      <w:rFonts w:ascii="宋体" w:hAnsi="宋体" w:eastAsia="宋体" w:cs="宋体"/>
      <w:color w:val="000000"/>
      <w:spacing w:val="0"/>
      <w:w w:val="100"/>
      <w:position w:val="0"/>
      <w:sz w:val="31"/>
      <w:szCs w:val="31"/>
      <w:u w:val="none"/>
      <w:lang w:val="zh-CN"/>
    </w:rPr>
  </w:style>
  <w:style w:type="character" w:customStyle="1" w:styleId="1510">
    <w:name w:val="页眉或页脚 + SimSun3"/>
    <w:qFormat/>
    <w:uiPriority w:val="0"/>
    <w:rPr>
      <w:rFonts w:ascii="宋体" w:hAnsi="宋体" w:eastAsia="宋体" w:cs="宋体"/>
      <w:color w:val="000000"/>
      <w:spacing w:val="0"/>
      <w:w w:val="100"/>
      <w:position w:val="0"/>
      <w:sz w:val="17"/>
      <w:szCs w:val="17"/>
      <w:u w:val="single"/>
      <w:lang w:val="zh-CN"/>
    </w:rPr>
  </w:style>
  <w:style w:type="character" w:customStyle="1" w:styleId="1511">
    <w:name w:val="表格标题 + 间距 0 pt"/>
    <w:qFormat/>
    <w:uiPriority w:val="0"/>
    <w:rPr>
      <w:rFonts w:ascii="宋体" w:hAnsi="宋体" w:eastAsia="宋体" w:cs="宋体"/>
      <w:color w:val="000000"/>
      <w:spacing w:val="0"/>
      <w:w w:val="100"/>
      <w:position w:val="0"/>
      <w:sz w:val="21"/>
      <w:szCs w:val="21"/>
      <w:u w:val="none"/>
      <w:shd w:val="clear" w:color="auto" w:fill="FFFFFF"/>
      <w:lang w:val="zh-CN"/>
    </w:rPr>
  </w:style>
  <w:style w:type="character" w:customStyle="1" w:styleId="1512">
    <w:name w:val="表格标题 (2) + SimSun1"/>
    <w:qFormat/>
    <w:uiPriority w:val="0"/>
    <w:rPr>
      <w:rFonts w:ascii="宋体" w:hAnsi="宋体" w:eastAsia="宋体" w:cs="宋体"/>
      <w:color w:val="000000"/>
      <w:spacing w:val="0"/>
      <w:w w:val="100"/>
      <w:position w:val="0"/>
      <w:sz w:val="21"/>
      <w:szCs w:val="21"/>
      <w:u w:val="none"/>
      <w:lang w:val="zh-CN"/>
    </w:rPr>
  </w:style>
  <w:style w:type="character" w:customStyle="1" w:styleId="1513">
    <w:name w:val="标题 #7_"/>
    <w:link w:val="1514"/>
    <w:qFormat/>
    <w:uiPriority w:val="0"/>
    <w:rPr>
      <w:rFonts w:ascii="宋体" w:hAnsi="宋体" w:cs="宋体"/>
      <w:sz w:val="31"/>
      <w:szCs w:val="31"/>
      <w:shd w:val="clear" w:color="auto" w:fill="FFFFFF"/>
    </w:rPr>
  </w:style>
  <w:style w:type="paragraph" w:customStyle="1" w:styleId="1514">
    <w:name w:val="标题 #71"/>
    <w:basedOn w:val="1"/>
    <w:link w:val="1513"/>
    <w:qFormat/>
    <w:uiPriority w:val="0"/>
    <w:pPr>
      <w:shd w:val="clear" w:color="auto" w:fill="FFFFFF"/>
      <w:spacing w:line="730" w:lineRule="exact"/>
      <w:ind w:firstLine="200" w:firstLineChars="200"/>
      <w:jc w:val="distribute"/>
      <w:outlineLvl w:val="6"/>
    </w:pPr>
    <w:rPr>
      <w:rFonts w:ascii="宋体" w:hAnsi="宋体" w:cs="宋体"/>
      <w:kern w:val="0"/>
      <w:sz w:val="31"/>
      <w:szCs w:val="31"/>
    </w:rPr>
  </w:style>
  <w:style w:type="character" w:customStyle="1" w:styleId="1515">
    <w:name w:val="表格标题 (2) + SimSun"/>
    <w:qFormat/>
    <w:uiPriority w:val="0"/>
    <w:rPr>
      <w:rFonts w:ascii="宋体" w:hAnsi="宋体" w:eastAsia="宋体" w:cs="宋体"/>
      <w:color w:val="000000"/>
      <w:spacing w:val="30"/>
      <w:w w:val="100"/>
      <w:position w:val="0"/>
      <w:sz w:val="21"/>
      <w:szCs w:val="21"/>
      <w:u w:val="none"/>
      <w:lang w:val="en-US"/>
    </w:rPr>
  </w:style>
  <w:style w:type="character" w:customStyle="1" w:styleId="1516">
    <w:name w:val="标题 #4 (2) + 间距 -1 pt2"/>
    <w:qFormat/>
    <w:uiPriority w:val="0"/>
    <w:rPr>
      <w:rFonts w:ascii="宋体" w:hAnsi="宋体" w:eastAsia="宋体" w:cs="宋体"/>
      <w:color w:val="000000"/>
      <w:spacing w:val="-20"/>
      <w:w w:val="100"/>
      <w:position w:val="0"/>
      <w:sz w:val="31"/>
      <w:szCs w:val="31"/>
      <w:u w:val="none"/>
      <w:lang w:val="en-US"/>
    </w:rPr>
  </w:style>
  <w:style w:type="character" w:customStyle="1" w:styleId="1517">
    <w:name w:val="正文文本 (7) + 间距 0 pt3"/>
    <w:qFormat/>
    <w:uiPriority w:val="0"/>
    <w:rPr>
      <w:rFonts w:ascii="宋体" w:hAnsi="宋体" w:eastAsia="宋体" w:cs="宋体"/>
      <w:color w:val="000000"/>
      <w:spacing w:val="0"/>
      <w:w w:val="100"/>
      <w:position w:val="0"/>
      <w:sz w:val="31"/>
      <w:szCs w:val="31"/>
      <w:u w:val="none"/>
      <w:lang w:val="zh-CN"/>
    </w:rPr>
  </w:style>
  <w:style w:type="character" w:customStyle="1" w:styleId="1518">
    <w:name w:val="表格标题 (4)1"/>
    <w:qFormat/>
    <w:uiPriority w:val="0"/>
    <w:rPr>
      <w:rFonts w:ascii="宋体" w:hAnsi="宋体" w:eastAsia="宋体" w:cs="宋体"/>
      <w:color w:val="000000"/>
      <w:spacing w:val="30"/>
      <w:w w:val="100"/>
      <w:position w:val="0"/>
      <w:sz w:val="21"/>
      <w:szCs w:val="21"/>
      <w:u w:val="none"/>
      <w:lang w:val="zh-CN"/>
    </w:rPr>
  </w:style>
  <w:style w:type="character" w:customStyle="1" w:styleId="1519">
    <w:name w:val="标题 #5 (2)_"/>
    <w:link w:val="1520"/>
    <w:qFormat/>
    <w:uiPriority w:val="0"/>
    <w:rPr>
      <w:rFonts w:ascii="宋体" w:hAnsi="宋体" w:cs="宋体"/>
      <w:spacing w:val="-40"/>
      <w:sz w:val="31"/>
      <w:szCs w:val="31"/>
      <w:shd w:val="clear" w:color="auto" w:fill="FFFFFF"/>
    </w:rPr>
  </w:style>
  <w:style w:type="paragraph" w:customStyle="1" w:styleId="1520">
    <w:name w:val="标题 #5 (2)"/>
    <w:basedOn w:val="1"/>
    <w:link w:val="1519"/>
    <w:qFormat/>
    <w:uiPriority w:val="0"/>
    <w:pPr>
      <w:shd w:val="clear" w:color="auto" w:fill="FFFFFF"/>
      <w:spacing w:before="240" w:line="730" w:lineRule="exact"/>
      <w:ind w:firstLine="200" w:firstLineChars="200"/>
      <w:outlineLvl w:val="4"/>
    </w:pPr>
    <w:rPr>
      <w:rFonts w:ascii="宋体" w:hAnsi="宋体" w:cs="宋体"/>
      <w:spacing w:val="-40"/>
      <w:kern w:val="0"/>
      <w:sz w:val="31"/>
      <w:szCs w:val="31"/>
    </w:rPr>
  </w:style>
  <w:style w:type="paragraph" w:customStyle="1" w:styleId="1521">
    <w:name w:val="表格标题1"/>
    <w:basedOn w:val="1"/>
    <w:qFormat/>
    <w:uiPriority w:val="0"/>
    <w:pPr>
      <w:shd w:val="clear" w:color="auto" w:fill="FFFFFF"/>
      <w:spacing w:line="456" w:lineRule="exact"/>
      <w:ind w:firstLine="200" w:firstLineChars="200"/>
    </w:pPr>
    <w:rPr>
      <w:rFonts w:ascii="宋体" w:hAnsi="宋体" w:cs="宋体"/>
      <w:spacing w:val="30"/>
      <w:szCs w:val="21"/>
    </w:rPr>
  </w:style>
  <w:style w:type="paragraph" w:customStyle="1" w:styleId="1522">
    <w:name w:val="李发荣个人正文"/>
    <w:basedOn w:val="1"/>
    <w:next w:val="1"/>
    <w:qFormat/>
    <w:uiPriority w:val="0"/>
    <w:pPr>
      <w:spacing w:line="360" w:lineRule="auto"/>
      <w:ind w:firstLine="504" w:firstLineChars="200"/>
    </w:pPr>
    <w:rPr>
      <w:rFonts w:ascii="宋体" w:hAnsi="宋体" w:cs="宋体"/>
      <w:kern w:val="0"/>
      <w:sz w:val="24"/>
      <w:szCs w:val="22"/>
    </w:rPr>
  </w:style>
  <w:style w:type="paragraph" w:customStyle="1" w:styleId="1523">
    <w:name w:val="样式 首行缩进:  2 字符2"/>
    <w:basedOn w:val="1"/>
    <w:qFormat/>
    <w:uiPriority w:val="0"/>
    <w:pPr>
      <w:adjustRightInd w:val="0"/>
      <w:snapToGrid w:val="0"/>
      <w:spacing w:line="300" w:lineRule="auto"/>
      <w:ind w:firstLine="200" w:firstLineChars="200"/>
    </w:pPr>
    <w:rPr>
      <w:rFonts w:ascii="宋体" w:hAnsi="宋体" w:cs="宋体"/>
      <w:sz w:val="28"/>
      <w:szCs w:val="28"/>
    </w:rPr>
  </w:style>
  <w:style w:type="character" w:customStyle="1" w:styleId="1524">
    <w:name w:val="明显引用 字符1"/>
    <w:qFormat/>
    <w:uiPriority w:val="30"/>
    <w:rPr>
      <w:i/>
      <w:iCs/>
      <w:color w:val="4F81BD"/>
      <w:kern w:val="2"/>
      <w:sz w:val="21"/>
      <w:szCs w:val="24"/>
    </w:rPr>
  </w:style>
  <w:style w:type="paragraph" w:customStyle="1" w:styleId="1525">
    <w:name w:val="公正文"/>
    <w:basedOn w:val="1"/>
    <w:link w:val="1669"/>
    <w:qFormat/>
    <w:uiPriority w:val="0"/>
    <w:pPr>
      <w:adjustRightInd w:val="0"/>
      <w:snapToGrid w:val="0"/>
      <w:spacing w:line="355" w:lineRule="auto"/>
      <w:ind w:firstLine="200" w:firstLineChars="200"/>
    </w:pPr>
    <w:rPr>
      <w:rFonts w:ascii="宋体" w:hAnsi="宋体" w:eastAsia="仿宋_GB2312"/>
      <w:sz w:val="28"/>
      <w:szCs w:val="22"/>
    </w:rPr>
  </w:style>
  <w:style w:type="paragraph" w:customStyle="1" w:styleId="1526">
    <w:name w:val="正文111"/>
    <w:basedOn w:val="1522"/>
    <w:qFormat/>
    <w:uiPriority w:val="0"/>
    <w:pPr>
      <w:ind w:firstLine="480"/>
    </w:pPr>
  </w:style>
  <w:style w:type="paragraph" w:customStyle="1" w:styleId="1527">
    <w:name w:val="正文文本 (4)"/>
    <w:basedOn w:val="1"/>
    <w:qFormat/>
    <w:uiPriority w:val="0"/>
    <w:pPr>
      <w:shd w:val="clear" w:color="auto" w:fill="FFFFFF"/>
      <w:spacing w:before="1500" w:after="420" w:line="0" w:lineRule="atLeast"/>
      <w:jc w:val="left"/>
    </w:pPr>
    <w:rPr>
      <w:rFonts w:ascii="宋体" w:hAnsi="宋体" w:cs="宋体"/>
      <w:sz w:val="31"/>
      <w:szCs w:val="31"/>
    </w:rPr>
  </w:style>
  <w:style w:type="paragraph" w:customStyle="1" w:styleId="1528">
    <w:name w:val="标题 #45"/>
    <w:basedOn w:val="1"/>
    <w:qFormat/>
    <w:uiPriority w:val="0"/>
    <w:pPr>
      <w:shd w:val="clear" w:color="auto" w:fill="FFFFFF"/>
      <w:spacing w:before="660" w:after="420" w:line="0" w:lineRule="atLeast"/>
      <w:ind w:firstLine="200" w:firstLineChars="200"/>
      <w:outlineLvl w:val="3"/>
    </w:pPr>
    <w:rPr>
      <w:rFonts w:ascii="宋体" w:hAnsi="宋体" w:cs="宋体"/>
      <w:sz w:val="31"/>
      <w:szCs w:val="31"/>
    </w:rPr>
  </w:style>
  <w:style w:type="table" w:customStyle="1" w:styleId="1529">
    <w:name w:val="照片排列"/>
    <w:basedOn w:val="88"/>
    <w:qFormat/>
    <w:uiPriority w:val="99"/>
  </w:style>
  <w:style w:type="paragraph" w:customStyle="1" w:styleId="1530">
    <w:name w:val="样式 标题 1 + 首行缩进:  2 字符"/>
    <w:basedOn w:val="3"/>
    <w:qFormat/>
    <w:uiPriority w:val="0"/>
    <w:pPr>
      <w:numPr>
        <w:numId w:val="0"/>
      </w:numPr>
      <w:snapToGrid w:val="0"/>
      <w:spacing w:line="300" w:lineRule="auto"/>
      <w:jc w:val="both"/>
    </w:pPr>
    <w:rPr>
      <w:rFonts w:ascii="黑体" w:cs="宋体"/>
      <w:sz w:val="28"/>
      <w:szCs w:val="20"/>
      <w:lang w:val="zh-CN"/>
    </w:rPr>
  </w:style>
  <w:style w:type="paragraph" w:customStyle="1" w:styleId="1531">
    <w:name w:val="样式 标题 2 + 首行缩进:  2 字符"/>
    <w:basedOn w:val="4"/>
    <w:qFormat/>
    <w:uiPriority w:val="0"/>
    <w:pPr>
      <w:numPr>
        <w:ilvl w:val="0"/>
        <w:numId w:val="0"/>
      </w:numPr>
      <w:adjustRightInd/>
      <w:spacing w:line="300" w:lineRule="auto"/>
    </w:pPr>
    <w:rPr>
      <w:rFonts w:ascii="黑体" w:hAnsi="Arial" w:cs="宋体"/>
      <w:bCs w:val="0"/>
      <w:szCs w:val="20"/>
    </w:rPr>
  </w:style>
  <w:style w:type="paragraph" w:customStyle="1" w:styleId="1532">
    <w:name w:val="样式 标题 2 + 首行缩进:  0.99 厘米"/>
    <w:basedOn w:val="4"/>
    <w:qFormat/>
    <w:uiPriority w:val="0"/>
    <w:pPr>
      <w:numPr>
        <w:ilvl w:val="0"/>
        <w:numId w:val="0"/>
      </w:numPr>
      <w:adjustRightInd/>
      <w:spacing w:line="300" w:lineRule="auto"/>
    </w:pPr>
    <w:rPr>
      <w:rFonts w:ascii="黑体" w:hAnsi="Arial" w:cs="宋体"/>
      <w:bCs w:val="0"/>
      <w:szCs w:val="20"/>
    </w:rPr>
  </w:style>
  <w:style w:type="character" w:customStyle="1" w:styleId="1533">
    <w:name w:val="报告正文 Char1"/>
    <w:qFormat/>
    <w:uiPriority w:val="0"/>
    <w:rPr>
      <w:rFonts w:ascii="宋体" w:hAnsi="Times New Roman"/>
      <w:kern w:val="2"/>
      <w:sz w:val="28"/>
    </w:rPr>
  </w:style>
  <w:style w:type="paragraph" w:customStyle="1" w:styleId="1534">
    <w:name w:val="报告标3"/>
    <w:basedOn w:val="1"/>
    <w:qFormat/>
    <w:uiPriority w:val="0"/>
    <w:pPr>
      <w:adjustRightInd w:val="0"/>
      <w:snapToGrid w:val="0"/>
      <w:spacing w:line="300" w:lineRule="auto"/>
    </w:pPr>
    <w:rPr>
      <w:rFonts w:ascii="宋体"/>
      <w:sz w:val="28"/>
      <w:szCs w:val="20"/>
    </w:rPr>
  </w:style>
  <w:style w:type="paragraph" w:customStyle="1" w:styleId="1535">
    <w:name w:val="居中四号"/>
    <w:qFormat/>
    <w:uiPriority w:val="0"/>
    <w:pPr>
      <w:spacing w:line="300" w:lineRule="auto"/>
      <w:jc w:val="center"/>
    </w:pPr>
    <w:rPr>
      <w:rFonts w:ascii="Times New Roman" w:hAnsi="Times New Roman" w:eastAsia="宋体" w:cs="Times New Roman"/>
      <w:sz w:val="28"/>
      <w:lang w:val="en-US" w:eastAsia="zh-CN" w:bidi="ar-SA"/>
    </w:rPr>
  </w:style>
  <w:style w:type="paragraph" w:customStyle="1" w:styleId="1536">
    <w:name w:val="报告标2"/>
    <w:basedOn w:val="1"/>
    <w:next w:val="198"/>
    <w:qFormat/>
    <w:uiPriority w:val="0"/>
    <w:pPr>
      <w:adjustRightInd w:val="0"/>
      <w:snapToGrid w:val="0"/>
      <w:spacing w:line="300" w:lineRule="auto"/>
    </w:pPr>
    <w:rPr>
      <w:rFonts w:ascii="黑体" w:eastAsia="黑体"/>
      <w:sz w:val="28"/>
      <w:szCs w:val="20"/>
    </w:rPr>
  </w:style>
  <w:style w:type="paragraph" w:customStyle="1" w:styleId="1537">
    <w:name w:val="样式 首行缩进:  0.99 厘米"/>
    <w:basedOn w:val="1"/>
    <w:qFormat/>
    <w:uiPriority w:val="0"/>
    <w:pPr>
      <w:tabs>
        <w:tab w:val="left" w:pos="1727"/>
        <w:tab w:val="left" w:pos="1884"/>
      </w:tabs>
      <w:snapToGrid w:val="0"/>
      <w:spacing w:line="300" w:lineRule="auto"/>
      <w:ind w:firstLine="200" w:firstLineChars="200"/>
      <w:outlineLvl w:val="0"/>
    </w:pPr>
    <w:rPr>
      <w:rFonts w:ascii="宋体"/>
      <w:sz w:val="28"/>
      <w:szCs w:val="20"/>
    </w:rPr>
  </w:style>
  <w:style w:type="paragraph" w:customStyle="1" w:styleId="1538">
    <w:name w:val="样式 首行缩进:  2 字符3"/>
    <w:basedOn w:val="1"/>
    <w:qFormat/>
    <w:uiPriority w:val="0"/>
    <w:pPr>
      <w:snapToGrid w:val="0"/>
      <w:spacing w:line="300" w:lineRule="auto"/>
      <w:ind w:firstLine="200" w:firstLineChars="200"/>
    </w:pPr>
    <w:rPr>
      <w:rFonts w:ascii="宋体" w:cs="宋体"/>
      <w:sz w:val="28"/>
      <w:szCs w:val="20"/>
    </w:rPr>
  </w:style>
  <w:style w:type="paragraph" w:customStyle="1" w:styleId="1539">
    <w:name w:val="可研-正文首行缩进 Char Char"/>
    <w:basedOn w:val="1"/>
    <w:next w:val="241"/>
    <w:qFormat/>
    <w:uiPriority w:val="0"/>
    <w:pPr>
      <w:spacing w:line="300" w:lineRule="auto"/>
      <w:ind w:firstLine="420" w:firstLineChars="200"/>
    </w:pPr>
    <w:rPr>
      <w:rFonts w:ascii="宋体"/>
      <w:sz w:val="28"/>
      <w:szCs w:val="28"/>
    </w:rPr>
  </w:style>
  <w:style w:type="paragraph" w:customStyle="1" w:styleId="1540">
    <w:name w:val="注释"/>
    <w:basedOn w:val="1"/>
    <w:link w:val="2413"/>
    <w:qFormat/>
    <w:uiPriority w:val="0"/>
    <w:pPr>
      <w:adjustRightInd w:val="0"/>
      <w:snapToGrid w:val="0"/>
      <w:spacing w:afterLines="50" w:line="288" w:lineRule="auto"/>
    </w:pPr>
  </w:style>
  <w:style w:type="paragraph" w:customStyle="1" w:styleId="1541">
    <w:name w:val="样式 标题 7 + 段前: 0.5 行"/>
    <w:basedOn w:val="10"/>
    <w:qFormat/>
    <w:uiPriority w:val="0"/>
    <w:pPr>
      <w:keepLines w:val="0"/>
      <w:numPr>
        <w:ilvl w:val="0"/>
        <w:numId w:val="0"/>
      </w:numPr>
      <w:snapToGrid w:val="0"/>
      <w:spacing w:before="0" w:after="0" w:line="300" w:lineRule="auto"/>
      <w:jc w:val="center"/>
    </w:pPr>
    <w:rPr>
      <w:rFonts w:ascii="黑体" w:eastAsia="黑体"/>
      <w:b w:val="0"/>
      <w:bCs w:val="0"/>
      <w:color w:val="auto"/>
      <w:lang w:val="zh-CN"/>
    </w:rPr>
  </w:style>
  <w:style w:type="paragraph" w:customStyle="1" w:styleId="1542">
    <w:name w:val="样式 目录 1 + 首行缩进:  2 字符"/>
    <w:basedOn w:val="60"/>
    <w:qFormat/>
    <w:uiPriority w:val="0"/>
    <w:pPr>
      <w:tabs>
        <w:tab w:val="right" w:leader="dot" w:pos="9060"/>
      </w:tabs>
      <w:snapToGrid w:val="0"/>
      <w:spacing w:before="0" w:after="0" w:line="300" w:lineRule="auto"/>
      <w:jc w:val="center"/>
    </w:pPr>
    <w:rPr>
      <w:rFonts w:ascii="宋体" w:hAnsi="宋体" w:cs="宋体"/>
      <w:kern w:val="0"/>
      <w:sz w:val="28"/>
      <w:szCs w:val="28"/>
    </w:rPr>
  </w:style>
  <w:style w:type="paragraph" w:customStyle="1" w:styleId="1543">
    <w:name w:val="样式 样式 首行缩进:  2 字符1 + 首行缩进:  2 字符"/>
    <w:basedOn w:val="912"/>
    <w:qFormat/>
    <w:uiPriority w:val="0"/>
    <w:pPr>
      <w:adjustRightInd/>
      <w:spacing w:line="300" w:lineRule="auto"/>
      <w:ind w:firstLine="0" w:firstLineChars="0"/>
    </w:pPr>
    <w:rPr>
      <w:rFonts w:cs="Times New Roman"/>
      <w:sz w:val="28"/>
      <w:lang w:val="zh-CN"/>
    </w:rPr>
  </w:style>
  <w:style w:type="paragraph" w:customStyle="1" w:styleId="1544">
    <w:name w:val="报告标1"/>
    <w:basedOn w:val="1"/>
    <w:next w:val="198"/>
    <w:qFormat/>
    <w:uiPriority w:val="0"/>
    <w:pPr>
      <w:adjustRightInd w:val="0"/>
      <w:snapToGrid w:val="0"/>
      <w:spacing w:line="300" w:lineRule="auto"/>
    </w:pPr>
    <w:rPr>
      <w:rFonts w:ascii="黑体" w:eastAsia="黑体"/>
      <w:sz w:val="28"/>
      <w:szCs w:val="20"/>
    </w:rPr>
  </w:style>
  <w:style w:type="paragraph" w:customStyle="1" w:styleId="1545">
    <w:name w:val="缩进正文"/>
    <w:basedOn w:val="36"/>
    <w:qFormat/>
    <w:uiPriority w:val="0"/>
    <w:pPr>
      <w:adjustRightInd w:val="0"/>
      <w:snapToGrid w:val="0"/>
      <w:spacing w:after="0" w:line="300" w:lineRule="auto"/>
      <w:ind w:left="0" w:leftChars="0" w:firstLine="200"/>
    </w:pPr>
    <w:rPr>
      <w:rFonts w:ascii="宋体"/>
      <w:sz w:val="28"/>
      <w:szCs w:val="20"/>
      <w:lang w:val="zh-CN"/>
    </w:rPr>
  </w:style>
  <w:style w:type="character" w:customStyle="1" w:styleId="1546">
    <w:name w:val="目录 2 Char"/>
    <w:qFormat/>
    <w:uiPriority w:val="0"/>
    <w:rPr>
      <w:rFonts w:ascii="宋体" w:eastAsia="宋体"/>
      <w:color w:val="000000"/>
      <w:kern w:val="2"/>
      <w:sz w:val="28"/>
      <w:szCs w:val="24"/>
      <w:lang w:val="en-US" w:eastAsia="zh-CN" w:bidi="ar-SA"/>
    </w:rPr>
  </w:style>
  <w:style w:type="paragraph" w:customStyle="1" w:styleId="1547">
    <w:name w:val="封面标题"/>
    <w:basedOn w:val="1"/>
    <w:qFormat/>
    <w:uiPriority w:val="0"/>
    <w:pPr>
      <w:spacing w:line="300" w:lineRule="auto"/>
      <w:jc w:val="center"/>
    </w:pPr>
    <w:rPr>
      <w:rFonts w:ascii="文鼎大标宋简" w:eastAsia="文鼎大标宋简"/>
      <w:sz w:val="48"/>
      <w:szCs w:val="20"/>
    </w:rPr>
  </w:style>
  <w:style w:type="paragraph" w:customStyle="1" w:styleId="1548">
    <w:name w:val="居中三号"/>
    <w:basedOn w:val="1"/>
    <w:qFormat/>
    <w:uiPriority w:val="0"/>
    <w:pPr>
      <w:widowControl/>
      <w:spacing w:line="300" w:lineRule="auto"/>
      <w:jc w:val="center"/>
    </w:pPr>
    <w:rPr>
      <w:kern w:val="0"/>
      <w:sz w:val="28"/>
      <w:szCs w:val="20"/>
    </w:rPr>
  </w:style>
  <w:style w:type="paragraph" w:customStyle="1" w:styleId="1549">
    <w:name w:val="右对齐四"/>
    <w:basedOn w:val="46"/>
    <w:qFormat/>
    <w:uiPriority w:val="0"/>
    <w:pPr>
      <w:tabs>
        <w:tab w:val="right" w:leader="middleDot" w:pos="9072"/>
      </w:tabs>
      <w:spacing w:line="300" w:lineRule="auto"/>
      <w:jc w:val="right"/>
    </w:pPr>
    <w:rPr>
      <w:rFonts w:cs="Times New Roman"/>
      <w:sz w:val="28"/>
      <w:szCs w:val="20"/>
      <w:lang w:val="zh-CN"/>
    </w:rPr>
  </w:style>
  <w:style w:type="character" w:customStyle="1" w:styleId="1550">
    <w:name w:val="增强"/>
    <w:qFormat/>
    <w:uiPriority w:val="0"/>
    <w:rPr>
      <w:b/>
    </w:rPr>
  </w:style>
  <w:style w:type="paragraph" w:customStyle="1" w:styleId="1551">
    <w:name w:val="内容"/>
    <w:basedOn w:val="35"/>
    <w:link w:val="1697"/>
    <w:qFormat/>
    <w:uiPriority w:val="0"/>
    <w:pPr>
      <w:adjustRightInd w:val="0"/>
      <w:snapToGrid w:val="0"/>
      <w:spacing w:after="0" w:line="360" w:lineRule="auto"/>
      <w:ind w:left="280" w:right="280" w:firstLine="560"/>
    </w:pPr>
    <w:rPr>
      <w:sz w:val="28"/>
      <w:szCs w:val="20"/>
      <w:lang w:val="zh-CN"/>
    </w:rPr>
  </w:style>
  <w:style w:type="paragraph" w:customStyle="1" w:styleId="1552">
    <w:name w:val="样式 缩进正文 + 首行缩进:  0 字符"/>
    <w:basedOn w:val="1545"/>
    <w:qFormat/>
    <w:uiPriority w:val="0"/>
    <w:pPr>
      <w:ind w:firstLine="0"/>
    </w:pPr>
  </w:style>
  <w:style w:type="paragraph" w:customStyle="1" w:styleId="1553">
    <w:name w:val="样式 目录 2 + 加粗"/>
    <w:basedOn w:val="75"/>
    <w:qFormat/>
    <w:uiPriority w:val="0"/>
    <w:pPr>
      <w:tabs>
        <w:tab w:val="left" w:leader="dot" w:pos="9072"/>
        <w:tab w:val="clear" w:pos="840"/>
        <w:tab w:val="clear" w:pos="9060"/>
      </w:tabs>
      <w:adjustRightInd w:val="0"/>
      <w:snapToGrid w:val="0"/>
      <w:spacing w:line="300" w:lineRule="auto"/>
      <w:ind w:left="0" w:firstLine="200" w:firstLineChars="200"/>
    </w:pPr>
    <w:rPr>
      <w:rFonts w:ascii="宋体"/>
      <w:b/>
      <w:bCs/>
      <w:smallCaps w:val="0"/>
      <w:color w:val="000000"/>
      <w:sz w:val="28"/>
      <w:szCs w:val="24"/>
    </w:rPr>
  </w:style>
  <w:style w:type="character" w:customStyle="1" w:styleId="1554">
    <w:name w:val="样式 目录 2 + 加粗 Char"/>
    <w:qFormat/>
    <w:uiPriority w:val="0"/>
    <w:rPr>
      <w:rFonts w:ascii="宋体" w:eastAsia="宋体"/>
      <w:b/>
      <w:bCs/>
      <w:color w:val="000000"/>
      <w:kern w:val="2"/>
      <w:sz w:val="28"/>
      <w:szCs w:val="24"/>
      <w:lang w:val="en-US" w:eastAsia="zh-CN" w:bidi="ar-SA"/>
    </w:rPr>
  </w:style>
  <w:style w:type="paragraph" w:customStyle="1" w:styleId="1555">
    <w:name w:val="正文－ST4"/>
    <w:basedOn w:val="1"/>
    <w:qFormat/>
    <w:uiPriority w:val="0"/>
    <w:pPr>
      <w:snapToGrid w:val="0"/>
      <w:spacing w:line="336" w:lineRule="auto"/>
      <w:ind w:firstLine="2"/>
    </w:pPr>
    <w:rPr>
      <w:rFonts w:ascii="宋体"/>
      <w:color w:val="000000"/>
      <w:kern w:val="0"/>
      <w:sz w:val="28"/>
      <w:szCs w:val="20"/>
    </w:rPr>
  </w:style>
  <w:style w:type="paragraph" w:customStyle="1" w:styleId="1556">
    <w:name w:val="小表中"/>
    <w:basedOn w:val="1"/>
    <w:qFormat/>
    <w:uiPriority w:val="0"/>
    <w:pPr>
      <w:adjustRightInd w:val="0"/>
      <w:snapToGrid w:val="0"/>
      <w:jc w:val="center"/>
    </w:pPr>
    <w:rPr>
      <w:rFonts w:ascii="宋体" w:hAnsi="宋体"/>
    </w:rPr>
  </w:style>
  <w:style w:type="paragraph" w:customStyle="1" w:styleId="1557">
    <w:name w:val="样式 首行缩进:  2 字符 段前: 0.5 行"/>
    <w:basedOn w:val="1"/>
    <w:qFormat/>
    <w:uiPriority w:val="0"/>
    <w:pPr>
      <w:keepNext/>
      <w:snapToGrid w:val="0"/>
      <w:spacing w:line="300" w:lineRule="auto"/>
      <w:ind w:firstLine="200" w:firstLineChars="200"/>
    </w:pPr>
    <w:rPr>
      <w:rFonts w:ascii="宋体"/>
      <w:sz w:val="28"/>
      <w:szCs w:val="20"/>
    </w:rPr>
  </w:style>
  <w:style w:type="paragraph" w:customStyle="1" w:styleId="1558">
    <w:name w:val="报告名"/>
    <w:basedOn w:val="1"/>
    <w:qFormat/>
    <w:uiPriority w:val="0"/>
    <w:pPr>
      <w:keepNext/>
      <w:adjustRightInd w:val="0"/>
      <w:snapToGrid w:val="0"/>
      <w:spacing w:before="120" w:beforeLines="50"/>
      <w:jc w:val="center"/>
    </w:pPr>
    <w:rPr>
      <w:rFonts w:ascii="文鼎大标宋简" w:eastAsia="文鼎大标宋简"/>
      <w:sz w:val="56"/>
      <w:szCs w:val="20"/>
    </w:rPr>
  </w:style>
  <w:style w:type="paragraph" w:customStyle="1" w:styleId="1559">
    <w:name w:val="编制单位"/>
    <w:basedOn w:val="1"/>
    <w:qFormat/>
    <w:uiPriority w:val="0"/>
    <w:pPr>
      <w:keepNext/>
      <w:snapToGrid w:val="0"/>
      <w:spacing w:beforeLines="50" w:line="300" w:lineRule="auto"/>
      <w:jc w:val="center"/>
    </w:pPr>
    <w:rPr>
      <w:rFonts w:ascii="黑体" w:eastAsia="黑体"/>
      <w:sz w:val="32"/>
      <w:szCs w:val="20"/>
    </w:rPr>
  </w:style>
  <w:style w:type="paragraph" w:customStyle="1" w:styleId="1560">
    <w:name w:val="编制人员"/>
    <w:basedOn w:val="1"/>
    <w:qFormat/>
    <w:uiPriority w:val="0"/>
    <w:pPr>
      <w:keepNext/>
      <w:snapToGrid w:val="0"/>
      <w:spacing w:line="300" w:lineRule="auto"/>
      <w:jc w:val="center"/>
    </w:pPr>
    <w:rPr>
      <w:rFonts w:ascii="黑体" w:eastAsia="黑体"/>
      <w:sz w:val="32"/>
      <w:szCs w:val="20"/>
    </w:rPr>
  </w:style>
  <w:style w:type="paragraph" w:customStyle="1" w:styleId="1561">
    <w:name w:val="编制日期"/>
    <w:basedOn w:val="1"/>
    <w:qFormat/>
    <w:uiPriority w:val="0"/>
    <w:pPr>
      <w:keepNext/>
      <w:snapToGrid w:val="0"/>
      <w:spacing w:line="300" w:lineRule="auto"/>
      <w:jc w:val="center"/>
    </w:pPr>
    <w:rPr>
      <w:rFonts w:ascii="宋体"/>
      <w:sz w:val="32"/>
      <w:szCs w:val="20"/>
    </w:rPr>
  </w:style>
  <w:style w:type="paragraph" w:customStyle="1" w:styleId="1562">
    <w:name w:val="专业签署"/>
    <w:basedOn w:val="1"/>
    <w:qFormat/>
    <w:uiPriority w:val="0"/>
    <w:pPr>
      <w:keepNext/>
      <w:snapToGrid w:val="0"/>
      <w:spacing w:beforeLines="50" w:after="120" w:line="300" w:lineRule="auto"/>
      <w:jc w:val="center"/>
    </w:pPr>
    <w:rPr>
      <w:rFonts w:ascii="宋体"/>
      <w:sz w:val="32"/>
      <w:szCs w:val="20"/>
    </w:rPr>
  </w:style>
  <w:style w:type="paragraph" w:customStyle="1" w:styleId="1563">
    <w:name w:val="表右"/>
    <w:basedOn w:val="1"/>
    <w:qFormat/>
    <w:uiPriority w:val="0"/>
    <w:pPr>
      <w:keepNext/>
      <w:spacing w:line="240" w:lineRule="atLeast"/>
      <w:ind w:right="84" w:rightChars="30"/>
      <w:jc w:val="right"/>
    </w:pPr>
    <w:rPr>
      <w:rFonts w:ascii="宋体" w:hAnsi="宋体"/>
      <w:sz w:val="24"/>
      <w:szCs w:val="20"/>
    </w:rPr>
  </w:style>
  <w:style w:type="paragraph" w:customStyle="1" w:styleId="1564">
    <w:name w:val="表中"/>
    <w:basedOn w:val="1"/>
    <w:qFormat/>
    <w:uiPriority w:val="0"/>
    <w:pPr>
      <w:keepNext/>
      <w:snapToGrid w:val="0"/>
      <w:spacing w:line="200" w:lineRule="atLeast"/>
      <w:jc w:val="center"/>
    </w:pPr>
    <w:rPr>
      <w:rFonts w:ascii="宋体" w:hAnsi="宋体"/>
      <w:sz w:val="24"/>
      <w:szCs w:val="22"/>
    </w:rPr>
  </w:style>
  <w:style w:type="paragraph" w:customStyle="1" w:styleId="1565">
    <w:name w:val="建设（委托）单位"/>
    <w:basedOn w:val="1"/>
    <w:qFormat/>
    <w:uiPriority w:val="0"/>
    <w:pPr>
      <w:keepNext/>
      <w:snapToGrid w:val="0"/>
      <w:spacing w:line="300" w:lineRule="auto"/>
      <w:jc w:val="center"/>
    </w:pPr>
    <w:rPr>
      <w:rFonts w:ascii="宋体"/>
      <w:sz w:val="32"/>
      <w:szCs w:val="20"/>
    </w:rPr>
  </w:style>
  <w:style w:type="paragraph" w:customStyle="1" w:styleId="1566">
    <w:name w:val="密级"/>
    <w:basedOn w:val="1"/>
    <w:qFormat/>
    <w:uiPriority w:val="0"/>
    <w:pPr>
      <w:keepNext/>
      <w:snapToGrid w:val="0"/>
      <w:spacing w:line="300" w:lineRule="auto"/>
      <w:jc w:val="left"/>
    </w:pPr>
    <w:rPr>
      <w:rFonts w:ascii="宋体"/>
      <w:sz w:val="28"/>
      <w:szCs w:val="20"/>
    </w:rPr>
  </w:style>
  <w:style w:type="paragraph" w:customStyle="1" w:styleId="1567">
    <w:name w:val="目次"/>
    <w:basedOn w:val="1"/>
    <w:qFormat/>
    <w:uiPriority w:val="0"/>
    <w:pPr>
      <w:keepNext/>
      <w:snapToGrid w:val="0"/>
      <w:spacing w:beforeLines="50" w:line="300" w:lineRule="auto"/>
      <w:ind w:firstLine="1304"/>
      <w:jc w:val="center"/>
    </w:pPr>
    <w:rPr>
      <w:rFonts w:ascii="宋体" w:eastAsia="黑体"/>
      <w:spacing w:val="480"/>
      <w:sz w:val="32"/>
      <w:szCs w:val="20"/>
    </w:rPr>
  </w:style>
  <w:style w:type="paragraph" w:customStyle="1" w:styleId="1568">
    <w:name w:val="设计证书编号"/>
    <w:basedOn w:val="1"/>
    <w:qFormat/>
    <w:uiPriority w:val="0"/>
    <w:pPr>
      <w:keepNext/>
      <w:snapToGrid w:val="0"/>
      <w:spacing w:line="300" w:lineRule="auto"/>
      <w:jc w:val="center"/>
    </w:pPr>
    <w:rPr>
      <w:rFonts w:ascii="宋体"/>
      <w:sz w:val="32"/>
      <w:szCs w:val="20"/>
    </w:rPr>
  </w:style>
  <w:style w:type="paragraph" w:customStyle="1" w:styleId="1569">
    <w:name w:val="项目负责人"/>
    <w:basedOn w:val="1"/>
    <w:qFormat/>
    <w:uiPriority w:val="0"/>
    <w:pPr>
      <w:keepNext/>
      <w:snapToGrid w:val="0"/>
      <w:spacing w:beforeLines="50" w:line="300" w:lineRule="auto"/>
      <w:jc w:val="left"/>
    </w:pPr>
    <w:rPr>
      <w:rFonts w:ascii="宋体"/>
      <w:spacing w:val="66"/>
      <w:kern w:val="0"/>
      <w:sz w:val="32"/>
      <w:szCs w:val="20"/>
    </w:rPr>
  </w:style>
  <w:style w:type="paragraph" w:customStyle="1" w:styleId="1570">
    <w:name w:val="项目号"/>
    <w:basedOn w:val="1"/>
    <w:qFormat/>
    <w:uiPriority w:val="0"/>
    <w:pPr>
      <w:keepNext/>
      <w:snapToGrid w:val="0"/>
      <w:spacing w:beforeLines="50" w:line="300" w:lineRule="auto"/>
      <w:jc w:val="center"/>
    </w:pPr>
    <w:rPr>
      <w:rFonts w:ascii="宋体"/>
      <w:sz w:val="32"/>
      <w:szCs w:val="20"/>
    </w:rPr>
  </w:style>
  <w:style w:type="paragraph" w:customStyle="1" w:styleId="1571">
    <w:name w:val="专业名称"/>
    <w:basedOn w:val="1"/>
    <w:qFormat/>
    <w:uiPriority w:val="0"/>
    <w:pPr>
      <w:keepNext/>
      <w:snapToGrid w:val="0"/>
      <w:spacing w:beforeLines="50" w:line="300" w:lineRule="auto"/>
      <w:jc w:val="center"/>
    </w:pPr>
    <w:rPr>
      <w:rFonts w:ascii="黑体" w:eastAsia="黑体"/>
      <w:sz w:val="32"/>
      <w:szCs w:val="20"/>
    </w:rPr>
  </w:style>
  <w:style w:type="paragraph" w:customStyle="1" w:styleId="1572">
    <w:name w:val="小表左"/>
    <w:basedOn w:val="1"/>
    <w:qFormat/>
    <w:uiPriority w:val="0"/>
    <w:pPr>
      <w:keepNext/>
      <w:snapToGrid w:val="0"/>
      <w:spacing w:line="240" w:lineRule="atLeast"/>
      <w:jc w:val="center"/>
    </w:pPr>
    <w:rPr>
      <w:rFonts w:ascii="宋体" w:hAnsi="宋体"/>
      <w:kern w:val="0"/>
      <w:sz w:val="24"/>
      <w:szCs w:val="22"/>
    </w:rPr>
  </w:style>
  <w:style w:type="paragraph" w:customStyle="1" w:styleId="1573">
    <w:name w:val="小表右"/>
    <w:basedOn w:val="1"/>
    <w:qFormat/>
    <w:uiPriority w:val="0"/>
    <w:pPr>
      <w:keepNext/>
      <w:snapToGrid w:val="0"/>
      <w:spacing w:line="240" w:lineRule="atLeast"/>
      <w:ind w:right="84" w:rightChars="30"/>
      <w:jc w:val="right"/>
    </w:pPr>
    <w:rPr>
      <w:rFonts w:ascii="宋体" w:hAnsi="宋体"/>
      <w:szCs w:val="22"/>
    </w:rPr>
  </w:style>
  <w:style w:type="paragraph" w:customStyle="1" w:styleId="1574">
    <w:name w:val="续表"/>
    <w:basedOn w:val="10"/>
    <w:qFormat/>
    <w:uiPriority w:val="0"/>
    <w:pPr>
      <w:keepLines w:val="0"/>
      <w:numPr>
        <w:ilvl w:val="0"/>
        <w:numId w:val="0"/>
      </w:numPr>
      <w:snapToGrid w:val="0"/>
      <w:spacing w:before="0" w:after="0" w:line="300" w:lineRule="auto"/>
      <w:jc w:val="center"/>
    </w:pPr>
    <w:rPr>
      <w:rFonts w:ascii="黑体" w:eastAsia="黑体"/>
      <w:b w:val="0"/>
      <w:bCs w:val="0"/>
      <w:color w:val="auto"/>
      <w:lang w:val="zh-CN"/>
    </w:rPr>
  </w:style>
  <w:style w:type="paragraph" w:customStyle="1" w:styleId="1575">
    <w:name w:val="表左"/>
    <w:basedOn w:val="1"/>
    <w:qFormat/>
    <w:uiPriority w:val="0"/>
    <w:pPr>
      <w:keepNext/>
      <w:adjustRightInd w:val="0"/>
      <w:snapToGrid w:val="0"/>
      <w:spacing w:line="320" w:lineRule="atLeast"/>
      <w:ind w:right="63" w:rightChars="30"/>
      <w:jc w:val="center"/>
    </w:pPr>
    <w:rPr>
      <w:rFonts w:ascii="宋体" w:hAnsi="宋体"/>
      <w:sz w:val="24"/>
      <w:szCs w:val="20"/>
    </w:rPr>
  </w:style>
  <w:style w:type="paragraph" w:customStyle="1" w:styleId="1576">
    <w:name w:val="规定原文"/>
    <w:basedOn w:val="1"/>
    <w:qFormat/>
    <w:uiPriority w:val="0"/>
    <w:pPr>
      <w:keepNext/>
      <w:snapToGrid w:val="0"/>
      <w:spacing w:beforeLines="50" w:line="300" w:lineRule="auto"/>
      <w:ind w:firstLine="560" w:firstLineChars="200"/>
    </w:pPr>
    <w:rPr>
      <w:rFonts w:ascii="楷体_GB2312" w:eastAsia="楷体_GB2312"/>
      <w:color w:val="FF0000"/>
      <w:sz w:val="28"/>
      <w:szCs w:val="20"/>
    </w:rPr>
  </w:style>
  <w:style w:type="paragraph" w:customStyle="1" w:styleId="1577">
    <w:name w:val="签署栏"/>
    <w:basedOn w:val="1"/>
    <w:qFormat/>
    <w:uiPriority w:val="0"/>
    <w:pPr>
      <w:keepNext/>
      <w:spacing w:line="300" w:lineRule="auto"/>
      <w:jc w:val="center"/>
    </w:pPr>
    <w:rPr>
      <w:rFonts w:ascii="黑体" w:eastAsia="黑体"/>
      <w:spacing w:val="80"/>
      <w:sz w:val="32"/>
      <w:szCs w:val="20"/>
    </w:rPr>
  </w:style>
  <w:style w:type="paragraph" w:customStyle="1" w:styleId="1578">
    <w:name w:val="签署内容"/>
    <w:basedOn w:val="1"/>
    <w:qFormat/>
    <w:uiPriority w:val="0"/>
    <w:pPr>
      <w:keepNext/>
      <w:spacing w:line="300" w:lineRule="auto"/>
      <w:ind w:firstLine="800" w:firstLineChars="250"/>
    </w:pPr>
    <w:rPr>
      <w:sz w:val="32"/>
      <w:szCs w:val="20"/>
    </w:rPr>
  </w:style>
  <w:style w:type="paragraph" w:customStyle="1" w:styleId="1579">
    <w:name w:val="附件"/>
    <w:basedOn w:val="3"/>
    <w:link w:val="2441"/>
    <w:qFormat/>
    <w:uiPriority w:val="0"/>
    <w:pPr>
      <w:numPr>
        <w:numId w:val="0"/>
      </w:numPr>
      <w:snapToGrid w:val="0"/>
      <w:spacing w:beforeLines="50" w:after="60" w:line="420" w:lineRule="auto"/>
      <w:jc w:val="both"/>
    </w:pPr>
    <w:rPr>
      <w:b/>
      <w:bCs w:val="0"/>
      <w:sz w:val="30"/>
      <w:szCs w:val="20"/>
      <w:lang w:val="zh-CN"/>
    </w:rPr>
  </w:style>
  <w:style w:type="paragraph" w:customStyle="1" w:styleId="1580">
    <w:name w:val="假标题"/>
    <w:basedOn w:val="1"/>
    <w:qFormat/>
    <w:uiPriority w:val="0"/>
    <w:pPr>
      <w:keepNext/>
      <w:snapToGrid w:val="0"/>
      <w:spacing w:beforeLines="50" w:line="300" w:lineRule="auto"/>
      <w:outlineLvl w:val="2"/>
    </w:pPr>
    <w:rPr>
      <w:rFonts w:ascii="宋体"/>
      <w:b/>
      <w:sz w:val="28"/>
      <w:szCs w:val="20"/>
    </w:rPr>
  </w:style>
  <w:style w:type="paragraph" w:customStyle="1" w:styleId="1581">
    <w:name w:val="假标题1"/>
    <w:basedOn w:val="1580"/>
    <w:qFormat/>
    <w:uiPriority w:val="0"/>
    <w:pPr>
      <w:keepNext w:val="0"/>
      <w:spacing w:beforeLines="0"/>
      <w:outlineLvl w:val="9"/>
    </w:pPr>
    <w:rPr>
      <w:rFonts w:hAnsi="宋体"/>
      <w:b w:val="0"/>
      <w:szCs w:val="24"/>
    </w:rPr>
  </w:style>
  <w:style w:type="paragraph" w:customStyle="1" w:styleId="1582">
    <w:name w:val="小表右A"/>
    <w:basedOn w:val="1573"/>
    <w:qFormat/>
    <w:uiPriority w:val="0"/>
    <w:pPr>
      <w:ind w:right="28" w:rightChars="10"/>
    </w:pPr>
  </w:style>
  <w:style w:type="character" w:customStyle="1" w:styleId="1583">
    <w:name w:val="篇号"/>
    <w:qFormat/>
    <w:uiPriority w:val="0"/>
    <w:rPr>
      <w:rFonts w:eastAsia="宋体"/>
    </w:rPr>
  </w:style>
  <w:style w:type="paragraph" w:customStyle="1" w:styleId="1584">
    <w:name w:val="图章"/>
    <w:basedOn w:val="1"/>
    <w:qFormat/>
    <w:uiPriority w:val="0"/>
    <w:pPr>
      <w:tabs>
        <w:tab w:val="left" w:pos="1727"/>
        <w:tab w:val="left" w:pos="1884"/>
      </w:tabs>
      <w:adjustRightInd w:val="0"/>
      <w:snapToGrid w:val="0"/>
      <w:jc w:val="left"/>
      <w:outlineLvl w:val="0"/>
    </w:pPr>
    <w:rPr>
      <w:rFonts w:ascii="宋体"/>
      <w:snapToGrid w:val="0"/>
      <w:kern w:val="0"/>
      <w:sz w:val="18"/>
      <w:szCs w:val="20"/>
    </w:rPr>
  </w:style>
  <w:style w:type="paragraph" w:customStyle="1" w:styleId="1585">
    <w:name w:val="样式 首行缩进:  2 字符 段前: 0.5 行1"/>
    <w:basedOn w:val="1"/>
    <w:qFormat/>
    <w:uiPriority w:val="0"/>
    <w:pPr>
      <w:keepNext/>
      <w:snapToGrid w:val="0"/>
      <w:spacing w:line="300" w:lineRule="auto"/>
      <w:ind w:firstLine="200" w:firstLineChars="200"/>
    </w:pPr>
    <w:rPr>
      <w:rFonts w:ascii="宋体"/>
      <w:sz w:val="28"/>
      <w:szCs w:val="20"/>
    </w:rPr>
  </w:style>
  <w:style w:type="paragraph" w:customStyle="1" w:styleId="1586">
    <w:name w:val="样式 首行缩进:  2 字符 段前: 0.5 行2"/>
    <w:basedOn w:val="1"/>
    <w:qFormat/>
    <w:uiPriority w:val="0"/>
    <w:pPr>
      <w:keepNext/>
      <w:snapToGrid w:val="0"/>
      <w:spacing w:line="300" w:lineRule="auto"/>
      <w:ind w:firstLine="200" w:firstLineChars="200"/>
    </w:pPr>
    <w:rPr>
      <w:rFonts w:ascii="宋体"/>
      <w:sz w:val="28"/>
      <w:szCs w:val="20"/>
    </w:rPr>
  </w:style>
  <w:style w:type="paragraph" w:customStyle="1" w:styleId="1587">
    <w:name w:val="样式 首行缩进:  2 字符 段前: 0.5 行3"/>
    <w:basedOn w:val="1"/>
    <w:qFormat/>
    <w:uiPriority w:val="0"/>
    <w:pPr>
      <w:keepNext/>
      <w:snapToGrid w:val="0"/>
      <w:spacing w:line="300" w:lineRule="auto"/>
      <w:ind w:firstLine="200" w:firstLineChars="200"/>
    </w:pPr>
    <w:rPr>
      <w:rFonts w:ascii="宋体"/>
      <w:sz w:val="28"/>
      <w:szCs w:val="20"/>
    </w:rPr>
  </w:style>
  <w:style w:type="paragraph" w:customStyle="1" w:styleId="1588">
    <w:name w:val="样式 标题 1 + 段前: 0.5 行"/>
    <w:basedOn w:val="3"/>
    <w:qFormat/>
    <w:uiPriority w:val="0"/>
    <w:pPr>
      <w:numPr>
        <w:numId w:val="0"/>
      </w:numPr>
      <w:tabs>
        <w:tab w:val="left" w:pos="360"/>
      </w:tabs>
      <w:snapToGrid w:val="0"/>
      <w:spacing w:after="120" w:line="480" w:lineRule="auto"/>
      <w:jc w:val="both"/>
    </w:pPr>
    <w:rPr>
      <w:b/>
      <w:bCs w:val="0"/>
      <w:sz w:val="28"/>
      <w:szCs w:val="20"/>
      <w:lang w:val="zh-CN"/>
    </w:rPr>
  </w:style>
  <w:style w:type="paragraph" w:customStyle="1" w:styleId="1589">
    <w:name w:val="节内编号2"/>
    <w:qFormat/>
    <w:uiPriority w:val="0"/>
    <w:pPr>
      <w:adjustRightInd w:val="0"/>
      <w:snapToGrid w:val="0"/>
      <w:spacing w:line="300" w:lineRule="auto"/>
      <w:ind w:right="210" w:rightChars="100"/>
      <w:jc w:val="both"/>
    </w:pPr>
    <w:rPr>
      <w:rFonts w:ascii="宋体" w:hAnsi="宋体" w:eastAsia="宋体" w:cs="Times New Roman"/>
      <w:color w:val="000000"/>
      <w:sz w:val="28"/>
      <w:szCs w:val="28"/>
      <w:lang w:val="en-US" w:eastAsia="zh-CN" w:bidi="ar-SA"/>
    </w:rPr>
  </w:style>
  <w:style w:type="paragraph" w:customStyle="1" w:styleId="1590">
    <w:name w:val="表头2"/>
    <w:basedOn w:val="1077"/>
    <w:qFormat/>
    <w:uiPriority w:val="0"/>
    <w:pPr>
      <w:widowControl/>
      <w:tabs>
        <w:tab w:val="left" w:pos="284"/>
        <w:tab w:val="center" w:pos="6237"/>
      </w:tabs>
      <w:snapToGrid/>
      <w:spacing w:before="240" w:beforeLines="0" w:after="240" w:line="240" w:lineRule="auto"/>
      <w:jc w:val="left"/>
    </w:pPr>
    <w:rPr>
      <w:rFonts w:ascii="黑体" w:eastAsia="黑体"/>
      <w:b w:val="0"/>
      <w:bCs w:val="0"/>
      <w:snapToGrid/>
      <w:kern w:val="0"/>
      <w:szCs w:val="20"/>
    </w:rPr>
  </w:style>
  <w:style w:type="paragraph" w:customStyle="1" w:styleId="1591">
    <w:name w:val="正文-ST-4"/>
    <w:basedOn w:val="1"/>
    <w:qFormat/>
    <w:uiPriority w:val="0"/>
    <w:pPr>
      <w:widowControl/>
      <w:spacing w:line="360" w:lineRule="auto"/>
      <w:ind w:firstLine="567"/>
    </w:pPr>
    <w:rPr>
      <w:kern w:val="0"/>
      <w:sz w:val="28"/>
      <w:szCs w:val="20"/>
    </w:rPr>
  </w:style>
  <w:style w:type="paragraph" w:customStyle="1" w:styleId="1592">
    <w:name w:val="节名"/>
    <w:basedOn w:val="1"/>
    <w:qFormat/>
    <w:uiPriority w:val="0"/>
    <w:pPr>
      <w:adjustRightInd w:val="0"/>
      <w:snapToGrid w:val="0"/>
      <w:spacing w:line="300" w:lineRule="auto"/>
      <w:jc w:val="center"/>
    </w:pPr>
    <w:rPr>
      <w:rFonts w:ascii="黑体" w:eastAsia="黑体"/>
      <w:sz w:val="24"/>
    </w:rPr>
  </w:style>
  <w:style w:type="paragraph" w:customStyle="1" w:styleId="1593">
    <w:name w:val="节内编号1"/>
    <w:basedOn w:val="1"/>
    <w:qFormat/>
    <w:uiPriority w:val="0"/>
    <w:pPr>
      <w:adjustRightInd w:val="0"/>
      <w:snapToGrid w:val="0"/>
      <w:spacing w:line="336" w:lineRule="auto"/>
      <w:ind w:right="210" w:rightChars="100" w:firstLine="528" w:firstLineChars="200"/>
      <w:jc w:val="left"/>
    </w:pPr>
    <w:rPr>
      <w:rFonts w:ascii="宋体" w:hAnsi="宋体"/>
      <w:color w:val="000000"/>
      <w:spacing w:val="-8"/>
      <w:sz w:val="28"/>
      <w:szCs w:val="20"/>
    </w:rPr>
  </w:style>
  <w:style w:type="paragraph" w:customStyle="1" w:styleId="1594">
    <w:name w:val="正文-FS-L"/>
    <w:qFormat/>
    <w:uiPriority w:val="0"/>
    <w:pPr>
      <w:spacing w:line="360" w:lineRule="auto"/>
      <w:ind w:firstLine="567"/>
      <w:jc w:val="both"/>
    </w:pPr>
    <w:rPr>
      <w:rFonts w:ascii="Times New Roman" w:hAnsi="Times New Roman" w:eastAsia="仿宋_GB2312" w:cs="Times New Roman"/>
      <w:sz w:val="28"/>
      <w:lang w:val="en-US" w:eastAsia="zh-CN" w:bidi="ar-SA"/>
    </w:rPr>
  </w:style>
  <w:style w:type="paragraph" w:customStyle="1" w:styleId="1595">
    <w:name w:val="xl58"/>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4"/>
    </w:rPr>
  </w:style>
  <w:style w:type="paragraph" w:customStyle="1" w:styleId="1596">
    <w:name w:val="xl59"/>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kern w:val="0"/>
      <w:sz w:val="24"/>
    </w:rPr>
  </w:style>
  <w:style w:type="paragraph" w:customStyle="1" w:styleId="1597">
    <w:name w:val="xl60"/>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4"/>
    </w:rPr>
  </w:style>
  <w:style w:type="paragraph" w:customStyle="1" w:styleId="1598">
    <w:name w:val="xl62"/>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4"/>
    </w:rPr>
  </w:style>
  <w:style w:type="paragraph" w:customStyle="1" w:styleId="1599">
    <w:name w:val="宽5中"/>
    <w:basedOn w:val="1"/>
    <w:next w:val="1"/>
    <w:qFormat/>
    <w:uiPriority w:val="0"/>
    <w:pPr>
      <w:adjustRightInd w:val="0"/>
      <w:snapToGrid w:val="0"/>
      <w:jc w:val="center"/>
    </w:pPr>
    <w:rPr>
      <w:szCs w:val="28"/>
    </w:rPr>
  </w:style>
  <w:style w:type="paragraph" w:customStyle="1" w:styleId="1600">
    <w:name w:val="表格内部"/>
    <w:basedOn w:val="1"/>
    <w:qFormat/>
    <w:uiPriority w:val="0"/>
    <w:pPr>
      <w:adjustRightInd w:val="0"/>
      <w:snapToGrid w:val="0"/>
      <w:spacing w:line="240" w:lineRule="atLeast"/>
      <w:jc w:val="center"/>
      <w:textAlignment w:val="baseline"/>
    </w:pPr>
    <w:rPr>
      <w:rFonts w:ascii="Arial" w:hAnsi="Arial" w:cs="Arial"/>
      <w:kern w:val="0"/>
      <w:szCs w:val="20"/>
    </w:rPr>
  </w:style>
  <w:style w:type="paragraph" w:customStyle="1" w:styleId="1601">
    <w:name w:val="正文A"/>
    <w:basedOn w:val="1"/>
    <w:qFormat/>
    <w:uiPriority w:val="0"/>
    <w:pPr>
      <w:spacing w:beforeLines="25" w:line="360" w:lineRule="auto"/>
    </w:pPr>
    <w:rPr>
      <w:rFonts w:ascii="宋体"/>
      <w:snapToGrid w:val="0"/>
      <w:color w:val="008000"/>
      <w:sz w:val="24"/>
      <w:szCs w:val="20"/>
    </w:rPr>
  </w:style>
  <w:style w:type="paragraph" w:customStyle="1" w:styleId="1602">
    <w:name w:val="点标题"/>
    <w:basedOn w:val="1"/>
    <w:qFormat/>
    <w:uiPriority w:val="0"/>
    <w:pPr>
      <w:adjustRightInd w:val="0"/>
      <w:spacing w:line="312" w:lineRule="atLeast"/>
      <w:textAlignment w:val="baseline"/>
    </w:pPr>
    <w:rPr>
      <w:kern w:val="0"/>
      <w:sz w:val="24"/>
      <w:szCs w:val="20"/>
    </w:rPr>
  </w:style>
  <w:style w:type="paragraph" w:customStyle="1" w:styleId="1603">
    <w:name w:val="正5中"/>
    <w:basedOn w:val="1"/>
    <w:qFormat/>
    <w:uiPriority w:val="0"/>
    <w:pPr>
      <w:spacing w:line="380" w:lineRule="atLeast"/>
      <w:jc w:val="center"/>
    </w:pPr>
    <w:rPr>
      <w:sz w:val="18"/>
      <w:szCs w:val="20"/>
    </w:rPr>
  </w:style>
  <w:style w:type="paragraph" w:customStyle="1" w:styleId="1604">
    <w:name w:val="普通2"/>
    <w:basedOn w:val="46"/>
    <w:qFormat/>
    <w:uiPriority w:val="0"/>
    <w:pPr>
      <w:jc w:val="center"/>
    </w:pPr>
    <w:rPr>
      <w:rFonts w:ascii="Times New Roman" w:hAnsi="Times New Roman" w:cs="Times New Roman"/>
      <w:snapToGrid w:val="0"/>
      <w:color w:val="000000"/>
      <w:kern w:val="0"/>
      <w:szCs w:val="24"/>
      <w:lang w:val="zh-CN"/>
    </w:rPr>
  </w:style>
  <w:style w:type="paragraph" w:customStyle="1" w:styleId="1605">
    <w:name w:val="方框"/>
    <w:basedOn w:val="1"/>
    <w:qFormat/>
    <w:uiPriority w:val="0"/>
    <w:pPr>
      <w:widowControl/>
      <w:spacing w:line="0" w:lineRule="atLeast"/>
    </w:pPr>
    <w:rPr>
      <w:rFonts w:ascii="宋体"/>
      <w:kern w:val="0"/>
      <w:sz w:val="24"/>
      <w:szCs w:val="20"/>
    </w:rPr>
  </w:style>
  <w:style w:type="paragraph" w:customStyle="1" w:styleId="1606">
    <w:name w:val="正文 + 宋体"/>
    <w:basedOn w:val="1"/>
    <w:qFormat/>
    <w:uiPriority w:val="0"/>
    <w:pPr>
      <w:adjustRightInd w:val="0"/>
      <w:snapToGrid w:val="0"/>
      <w:spacing w:line="360" w:lineRule="auto"/>
      <w:ind w:firstLine="420"/>
    </w:pPr>
    <w:rPr>
      <w:sz w:val="28"/>
      <w:szCs w:val="28"/>
    </w:rPr>
  </w:style>
  <w:style w:type="paragraph" w:customStyle="1" w:styleId="1607">
    <w:name w:val="表格文字1-小4居中"/>
    <w:basedOn w:val="1"/>
    <w:qFormat/>
    <w:uiPriority w:val="0"/>
    <w:pPr>
      <w:snapToGrid w:val="0"/>
      <w:spacing w:line="300" w:lineRule="auto"/>
      <w:jc w:val="center"/>
    </w:pPr>
    <w:rPr>
      <w:sz w:val="24"/>
    </w:rPr>
  </w:style>
  <w:style w:type="character" w:customStyle="1" w:styleId="1608">
    <w:name w:val="tit"/>
    <w:basedOn w:val="95"/>
    <w:qFormat/>
    <w:uiPriority w:val="0"/>
  </w:style>
  <w:style w:type="paragraph" w:customStyle="1" w:styleId="1609">
    <w:name w:val="样式 标题 3 + 非加粗"/>
    <w:basedOn w:val="5"/>
    <w:qFormat/>
    <w:uiPriority w:val="0"/>
    <w:pPr>
      <w:widowControl w:val="0"/>
      <w:numPr>
        <w:ilvl w:val="0"/>
        <w:numId w:val="0"/>
      </w:numPr>
      <w:adjustRightInd/>
      <w:snapToGrid w:val="0"/>
      <w:spacing w:line="300" w:lineRule="auto"/>
      <w:jc w:val="both"/>
      <w:textAlignment w:val="auto"/>
    </w:pPr>
    <w:rPr>
      <w:rFonts w:ascii="宋体" w:eastAsia="宋体"/>
      <w:color w:val="auto"/>
      <w:kern w:val="2"/>
      <w:szCs w:val="28"/>
      <w:lang w:val="zh-CN"/>
    </w:rPr>
  </w:style>
  <w:style w:type="character" w:customStyle="1" w:styleId="1610">
    <w:name w:val="标题7"/>
    <w:basedOn w:val="95"/>
    <w:qFormat/>
    <w:uiPriority w:val="0"/>
  </w:style>
  <w:style w:type="character" w:customStyle="1" w:styleId="1611">
    <w:name w:val="表格正文 Char Char"/>
    <w:link w:val="696"/>
    <w:qFormat/>
    <w:locked/>
    <w:uiPriority w:val="0"/>
    <w:rPr>
      <w:rFonts w:ascii="仿宋_GB2312" w:eastAsia="仿宋_GB2312"/>
      <w:snapToGrid w:val="0"/>
      <w:sz w:val="24"/>
    </w:rPr>
  </w:style>
  <w:style w:type="paragraph" w:customStyle="1" w:styleId="1612">
    <w:name w:val="图片刘"/>
    <w:basedOn w:val="1"/>
    <w:qFormat/>
    <w:uiPriority w:val="0"/>
    <w:pPr>
      <w:adjustRightInd w:val="0"/>
      <w:snapToGrid w:val="0"/>
      <w:spacing w:line="360" w:lineRule="auto"/>
      <w:jc w:val="center"/>
    </w:pPr>
    <w:rPr>
      <w:bCs/>
      <w:sz w:val="24"/>
      <w:szCs w:val="20"/>
    </w:rPr>
  </w:style>
  <w:style w:type="paragraph" w:customStyle="1" w:styleId="1613">
    <w:name w:val="马学海内容"/>
    <w:basedOn w:val="1"/>
    <w:link w:val="1614"/>
    <w:qFormat/>
    <w:uiPriority w:val="0"/>
    <w:pPr>
      <w:tabs>
        <w:tab w:val="left" w:pos="5725"/>
        <w:tab w:val="left" w:pos="5880"/>
      </w:tabs>
      <w:spacing w:line="360" w:lineRule="auto"/>
      <w:ind w:firstLine="200" w:firstLineChars="200"/>
    </w:pPr>
    <w:rPr>
      <w:rFonts w:ascii="新宋体" w:hAnsi="新宋体"/>
      <w:kern w:val="44"/>
      <w:sz w:val="24"/>
      <w:lang w:val="zh-CN"/>
    </w:rPr>
  </w:style>
  <w:style w:type="character" w:customStyle="1" w:styleId="1614">
    <w:name w:val="马学海内容 Char"/>
    <w:link w:val="1613"/>
    <w:qFormat/>
    <w:uiPriority w:val="0"/>
    <w:rPr>
      <w:rFonts w:ascii="新宋体" w:hAnsi="新宋体"/>
      <w:kern w:val="44"/>
      <w:sz w:val="24"/>
      <w:szCs w:val="24"/>
      <w:lang w:val="zh-CN" w:eastAsia="zh-CN"/>
    </w:rPr>
  </w:style>
  <w:style w:type="character" w:customStyle="1" w:styleId="1615">
    <w:name w:val="正文格式 Char"/>
    <w:link w:val="1328"/>
    <w:qFormat/>
    <w:uiPriority w:val="0"/>
    <w:rPr>
      <w:rFonts w:ascii="宋体" w:hAnsi="Calibri" w:eastAsia="宋体" w:cs="Times New Roman"/>
      <w:sz w:val="24"/>
      <w:szCs w:val="24"/>
    </w:rPr>
  </w:style>
  <w:style w:type="paragraph" w:customStyle="1" w:styleId="1616">
    <w:name w:val="样式 宋体 小四 首行缩进:  0.8 厘米 段前: 7.8 磅 段后: 7.8 磅 行距: 固定值 25 磅"/>
    <w:basedOn w:val="1"/>
    <w:qFormat/>
    <w:uiPriority w:val="0"/>
    <w:pPr>
      <w:snapToGrid w:val="0"/>
      <w:spacing w:line="300" w:lineRule="auto"/>
      <w:ind w:firstLine="454"/>
    </w:pPr>
    <w:rPr>
      <w:rFonts w:ascii="宋体" w:hAnsi="宋体" w:cs="宋体"/>
      <w:sz w:val="28"/>
      <w:szCs w:val="28"/>
    </w:rPr>
  </w:style>
  <w:style w:type="paragraph" w:customStyle="1" w:styleId="1617">
    <w:name w:val="黑体+ 四号"/>
    <w:basedOn w:val="1"/>
    <w:qFormat/>
    <w:uiPriority w:val="0"/>
    <w:rPr>
      <w:bCs/>
      <w:sz w:val="28"/>
    </w:rPr>
  </w:style>
  <w:style w:type="paragraph" w:customStyle="1" w:styleId="1618">
    <w:name w:val="样式 正文 + 首行缩进:  3 字符"/>
    <w:basedOn w:val="1"/>
    <w:qFormat/>
    <w:uiPriority w:val="0"/>
    <w:pPr>
      <w:adjustRightInd w:val="0"/>
      <w:snapToGrid w:val="0"/>
      <w:spacing w:line="300" w:lineRule="auto"/>
      <w:ind w:firstLine="200" w:firstLineChars="200"/>
      <w:jc w:val="left"/>
    </w:pPr>
    <w:rPr>
      <w:rFonts w:ascii="宋体" w:hAnsi="宋体" w:cs="宋体"/>
      <w:sz w:val="28"/>
      <w:szCs w:val="20"/>
    </w:rPr>
  </w:style>
  <w:style w:type="paragraph" w:customStyle="1" w:styleId="1619">
    <w:name w:val="样式 样式 正文 + + 首行缩进:  6 字符"/>
    <w:qFormat/>
    <w:uiPriority w:val="0"/>
    <w:pPr>
      <w:adjustRightInd w:val="0"/>
      <w:snapToGrid w:val="0"/>
      <w:spacing w:line="300" w:lineRule="auto"/>
      <w:ind w:firstLine="560" w:firstLineChars="200"/>
    </w:pPr>
    <w:rPr>
      <w:rFonts w:ascii="宋体" w:hAnsi="宋体" w:eastAsia="宋体" w:cs="宋体"/>
      <w:sz w:val="28"/>
      <w:lang w:val="en-US" w:eastAsia="zh-CN" w:bidi="ar-SA"/>
    </w:rPr>
  </w:style>
  <w:style w:type="paragraph" w:customStyle="1" w:styleId="1620">
    <w:name w:val="样式 正文 +1"/>
    <w:basedOn w:val="1"/>
    <w:link w:val="1621"/>
    <w:qFormat/>
    <w:uiPriority w:val="0"/>
    <w:pPr>
      <w:adjustRightInd w:val="0"/>
      <w:snapToGrid w:val="0"/>
      <w:spacing w:line="300" w:lineRule="auto"/>
      <w:ind w:firstLine="200" w:firstLineChars="200"/>
      <w:jc w:val="left"/>
    </w:pPr>
    <w:rPr>
      <w:rFonts w:ascii="宋体" w:hAnsi="宋体" w:cs="宋体"/>
      <w:sz w:val="28"/>
      <w:szCs w:val="20"/>
    </w:rPr>
  </w:style>
  <w:style w:type="character" w:customStyle="1" w:styleId="1621">
    <w:name w:val="样式 正文 +1 Char"/>
    <w:link w:val="1620"/>
    <w:qFormat/>
    <w:uiPriority w:val="0"/>
    <w:rPr>
      <w:rFonts w:ascii="宋体" w:hAnsi="宋体" w:eastAsia="宋体" w:cs="宋体"/>
      <w:kern w:val="2"/>
      <w:sz w:val="28"/>
      <w:lang w:val="en-US" w:eastAsia="zh-CN" w:bidi="ar-SA"/>
    </w:rPr>
  </w:style>
  <w:style w:type="character" w:customStyle="1" w:styleId="1622">
    <w:name w:val="正文 Char"/>
    <w:qFormat/>
    <w:uiPriority w:val="0"/>
    <w:rPr>
      <w:rFonts w:ascii="宋体" w:hAnsi="宋体" w:eastAsia="宋体" w:cs="宋体"/>
      <w:kern w:val="2"/>
      <w:sz w:val="28"/>
      <w:lang w:val="en-US" w:eastAsia="zh-CN" w:bidi="ar-SA"/>
    </w:rPr>
  </w:style>
  <w:style w:type="paragraph" w:customStyle="1" w:styleId="1623">
    <w:name w:val="河石管道 表名"/>
    <w:link w:val="1874"/>
    <w:qFormat/>
    <w:uiPriority w:val="0"/>
    <w:pPr>
      <w:widowControl w:val="0"/>
      <w:adjustRightInd w:val="0"/>
      <w:snapToGrid w:val="0"/>
      <w:jc w:val="center"/>
    </w:pPr>
    <w:rPr>
      <w:rFonts w:ascii="黑体" w:hAnsi="Times New Roman" w:eastAsia="黑体" w:cs="Times New Roman"/>
      <w:snapToGrid w:val="0"/>
      <w:kern w:val="2"/>
      <w:sz w:val="24"/>
      <w:szCs w:val="24"/>
      <w:lang w:val="en-US" w:eastAsia="zh-CN" w:bidi="ar-SA"/>
    </w:rPr>
  </w:style>
  <w:style w:type="paragraph" w:customStyle="1" w:styleId="1624">
    <w:name w:val="样式 (中文) 宋体 加粗 行距: 1.5 倍行距"/>
    <w:basedOn w:val="1"/>
    <w:qFormat/>
    <w:uiPriority w:val="0"/>
    <w:pPr>
      <w:spacing w:line="360" w:lineRule="auto"/>
    </w:pPr>
    <w:rPr>
      <w:rFonts w:cs="宋体"/>
      <w:b/>
      <w:bCs/>
      <w:sz w:val="24"/>
      <w:szCs w:val="20"/>
    </w:rPr>
  </w:style>
  <w:style w:type="paragraph" w:customStyle="1" w:styleId="1625">
    <w:name w:val="表格文字左对齐"/>
    <w:basedOn w:val="1"/>
    <w:qFormat/>
    <w:uiPriority w:val="0"/>
    <w:pPr>
      <w:widowControl/>
      <w:jc w:val="left"/>
    </w:pPr>
    <w:rPr>
      <w:rFonts w:cs="宋体"/>
      <w:szCs w:val="20"/>
    </w:rPr>
  </w:style>
  <w:style w:type="paragraph" w:customStyle="1" w:styleId="1626">
    <w:name w:val="表格标题 Char"/>
    <w:basedOn w:val="1"/>
    <w:qFormat/>
    <w:uiPriority w:val="0"/>
    <w:pPr>
      <w:keepNext/>
      <w:widowControl/>
      <w:tabs>
        <w:tab w:val="left" w:pos="5278"/>
      </w:tabs>
      <w:snapToGrid w:val="0"/>
      <w:spacing w:beforeLines="100" w:after="60" w:line="360" w:lineRule="auto"/>
      <w:jc w:val="center"/>
    </w:pPr>
    <w:rPr>
      <w:rFonts w:ascii="Arial" w:hAnsi="Arial" w:eastAsia="黑体" w:cs="宋体"/>
      <w:b/>
      <w:bCs/>
      <w:sz w:val="24"/>
    </w:rPr>
  </w:style>
  <w:style w:type="character" w:customStyle="1" w:styleId="1627">
    <w:name w:val="表格标题 Char Char"/>
    <w:qFormat/>
    <w:uiPriority w:val="0"/>
    <w:rPr>
      <w:rFonts w:ascii="Arial" w:hAnsi="Arial" w:eastAsia="黑体" w:cs="宋体"/>
      <w:b/>
      <w:bCs/>
      <w:kern w:val="2"/>
      <w:sz w:val="24"/>
      <w:szCs w:val="24"/>
      <w:lang w:val="en-US" w:eastAsia="zh-CN" w:bidi="ar-SA"/>
    </w:rPr>
  </w:style>
  <w:style w:type="paragraph" w:customStyle="1" w:styleId="1628">
    <w:name w:val="表尾"/>
    <w:basedOn w:val="135"/>
    <w:qFormat/>
    <w:uiPriority w:val="0"/>
    <w:pPr>
      <w:ind w:right="-105" w:rightChars="-50"/>
    </w:pPr>
    <w:rPr>
      <w:rFonts w:ascii="宋体" w:hAnsi="宋体"/>
      <w:szCs w:val="21"/>
    </w:rPr>
  </w:style>
  <w:style w:type="character" w:customStyle="1" w:styleId="1629">
    <w:name w:val="p121"/>
    <w:qFormat/>
    <w:uiPriority w:val="0"/>
    <w:rPr>
      <w:sz w:val="18"/>
      <w:szCs w:val="18"/>
      <w:u w:val="none"/>
    </w:rPr>
  </w:style>
  <w:style w:type="paragraph" w:customStyle="1" w:styleId="1630">
    <w:name w:val="表内文"/>
    <w:basedOn w:val="1"/>
    <w:qFormat/>
    <w:uiPriority w:val="0"/>
    <w:pPr>
      <w:spacing w:line="320" w:lineRule="atLeast"/>
      <w:jc w:val="center"/>
    </w:pPr>
    <w:rPr>
      <w:szCs w:val="20"/>
    </w:rPr>
  </w:style>
  <w:style w:type="paragraph" w:customStyle="1" w:styleId="1631">
    <w:name w:val="一级目录"/>
    <w:basedOn w:val="5"/>
    <w:qFormat/>
    <w:uiPriority w:val="0"/>
    <w:pPr>
      <w:widowControl w:val="0"/>
      <w:numPr>
        <w:ilvl w:val="0"/>
        <w:numId w:val="0"/>
      </w:numPr>
      <w:adjustRightInd/>
      <w:spacing w:before="260" w:after="260" w:line="416" w:lineRule="auto"/>
      <w:jc w:val="both"/>
      <w:textAlignment w:val="auto"/>
    </w:pPr>
    <w:rPr>
      <w:rFonts w:eastAsia="宋体"/>
      <w:b/>
      <w:bCs/>
      <w:color w:val="auto"/>
      <w:kern w:val="2"/>
      <w:szCs w:val="24"/>
      <w:lang w:val="zh-CN"/>
    </w:rPr>
  </w:style>
  <w:style w:type="paragraph" w:customStyle="1" w:styleId="1632">
    <w:name w:val="表格标题采用"/>
    <w:basedOn w:val="1"/>
    <w:link w:val="1633"/>
    <w:qFormat/>
    <w:uiPriority w:val="0"/>
    <w:pPr>
      <w:spacing w:beforeLines="25" w:afterLines="25" w:line="360" w:lineRule="auto"/>
      <w:jc w:val="center"/>
    </w:pPr>
    <w:rPr>
      <w:rFonts w:ascii="黑体" w:hAnsi="宋体" w:eastAsia="黑体"/>
      <w:b/>
      <w:sz w:val="24"/>
      <w:lang w:val="zh-CN"/>
    </w:rPr>
  </w:style>
  <w:style w:type="character" w:customStyle="1" w:styleId="1633">
    <w:name w:val="表格标题采用 Char"/>
    <w:link w:val="1632"/>
    <w:qFormat/>
    <w:uiPriority w:val="0"/>
    <w:rPr>
      <w:rFonts w:ascii="黑体" w:hAnsi="宋体" w:eastAsia="黑体"/>
      <w:b/>
      <w:kern w:val="2"/>
      <w:sz w:val="24"/>
      <w:szCs w:val="24"/>
      <w:lang w:val="zh-CN" w:eastAsia="zh-CN"/>
    </w:rPr>
  </w:style>
  <w:style w:type="paragraph" w:customStyle="1" w:styleId="1634">
    <w:name w:val="默认段落字体 Char Char Char"/>
    <w:basedOn w:val="1"/>
    <w:qFormat/>
    <w:uiPriority w:val="0"/>
    <w:pPr>
      <w:spacing w:line="360" w:lineRule="auto"/>
      <w:ind w:firstLine="200" w:firstLineChars="200"/>
    </w:pPr>
    <w:rPr>
      <w:rFonts w:ascii="宋体" w:hAnsi="宋体" w:cs="宋体"/>
      <w:sz w:val="24"/>
    </w:rPr>
  </w:style>
  <w:style w:type="paragraph" w:customStyle="1" w:styleId="1635">
    <w:name w:val="总院正文"/>
    <w:basedOn w:val="1"/>
    <w:link w:val="1636"/>
    <w:qFormat/>
    <w:uiPriority w:val="0"/>
    <w:pPr>
      <w:adjustRightInd w:val="0"/>
      <w:snapToGrid w:val="0"/>
      <w:spacing w:line="300" w:lineRule="auto"/>
      <w:ind w:firstLine="560" w:firstLineChars="200"/>
    </w:pPr>
    <w:rPr>
      <w:rFonts w:ascii="宋体" w:hAnsi="宋体"/>
      <w:color w:val="000000"/>
      <w:sz w:val="28"/>
      <w:lang w:val="zh-CN"/>
    </w:rPr>
  </w:style>
  <w:style w:type="character" w:customStyle="1" w:styleId="1636">
    <w:name w:val="总院正文 Char"/>
    <w:link w:val="1635"/>
    <w:qFormat/>
    <w:uiPriority w:val="0"/>
    <w:rPr>
      <w:rFonts w:ascii="宋体" w:hAnsi="宋体"/>
      <w:color w:val="000000"/>
      <w:kern w:val="2"/>
      <w:sz w:val="28"/>
      <w:szCs w:val="24"/>
      <w:lang w:val="zh-CN" w:eastAsia="zh-CN"/>
    </w:rPr>
  </w:style>
  <w:style w:type="paragraph" w:customStyle="1" w:styleId="1637">
    <w:name w:val="样式 左"/>
    <w:basedOn w:val="1"/>
    <w:qFormat/>
    <w:uiPriority w:val="0"/>
    <w:pPr>
      <w:autoSpaceDE w:val="0"/>
      <w:autoSpaceDN w:val="0"/>
      <w:adjustRightInd w:val="0"/>
      <w:snapToGrid w:val="0"/>
      <w:spacing w:line="360" w:lineRule="auto"/>
      <w:ind w:firstLine="480" w:firstLineChars="200"/>
      <w:jc w:val="left"/>
    </w:pPr>
    <w:rPr>
      <w:rFonts w:ascii="宋体" w:hAnsi="宋体"/>
      <w:color w:val="000000"/>
      <w:kern w:val="0"/>
      <w:sz w:val="24"/>
      <w:szCs w:val="20"/>
    </w:rPr>
  </w:style>
  <w:style w:type="paragraph" w:customStyle="1" w:styleId="1638">
    <w:name w:val="文字"/>
    <w:basedOn w:val="1"/>
    <w:link w:val="1643"/>
    <w:qFormat/>
    <w:uiPriority w:val="0"/>
    <w:pPr>
      <w:widowControl/>
      <w:spacing w:afterLines="50" w:line="360" w:lineRule="auto"/>
      <w:ind w:firstLine="420"/>
    </w:pPr>
    <w:rPr>
      <w:kern w:val="0"/>
      <w:sz w:val="24"/>
      <w:lang w:val="zh-CN"/>
    </w:rPr>
  </w:style>
  <w:style w:type="paragraph" w:customStyle="1" w:styleId="1639">
    <w:name w:val="河石管道 表头"/>
    <w:qFormat/>
    <w:uiPriority w:val="0"/>
    <w:pPr>
      <w:jc w:val="center"/>
    </w:pPr>
    <w:rPr>
      <w:rFonts w:ascii="Times New Roman" w:hAnsi="Times New Roman" w:eastAsia="宋体" w:cs="Times New Roman"/>
      <w:bCs/>
      <w:sz w:val="24"/>
      <w:szCs w:val="24"/>
      <w:lang w:val="en-US" w:eastAsia="zh-CN" w:bidi="ar-SA"/>
    </w:rPr>
  </w:style>
  <w:style w:type="paragraph" w:customStyle="1" w:styleId="1640">
    <w:name w:val="河石管道 表格正文"/>
    <w:qFormat/>
    <w:uiPriority w:val="0"/>
    <w:pPr>
      <w:jc w:val="center"/>
    </w:pPr>
    <w:rPr>
      <w:rFonts w:ascii="Times New Roman" w:hAnsi="Times New Roman" w:eastAsia="宋体" w:cs="Times New Roman"/>
      <w:kern w:val="2"/>
      <w:sz w:val="18"/>
      <w:lang w:val="en-US" w:eastAsia="zh-CN" w:bidi="ar-SA"/>
    </w:rPr>
  </w:style>
  <w:style w:type="paragraph" w:customStyle="1" w:styleId="1641">
    <w:name w:val="样式 样式 正文文字缩进 2 + 四号 行距: 1.5 倍行距 + (西文) 宋体 首行缩进:  2 字符"/>
    <w:basedOn w:val="1"/>
    <w:qFormat/>
    <w:uiPriority w:val="0"/>
    <w:pPr>
      <w:jc w:val="center"/>
    </w:pPr>
  </w:style>
  <w:style w:type="character" w:customStyle="1" w:styleId="1642">
    <w:name w:val="列表 字符"/>
    <w:link w:val="67"/>
    <w:qFormat/>
    <w:uiPriority w:val="0"/>
    <w:rPr>
      <w:kern w:val="2"/>
      <w:sz w:val="21"/>
      <w:szCs w:val="24"/>
    </w:rPr>
  </w:style>
  <w:style w:type="character" w:customStyle="1" w:styleId="1643">
    <w:name w:val="文字 Char"/>
    <w:link w:val="1638"/>
    <w:qFormat/>
    <w:uiPriority w:val="0"/>
    <w:rPr>
      <w:sz w:val="24"/>
      <w:szCs w:val="24"/>
      <w:lang w:val="zh-CN" w:eastAsia="zh-CN"/>
    </w:rPr>
  </w:style>
  <w:style w:type="character" w:customStyle="1" w:styleId="1644">
    <w:name w:val="表格内字体 Char"/>
    <w:link w:val="1645"/>
    <w:qFormat/>
    <w:uiPriority w:val="0"/>
    <w:rPr>
      <w:rFonts w:ascii="宋体" w:cs="宋体"/>
      <w:kern w:val="2"/>
      <w:sz w:val="21"/>
    </w:rPr>
  </w:style>
  <w:style w:type="paragraph" w:customStyle="1" w:styleId="1645">
    <w:name w:val="表格内字体"/>
    <w:basedOn w:val="1328"/>
    <w:link w:val="1644"/>
    <w:qFormat/>
    <w:uiPriority w:val="0"/>
    <w:pPr>
      <w:adjustRightInd/>
      <w:spacing w:line="240" w:lineRule="auto"/>
      <w:ind w:firstLine="0"/>
      <w:jc w:val="center"/>
    </w:pPr>
    <w:rPr>
      <w:rFonts w:hAnsi="Times New Roman" w:cs="宋体"/>
      <w:kern w:val="2"/>
      <w:sz w:val="21"/>
      <w:szCs w:val="20"/>
    </w:rPr>
  </w:style>
  <w:style w:type="character" w:customStyle="1" w:styleId="1646">
    <w:name w:val="样式 图名表头 + Char"/>
    <w:link w:val="1647"/>
    <w:qFormat/>
    <w:uiPriority w:val="0"/>
    <w:rPr>
      <w:rFonts w:hAnsi="宋体" w:eastAsia="黑体" w:cs="宋体"/>
      <w:b/>
      <w:bCs/>
      <w:color w:val="000000"/>
      <w:kern w:val="2"/>
      <w:sz w:val="24"/>
      <w:szCs w:val="28"/>
    </w:rPr>
  </w:style>
  <w:style w:type="paragraph" w:customStyle="1" w:styleId="1647">
    <w:name w:val="样式 图名表头 +"/>
    <w:basedOn w:val="1648"/>
    <w:link w:val="1646"/>
    <w:qFormat/>
    <w:uiPriority w:val="0"/>
    <w:rPr>
      <w:rFonts w:eastAsia="黑体"/>
      <w:sz w:val="24"/>
    </w:rPr>
  </w:style>
  <w:style w:type="paragraph" w:customStyle="1" w:styleId="1648">
    <w:name w:val="图名表头"/>
    <w:basedOn w:val="1"/>
    <w:next w:val="1638"/>
    <w:link w:val="1649"/>
    <w:qFormat/>
    <w:uiPriority w:val="0"/>
    <w:pPr>
      <w:adjustRightInd w:val="0"/>
      <w:snapToGrid w:val="0"/>
      <w:spacing w:line="360" w:lineRule="auto"/>
      <w:jc w:val="center"/>
    </w:pPr>
    <w:rPr>
      <w:rFonts w:hAnsi="宋体" w:cs="宋体"/>
      <w:b/>
      <w:bCs/>
      <w:color w:val="000000"/>
      <w:szCs w:val="28"/>
    </w:rPr>
  </w:style>
  <w:style w:type="character" w:customStyle="1" w:styleId="1649">
    <w:name w:val="图名表头 Char"/>
    <w:link w:val="1648"/>
    <w:qFormat/>
    <w:uiPriority w:val="0"/>
    <w:rPr>
      <w:rFonts w:hAnsi="宋体" w:cs="宋体"/>
      <w:b/>
      <w:bCs/>
      <w:color w:val="000000"/>
      <w:kern w:val="2"/>
      <w:sz w:val="21"/>
      <w:szCs w:val="28"/>
    </w:rPr>
  </w:style>
  <w:style w:type="paragraph" w:customStyle="1" w:styleId="1650">
    <w:name w:val="样式 标题 1 + 华文中宋 两端对齐 左侧:  0 厘米"/>
    <w:basedOn w:val="3"/>
    <w:semiHidden/>
    <w:qFormat/>
    <w:uiPriority w:val="0"/>
    <w:pPr>
      <w:numPr>
        <w:numId w:val="0"/>
      </w:numPr>
      <w:tabs>
        <w:tab w:val="left" w:pos="988"/>
      </w:tabs>
      <w:spacing w:before="340" w:after="330" w:line="240" w:lineRule="auto"/>
      <w:ind w:left="988" w:hanging="420"/>
      <w:jc w:val="both"/>
    </w:pPr>
    <w:rPr>
      <w:rFonts w:ascii="华文中宋" w:hAnsi="华文中宋" w:eastAsia="华文中宋" w:cs="宋体"/>
      <w:b/>
      <w:sz w:val="28"/>
      <w:lang w:val="zh-CN"/>
    </w:rPr>
  </w:style>
  <w:style w:type="paragraph" w:customStyle="1" w:styleId="1651">
    <w:name w:val="样式 表头 + 首行缩进:  2 字符"/>
    <w:basedOn w:val="129"/>
    <w:semiHidden/>
    <w:qFormat/>
    <w:uiPriority w:val="0"/>
    <w:pPr>
      <w:suppressAutoHyphens/>
      <w:adjustRightInd w:val="0"/>
      <w:spacing w:after="0" w:line="240" w:lineRule="auto"/>
      <w:ind w:firstLine="0"/>
    </w:pPr>
    <w:rPr>
      <w:rFonts w:ascii="黑体" w:eastAsia="黑体" w:cs="宋体"/>
      <w:kern w:val="0"/>
    </w:rPr>
  </w:style>
  <w:style w:type="paragraph" w:customStyle="1" w:styleId="1652">
    <w:name w:val="样式 表字 + 首行缩进:  2 字符"/>
    <w:basedOn w:val="1"/>
    <w:semiHidden/>
    <w:qFormat/>
    <w:uiPriority w:val="0"/>
    <w:pPr>
      <w:jc w:val="center"/>
    </w:pPr>
    <w:rPr>
      <w:rFonts w:ascii="宋体"/>
      <w:szCs w:val="21"/>
    </w:rPr>
  </w:style>
  <w:style w:type="character" w:customStyle="1" w:styleId="1653">
    <w:name w:val="表内文字 Char"/>
    <w:qFormat/>
    <w:uiPriority w:val="0"/>
    <w:rPr>
      <w:rFonts w:ascii="宋体" w:hAnsi="Courier New" w:eastAsia="宋体" w:cs="Courier New"/>
      <w:kern w:val="2"/>
      <w:sz w:val="21"/>
      <w:szCs w:val="21"/>
      <w:lang w:val="en-US" w:eastAsia="zh-CN" w:bidi="ar-SA"/>
    </w:rPr>
  </w:style>
  <w:style w:type="character" w:customStyle="1" w:styleId="1654">
    <w:name w:val="宋体四号 Char"/>
    <w:link w:val="1655"/>
    <w:qFormat/>
    <w:uiPriority w:val="0"/>
    <w:rPr>
      <w:rFonts w:ascii="宋体" w:hAnsi="宋体"/>
      <w:snapToGrid w:val="0"/>
      <w:kern w:val="2"/>
      <w:sz w:val="24"/>
      <w:szCs w:val="24"/>
    </w:rPr>
  </w:style>
  <w:style w:type="paragraph" w:customStyle="1" w:styleId="1655">
    <w:name w:val="宋体四号"/>
    <w:basedOn w:val="1"/>
    <w:link w:val="1654"/>
    <w:qFormat/>
    <w:uiPriority w:val="0"/>
    <w:pPr>
      <w:adjustRightInd w:val="0"/>
      <w:snapToGrid w:val="0"/>
      <w:spacing w:line="360" w:lineRule="auto"/>
      <w:ind w:firstLine="480" w:firstLineChars="200"/>
    </w:pPr>
    <w:rPr>
      <w:rFonts w:ascii="宋体" w:hAnsi="宋体"/>
      <w:snapToGrid w:val="0"/>
      <w:sz w:val="24"/>
    </w:rPr>
  </w:style>
  <w:style w:type="paragraph" w:customStyle="1" w:styleId="1656">
    <w:name w:val="地方法规"/>
    <w:basedOn w:val="1"/>
    <w:qFormat/>
    <w:uiPriority w:val="0"/>
    <w:pPr>
      <w:widowControl/>
      <w:numPr>
        <w:ilvl w:val="0"/>
        <w:numId w:val="19"/>
      </w:numPr>
      <w:spacing w:beforeLines="50" w:afterLines="50"/>
      <w:ind w:firstLine="0"/>
      <w:jc w:val="left"/>
    </w:pPr>
    <w:rPr>
      <w:kern w:val="0"/>
      <w:sz w:val="24"/>
      <w:szCs w:val="20"/>
    </w:rPr>
  </w:style>
  <w:style w:type="character" w:customStyle="1" w:styleId="1657">
    <w:name w:val="表格正文 Char"/>
    <w:qFormat/>
    <w:uiPriority w:val="0"/>
    <w:rPr>
      <w:rFonts w:ascii="Arial" w:hAnsi="Arial" w:eastAsia="宋体"/>
      <w:color w:val="000000"/>
      <w:kern w:val="2"/>
      <w:sz w:val="21"/>
      <w:szCs w:val="24"/>
      <w:lang w:val="en-US" w:eastAsia="zh-CN" w:bidi="ar-SA"/>
    </w:rPr>
  </w:style>
  <w:style w:type="paragraph" w:customStyle="1" w:styleId="1658">
    <w:name w:val="报告正文1"/>
    <w:basedOn w:val="1"/>
    <w:qFormat/>
    <w:uiPriority w:val="0"/>
    <w:pPr>
      <w:adjustRightInd w:val="0"/>
      <w:snapToGrid w:val="0"/>
      <w:spacing w:line="300" w:lineRule="auto"/>
    </w:pPr>
    <w:rPr>
      <w:rFonts w:ascii="宋体" w:hAnsi="宋体"/>
      <w:kern w:val="0"/>
      <w:sz w:val="28"/>
      <w:szCs w:val="28"/>
    </w:rPr>
  </w:style>
  <w:style w:type="character" w:customStyle="1" w:styleId="1659">
    <w:name w:val="st1"/>
    <w:basedOn w:val="95"/>
    <w:qFormat/>
    <w:uiPriority w:val="0"/>
  </w:style>
  <w:style w:type="paragraph" w:customStyle="1" w:styleId="1660">
    <w:name w:val="耿宝 正文"/>
    <w:basedOn w:val="1"/>
    <w:link w:val="1723"/>
    <w:qFormat/>
    <w:uiPriority w:val="0"/>
    <w:pPr>
      <w:snapToGrid w:val="0"/>
      <w:spacing w:line="300" w:lineRule="auto"/>
      <w:ind w:firstLine="560" w:firstLineChars="200"/>
    </w:pPr>
    <w:rPr>
      <w:rFonts w:ascii="宋体" w:hAnsi="Calibri"/>
      <w:sz w:val="28"/>
      <w:szCs w:val="28"/>
      <w:lang w:val="zh-CN"/>
    </w:rPr>
  </w:style>
  <w:style w:type="character" w:customStyle="1" w:styleId="1661">
    <w:name w:val="p21"/>
    <w:qFormat/>
    <w:uiPriority w:val="0"/>
    <w:rPr>
      <w:sz w:val="18"/>
    </w:rPr>
  </w:style>
  <w:style w:type="character" w:customStyle="1" w:styleId="1662">
    <w:name w:val="style17"/>
    <w:basedOn w:val="95"/>
    <w:qFormat/>
    <w:uiPriority w:val="0"/>
  </w:style>
  <w:style w:type="paragraph" w:customStyle="1" w:styleId="1663">
    <w:name w:val="title3"/>
    <w:basedOn w:val="1"/>
    <w:qFormat/>
    <w:uiPriority w:val="0"/>
    <w:pPr>
      <w:adjustRightInd w:val="0"/>
      <w:spacing w:before="50" w:line="480" w:lineRule="atLeast"/>
      <w:ind w:firstLine="200" w:firstLineChars="200"/>
      <w:textAlignment w:val="baseline"/>
    </w:pPr>
    <w:rPr>
      <w:rFonts w:ascii="仿宋_GB2312" w:eastAsia="仿宋_GB2312"/>
      <w:b/>
      <w:sz w:val="28"/>
      <w:szCs w:val="20"/>
    </w:rPr>
  </w:style>
  <w:style w:type="paragraph" w:customStyle="1" w:styleId="1664">
    <w:name w:val="plaintext"/>
    <w:basedOn w:val="1"/>
    <w:qFormat/>
    <w:uiPriority w:val="0"/>
    <w:pPr>
      <w:widowControl/>
      <w:spacing w:before="100" w:beforeAutospacing="1" w:after="100" w:afterAutospacing="1"/>
      <w:jc w:val="left"/>
    </w:pPr>
    <w:rPr>
      <w:rFonts w:ascii="宋体" w:hAnsi="宋体"/>
      <w:color w:val="000000"/>
      <w:kern w:val="0"/>
      <w:sz w:val="24"/>
      <w:szCs w:val="20"/>
    </w:rPr>
  </w:style>
  <w:style w:type="paragraph" w:customStyle="1" w:styleId="1665">
    <w:name w:val="文4"/>
    <w:basedOn w:val="1"/>
    <w:qFormat/>
    <w:uiPriority w:val="0"/>
    <w:pPr>
      <w:widowControl/>
      <w:tabs>
        <w:tab w:val="left" w:pos="540"/>
        <w:tab w:val="left" w:pos="1080"/>
      </w:tabs>
      <w:adjustRightInd w:val="0"/>
      <w:spacing w:line="500" w:lineRule="atLeast"/>
      <w:ind w:left="540" w:hanging="540"/>
      <w:jc w:val="left"/>
      <w:textAlignment w:val="baseline"/>
    </w:pPr>
    <w:rPr>
      <w:rFonts w:ascii="宋体" w:hAnsi="宋体"/>
      <w:kern w:val="0"/>
      <w:sz w:val="28"/>
      <w:szCs w:val="20"/>
    </w:rPr>
  </w:style>
  <w:style w:type="paragraph" w:customStyle="1" w:styleId="1666">
    <w:name w:val="样式 正文文本缩进 + 左侧:  2 字符"/>
    <w:basedOn w:val="1"/>
    <w:qFormat/>
    <w:uiPriority w:val="0"/>
    <w:pPr>
      <w:tabs>
        <w:tab w:val="left" w:pos="0"/>
      </w:tabs>
      <w:jc w:val="left"/>
    </w:pPr>
    <w:rPr>
      <w:sz w:val="28"/>
      <w:szCs w:val="20"/>
    </w:rPr>
  </w:style>
  <w:style w:type="paragraph" w:customStyle="1" w:styleId="1667">
    <w:name w:val="样式 样式 正文（首行缩进两字） Char Char + 段前: 0.27 行 段后: 0.27 行 + 首行缩进:  2 字符"/>
    <w:basedOn w:val="1"/>
    <w:qFormat/>
    <w:uiPriority w:val="0"/>
    <w:pPr>
      <w:autoSpaceDE w:val="0"/>
      <w:autoSpaceDN w:val="0"/>
      <w:adjustRightInd w:val="0"/>
      <w:snapToGrid w:val="0"/>
      <w:spacing w:line="440" w:lineRule="exact"/>
      <w:ind w:firstLine="200" w:firstLineChars="200"/>
      <w:jc w:val="left"/>
    </w:pPr>
    <w:rPr>
      <w:sz w:val="24"/>
      <w:szCs w:val="20"/>
    </w:rPr>
  </w:style>
  <w:style w:type="paragraph" w:customStyle="1" w:styleId="1668">
    <w:name w:val="分标题"/>
    <w:basedOn w:val="1"/>
    <w:next w:val="1"/>
    <w:qFormat/>
    <w:uiPriority w:val="99"/>
    <w:pPr>
      <w:widowControl/>
      <w:adjustRightInd w:val="0"/>
      <w:spacing w:before="50" w:line="480" w:lineRule="atLeast"/>
      <w:ind w:firstLine="560" w:firstLineChars="200"/>
      <w:textAlignment w:val="baseline"/>
    </w:pPr>
    <w:rPr>
      <w:rFonts w:ascii="宋体" w:eastAsia="仿宋_GB2312"/>
      <w:color w:val="000000"/>
      <w:sz w:val="28"/>
      <w:szCs w:val="20"/>
    </w:rPr>
  </w:style>
  <w:style w:type="character" w:customStyle="1" w:styleId="1669">
    <w:name w:val="公正文 Char"/>
    <w:link w:val="1525"/>
    <w:qFormat/>
    <w:uiPriority w:val="0"/>
    <w:rPr>
      <w:rFonts w:ascii="宋体" w:hAnsi="宋体" w:eastAsia="仿宋_GB2312"/>
      <w:kern w:val="2"/>
      <w:sz w:val="28"/>
      <w:szCs w:val="22"/>
    </w:rPr>
  </w:style>
  <w:style w:type="paragraph" w:customStyle="1" w:styleId="1670">
    <w:name w:val="公标题1"/>
    <w:basedOn w:val="1"/>
    <w:link w:val="1671"/>
    <w:qFormat/>
    <w:uiPriority w:val="0"/>
    <w:pPr>
      <w:adjustRightInd w:val="0"/>
      <w:snapToGrid w:val="0"/>
      <w:spacing w:before="70" w:beforeLines="70" w:after="70" w:afterLines="70" w:line="355" w:lineRule="auto"/>
      <w:outlineLvl w:val="0"/>
    </w:pPr>
    <w:rPr>
      <w:rFonts w:ascii="Swis721 BT" w:hAnsi="Swis721 BT" w:eastAsia="黑体"/>
      <w:sz w:val="36"/>
      <w:szCs w:val="21"/>
      <w:lang w:val="zh-CN"/>
    </w:rPr>
  </w:style>
  <w:style w:type="character" w:customStyle="1" w:styleId="1671">
    <w:name w:val="公标题1 Char"/>
    <w:link w:val="1670"/>
    <w:qFormat/>
    <w:uiPriority w:val="0"/>
    <w:rPr>
      <w:rFonts w:ascii="Swis721 BT" w:hAnsi="Swis721 BT" w:eastAsia="黑体"/>
      <w:kern w:val="2"/>
      <w:sz w:val="36"/>
      <w:szCs w:val="21"/>
      <w:lang w:val="zh-CN" w:eastAsia="zh-CN"/>
    </w:rPr>
  </w:style>
  <w:style w:type="paragraph" w:customStyle="1" w:styleId="1672">
    <w:name w:val="公标题2"/>
    <w:basedOn w:val="1670"/>
    <w:link w:val="1673"/>
    <w:qFormat/>
    <w:uiPriority w:val="0"/>
    <w:pPr>
      <w:spacing w:before="50" w:beforeLines="50" w:after="50" w:afterLines="50"/>
      <w:outlineLvl w:val="1"/>
    </w:pPr>
    <w:rPr>
      <w:sz w:val="32"/>
    </w:rPr>
  </w:style>
  <w:style w:type="character" w:customStyle="1" w:styleId="1673">
    <w:name w:val="公标题2 Char"/>
    <w:link w:val="1672"/>
    <w:qFormat/>
    <w:uiPriority w:val="0"/>
    <w:rPr>
      <w:rFonts w:ascii="Swis721 BT" w:hAnsi="Swis721 BT" w:eastAsia="黑体"/>
      <w:kern w:val="2"/>
      <w:sz w:val="32"/>
      <w:szCs w:val="21"/>
      <w:lang w:val="zh-CN" w:eastAsia="zh-CN"/>
    </w:rPr>
  </w:style>
  <w:style w:type="paragraph" w:customStyle="1" w:styleId="1674">
    <w:name w:val="公标题3"/>
    <w:basedOn w:val="1672"/>
    <w:link w:val="1675"/>
    <w:qFormat/>
    <w:uiPriority w:val="0"/>
    <w:pPr>
      <w:spacing w:before="30" w:beforeLines="30" w:after="30" w:afterLines="30"/>
      <w:outlineLvl w:val="2"/>
    </w:pPr>
    <w:rPr>
      <w:sz w:val="28"/>
    </w:rPr>
  </w:style>
  <w:style w:type="character" w:customStyle="1" w:styleId="1675">
    <w:name w:val="公标题3 Char"/>
    <w:link w:val="1674"/>
    <w:qFormat/>
    <w:uiPriority w:val="0"/>
    <w:rPr>
      <w:rFonts w:ascii="Swis721 BT" w:hAnsi="Swis721 BT" w:eastAsia="黑体"/>
      <w:kern w:val="2"/>
      <w:sz w:val="28"/>
      <w:szCs w:val="21"/>
      <w:lang w:val="zh-CN" w:eastAsia="zh-CN"/>
    </w:rPr>
  </w:style>
  <w:style w:type="paragraph" w:customStyle="1" w:styleId="1676">
    <w:name w:val="公标题4"/>
    <w:basedOn w:val="1674"/>
    <w:link w:val="1677"/>
    <w:qFormat/>
    <w:uiPriority w:val="0"/>
    <w:pPr>
      <w:spacing w:before="0" w:beforeLines="0" w:after="0" w:afterLines="0"/>
      <w:outlineLvl w:val="3"/>
    </w:pPr>
    <w:rPr>
      <w:rFonts w:ascii="Swis721 Lt BT" w:hAnsi="Swis721 Lt BT" w:eastAsia="方正细黑一简体"/>
    </w:rPr>
  </w:style>
  <w:style w:type="character" w:customStyle="1" w:styleId="1677">
    <w:name w:val="公标题4 Char"/>
    <w:link w:val="1676"/>
    <w:qFormat/>
    <w:uiPriority w:val="0"/>
    <w:rPr>
      <w:rFonts w:ascii="Swis721 Lt BT" w:hAnsi="Swis721 Lt BT" w:eastAsia="方正细黑一简体"/>
      <w:kern w:val="2"/>
      <w:sz w:val="28"/>
      <w:szCs w:val="21"/>
      <w:lang w:val="zh-CN" w:eastAsia="zh-CN"/>
    </w:rPr>
  </w:style>
  <w:style w:type="paragraph" w:customStyle="1" w:styleId="1678">
    <w:name w:val="公表头"/>
    <w:basedOn w:val="1525"/>
    <w:link w:val="1679"/>
    <w:qFormat/>
    <w:uiPriority w:val="0"/>
    <w:pPr>
      <w:spacing w:line="300" w:lineRule="auto"/>
      <w:ind w:firstLine="100" w:firstLineChars="100"/>
    </w:pPr>
    <w:rPr>
      <w:rFonts w:ascii="黑体" w:eastAsia="黑体"/>
      <w:sz w:val="24"/>
      <w:szCs w:val="24"/>
      <w:lang w:val="zh-CN"/>
    </w:rPr>
  </w:style>
  <w:style w:type="character" w:customStyle="1" w:styleId="1679">
    <w:name w:val="公表头 Char"/>
    <w:link w:val="1678"/>
    <w:qFormat/>
    <w:uiPriority w:val="0"/>
    <w:rPr>
      <w:rFonts w:ascii="黑体" w:hAnsi="宋体" w:eastAsia="黑体"/>
      <w:kern w:val="2"/>
      <w:sz w:val="24"/>
      <w:szCs w:val="24"/>
      <w:lang w:val="zh-CN" w:eastAsia="zh-CN"/>
    </w:rPr>
  </w:style>
  <w:style w:type="paragraph" w:customStyle="1" w:styleId="1680">
    <w:name w:val="公表注"/>
    <w:basedOn w:val="1"/>
    <w:qFormat/>
    <w:uiPriority w:val="0"/>
    <w:pPr>
      <w:adjustRightInd w:val="0"/>
      <w:snapToGrid w:val="0"/>
      <w:ind w:firstLine="200" w:firstLineChars="200"/>
    </w:pPr>
    <w:rPr>
      <w:rFonts w:ascii="宋体" w:hAnsi="宋体" w:eastAsia="楷体_GB2312"/>
    </w:rPr>
  </w:style>
  <w:style w:type="paragraph" w:customStyle="1" w:styleId="1681">
    <w:name w:val="公标题5"/>
    <w:basedOn w:val="1676"/>
    <w:link w:val="1682"/>
    <w:qFormat/>
    <w:uiPriority w:val="0"/>
    <w:pPr>
      <w:outlineLvl w:val="4"/>
    </w:pPr>
    <w:rPr>
      <w:szCs w:val="24"/>
    </w:rPr>
  </w:style>
  <w:style w:type="character" w:customStyle="1" w:styleId="1682">
    <w:name w:val="公标题5 Char"/>
    <w:link w:val="1681"/>
    <w:qFormat/>
    <w:uiPriority w:val="0"/>
    <w:rPr>
      <w:rFonts w:ascii="Swis721 Lt BT" w:hAnsi="Swis721 Lt BT" w:eastAsia="方正细黑一简体"/>
      <w:kern w:val="2"/>
      <w:sz w:val="28"/>
      <w:szCs w:val="24"/>
      <w:lang w:val="zh-CN" w:eastAsia="zh-CN"/>
    </w:rPr>
  </w:style>
  <w:style w:type="paragraph" w:customStyle="1" w:styleId="1683">
    <w:name w:val="公表文"/>
    <w:basedOn w:val="1678"/>
    <w:link w:val="1684"/>
    <w:qFormat/>
    <w:uiPriority w:val="0"/>
    <w:pPr>
      <w:spacing w:before="20" w:beforeLines="20" w:after="20" w:afterLines="20" w:line="240" w:lineRule="auto"/>
      <w:ind w:firstLine="0" w:firstLineChars="0"/>
      <w:jc w:val="center"/>
    </w:pPr>
    <w:rPr>
      <w:rFonts w:ascii="宋体" w:eastAsia="楷体_GB2312"/>
      <w:sz w:val="21"/>
    </w:rPr>
  </w:style>
  <w:style w:type="character" w:customStyle="1" w:styleId="1684">
    <w:name w:val="公表文 Char"/>
    <w:link w:val="1683"/>
    <w:qFormat/>
    <w:uiPriority w:val="0"/>
    <w:rPr>
      <w:rFonts w:ascii="宋体" w:hAnsi="宋体" w:eastAsia="楷体_GB2312"/>
      <w:kern w:val="2"/>
      <w:sz w:val="21"/>
      <w:szCs w:val="24"/>
      <w:lang w:val="zh-CN" w:eastAsia="zh-CN"/>
    </w:rPr>
  </w:style>
  <w:style w:type="paragraph" w:customStyle="1" w:styleId="1685">
    <w:name w:val="公图名"/>
    <w:basedOn w:val="1680"/>
    <w:qFormat/>
    <w:uiPriority w:val="0"/>
    <w:pPr>
      <w:ind w:firstLine="0" w:firstLineChars="0"/>
      <w:jc w:val="center"/>
    </w:pPr>
    <w:rPr>
      <w:rFonts w:ascii="黑体" w:eastAsia="黑体"/>
      <w:sz w:val="24"/>
    </w:rPr>
  </w:style>
  <w:style w:type="paragraph" w:customStyle="1" w:styleId="1686">
    <w:name w:val="公图注"/>
    <w:basedOn w:val="1525"/>
    <w:qFormat/>
    <w:uiPriority w:val="0"/>
    <w:pPr>
      <w:spacing w:before="20" w:beforeLines="20" w:after="20" w:afterLines="20" w:line="240" w:lineRule="auto"/>
      <w:ind w:firstLine="0" w:firstLineChars="0"/>
      <w:jc w:val="center"/>
    </w:pPr>
    <w:rPr>
      <w:rFonts w:eastAsia="楷体_GB2312"/>
      <w:sz w:val="21"/>
      <w:szCs w:val="24"/>
      <w:lang w:val="zh-CN"/>
    </w:rPr>
  </w:style>
  <w:style w:type="paragraph" w:customStyle="1" w:styleId="1687">
    <w:name w:val="表5号字"/>
    <w:qFormat/>
    <w:uiPriority w:val="0"/>
    <w:pPr>
      <w:keepNext/>
      <w:widowControl w:val="0"/>
      <w:adjustRightInd w:val="0"/>
      <w:spacing w:before="120" w:line="60" w:lineRule="atLeast"/>
      <w:jc w:val="center"/>
      <w:textAlignment w:val="baseline"/>
    </w:pPr>
    <w:rPr>
      <w:rFonts w:ascii="Times New Roman" w:hAnsi="Times New Roman" w:eastAsia="宋体" w:cs="Times New Roman"/>
      <w:sz w:val="21"/>
      <w:lang w:val="en-US" w:eastAsia="zh-CN" w:bidi="ar-SA"/>
    </w:rPr>
  </w:style>
  <w:style w:type="paragraph" w:customStyle="1" w:styleId="1688">
    <w:name w:val="样式 标题 31.1.1标题03条标题1.1.1小标题白鹤滩标题 3 + 黑体 行距: 固定值 25 磅"/>
    <w:basedOn w:val="5"/>
    <w:qFormat/>
    <w:uiPriority w:val="0"/>
    <w:pPr>
      <w:keepLines w:val="0"/>
      <w:widowControl w:val="0"/>
      <w:numPr>
        <w:ilvl w:val="0"/>
        <w:numId w:val="0"/>
      </w:numPr>
      <w:adjustRightInd/>
      <w:spacing w:before="160" w:after="160" w:line="500" w:lineRule="exact"/>
      <w:ind w:right="-153"/>
      <w:jc w:val="both"/>
      <w:textAlignment w:val="auto"/>
    </w:pPr>
    <w:rPr>
      <w:rFonts w:ascii="黑体" w:cs="宋体"/>
      <w:b/>
      <w:bCs/>
      <w:kern w:val="2"/>
      <w:lang w:val="zh-CN"/>
    </w:rPr>
  </w:style>
  <w:style w:type="paragraph" w:customStyle="1" w:styleId="1689">
    <w:name w:val="标题1q"/>
    <w:basedOn w:val="3"/>
    <w:qFormat/>
    <w:uiPriority w:val="0"/>
    <w:pPr>
      <w:numPr>
        <w:numId w:val="0"/>
      </w:numPr>
      <w:tabs>
        <w:tab w:val="left" w:pos="2322"/>
      </w:tabs>
      <w:spacing w:before="340" w:after="330"/>
      <w:ind w:left="431" w:firstLine="200" w:firstLineChars="200"/>
    </w:pPr>
    <w:rPr>
      <w:rFonts w:ascii="宋体" w:hAnsi="宋体" w:eastAsia="宋体" w:cs="宋体"/>
      <w:szCs w:val="32"/>
      <w:lang w:val="zh-CN"/>
    </w:rPr>
  </w:style>
  <w:style w:type="paragraph" w:customStyle="1" w:styleId="1690">
    <w:name w:val="样式 首行缩进:  2 字符 行距: 固定值 26 磅"/>
    <w:basedOn w:val="1"/>
    <w:next w:val="22"/>
    <w:qFormat/>
    <w:uiPriority w:val="0"/>
    <w:pPr>
      <w:spacing w:line="360" w:lineRule="auto"/>
      <w:ind w:firstLine="560" w:firstLineChars="200"/>
    </w:pPr>
    <w:rPr>
      <w:rFonts w:hAnsi="宋体"/>
      <w:sz w:val="28"/>
      <w:szCs w:val="28"/>
      <w:lang w:val="zh-CN"/>
    </w:rPr>
  </w:style>
  <w:style w:type="paragraph" w:customStyle="1" w:styleId="1691">
    <w:name w:val="样式 标题 7 + 两端对齐 左侧:  0 厘米 首行缩进:  0 厘米"/>
    <w:basedOn w:val="10"/>
    <w:qFormat/>
    <w:uiPriority w:val="0"/>
    <w:pPr>
      <w:keepLines w:val="0"/>
      <w:numPr>
        <w:ilvl w:val="0"/>
        <w:numId w:val="0"/>
      </w:numPr>
      <w:tabs>
        <w:tab w:val="left" w:pos="520"/>
        <w:tab w:val="left" w:pos="5106"/>
      </w:tabs>
      <w:adjustRightInd w:val="0"/>
      <w:snapToGrid w:val="0"/>
      <w:spacing w:before="0" w:after="0" w:line="360" w:lineRule="auto"/>
      <w:ind w:left="200" w:hanging="200" w:hangingChars="200"/>
    </w:pPr>
    <w:rPr>
      <w:rFonts w:ascii="黑体" w:eastAsia="黑体" w:cs="宋体"/>
      <w:b w:val="0"/>
      <w:bCs w:val="0"/>
      <w:color w:val="auto"/>
      <w:lang w:val="zh-CN"/>
    </w:rPr>
  </w:style>
  <w:style w:type="paragraph" w:customStyle="1" w:styleId="1692">
    <w:name w:val="林宝辉 标题4"/>
    <w:basedOn w:val="1"/>
    <w:qFormat/>
    <w:uiPriority w:val="0"/>
    <w:pPr>
      <w:jc w:val="center"/>
    </w:pPr>
    <w:rPr>
      <w:rFonts w:eastAsia="新宋体"/>
      <w:b/>
      <w:kern w:val="0"/>
      <w:szCs w:val="21"/>
    </w:rPr>
  </w:style>
  <w:style w:type="paragraph" w:customStyle="1" w:styleId="1693">
    <w:name w:val="表里"/>
    <w:basedOn w:val="1"/>
    <w:qFormat/>
    <w:uiPriority w:val="0"/>
    <w:pPr>
      <w:adjustRightInd w:val="0"/>
      <w:snapToGrid w:val="0"/>
      <w:jc w:val="center"/>
      <w:outlineLvl w:val="8"/>
    </w:pPr>
    <w:rPr>
      <w:rFonts w:ascii="宋体" w:hAnsi="宋体" w:cs="宋体"/>
      <w:kern w:val="0"/>
      <w:sz w:val="24"/>
      <w:szCs w:val="20"/>
    </w:rPr>
  </w:style>
  <w:style w:type="character" w:customStyle="1" w:styleId="1694">
    <w:name w:val="样式 样式 标题 3条标题1.1.1小标题白鹤滩标题 31.1.1标题033h33rd levelH3l3CT... + Ari... Char"/>
    <w:qFormat/>
    <w:uiPriority w:val="0"/>
    <w:rPr>
      <w:rFonts w:hint="default" w:ascii="Arial" w:hAnsi="Arial" w:eastAsia="黑体" w:cs="Arial"/>
      <w:b/>
      <w:sz w:val="28"/>
      <w:lang w:val="en-US" w:eastAsia="en-US"/>
    </w:rPr>
  </w:style>
  <w:style w:type="paragraph" w:customStyle="1" w:styleId="1695">
    <w:name w:val="报告题目"/>
    <w:basedOn w:val="3"/>
    <w:qFormat/>
    <w:uiPriority w:val="0"/>
    <w:pPr>
      <w:numPr>
        <w:numId w:val="0"/>
      </w:numPr>
      <w:autoSpaceDE w:val="0"/>
      <w:autoSpaceDN w:val="0"/>
      <w:adjustRightInd w:val="0"/>
      <w:spacing w:before="480" w:after="120"/>
      <w:textAlignment w:val="baseline"/>
      <w:outlineLvl w:val="9"/>
    </w:pPr>
    <w:rPr>
      <w:rFonts w:ascii="Arial" w:hAnsi="Arial"/>
      <w:bCs w:val="0"/>
      <w:sz w:val="30"/>
      <w:szCs w:val="20"/>
      <w:lang w:val="zh-CN"/>
    </w:rPr>
  </w:style>
  <w:style w:type="character" w:customStyle="1" w:styleId="1696">
    <w:name w:val="tit2"/>
    <w:qFormat/>
    <w:uiPriority w:val="0"/>
    <w:rPr>
      <w:b/>
      <w:bCs/>
      <w:sz w:val="48"/>
      <w:szCs w:val="48"/>
    </w:rPr>
  </w:style>
  <w:style w:type="character" w:customStyle="1" w:styleId="1697">
    <w:name w:val="内容 Char"/>
    <w:link w:val="1551"/>
    <w:qFormat/>
    <w:uiPriority w:val="99"/>
    <w:rPr>
      <w:kern w:val="2"/>
      <w:sz w:val="28"/>
      <w:lang w:val="zh-CN" w:eastAsia="zh-CN"/>
    </w:rPr>
  </w:style>
  <w:style w:type="paragraph" w:customStyle="1" w:styleId="1698">
    <w:name w:val="样式 !正文 + 首行缩进:  2 字符1"/>
    <w:basedOn w:val="1"/>
    <w:link w:val="1699"/>
    <w:qFormat/>
    <w:uiPriority w:val="0"/>
    <w:pPr>
      <w:snapToGrid w:val="0"/>
      <w:spacing w:line="336" w:lineRule="auto"/>
      <w:ind w:firstLine="480" w:firstLineChars="200"/>
      <w:jc w:val="left"/>
      <w:textAlignment w:val="baseline"/>
    </w:pPr>
    <w:rPr>
      <w:color w:val="000000"/>
      <w:kern w:val="0"/>
      <w:sz w:val="24"/>
      <w:szCs w:val="20"/>
      <w:u w:color="000000"/>
      <w:lang w:val="zh-CN"/>
    </w:rPr>
  </w:style>
  <w:style w:type="character" w:customStyle="1" w:styleId="1699">
    <w:name w:val="样式 !正文 + 首行缩进:  2 字符1 Char"/>
    <w:link w:val="1698"/>
    <w:qFormat/>
    <w:uiPriority w:val="0"/>
    <w:rPr>
      <w:color w:val="000000"/>
      <w:sz w:val="24"/>
      <w:u w:color="000000"/>
      <w:lang w:val="zh-CN" w:eastAsia="zh-CN"/>
    </w:rPr>
  </w:style>
  <w:style w:type="paragraph" w:customStyle="1" w:styleId="1700">
    <w:name w:val="xl90"/>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left"/>
    </w:pPr>
    <w:rPr>
      <w:rFonts w:ascii="宋体" w:hAnsi="宋体" w:cs="宋体"/>
      <w:kern w:val="0"/>
      <w:sz w:val="18"/>
      <w:szCs w:val="18"/>
    </w:rPr>
  </w:style>
  <w:style w:type="paragraph" w:customStyle="1" w:styleId="1701">
    <w:name w:val="xl91"/>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702">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kern w:val="0"/>
      <w:sz w:val="20"/>
      <w:szCs w:val="20"/>
    </w:rPr>
  </w:style>
  <w:style w:type="paragraph" w:customStyle="1" w:styleId="1703">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b/>
      <w:bCs/>
      <w:kern w:val="0"/>
      <w:sz w:val="20"/>
      <w:szCs w:val="20"/>
    </w:rPr>
  </w:style>
  <w:style w:type="paragraph" w:customStyle="1" w:styleId="1704">
    <w:name w:val="xl9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1705">
    <w:name w:val="xl9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kern w:val="0"/>
      <w:sz w:val="18"/>
      <w:szCs w:val="18"/>
    </w:rPr>
  </w:style>
  <w:style w:type="paragraph" w:customStyle="1" w:styleId="1706">
    <w:name w:val="xl9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b/>
      <w:bCs/>
      <w:kern w:val="0"/>
      <w:sz w:val="18"/>
      <w:szCs w:val="18"/>
    </w:rPr>
  </w:style>
  <w:style w:type="paragraph" w:customStyle="1" w:styleId="1707">
    <w:name w:val="xl9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rPr>
  </w:style>
  <w:style w:type="paragraph" w:customStyle="1" w:styleId="1708">
    <w:name w:val="xl9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1709">
    <w:name w:val="xl9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710">
    <w:name w:val="xl1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0"/>
      <w:szCs w:val="20"/>
    </w:rPr>
  </w:style>
  <w:style w:type="paragraph" w:customStyle="1" w:styleId="1711">
    <w:name w:val="xl10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1712">
    <w:name w:val="xl1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1713">
    <w:name w:val="xl10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714">
    <w:name w:val="xl10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1715">
    <w:name w:val="xl10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rPr>
  </w:style>
  <w:style w:type="paragraph" w:customStyle="1" w:styleId="1716">
    <w:name w:val="xl10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rPr>
  </w:style>
  <w:style w:type="paragraph" w:customStyle="1" w:styleId="1717">
    <w:name w:val="xl10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1718">
    <w:name w:val="xl108"/>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left"/>
    </w:pPr>
    <w:rPr>
      <w:rFonts w:ascii="宋体" w:hAnsi="宋体" w:cs="宋体"/>
      <w:kern w:val="0"/>
      <w:sz w:val="24"/>
    </w:rPr>
  </w:style>
  <w:style w:type="paragraph" w:customStyle="1" w:styleId="1719">
    <w:name w:val="xl109"/>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left"/>
    </w:pPr>
    <w:rPr>
      <w:rFonts w:ascii="宋体" w:hAnsi="宋体" w:cs="宋体"/>
      <w:kern w:val="0"/>
      <w:sz w:val="24"/>
    </w:rPr>
  </w:style>
  <w:style w:type="paragraph" w:customStyle="1" w:styleId="1720">
    <w:name w:val="报告书正文 Char Char"/>
    <w:basedOn w:val="1"/>
    <w:link w:val="1721"/>
    <w:qFormat/>
    <w:uiPriority w:val="0"/>
    <w:pPr>
      <w:spacing w:line="300" w:lineRule="auto"/>
      <w:ind w:firstLine="480" w:firstLineChars="200"/>
    </w:pPr>
    <w:rPr>
      <w:color w:val="000000"/>
      <w:sz w:val="24"/>
      <w:lang w:val="zh-CN"/>
    </w:rPr>
  </w:style>
  <w:style w:type="character" w:customStyle="1" w:styleId="1721">
    <w:name w:val="报告书正文 Char Char Char"/>
    <w:link w:val="1720"/>
    <w:qFormat/>
    <w:uiPriority w:val="0"/>
    <w:rPr>
      <w:color w:val="000000"/>
      <w:kern w:val="2"/>
      <w:sz w:val="24"/>
      <w:szCs w:val="24"/>
      <w:lang w:val="zh-CN" w:eastAsia="zh-CN"/>
    </w:rPr>
  </w:style>
  <w:style w:type="paragraph" w:customStyle="1" w:styleId="1722">
    <w:name w:val="耿宝 标题一"/>
    <w:basedOn w:val="3"/>
    <w:link w:val="1725"/>
    <w:qFormat/>
    <w:uiPriority w:val="0"/>
    <w:pPr>
      <w:numPr>
        <w:numId w:val="0"/>
      </w:numPr>
      <w:snapToGrid w:val="0"/>
      <w:spacing w:line="300" w:lineRule="auto"/>
      <w:jc w:val="both"/>
    </w:pPr>
    <w:rPr>
      <w:rFonts w:ascii="黑体"/>
      <w:b/>
      <w:kern w:val="0"/>
      <w:sz w:val="28"/>
      <w:szCs w:val="28"/>
      <w:lang w:val="zh-CN"/>
    </w:rPr>
  </w:style>
  <w:style w:type="character" w:customStyle="1" w:styleId="1723">
    <w:name w:val="耿宝 正文 Char"/>
    <w:link w:val="1660"/>
    <w:qFormat/>
    <w:uiPriority w:val="0"/>
    <w:rPr>
      <w:rFonts w:ascii="宋体" w:hAnsi="Calibri"/>
      <w:kern w:val="2"/>
      <w:sz w:val="28"/>
      <w:szCs w:val="28"/>
      <w:lang w:val="zh-CN" w:eastAsia="zh-CN"/>
    </w:rPr>
  </w:style>
  <w:style w:type="paragraph" w:customStyle="1" w:styleId="1724">
    <w:name w:val="耿宝 标题二"/>
    <w:basedOn w:val="4"/>
    <w:link w:val="1727"/>
    <w:qFormat/>
    <w:uiPriority w:val="0"/>
    <w:pPr>
      <w:numPr>
        <w:ilvl w:val="0"/>
        <w:numId w:val="0"/>
      </w:numPr>
      <w:adjustRightInd/>
      <w:spacing w:line="300" w:lineRule="auto"/>
    </w:pPr>
    <w:rPr>
      <w:rFonts w:ascii="黑体" w:hAnsi="Arial"/>
      <w:kern w:val="0"/>
    </w:rPr>
  </w:style>
  <w:style w:type="character" w:customStyle="1" w:styleId="1725">
    <w:name w:val="耿宝 标题一 Char"/>
    <w:link w:val="1722"/>
    <w:qFormat/>
    <w:uiPriority w:val="0"/>
    <w:rPr>
      <w:rFonts w:ascii="黑体" w:eastAsia="黑体"/>
      <w:b/>
      <w:bCs/>
      <w:sz w:val="28"/>
      <w:szCs w:val="28"/>
      <w:lang w:val="zh-CN" w:eastAsia="zh-CN"/>
    </w:rPr>
  </w:style>
  <w:style w:type="paragraph" w:customStyle="1" w:styleId="1726">
    <w:name w:val="耿宝 标题三"/>
    <w:basedOn w:val="629"/>
    <w:link w:val="1729"/>
    <w:qFormat/>
    <w:uiPriority w:val="0"/>
    <w:pPr>
      <w:ind w:firstLine="0" w:firstLineChars="0"/>
    </w:pPr>
    <w:rPr>
      <w:rFonts w:ascii="宋体"/>
      <w:lang w:val="zh-CN"/>
    </w:rPr>
  </w:style>
  <w:style w:type="character" w:customStyle="1" w:styleId="1727">
    <w:name w:val="耿宝 标题二 Char"/>
    <w:link w:val="1724"/>
    <w:qFormat/>
    <w:uiPriority w:val="0"/>
    <w:rPr>
      <w:rFonts w:ascii="黑体" w:hAnsi="Arial" w:eastAsia="黑体"/>
      <w:bCs/>
      <w:sz w:val="28"/>
      <w:szCs w:val="28"/>
      <w:lang w:val="zh-CN" w:eastAsia="zh-CN"/>
    </w:rPr>
  </w:style>
  <w:style w:type="paragraph" w:customStyle="1" w:styleId="1728">
    <w:name w:val="耿宝 标题四"/>
    <w:basedOn w:val="5"/>
    <w:link w:val="1731"/>
    <w:qFormat/>
    <w:uiPriority w:val="0"/>
    <w:pPr>
      <w:widowControl w:val="0"/>
      <w:numPr>
        <w:ilvl w:val="0"/>
        <w:numId w:val="0"/>
      </w:numPr>
      <w:adjustRightInd/>
      <w:snapToGrid w:val="0"/>
      <w:spacing w:line="300" w:lineRule="auto"/>
      <w:jc w:val="both"/>
      <w:textAlignment w:val="auto"/>
    </w:pPr>
    <w:rPr>
      <w:rFonts w:ascii="宋体" w:eastAsia="宋体"/>
      <w:bCs/>
      <w:color w:val="auto"/>
      <w:szCs w:val="32"/>
      <w:lang w:val="zh-CN"/>
    </w:rPr>
  </w:style>
  <w:style w:type="character" w:customStyle="1" w:styleId="1729">
    <w:name w:val="耿宝 标题三 Char"/>
    <w:link w:val="1726"/>
    <w:qFormat/>
    <w:uiPriority w:val="0"/>
    <w:rPr>
      <w:rFonts w:ascii="宋体" w:eastAsia="仿宋_GB2312" w:cs="宋体"/>
      <w:kern w:val="2"/>
      <w:sz w:val="28"/>
      <w:lang w:val="zh-CN" w:eastAsia="zh-CN"/>
    </w:rPr>
  </w:style>
  <w:style w:type="paragraph" w:customStyle="1" w:styleId="1730">
    <w:name w:val="耿宝 表头"/>
    <w:basedOn w:val="912"/>
    <w:link w:val="1734"/>
    <w:qFormat/>
    <w:uiPriority w:val="0"/>
    <w:pPr>
      <w:adjustRightInd/>
      <w:spacing w:line="300" w:lineRule="auto"/>
      <w:ind w:firstLine="480"/>
      <w:jc w:val="center"/>
    </w:pPr>
    <w:rPr>
      <w:rFonts w:ascii="黑体" w:eastAsia="黑体" w:cs="Times New Roman"/>
      <w:kern w:val="0"/>
      <w:szCs w:val="24"/>
      <w:lang w:val="zh-CN"/>
    </w:rPr>
  </w:style>
  <w:style w:type="character" w:customStyle="1" w:styleId="1731">
    <w:name w:val="耿宝 标题四 Char"/>
    <w:link w:val="1728"/>
    <w:qFormat/>
    <w:uiPriority w:val="0"/>
    <w:rPr>
      <w:rFonts w:ascii="宋体"/>
      <w:bCs/>
      <w:sz w:val="28"/>
      <w:szCs w:val="32"/>
      <w:lang w:val="zh-CN" w:eastAsia="zh-CN"/>
    </w:rPr>
  </w:style>
  <w:style w:type="paragraph" w:customStyle="1" w:styleId="1732">
    <w:name w:val="耿宝  表格文字"/>
    <w:basedOn w:val="81"/>
    <w:link w:val="1735"/>
    <w:qFormat/>
    <w:uiPriority w:val="0"/>
    <w:pPr>
      <w:adjustRightInd w:val="0"/>
      <w:snapToGrid w:val="0"/>
      <w:spacing w:before="0" w:beforeAutospacing="0" w:after="0" w:afterAutospacing="0"/>
      <w:jc w:val="center"/>
    </w:pPr>
    <w:rPr>
      <w:sz w:val="21"/>
      <w:szCs w:val="21"/>
      <w:lang w:val="zh-CN"/>
    </w:rPr>
  </w:style>
  <w:style w:type="character" w:customStyle="1" w:styleId="1733">
    <w:name w:val="样式 首行缩进:  2 字符1 Char"/>
    <w:link w:val="912"/>
    <w:qFormat/>
    <w:uiPriority w:val="0"/>
    <w:rPr>
      <w:rFonts w:ascii="宋体" w:cs="宋体"/>
      <w:kern w:val="2"/>
      <w:sz w:val="24"/>
    </w:rPr>
  </w:style>
  <w:style w:type="character" w:customStyle="1" w:styleId="1734">
    <w:name w:val="耿宝 标题五 Char"/>
    <w:link w:val="1730"/>
    <w:qFormat/>
    <w:uiPriority w:val="0"/>
    <w:rPr>
      <w:rFonts w:ascii="黑体" w:eastAsia="黑体" w:cs="宋体"/>
      <w:kern w:val="2"/>
      <w:sz w:val="24"/>
      <w:szCs w:val="24"/>
      <w:lang w:val="zh-CN" w:eastAsia="zh-CN"/>
    </w:rPr>
  </w:style>
  <w:style w:type="character" w:customStyle="1" w:styleId="1735">
    <w:name w:val="耿宝  表格文字 Char"/>
    <w:link w:val="1732"/>
    <w:qFormat/>
    <w:uiPriority w:val="0"/>
    <w:rPr>
      <w:rFonts w:ascii="宋体" w:hAnsi="宋体" w:cs="宋体"/>
      <w:sz w:val="21"/>
      <w:szCs w:val="21"/>
      <w:lang w:val="zh-CN" w:eastAsia="zh-CN"/>
    </w:rPr>
  </w:style>
  <w:style w:type="paragraph" w:customStyle="1" w:styleId="1736">
    <w:name w:val="扉页"/>
    <w:qFormat/>
    <w:uiPriority w:val="0"/>
    <w:rPr>
      <w:rFonts w:ascii="Times New Roman" w:hAnsi="Times New Roman" w:eastAsia="宋体" w:cs="Times New Roman"/>
      <w:kern w:val="2"/>
      <w:sz w:val="21"/>
      <w:szCs w:val="24"/>
      <w:lang w:val="en-US" w:eastAsia="zh-CN" w:bidi="ar-SA"/>
    </w:rPr>
  </w:style>
  <w:style w:type="paragraph" w:customStyle="1" w:styleId="1737">
    <w:name w:val="总院"/>
    <w:basedOn w:val="1"/>
    <w:qFormat/>
    <w:uiPriority w:val="99"/>
    <w:pPr>
      <w:adjustRightInd w:val="0"/>
      <w:snapToGrid w:val="0"/>
      <w:spacing w:line="300" w:lineRule="auto"/>
      <w:ind w:firstLine="560" w:firstLineChars="200"/>
    </w:pPr>
    <w:rPr>
      <w:rFonts w:ascii="宋体" w:hAnsi="宋体"/>
      <w:bCs/>
      <w:sz w:val="28"/>
      <w:szCs w:val="28"/>
      <w:lang w:val="ru-RU"/>
    </w:rPr>
  </w:style>
  <w:style w:type="paragraph" w:customStyle="1" w:styleId="1738">
    <w:name w:val="总院表格"/>
    <w:basedOn w:val="1"/>
    <w:next w:val="1"/>
    <w:qFormat/>
    <w:uiPriority w:val="99"/>
    <w:pPr>
      <w:snapToGrid w:val="0"/>
      <w:spacing w:before="46" w:beforeLines="15" w:after="31" w:afterLines="10"/>
      <w:jc w:val="center"/>
    </w:pPr>
    <w:rPr>
      <w:rFonts w:ascii="宋体" w:hAnsi="宋体"/>
      <w:color w:val="000000"/>
      <w:sz w:val="24"/>
    </w:rPr>
  </w:style>
  <w:style w:type="paragraph" w:customStyle="1" w:styleId="1739">
    <w:name w:val="项目名称"/>
    <w:basedOn w:val="1"/>
    <w:qFormat/>
    <w:uiPriority w:val="0"/>
    <w:pPr>
      <w:adjustRightInd w:val="0"/>
      <w:snapToGrid w:val="0"/>
      <w:spacing w:line="360" w:lineRule="auto"/>
      <w:jc w:val="center"/>
    </w:pPr>
    <w:rPr>
      <w:rFonts w:ascii="文鼎大标宋简" w:eastAsia="文鼎大标宋简"/>
      <w:sz w:val="56"/>
      <w:szCs w:val="20"/>
    </w:rPr>
  </w:style>
  <w:style w:type="character" w:customStyle="1" w:styleId="1740">
    <w:name w:val="readmail_locationtip"/>
    <w:qFormat/>
    <w:uiPriority w:val="0"/>
  </w:style>
  <w:style w:type="paragraph" w:customStyle="1" w:styleId="1741">
    <w:name w:val="正文 New"/>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742">
    <w:name w:val="标题二"/>
    <w:basedOn w:val="1"/>
    <w:next w:val="1"/>
    <w:link w:val="1858"/>
    <w:qFormat/>
    <w:uiPriority w:val="0"/>
    <w:pPr>
      <w:widowControl/>
      <w:tabs>
        <w:tab w:val="left" w:pos="0"/>
        <w:tab w:val="left" w:pos="1138"/>
      </w:tabs>
      <w:spacing w:before="100" w:beforeLines="100" w:after="100" w:afterLines="100"/>
      <w:ind w:left="1138" w:hanging="576"/>
      <w:jc w:val="left"/>
      <w:outlineLvl w:val="1"/>
    </w:pPr>
    <w:rPr>
      <w:rFonts w:ascii="Calibri" w:hAnsi="Calibri"/>
      <w:b/>
      <w:kern w:val="0"/>
      <w:sz w:val="32"/>
      <w:szCs w:val="21"/>
      <w:lang w:eastAsia="en-US" w:bidi="en-US"/>
    </w:rPr>
  </w:style>
  <w:style w:type="paragraph" w:customStyle="1" w:styleId="1743">
    <w:name w:val="标题三"/>
    <w:basedOn w:val="1"/>
    <w:next w:val="1"/>
    <w:link w:val="2144"/>
    <w:qFormat/>
    <w:uiPriority w:val="0"/>
    <w:pPr>
      <w:widowControl/>
      <w:tabs>
        <w:tab w:val="left" w:pos="0"/>
        <w:tab w:val="left" w:pos="1282"/>
      </w:tabs>
      <w:spacing w:before="100" w:beforeAutospacing="1" w:after="100" w:afterAutospacing="1"/>
      <w:ind w:left="1282" w:hanging="720"/>
      <w:jc w:val="left"/>
      <w:outlineLvl w:val="2"/>
    </w:pPr>
    <w:rPr>
      <w:rFonts w:ascii="Calibri" w:hAnsi="Calibri"/>
      <w:b/>
      <w:kern w:val="0"/>
      <w:sz w:val="28"/>
      <w:lang w:eastAsia="en-US" w:bidi="en-US"/>
    </w:rPr>
  </w:style>
  <w:style w:type="paragraph" w:customStyle="1" w:styleId="1744">
    <w:name w:val="样式 样式24 + 首行缩进:  2 字符"/>
    <w:basedOn w:val="1"/>
    <w:qFormat/>
    <w:uiPriority w:val="0"/>
    <w:pPr>
      <w:snapToGrid w:val="0"/>
      <w:spacing w:line="300" w:lineRule="auto"/>
      <w:ind w:firstLine="560" w:firstLineChars="200"/>
    </w:pPr>
    <w:rPr>
      <w:rFonts w:ascii="宋体" w:cs="宋体"/>
      <w:sz w:val="28"/>
      <w:szCs w:val="20"/>
    </w:rPr>
  </w:style>
  <w:style w:type="paragraph" w:customStyle="1" w:styleId="1745">
    <w:name w:val="自动4"/>
    <w:basedOn w:val="1"/>
    <w:link w:val="1746"/>
    <w:qFormat/>
    <w:uiPriority w:val="0"/>
    <w:pPr>
      <w:keepNext/>
      <w:keepLines/>
      <w:tabs>
        <w:tab w:val="left" w:pos="864"/>
      </w:tabs>
      <w:snapToGrid w:val="0"/>
      <w:spacing w:line="300" w:lineRule="auto"/>
      <w:ind w:left="864" w:hanging="864"/>
      <w:outlineLvl w:val="3"/>
    </w:pPr>
    <w:rPr>
      <w:rFonts w:ascii="宋体" w:hAnsi="宋体"/>
      <w:bCs/>
      <w:color w:val="000000"/>
      <w:sz w:val="28"/>
      <w:lang w:val="zh-CN"/>
    </w:rPr>
  </w:style>
  <w:style w:type="character" w:customStyle="1" w:styleId="1746">
    <w:name w:val="自动4 Char"/>
    <w:link w:val="1745"/>
    <w:qFormat/>
    <w:uiPriority w:val="0"/>
    <w:rPr>
      <w:rFonts w:ascii="宋体" w:hAnsi="宋体"/>
      <w:bCs/>
      <w:color w:val="000000"/>
      <w:kern w:val="2"/>
      <w:sz w:val="28"/>
      <w:szCs w:val="24"/>
      <w:lang w:val="zh-CN" w:eastAsia="zh-CN"/>
    </w:rPr>
  </w:style>
  <w:style w:type="paragraph" w:customStyle="1" w:styleId="1747">
    <w:name w:val="角说明"/>
    <w:basedOn w:val="1"/>
    <w:qFormat/>
    <w:uiPriority w:val="0"/>
    <w:rPr>
      <w:spacing w:val="20"/>
      <w:szCs w:val="20"/>
    </w:rPr>
  </w:style>
  <w:style w:type="paragraph" w:customStyle="1" w:styleId="1748">
    <w:name w:val="表字2"/>
    <w:basedOn w:val="1"/>
    <w:qFormat/>
    <w:uiPriority w:val="0"/>
    <w:pPr>
      <w:tabs>
        <w:tab w:val="left" w:pos="1097"/>
        <w:tab w:val="left" w:pos="3647"/>
        <w:tab w:val="left" w:pos="4663"/>
        <w:tab w:val="left" w:pos="6173"/>
        <w:tab w:val="left" w:pos="7730"/>
      </w:tabs>
      <w:adjustRightInd w:val="0"/>
      <w:snapToGrid w:val="0"/>
      <w:spacing w:line="320" w:lineRule="exact"/>
      <w:jc w:val="center"/>
    </w:pPr>
    <w:rPr>
      <w:rFonts w:ascii="宋体"/>
      <w:color w:val="000000"/>
      <w:sz w:val="24"/>
      <w:szCs w:val="20"/>
      <w:lang w:val="zh-CN"/>
    </w:rPr>
  </w:style>
  <w:style w:type="paragraph" w:customStyle="1" w:styleId="1749">
    <w:name w:val="表正文小4"/>
    <w:basedOn w:val="22"/>
    <w:qFormat/>
    <w:uiPriority w:val="0"/>
    <w:pPr>
      <w:tabs>
        <w:tab w:val="left" w:pos="1097"/>
        <w:tab w:val="left" w:pos="3647"/>
        <w:tab w:val="left" w:pos="4663"/>
        <w:tab w:val="left" w:pos="6173"/>
        <w:tab w:val="left" w:pos="7730"/>
      </w:tabs>
      <w:adjustRightInd w:val="0"/>
      <w:spacing w:line="240" w:lineRule="auto"/>
      <w:ind w:firstLine="0" w:firstLineChars="0"/>
      <w:jc w:val="center"/>
      <w:textAlignment w:val="baseline"/>
    </w:pPr>
    <w:rPr>
      <w:kern w:val="0"/>
      <w:szCs w:val="20"/>
      <w:lang w:val="zh-CN"/>
    </w:rPr>
  </w:style>
  <w:style w:type="paragraph" w:customStyle="1" w:styleId="1750">
    <w:name w:val="表格文字3-5号居中"/>
    <w:basedOn w:val="1607"/>
    <w:qFormat/>
    <w:uiPriority w:val="0"/>
    <w:pPr>
      <w:tabs>
        <w:tab w:val="left" w:pos="1097"/>
        <w:tab w:val="left" w:pos="3647"/>
        <w:tab w:val="left" w:pos="4663"/>
        <w:tab w:val="left" w:pos="6173"/>
        <w:tab w:val="left" w:pos="7730"/>
      </w:tabs>
      <w:spacing w:line="240" w:lineRule="auto"/>
    </w:pPr>
    <w:rPr>
      <w:sz w:val="18"/>
      <w:lang w:val="zh-CN"/>
    </w:rPr>
  </w:style>
  <w:style w:type="paragraph" w:customStyle="1" w:styleId="1751">
    <w:name w:val="表格文字2-小4左对齐"/>
    <w:basedOn w:val="1"/>
    <w:qFormat/>
    <w:uiPriority w:val="0"/>
    <w:pPr>
      <w:tabs>
        <w:tab w:val="left" w:pos="1097"/>
        <w:tab w:val="left" w:pos="3647"/>
        <w:tab w:val="left" w:pos="4663"/>
        <w:tab w:val="left" w:pos="6173"/>
        <w:tab w:val="left" w:pos="7730"/>
      </w:tabs>
      <w:snapToGrid w:val="0"/>
      <w:spacing w:line="300" w:lineRule="auto"/>
      <w:jc w:val="left"/>
    </w:pPr>
    <w:rPr>
      <w:rFonts w:ascii="宋体"/>
      <w:sz w:val="24"/>
      <w:lang w:val="zh-CN"/>
    </w:rPr>
  </w:style>
  <w:style w:type="paragraph" w:customStyle="1" w:styleId="1752">
    <w:name w:val="表格文字(右对齐)"/>
    <w:basedOn w:val="1607"/>
    <w:qFormat/>
    <w:uiPriority w:val="0"/>
    <w:pPr>
      <w:tabs>
        <w:tab w:val="left" w:pos="1097"/>
        <w:tab w:val="left" w:pos="3647"/>
        <w:tab w:val="left" w:pos="4663"/>
        <w:tab w:val="left" w:pos="6173"/>
        <w:tab w:val="left" w:pos="7730"/>
      </w:tabs>
      <w:spacing w:line="240" w:lineRule="auto"/>
      <w:jc w:val="right"/>
    </w:pPr>
    <w:rPr>
      <w:lang w:val="zh-CN"/>
    </w:rPr>
  </w:style>
  <w:style w:type="paragraph" w:customStyle="1" w:styleId="1753">
    <w:name w:val="表头-五级标题"/>
    <w:basedOn w:val="1"/>
    <w:qFormat/>
    <w:uiPriority w:val="0"/>
    <w:pPr>
      <w:tabs>
        <w:tab w:val="left" w:pos="1097"/>
        <w:tab w:val="left" w:pos="3647"/>
        <w:tab w:val="left" w:pos="4663"/>
        <w:tab w:val="left" w:pos="6173"/>
        <w:tab w:val="left" w:pos="7730"/>
      </w:tabs>
      <w:snapToGrid w:val="0"/>
      <w:spacing w:before="215" w:beforeLines="50" w:line="300" w:lineRule="auto"/>
      <w:jc w:val="center"/>
      <w:outlineLvl w:val="4"/>
    </w:pPr>
    <w:rPr>
      <w:rFonts w:ascii="黑体" w:hAnsi="宋体" w:eastAsia="黑体"/>
      <w:sz w:val="24"/>
      <w:lang w:val="zh-CN"/>
    </w:rPr>
  </w:style>
  <w:style w:type="paragraph" w:customStyle="1" w:styleId="1754">
    <w:name w:val="林宝辉"/>
    <w:basedOn w:val="1"/>
    <w:qFormat/>
    <w:uiPriority w:val="0"/>
    <w:pPr>
      <w:adjustRightInd w:val="0"/>
      <w:snapToGrid w:val="0"/>
      <w:spacing w:line="300" w:lineRule="auto"/>
      <w:ind w:firstLine="179" w:firstLineChars="64"/>
      <w:outlineLvl w:val="2"/>
    </w:pPr>
    <w:rPr>
      <w:rFonts w:ascii="宋体" w:hAnsi="宋体"/>
      <w:sz w:val="28"/>
      <w:szCs w:val="28"/>
    </w:rPr>
  </w:style>
  <w:style w:type="paragraph" w:customStyle="1" w:styleId="1755">
    <w:name w:val="徐水营"/>
    <w:basedOn w:val="1"/>
    <w:qFormat/>
    <w:uiPriority w:val="0"/>
    <w:pPr>
      <w:tabs>
        <w:tab w:val="left" w:pos="1260"/>
      </w:tabs>
      <w:spacing w:before="120" w:beforeLines="50" w:after="120" w:afterLines="50" w:line="360" w:lineRule="auto"/>
      <w:ind w:left="1260" w:hanging="420"/>
      <w:outlineLvl w:val="3"/>
    </w:pPr>
    <w:rPr>
      <w:b/>
      <w:sz w:val="28"/>
      <w:szCs w:val="28"/>
    </w:rPr>
  </w:style>
  <w:style w:type="paragraph" w:customStyle="1" w:styleId="1756">
    <w:name w:val="京唐秦正文2"/>
    <w:basedOn w:val="1"/>
    <w:next w:val="1"/>
    <w:qFormat/>
    <w:uiPriority w:val="0"/>
    <w:pPr>
      <w:tabs>
        <w:tab w:val="left" w:pos="700"/>
      </w:tabs>
      <w:snapToGrid w:val="0"/>
      <w:spacing w:before="190" w:beforeLines="50" w:line="360" w:lineRule="auto"/>
      <w:ind w:firstLine="424" w:firstLineChars="200"/>
      <w:jc w:val="left"/>
    </w:pPr>
    <w:rPr>
      <w:bCs/>
      <w:kern w:val="0"/>
      <w:sz w:val="24"/>
      <w:lang w:eastAsia="en-US"/>
    </w:rPr>
  </w:style>
  <w:style w:type="character" w:customStyle="1" w:styleId="1757">
    <w:name w:val="splatinname1"/>
    <w:qFormat/>
    <w:uiPriority w:val="0"/>
    <w:rPr>
      <w:b/>
      <w:bCs/>
      <w:color w:val="006600"/>
    </w:rPr>
  </w:style>
  <w:style w:type="character" w:customStyle="1" w:styleId="1758">
    <w:name w:val="列表段落 字符"/>
    <w:link w:val="241"/>
    <w:qFormat/>
    <w:uiPriority w:val="34"/>
    <w:rPr>
      <w:kern w:val="2"/>
      <w:sz w:val="21"/>
      <w:szCs w:val="24"/>
    </w:rPr>
  </w:style>
  <w:style w:type="character" w:customStyle="1" w:styleId="1759">
    <w:name w:val="unnamed21"/>
    <w:qFormat/>
    <w:uiPriority w:val="0"/>
    <w:rPr>
      <w:color w:val="006600"/>
      <w:sz w:val="21"/>
      <w:szCs w:val="21"/>
      <w:u w:val="none"/>
    </w:rPr>
  </w:style>
  <w:style w:type="character" w:customStyle="1" w:styleId="1760">
    <w:name w:val="t2"/>
    <w:qFormat/>
    <w:uiPriority w:val="0"/>
  </w:style>
  <w:style w:type="character" w:customStyle="1" w:styleId="1761">
    <w:name w:val="表格右 Char"/>
    <w:qFormat/>
    <w:uiPriority w:val="0"/>
    <w:rPr>
      <w:rFonts w:ascii="宋体" w:hAnsi="宋体" w:eastAsia="宋体"/>
      <w:color w:val="0000FF"/>
      <w:kern w:val="2"/>
      <w:sz w:val="21"/>
      <w:lang w:val="en-US" w:eastAsia="zh-CN"/>
    </w:rPr>
  </w:style>
  <w:style w:type="character" w:customStyle="1" w:styleId="1762">
    <w:name w:val="样式 (西文) 宋体 四号"/>
    <w:qFormat/>
    <w:uiPriority w:val="0"/>
    <w:rPr>
      <w:rFonts w:ascii="宋体" w:hAnsi="宋体" w:eastAsia="宋体"/>
      <w:b/>
      <w:sz w:val="28"/>
      <w:szCs w:val="28"/>
      <w:lang w:val="en-US" w:eastAsia="zh-CN" w:bidi="ar-SA"/>
    </w:rPr>
  </w:style>
  <w:style w:type="character" w:customStyle="1" w:styleId="1763">
    <w:name w:val="zhengwen1"/>
    <w:qFormat/>
    <w:uiPriority w:val="0"/>
    <w:rPr>
      <w:sz w:val="16"/>
      <w:szCs w:val="16"/>
    </w:rPr>
  </w:style>
  <w:style w:type="paragraph" w:customStyle="1" w:styleId="1764">
    <w:name w:val="Знак Знак11"/>
    <w:basedOn w:val="1"/>
    <w:qFormat/>
    <w:uiPriority w:val="0"/>
    <w:pPr>
      <w:ind w:left="-48"/>
    </w:pPr>
  </w:style>
  <w:style w:type="character" w:customStyle="1" w:styleId="1765">
    <w:name w:val="正文文字1 Char Char1"/>
    <w:qFormat/>
    <w:uiPriority w:val="0"/>
    <w:rPr>
      <w:sz w:val="28"/>
    </w:rPr>
  </w:style>
  <w:style w:type="paragraph" w:customStyle="1" w:styleId="1766">
    <w:name w:val="样式 标题 2 + 小四 居中"/>
    <w:basedOn w:val="4"/>
    <w:qFormat/>
    <w:uiPriority w:val="0"/>
    <w:pPr>
      <w:widowControl/>
      <w:numPr>
        <w:ilvl w:val="0"/>
        <w:numId w:val="0"/>
      </w:numPr>
      <w:adjustRightInd/>
      <w:snapToGrid/>
      <w:spacing w:before="120" w:after="120" w:line="415" w:lineRule="auto"/>
      <w:jc w:val="center"/>
    </w:pPr>
    <w:rPr>
      <w:rFonts w:ascii="Arial" w:hAnsi="Arial"/>
      <w:b/>
      <w:kern w:val="0"/>
      <w:szCs w:val="20"/>
    </w:rPr>
  </w:style>
  <w:style w:type="character" w:customStyle="1" w:styleId="1767">
    <w:name w:val="报告正文 Char Char"/>
    <w:qFormat/>
    <w:uiPriority w:val="0"/>
    <w:rPr>
      <w:rFonts w:ascii="宋体" w:eastAsia="宋体"/>
      <w:kern w:val="2"/>
      <w:sz w:val="28"/>
      <w:lang w:val="en-US" w:eastAsia="zh-CN"/>
    </w:rPr>
  </w:style>
  <w:style w:type="character" w:customStyle="1" w:styleId="1768">
    <w:name w:val="文本块 字符"/>
    <w:link w:val="41"/>
    <w:qFormat/>
    <w:uiPriority w:val="0"/>
    <w:rPr>
      <w:kern w:val="2"/>
      <w:position w:val="-27"/>
      <w:sz w:val="24"/>
    </w:rPr>
  </w:style>
  <w:style w:type="character" w:customStyle="1" w:styleId="1769">
    <w:name w:val="批注引用1"/>
    <w:qFormat/>
    <w:uiPriority w:val="0"/>
    <w:rPr>
      <w:sz w:val="21"/>
      <w:szCs w:val="21"/>
    </w:rPr>
  </w:style>
  <w:style w:type="character" w:customStyle="1" w:styleId="1770">
    <w:name w:val="样式 正文 + Times New Roman Char Char Char Char Char Char Char Char Char Char Char Char Char Char Char Char Char Char Char Char Char Char Char Char Char Char Char Char Char Char Char Char Char Char"/>
    <w:qFormat/>
    <w:uiPriority w:val="0"/>
    <w:rPr>
      <w:rFonts w:ascii="仿宋_GB2312" w:hAnsi="仿宋_GB2312" w:eastAsia="仿宋_GB2312"/>
      <w:kern w:val="2"/>
      <w:sz w:val="30"/>
      <w:szCs w:val="21"/>
      <w:lang w:val="en-US" w:eastAsia="zh-CN"/>
    </w:rPr>
  </w:style>
  <w:style w:type="character" w:customStyle="1" w:styleId="1771">
    <w:name w:val="zdj-6 Char Char"/>
    <w:qFormat/>
    <w:uiPriority w:val="0"/>
    <w:rPr>
      <w:rFonts w:ascii="宋体" w:hAnsi="宋体" w:eastAsia="宋体"/>
      <w:b/>
      <w:kern w:val="2"/>
      <w:sz w:val="21"/>
      <w:lang w:val="en-US" w:eastAsia="zh-CN"/>
    </w:rPr>
  </w:style>
  <w:style w:type="character" w:customStyle="1" w:styleId="1772">
    <w:name w:val="明显参考1"/>
    <w:qFormat/>
    <w:uiPriority w:val="0"/>
    <w:rPr>
      <w:b/>
      <w:sz w:val="24"/>
      <w:u w:val="single"/>
    </w:rPr>
  </w:style>
  <w:style w:type="character" w:customStyle="1" w:styleId="1773">
    <w:name w:val="明显强调1"/>
    <w:qFormat/>
    <w:uiPriority w:val="0"/>
    <w:rPr>
      <w:b/>
      <w:i/>
      <w:sz w:val="24"/>
      <w:szCs w:val="24"/>
      <w:u w:val="single"/>
    </w:rPr>
  </w:style>
  <w:style w:type="character" w:customStyle="1" w:styleId="1774">
    <w:name w:val="书籍标题1"/>
    <w:qFormat/>
    <w:uiPriority w:val="0"/>
    <w:rPr>
      <w:rFonts w:ascii="Cambria" w:hAnsi="Cambria" w:eastAsia="宋体"/>
      <w:b/>
      <w:i/>
      <w:sz w:val="24"/>
      <w:szCs w:val="24"/>
    </w:rPr>
  </w:style>
  <w:style w:type="character" w:customStyle="1" w:styleId="1775">
    <w:name w:val="不明显参考1"/>
    <w:qFormat/>
    <w:uiPriority w:val="0"/>
    <w:rPr>
      <w:sz w:val="24"/>
      <w:szCs w:val="24"/>
      <w:u w:val="single"/>
    </w:rPr>
  </w:style>
  <w:style w:type="character" w:customStyle="1" w:styleId="1776">
    <w:name w:val="明显引用 Char"/>
    <w:link w:val="1777"/>
    <w:qFormat/>
    <w:uiPriority w:val="0"/>
    <w:rPr>
      <w:b/>
      <w:i/>
      <w:sz w:val="24"/>
    </w:rPr>
  </w:style>
  <w:style w:type="paragraph" w:customStyle="1" w:styleId="1777">
    <w:name w:val="明显引用1"/>
    <w:basedOn w:val="1"/>
    <w:next w:val="1"/>
    <w:link w:val="1776"/>
    <w:qFormat/>
    <w:uiPriority w:val="0"/>
    <w:pPr>
      <w:widowControl/>
      <w:ind w:left="720" w:right="720"/>
      <w:jc w:val="left"/>
    </w:pPr>
    <w:rPr>
      <w:b/>
      <w:i/>
      <w:kern w:val="0"/>
      <w:sz w:val="24"/>
      <w:szCs w:val="20"/>
    </w:rPr>
  </w:style>
  <w:style w:type="character" w:customStyle="1" w:styleId="1778">
    <w:name w:val="不明显强调1"/>
    <w:qFormat/>
    <w:uiPriority w:val="0"/>
    <w:rPr>
      <w:i/>
      <w:color w:val="5A5A5A"/>
    </w:rPr>
  </w:style>
  <w:style w:type="paragraph" w:customStyle="1" w:styleId="1779">
    <w:name w:val="样式 正文样式一 + 加粗"/>
    <w:basedOn w:val="1780"/>
    <w:qFormat/>
    <w:uiPriority w:val="0"/>
    <w:rPr>
      <w:bCs/>
      <w:szCs w:val="32"/>
    </w:rPr>
  </w:style>
  <w:style w:type="paragraph" w:customStyle="1" w:styleId="1780">
    <w:name w:val="正文样式一"/>
    <w:basedOn w:val="1"/>
    <w:qFormat/>
    <w:uiPriority w:val="0"/>
    <w:pPr>
      <w:widowControl/>
      <w:ind w:firstLine="200" w:firstLineChars="200"/>
      <w:jc w:val="left"/>
    </w:pPr>
    <w:rPr>
      <w:rFonts w:ascii="Calibri" w:hAnsi="Calibri" w:cs="宋体"/>
      <w:kern w:val="0"/>
      <w:sz w:val="28"/>
      <w:szCs w:val="28"/>
      <w:lang w:eastAsia="en-US"/>
    </w:rPr>
  </w:style>
  <w:style w:type="paragraph" w:customStyle="1" w:styleId="1781">
    <w:name w:val="神农架1"/>
    <w:basedOn w:val="1"/>
    <w:qFormat/>
    <w:uiPriority w:val="0"/>
    <w:pPr>
      <w:widowControl/>
      <w:tabs>
        <w:tab w:val="left" w:pos="0"/>
      </w:tabs>
      <w:spacing w:beforeLines="25" w:afterLines="25"/>
      <w:jc w:val="center"/>
      <w:outlineLvl w:val="0"/>
    </w:pPr>
    <w:rPr>
      <w:rFonts w:ascii="黑体" w:hAnsi="Calibri" w:eastAsia="黑体"/>
      <w:b/>
      <w:bCs/>
      <w:kern w:val="0"/>
      <w:sz w:val="36"/>
      <w:szCs w:val="36"/>
      <w:lang w:eastAsia="en-US"/>
    </w:rPr>
  </w:style>
  <w:style w:type="paragraph" w:customStyle="1" w:styleId="1782">
    <w:name w:val="样式 居中 首行缩进:  0.99 厘米"/>
    <w:basedOn w:val="1"/>
    <w:qFormat/>
    <w:uiPriority w:val="0"/>
    <w:pPr>
      <w:widowControl/>
      <w:jc w:val="center"/>
    </w:pPr>
    <w:rPr>
      <w:rFonts w:ascii="Calibri" w:hAnsi="Calibri" w:cs="宋体"/>
      <w:kern w:val="0"/>
      <w:sz w:val="24"/>
      <w:lang w:eastAsia="en-US"/>
    </w:rPr>
  </w:style>
  <w:style w:type="paragraph" w:customStyle="1" w:styleId="1783">
    <w:name w:val="zdj－正文"/>
    <w:basedOn w:val="1"/>
    <w:qFormat/>
    <w:uiPriority w:val="0"/>
    <w:pPr>
      <w:widowControl/>
      <w:tabs>
        <w:tab w:val="left" w:pos="5416"/>
      </w:tabs>
      <w:spacing w:line="400" w:lineRule="exact"/>
      <w:ind w:firstLine="420" w:firstLineChars="200"/>
      <w:jc w:val="left"/>
    </w:pPr>
    <w:rPr>
      <w:rFonts w:ascii="宋体" w:hAnsi="宋体"/>
      <w:kern w:val="0"/>
      <w:sz w:val="24"/>
      <w:szCs w:val="20"/>
      <w:lang w:eastAsia="en-US"/>
    </w:rPr>
  </w:style>
  <w:style w:type="paragraph" w:customStyle="1" w:styleId="1784">
    <w:name w:val="样式 黑体 四号 加粗"/>
    <w:basedOn w:val="1"/>
    <w:qFormat/>
    <w:uiPriority w:val="0"/>
    <w:pPr>
      <w:widowControl/>
      <w:spacing w:line="360" w:lineRule="auto"/>
      <w:ind w:firstLine="480" w:firstLineChars="200"/>
      <w:jc w:val="left"/>
    </w:pPr>
    <w:rPr>
      <w:rFonts w:ascii="黑体" w:hAnsi="黑体" w:eastAsia="黑体"/>
      <w:kern w:val="0"/>
      <w:sz w:val="28"/>
      <w:szCs w:val="20"/>
      <w:lang w:eastAsia="en-US"/>
    </w:rPr>
  </w:style>
  <w:style w:type="paragraph" w:customStyle="1" w:styleId="1785">
    <w:name w:val="普通(网站)1"/>
    <w:basedOn w:val="1"/>
    <w:qFormat/>
    <w:uiPriority w:val="0"/>
    <w:pPr>
      <w:widowControl/>
      <w:spacing w:before="100" w:beforeAutospacing="1" w:after="100" w:afterAutospacing="1" w:line="320" w:lineRule="atLeast"/>
      <w:ind w:firstLine="480"/>
      <w:jc w:val="left"/>
    </w:pPr>
    <w:rPr>
      <w:rFonts w:ascii="宋体" w:hAnsi="宋体" w:cs="宋体"/>
      <w:kern w:val="0"/>
      <w:sz w:val="22"/>
      <w:szCs w:val="22"/>
      <w:lang w:eastAsia="en-US"/>
    </w:rPr>
  </w:style>
  <w:style w:type="paragraph" w:customStyle="1" w:styleId="1786">
    <w:name w:val="封面"/>
    <w:qFormat/>
    <w:uiPriority w:val="99"/>
    <w:rPr>
      <w:rFonts w:ascii="Times New Roman" w:hAnsi="Times New Roman" w:eastAsia="宋体" w:cs="Times New Roman"/>
      <w:kern w:val="2"/>
      <w:sz w:val="21"/>
      <w:szCs w:val="24"/>
      <w:lang w:val="en-US" w:eastAsia="zh-CN" w:bidi="ar-SA"/>
    </w:rPr>
  </w:style>
  <w:style w:type="paragraph" w:customStyle="1" w:styleId="1787">
    <w:name w:val="扉页责任签"/>
    <w:basedOn w:val="1736"/>
    <w:qFormat/>
    <w:uiPriority w:val="0"/>
    <w:pPr>
      <w:spacing w:line="600" w:lineRule="auto"/>
      <w:ind w:left="400" w:leftChars="400" w:right="250" w:rightChars="250"/>
    </w:pPr>
    <w:rPr>
      <w:rFonts w:eastAsia="仿宋_GB2312"/>
      <w:b/>
      <w:sz w:val="28"/>
    </w:rPr>
  </w:style>
  <w:style w:type="paragraph" w:customStyle="1" w:styleId="1788">
    <w:name w:val="样式表"/>
    <w:basedOn w:val="1"/>
    <w:qFormat/>
    <w:uiPriority w:val="0"/>
    <w:pPr>
      <w:tabs>
        <w:tab w:val="left" w:pos="3446"/>
      </w:tabs>
      <w:adjustRightInd w:val="0"/>
      <w:snapToGrid w:val="0"/>
      <w:spacing w:line="360" w:lineRule="auto"/>
      <w:ind w:left="3446" w:hanging="846"/>
      <w:jc w:val="center"/>
    </w:pPr>
    <w:rPr>
      <w:rFonts w:ascii="宋体" w:eastAsia="黑体"/>
      <w:sz w:val="24"/>
      <w:szCs w:val="20"/>
    </w:rPr>
  </w:style>
  <w:style w:type="paragraph" w:customStyle="1" w:styleId="1789">
    <w:name w:val="正文文本缩进 21"/>
    <w:basedOn w:val="1"/>
    <w:qFormat/>
    <w:uiPriority w:val="99"/>
    <w:pPr>
      <w:widowControl/>
      <w:spacing w:after="120" w:line="480" w:lineRule="auto"/>
      <w:ind w:left="420" w:leftChars="200"/>
      <w:jc w:val="left"/>
    </w:pPr>
    <w:rPr>
      <w:rFonts w:ascii="Calibri" w:hAnsi="Calibri"/>
      <w:kern w:val="0"/>
      <w:sz w:val="24"/>
      <w:lang w:eastAsia="en-US"/>
    </w:rPr>
  </w:style>
  <w:style w:type="paragraph" w:customStyle="1" w:styleId="1790">
    <w:name w:val="western"/>
    <w:basedOn w:val="1"/>
    <w:qFormat/>
    <w:uiPriority w:val="0"/>
    <w:pPr>
      <w:widowControl/>
      <w:spacing w:before="100" w:beforeAutospacing="1" w:after="100" w:afterAutospacing="1"/>
      <w:jc w:val="left"/>
    </w:pPr>
    <w:rPr>
      <w:rFonts w:ascii="宋体" w:hAnsi="宋体" w:cs="宋体"/>
      <w:kern w:val="0"/>
      <w:sz w:val="24"/>
      <w:lang w:eastAsia="en-US"/>
    </w:rPr>
  </w:style>
  <w:style w:type="paragraph" w:customStyle="1" w:styleId="1791">
    <w:name w:val="样式 正文 + Times New Roman Char Char Char Char Char Char Char Char Char Char Char Char Char Char Char Char Char Char Char Char Char Char Char Char Char Char Char Char Char Char"/>
    <w:basedOn w:val="1"/>
    <w:qFormat/>
    <w:uiPriority w:val="0"/>
    <w:pPr>
      <w:widowControl/>
      <w:ind w:firstLine="600" w:firstLineChars="200"/>
      <w:jc w:val="left"/>
    </w:pPr>
    <w:rPr>
      <w:rFonts w:ascii="Calibri" w:hAnsi="Calibri" w:eastAsia="仿宋_GB2312"/>
      <w:kern w:val="0"/>
      <w:sz w:val="30"/>
      <w:szCs w:val="21"/>
      <w:lang w:eastAsia="en-US"/>
    </w:rPr>
  </w:style>
  <w:style w:type="paragraph" w:customStyle="1" w:styleId="1792">
    <w:name w:val="正文文本缩进 31"/>
    <w:basedOn w:val="1"/>
    <w:qFormat/>
    <w:uiPriority w:val="99"/>
    <w:pPr>
      <w:widowControl/>
      <w:spacing w:after="120"/>
      <w:ind w:left="420" w:leftChars="200"/>
      <w:jc w:val="left"/>
    </w:pPr>
    <w:rPr>
      <w:rFonts w:ascii="Calibri" w:hAnsi="Calibri"/>
      <w:kern w:val="0"/>
      <w:sz w:val="16"/>
      <w:szCs w:val="16"/>
      <w:lang w:eastAsia="en-US"/>
    </w:rPr>
  </w:style>
  <w:style w:type="paragraph" w:customStyle="1" w:styleId="1793">
    <w:name w:val="zdj-6"/>
    <w:basedOn w:val="1"/>
    <w:qFormat/>
    <w:uiPriority w:val="0"/>
    <w:pPr>
      <w:widowControl/>
      <w:spacing w:line="360" w:lineRule="auto"/>
      <w:ind w:left="17" w:leftChars="8" w:firstLine="418"/>
      <w:jc w:val="left"/>
      <w:outlineLvl w:val="5"/>
    </w:pPr>
    <w:rPr>
      <w:rFonts w:ascii="宋体" w:hAnsi="宋体"/>
      <w:b/>
      <w:kern w:val="0"/>
      <w:sz w:val="24"/>
      <w:szCs w:val="20"/>
      <w:lang w:eastAsia="en-US"/>
    </w:rPr>
  </w:style>
  <w:style w:type="paragraph" w:customStyle="1" w:styleId="1794">
    <w:name w:val="批注主题1"/>
    <w:basedOn w:val="29"/>
    <w:next w:val="29"/>
    <w:qFormat/>
    <w:uiPriority w:val="0"/>
    <w:rPr>
      <w:rFonts w:ascii="Calibri" w:hAnsi="Calibri"/>
      <w:b/>
      <w:bCs/>
      <w:sz w:val="24"/>
      <w:szCs w:val="24"/>
      <w:lang w:eastAsia="en-US"/>
    </w:rPr>
  </w:style>
  <w:style w:type="paragraph" w:customStyle="1" w:styleId="1795">
    <w:name w:val="zdj-7"/>
    <w:basedOn w:val="1"/>
    <w:qFormat/>
    <w:uiPriority w:val="0"/>
    <w:pPr>
      <w:widowControl/>
      <w:spacing w:line="400" w:lineRule="exact"/>
      <w:ind w:firstLine="436" w:firstLineChars="207"/>
      <w:jc w:val="left"/>
      <w:outlineLvl w:val="6"/>
    </w:pPr>
    <w:rPr>
      <w:rFonts w:ascii="宋体" w:hAnsi="宋体"/>
      <w:b/>
      <w:kern w:val="0"/>
      <w:sz w:val="24"/>
      <w:szCs w:val="20"/>
      <w:lang w:eastAsia="en-US"/>
    </w:rPr>
  </w:style>
  <w:style w:type="paragraph" w:customStyle="1" w:styleId="1796">
    <w:name w:val="日期1"/>
    <w:basedOn w:val="1"/>
    <w:next w:val="1"/>
    <w:qFormat/>
    <w:uiPriority w:val="0"/>
    <w:pPr>
      <w:widowControl/>
      <w:jc w:val="left"/>
    </w:pPr>
    <w:rPr>
      <w:rFonts w:ascii="Calibri" w:hAnsi="Calibri"/>
      <w:kern w:val="0"/>
      <w:sz w:val="24"/>
      <w:szCs w:val="20"/>
      <w:lang w:eastAsia="en-US"/>
    </w:rPr>
  </w:style>
  <w:style w:type="paragraph" w:customStyle="1" w:styleId="1797">
    <w:name w:val="正文11"/>
    <w:basedOn w:val="1"/>
    <w:qFormat/>
    <w:uiPriority w:val="0"/>
    <w:pPr>
      <w:spacing w:after="60" w:line="360" w:lineRule="auto"/>
      <w:ind w:firstLine="200" w:firstLineChars="200"/>
    </w:pPr>
    <w:rPr>
      <w:rFonts w:hAnsi="宋体"/>
      <w:sz w:val="24"/>
    </w:rPr>
  </w:style>
  <w:style w:type="paragraph" w:customStyle="1" w:styleId="1798">
    <w:name w:val="文档结构图1"/>
    <w:basedOn w:val="1"/>
    <w:qFormat/>
    <w:uiPriority w:val="0"/>
    <w:pPr>
      <w:widowControl/>
      <w:shd w:val="clear" w:color="auto" w:fill="000080"/>
      <w:jc w:val="left"/>
    </w:pPr>
    <w:rPr>
      <w:rFonts w:ascii="Calibri" w:hAnsi="Calibri"/>
      <w:kern w:val="0"/>
      <w:sz w:val="24"/>
      <w:lang w:eastAsia="en-US"/>
    </w:rPr>
  </w:style>
  <w:style w:type="paragraph" w:customStyle="1" w:styleId="1799">
    <w:name w:val="样式 标题 4"/>
    <w:basedOn w:val="7"/>
    <w:next w:val="22"/>
    <w:qFormat/>
    <w:uiPriority w:val="0"/>
    <w:pPr>
      <w:keepLines w:val="0"/>
      <w:widowControl/>
      <w:numPr>
        <w:ilvl w:val="0"/>
        <w:numId w:val="0"/>
      </w:numPr>
      <w:adjustRightInd/>
      <w:spacing w:before="100" w:beforeAutospacing="1" w:after="100" w:afterAutospacing="1" w:line="240" w:lineRule="auto"/>
    </w:pPr>
    <w:rPr>
      <w:rFonts w:ascii="黑体" w:hAnsi="Calibri"/>
      <w:bCs w:val="0"/>
      <w:sz w:val="30"/>
      <w:szCs w:val="24"/>
      <w:lang w:val="zh-CN"/>
    </w:rPr>
  </w:style>
  <w:style w:type="paragraph" w:customStyle="1" w:styleId="1800">
    <w:name w:val="扉页标题"/>
    <w:basedOn w:val="1736"/>
    <w:qFormat/>
    <w:uiPriority w:val="0"/>
    <w:pPr>
      <w:jc w:val="center"/>
    </w:pPr>
    <w:rPr>
      <w:b/>
      <w:sz w:val="44"/>
    </w:rPr>
  </w:style>
  <w:style w:type="paragraph" w:customStyle="1" w:styleId="1801">
    <w:name w:val="样式 标题 4 + 段前: 0.25 行 段后: 0.25 行"/>
    <w:basedOn w:val="1"/>
    <w:qFormat/>
    <w:uiPriority w:val="0"/>
    <w:pPr>
      <w:keepNext/>
      <w:keepLines/>
      <w:tabs>
        <w:tab w:val="left" w:pos="1426"/>
      </w:tabs>
      <w:spacing w:beforeLines="25" w:afterLines="25" w:line="360" w:lineRule="auto"/>
      <w:ind w:left="1426" w:hanging="864"/>
      <w:outlineLvl w:val="2"/>
    </w:pPr>
    <w:rPr>
      <w:rFonts w:cs="宋体"/>
      <w:bCs/>
      <w:kern w:val="0"/>
      <w:sz w:val="28"/>
      <w:szCs w:val="20"/>
    </w:rPr>
  </w:style>
  <w:style w:type="paragraph" w:customStyle="1" w:styleId="1802">
    <w:name w:val="图名说明"/>
    <w:basedOn w:val="613"/>
    <w:qFormat/>
    <w:uiPriority w:val="0"/>
    <w:pPr>
      <w:widowControl/>
      <w:spacing w:line="240" w:lineRule="exact"/>
    </w:pPr>
    <w:rPr>
      <w:rFonts w:ascii="宋体" w:hAnsi="Arial" w:eastAsia="宋体" w:cs="Arial"/>
      <w:bCs/>
      <w:szCs w:val="21"/>
    </w:rPr>
  </w:style>
  <w:style w:type="paragraph" w:customStyle="1" w:styleId="1803">
    <w:name w:val="神农架正文"/>
    <w:basedOn w:val="1"/>
    <w:qFormat/>
    <w:uiPriority w:val="0"/>
    <w:pPr>
      <w:widowControl/>
      <w:spacing w:line="360" w:lineRule="auto"/>
      <w:ind w:firstLine="460" w:firstLineChars="200"/>
      <w:jc w:val="left"/>
    </w:pPr>
    <w:rPr>
      <w:rFonts w:ascii="宋体" w:hAnsi="宋体"/>
      <w:spacing w:val="10"/>
      <w:kern w:val="0"/>
      <w:sz w:val="24"/>
      <w:lang w:eastAsia="en-US"/>
    </w:rPr>
  </w:style>
  <w:style w:type="paragraph" w:customStyle="1" w:styleId="1804">
    <w:name w:val="样式su"/>
    <w:basedOn w:val="7"/>
    <w:qFormat/>
    <w:uiPriority w:val="0"/>
    <w:pPr>
      <w:numPr>
        <w:ilvl w:val="0"/>
        <w:numId w:val="0"/>
      </w:numPr>
      <w:tabs>
        <w:tab w:val="left" w:pos="1008"/>
      </w:tabs>
      <w:snapToGrid w:val="0"/>
      <w:ind w:left="1008" w:hanging="441"/>
    </w:pPr>
    <w:rPr>
      <w:rFonts w:ascii="黑体"/>
      <w:bCs w:val="0"/>
      <w:szCs w:val="24"/>
      <w:lang w:val="zh-CN"/>
    </w:rPr>
  </w:style>
  <w:style w:type="paragraph" w:customStyle="1" w:styleId="1805">
    <w:name w:val="样式 正文 + Times New Roman"/>
    <w:basedOn w:val="1"/>
    <w:qFormat/>
    <w:uiPriority w:val="0"/>
    <w:pPr>
      <w:widowControl/>
      <w:ind w:firstLine="600"/>
      <w:jc w:val="left"/>
    </w:pPr>
    <w:rPr>
      <w:rFonts w:ascii="Calibri" w:hAnsi="Calibri" w:eastAsia="仿宋_GB2312"/>
      <w:kern w:val="0"/>
      <w:sz w:val="30"/>
      <w:lang w:eastAsia="en-US"/>
    </w:rPr>
  </w:style>
  <w:style w:type="paragraph" w:customStyle="1" w:styleId="1806">
    <w:name w:val="样式 题目 + 首行缩进:  4 字符"/>
    <w:basedOn w:val="499"/>
    <w:qFormat/>
    <w:uiPriority w:val="0"/>
    <w:pPr>
      <w:widowControl/>
      <w:spacing w:before="100" w:beforeAutospacing="1" w:after="100" w:afterAutospacing="1"/>
    </w:pPr>
    <w:rPr>
      <w:rFonts w:ascii="宋体" w:hAnsi="宋体" w:cs="宋体"/>
      <w:bCs/>
      <w:lang w:eastAsia="en-US"/>
    </w:rPr>
  </w:style>
  <w:style w:type="paragraph" w:customStyle="1" w:styleId="1807">
    <w:name w:val="标题四"/>
    <w:basedOn w:val="1"/>
    <w:next w:val="1780"/>
    <w:qFormat/>
    <w:uiPriority w:val="0"/>
    <w:pPr>
      <w:widowControl/>
      <w:spacing w:before="100" w:beforeAutospacing="1" w:after="100" w:afterAutospacing="1"/>
      <w:ind w:firstLine="200" w:firstLineChars="200"/>
      <w:jc w:val="left"/>
      <w:outlineLvl w:val="3"/>
    </w:pPr>
    <w:rPr>
      <w:rFonts w:ascii="Calibri" w:hAnsi="Calibri" w:eastAsia="黑体"/>
      <w:kern w:val="0"/>
      <w:sz w:val="28"/>
      <w:lang w:eastAsia="en-US"/>
    </w:rPr>
  </w:style>
  <w:style w:type="paragraph" w:customStyle="1" w:styleId="1808">
    <w:name w:val="样式 正文 + Times New Roman1"/>
    <w:basedOn w:val="1"/>
    <w:qFormat/>
    <w:uiPriority w:val="0"/>
    <w:pPr>
      <w:widowControl/>
      <w:ind w:firstLine="600"/>
      <w:jc w:val="left"/>
    </w:pPr>
    <w:rPr>
      <w:rFonts w:ascii="Calibri" w:hAnsi="Calibri" w:eastAsia="仿宋_GB2312"/>
      <w:kern w:val="0"/>
      <w:sz w:val="30"/>
      <w:lang w:eastAsia="en-US"/>
    </w:rPr>
  </w:style>
  <w:style w:type="paragraph" w:customStyle="1" w:styleId="1809">
    <w:name w:val="样式 表格文字 +"/>
    <w:basedOn w:val="136"/>
    <w:link w:val="2347"/>
    <w:qFormat/>
    <w:uiPriority w:val="0"/>
    <w:pPr>
      <w:widowControl/>
      <w:spacing w:line="240" w:lineRule="auto"/>
    </w:pPr>
    <w:rPr>
      <w:kern w:val="0"/>
      <w:sz w:val="21"/>
      <w:lang w:val="zh-CN"/>
    </w:rPr>
  </w:style>
  <w:style w:type="paragraph" w:customStyle="1" w:styleId="1810">
    <w:name w:val="标题5，1 + 两端对齐 首行缩进:  2 字符"/>
    <w:basedOn w:val="1"/>
    <w:qFormat/>
    <w:uiPriority w:val="0"/>
    <w:pPr>
      <w:spacing w:line="360" w:lineRule="auto"/>
      <w:ind w:firstLine="480" w:firstLineChars="200"/>
      <w:outlineLvl w:val="4"/>
    </w:pPr>
    <w:rPr>
      <w:rFonts w:cs="宋体"/>
      <w:sz w:val="24"/>
      <w:szCs w:val="20"/>
    </w:rPr>
  </w:style>
  <w:style w:type="paragraph" w:customStyle="1" w:styleId="1811">
    <w:name w:val="样式 仿宋_GB2312 四号 左 行距: 1.5 倍行距"/>
    <w:basedOn w:val="1"/>
    <w:qFormat/>
    <w:uiPriority w:val="0"/>
    <w:pPr>
      <w:spacing w:line="360" w:lineRule="auto"/>
      <w:ind w:firstLine="560" w:firstLineChars="200"/>
      <w:jc w:val="left"/>
    </w:pPr>
    <w:rPr>
      <w:rFonts w:ascii="仿宋_GB2312" w:hAnsi="仿宋_GB2312" w:eastAsia="仿宋_GB2312" w:cs="宋体"/>
      <w:sz w:val="28"/>
      <w:szCs w:val="20"/>
    </w:rPr>
  </w:style>
  <w:style w:type="paragraph" w:customStyle="1" w:styleId="1812">
    <w:name w:val="封面单位名称"/>
    <w:next w:val="56"/>
    <w:qFormat/>
    <w:uiPriority w:val="0"/>
    <w:pPr>
      <w:spacing w:line="360" w:lineRule="auto"/>
      <w:jc w:val="center"/>
    </w:pPr>
    <w:rPr>
      <w:rFonts w:ascii="仿宋_GB2312" w:hAnsi="宋体" w:eastAsia="仿宋_GB2312" w:cs="Times New Roman"/>
      <w:b/>
      <w:bCs/>
      <w:color w:val="000000"/>
      <w:kern w:val="2"/>
      <w:sz w:val="32"/>
      <w:szCs w:val="32"/>
      <w:lang w:val="en-US" w:eastAsia="zh-CN" w:bidi="ar-SA"/>
    </w:rPr>
  </w:style>
  <w:style w:type="paragraph" w:customStyle="1" w:styleId="1813">
    <w:name w:val="zdj-5"/>
    <w:basedOn w:val="1"/>
    <w:qFormat/>
    <w:uiPriority w:val="0"/>
    <w:pPr>
      <w:widowControl/>
      <w:spacing w:before="156" w:after="156" w:line="400" w:lineRule="exact"/>
      <w:ind w:firstLine="559" w:firstLineChars="199"/>
      <w:jc w:val="left"/>
      <w:outlineLvl w:val="4"/>
    </w:pPr>
    <w:rPr>
      <w:rFonts w:ascii="Calibri" w:hAnsi="Calibri"/>
      <w:b/>
      <w:kern w:val="0"/>
      <w:sz w:val="28"/>
      <w:szCs w:val="20"/>
      <w:lang w:eastAsia="en-US"/>
    </w:rPr>
  </w:style>
  <w:style w:type="paragraph" w:customStyle="1" w:styleId="1814">
    <w:name w:val="五号黑体"/>
    <w:basedOn w:val="1"/>
    <w:qFormat/>
    <w:uiPriority w:val="0"/>
    <w:rPr>
      <w:rFonts w:eastAsia="方正黑体简体"/>
      <w:sz w:val="24"/>
      <w:szCs w:val="20"/>
    </w:rPr>
  </w:style>
  <w:style w:type="paragraph" w:customStyle="1" w:styleId="1815">
    <w:name w:val="样式 样式 标题 3标题 3 Char Char + 段前: 0.25 行 段后: 0.25 行 + 小四 加粗"/>
    <w:basedOn w:val="1"/>
    <w:qFormat/>
    <w:uiPriority w:val="0"/>
    <w:pPr>
      <w:keepNext/>
      <w:keepLines/>
      <w:spacing w:beforeLines="25" w:afterLines="25" w:line="360" w:lineRule="auto"/>
      <w:outlineLvl w:val="2"/>
    </w:pPr>
    <w:rPr>
      <w:rFonts w:cs="宋体"/>
      <w:bCs/>
      <w:sz w:val="24"/>
      <w:szCs w:val="20"/>
    </w:rPr>
  </w:style>
  <w:style w:type="paragraph" w:customStyle="1" w:styleId="1816">
    <w:name w:val="样式 标题 4 + 非加粗 首行缩进:  0.99 厘米"/>
    <w:basedOn w:val="7"/>
    <w:qFormat/>
    <w:uiPriority w:val="0"/>
    <w:pPr>
      <w:keepLines w:val="0"/>
      <w:widowControl/>
      <w:numPr>
        <w:ilvl w:val="0"/>
        <w:numId w:val="0"/>
      </w:numPr>
      <w:adjustRightInd/>
      <w:spacing w:before="100" w:beforeAutospacing="1" w:after="100" w:afterAutospacing="1" w:line="240" w:lineRule="auto"/>
      <w:ind w:firstLine="561"/>
    </w:pPr>
    <w:rPr>
      <w:rFonts w:ascii="黑体" w:hAnsi="Calibri" w:cs="宋体"/>
      <w:bCs w:val="0"/>
      <w:sz w:val="30"/>
      <w:szCs w:val="20"/>
      <w:lang w:val="zh-CN"/>
    </w:rPr>
  </w:style>
  <w:style w:type="paragraph" w:customStyle="1" w:styleId="1817">
    <w:name w:val="样式 正文文字缩进 + 首行缩进:  0.99 厘米"/>
    <w:qFormat/>
    <w:uiPriority w:val="0"/>
    <w:rPr>
      <w:rFonts w:ascii="Calibri" w:hAnsi="Calibri" w:eastAsia="宋体" w:cs="宋体"/>
      <w:sz w:val="30"/>
      <w:lang w:val="en-US" w:eastAsia="en-US" w:bidi="ar-SA"/>
    </w:rPr>
  </w:style>
  <w:style w:type="paragraph" w:customStyle="1" w:styleId="1818">
    <w:name w:val="样式 正文样式一 + 首行缩进:  2 字符"/>
    <w:basedOn w:val="1"/>
    <w:next w:val="1780"/>
    <w:qFormat/>
    <w:uiPriority w:val="0"/>
    <w:pPr>
      <w:widowControl/>
      <w:ind w:firstLine="640" w:firstLineChars="200"/>
      <w:jc w:val="left"/>
    </w:pPr>
    <w:rPr>
      <w:rFonts w:ascii="Calibri" w:hAnsi="Calibri" w:cs="宋体"/>
      <w:kern w:val="0"/>
      <w:sz w:val="28"/>
      <w:szCs w:val="20"/>
      <w:lang w:eastAsia="en-US"/>
    </w:rPr>
  </w:style>
  <w:style w:type="paragraph" w:customStyle="1" w:styleId="1819">
    <w:name w:val="标题 4-1"/>
    <w:basedOn w:val="7"/>
    <w:next w:val="1"/>
    <w:qFormat/>
    <w:uiPriority w:val="0"/>
    <w:pPr>
      <w:keepLines w:val="0"/>
      <w:widowControl/>
      <w:numPr>
        <w:ilvl w:val="0"/>
        <w:numId w:val="0"/>
      </w:numPr>
      <w:adjustRightInd/>
      <w:spacing w:before="100" w:beforeAutospacing="1" w:after="100" w:afterAutospacing="1" w:line="240" w:lineRule="auto"/>
      <w:ind w:firstLine="561"/>
    </w:pPr>
    <w:rPr>
      <w:rFonts w:ascii="黑体" w:hAnsi="Calibri" w:cs="宋体"/>
      <w:bCs w:val="0"/>
      <w:sz w:val="30"/>
      <w:szCs w:val="20"/>
      <w:lang w:val="zh-CN"/>
    </w:rPr>
  </w:style>
  <w:style w:type="paragraph" w:customStyle="1" w:styleId="1820">
    <w:name w:val="样式 正文缩进 + (西文) Arial 小四"/>
    <w:basedOn w:val="22"/>
    <w:link w:val="1821"/>
    <w:qFormat/>
    <w:uiPriority w:val="0"/>
    <w:pPr>
      <w:snapToGrid w:val="0"/>
      <w:spacing w:line="360" w:lineRule="auto"/>
      <w:ind w:firstLine="0" w:firstLineChars="0"/>
    </w:pPr>
    <w:rPr>
      <w:sz w:val="28"/>
      <w:szCs w:val="20"/>
      <w:lang w:val="zh-CN"/>
    </w:rPr>
  </w:style>
  <w:style w:type="character" w:customStyle="1" w:styleId="1821">
    <w:name w:val="样式 正文缩进 + (西文) Arial 小四 Char"/>
    <w:link w:val="1820"/>
    <w:qFormat/>
    <w:uiPriority w:val="0"/>
    <w:rPr>
      <w:kern w:val="2"/>
      <w:sz w:val="28"/>
      <w:lang w:val="zh-CN" w:eastAsia="zh-CN"/>
    </w:rPr>
  </w:style>
  <w:style w:type="character" w:customStyle="1" w:styleId="1822">
    <w:name w:val="标题 3 Char3"/>
    <w:qFormat/>
    <w:uiPriority w:val="0"/>
    <w:rPr>
      <w:b/>
      <w:kern w:val="2"/>
      <w:sz w:val="32"/>
      <w:szCs w:val="32"/>
    </w:rPr>
  </w:style>
  <w:style w:type="paragraph" w:customStyle="1" w:styleId="1823">
    <w:name w:val="实施日期"/>
    <w:basedOn w:val="1"/>
    <w:qFormat/>
    <w:uiPriority w:val="0"/>
    <w:pPr>
      <w:framePr w:w="4000" w:h="473" w:hRule="exact" w:vSpace="180" w:wrap="around" w:vAnchor="margin" w:hAnchor="margin" w:xAlign="right" w:y="13511" w:anchorLock="1"/>
      <w:widowControl/>
      <w:jc w:val="right"/>
    </w:pPr>
    <w:rPr>
      <w:rFonts w:eastAsia="黑体"/>
      <w:kern w:val="0"/>
      <w:sz w:val="28"/>
      <w:szCs w:val="20"/>
    </w:rPr>
  </w:style>
  <w:style w:type="character" w:customStyle="1" w:styleId="1824">
    <w:name w:val="报告书正文 Char2"/>
    <w:qFormat/>
    <w:uiPriority w:val="0"/>
    <w:rPr>
      <w:rFonts w:ascii="宋体" w:hAnsi="Times New Roman"/>
      <w:kern w:val="2"/>
      <w:sz w:val="28"/>
      <w:szCs w:val="24"/>
    </w:rPr>
  </w:style>
  <w:style w:type="paragraph" w:customStyle="1" w:styleId="1825">
    <w:name w:val="SSEC正文 20150323"/>
    <w:link w:val="1826"/>
    <w:qFormat/>
    <w:uiPriority w:val="0"/>
    <w:pPr>
      <w:adjustRightInd w:val="0"/>
      <w:snapToGrid w:val="0"/>
      <w:spacing w:line="331" w:lineRule="auto"/>
      <w:ind w:firstLine="200" w:firstLineChars="200"/>
      <w:jc w:val="both"/>
    </w:pPr>
    <w:rPr>
      <w:rFonts w:ascii="宋体" w:hAnsi="宋体" w:eastAsia="宋体" w:cs="Times New Roman"/>
      <w:kern w:val="2"/>
      <w:sz w:val="24"/>
      <w:szCs w:val="24"/>
      <w:lang w:val="en-US" w:eastAsia="zh-CN" w:bidi="ar-SA"/>
    </w:rPr>
  </w:style>
  <w:style w:type="character" w:customStyle="1" w:styleId="1826">
    <w:name w:val="SSEC正文 20150323 Char"/>
    <w:link w:val="1825"/>
    <w:qFormat/>
    <w:uiPriority w:val="0"/>
    <w:rPr>
      <w:rFonts w:ascii="宋体" w:hAnsi="宋体"/>
      <w:kern w:val="2"/>
      <w:sz w:val="24"/>
      <w:szCs w:val="24"/>
    </w:rPr>
  </w:style>
  <w:style w:type="paragraph" w:customStyle="1" w:styleId="1827">
    <w:name w:val="二级标题-康惠珊"/>
    <w:basedOn w:val="4"/>
    <w:link w:val="1829"/>
    <w:qFormat/>
    <w:uiPriority w:val="99"/>
    <w:pPr>
      <w:numPr>
        <w:numId w:val="0"/>
      </w:numPr>
      <w:adjustRightInd/>
      <w:snapToGrid/>
      <w:spacing w:before="260" w:beforeLines="50" w:after="260" w:afterLines="50"/>
      <w:jc w:val="center"/>
    </w:pPr>
    <w:rPr>
      <w:rFonts w:hAnsi="宋体" w:eastAsia="宋体"/>
      <w:b/>
      <w:sz w:val="24"/>
      <w:szCs w:val="24"/>
      <w:lang w:val="en-US"/>
    </w:rPr>
  </w:style>
  <w:style w:type="paragraph" w:customStyle="1" w:styleId="1828">
    <w:name w:val="三级标题-康惠珊"/>
    <w:basedOn w:val="5"/>
    <w:qFormat/>
    <w:uiPriority w:val="0"/>
    <w:pPr>
      <w:widowControl w:val="0"/>
      <w:numPr>
        <w:numId w:val="0"/>
      </w:numPr>
      <w:tabs>
        <w:tab w:val="left" w:pos="945"/>
      </w:tabs>
      <w:snapToGrid w:val="0"/>
      <w:ind w:left="113" w:hanging="113"/>
      <w:textAlignment w:val="auto"/>
    </w:pPr>
    <w:rPr>
      <w:rFonts w:eastAsia="宋体"/>
      <w:b/>
      <w:bCs/>
      <w:color w:val="auto"/>
      <w:kern w:val="2"/>
      <w:szCs w:val="24"/>
    </w:rPr>
  </w:style>
  <w:style w:type="character" w:customStyle="1" w:styleId="1829">
    <w:name w:val="二级标题-康惠珊 Char Char"/>
    <w:link w:val="1827"/>
    <w:qFormat/>
    <w:uiPriority w:val="99"/>
    <w:rPr>
      <w:rFonts w:hAnsi="宋体"/>
      <w:b/>
      <w:bCs/>
      <w:kern w:val="2"/>
      <w:sz w:val="24"/>
      <w:szCs w:val="24"/>
    </w:rPr>
  </w:style>
  <w:style w:type="character" w:customStyle="1" w:styleId="1830">
    <w:name w:val="TT正文 Char"/>
    <w:link w:val="1831"/>
    <w:qFormat/>
    <w:uiPriority w:val="0"/>
    <w:rPr>
      <w:rFonts w:cs="宋体"/>
      <w:color w:val="000000"/>
      <w:kern w:val="2"/>
      <w:sz w:val="24"/>
    </w:rPr>
  </w:style>
  <w:style w:type="paragraph" w:customStyle="1" w:styleId="1831">
    <w:name w:val="TT正文"/>
    <w:basedOn w:val="1"/>
    <w:link w:val="1830"/>
    <w:qFormat/>
    <w:uiPriority w:val="0"/>
    <w:pPr>
      <w:spacing w:line="360" w:lineRule="auto"/>
      <w:ind w:firstLine="200" w:firstLineChars="200"/>
    </w:pPr>
    <w:rPr>
      <w:rFonts w:cs="宋体"/>
      <w:color w:val="000000"/>
      <w:sz w:val="24"/>
      <w:szCs w:val="20"/>
    </w:rPr>
  </w:style>
  <w:style w:type="character" w:customStyle="1" w:styleId="1832">
    <w:name w:val="表格1 Char1"/>
    <w:qFormat/>
    <w:uiPriority w:val="0"/>
    <w:rPr>
      <w:rFonts w:ascii="仿宋体" w:cs="Arial Unicode MS"/>
      <w:color w:val="000000"/>
      <w:sz w:val="21"/>
      <w:szCs w:val="21"/>
    </w:rPr>
  </w:style>
  <w:style w:type="character" w:customStyle="1" w:styleId="1833">
    <w:name w:val="样式 zhang正文 + (中文) 宋体 Char"/>
    <w:qFormat/>
    <w:uiPriority w:val="0"/>
    <w:rPr>
      <w:rFonts w:ascii="宋体" w:hAnsi="宋体" w:eastAsia="宋体" w:cs="宋体"/>
      <w:kern w:val="2"/>
      <w:sz w:val="24"/>
      <w:szCs w:val="24"/>
      <w:lang w:val="en-US" w:eastAsia="zh-CN" w:bidi="ar-SA"/>
    </w:rPr>
  </w:style>
  <w:style w:type="character" w:customStyle="1" w:styleId="1834">
    <w:name w:val="rcjs_jswm_font1"/>
    <w:qFormat/>
    <w:uiPriority w:val="0"/>
    <w:rPr>
      <w:sz w:val="20"/>
      <w:szCs w:val="20"/>
    </w:rPr>
  </w:style>
  <w:style w:type="character" w:customStyle="1" w:styleId="1835">
    <w:name w:val="weby"/>
    <w:qFormat/>
    <w:uiPriority w:val="0"/>
  </w:style>
  <w:style w:type="character" w:customStyle="1" w:styleId="1836">
    <w:name w:val="样式 表格中 +1 Char Char"/>
    <w:qFormat/>
    <w:uiPriority w:val="0"/>
    <w:rPr>
      <w:rFonts w:ascii="宋体" w:eastAsia="宋体" w:cs="宋体"/>
      <w:color w:val="000000"/>
      <w:kern w:val="2"/>
      <w:sz w:val="21"/>
      <w:szCs w:val="18"/>
      <w:lang w:val="en-US" w:eastAsia="zh-CN" w:bidi="ar-SA"/>
    </w:rPr>
  </w:style>
  <w:style w:type="character" w:customStyle="1" w:styleId="1837">
    <w:name w:val="签名 Char1"/>
    <w:qFormat/>
    <w:uiPriority w:val="0"/>
    <w:rPr>
      <w:rFonts w:ascii="Times New Roman" w:hAnsi="Times New Roman" w:eastAsia="宋体" w:cs="Times New Roman"/>
      <w:szCs w:val="24"/>
    </w:rPr>
  </w:style>
  <w:style w:type="character" w:customStyle="1" w:styleId="1838">
    <w:name w:val="报告 Char Char1 Char"/>
    <w:qFormat/>
    <w:uiPriority w:val="0"/>
    <w:rPr>
      <w:rFonts w:ascii="Calibri" w:hAnsi="Calibri"/>
      <w:sz w:val="24"/>
    </w:rPr>
  </w:style>
  <w:style w:type="character" w:customStyle="1" w:styleId="1839">
    <w:name w:val="样式1 Char1"/>
    <w:qFormat/>
    <w:uiPriority w:val="0"/>
    <w:rPr>
      <w:rFonts w:hint="eastAsia" w:ascii="宋体" w:hAnsi="宋体" w:eastAsia="宋体"/>
      <w:b/>
      <w:bCs/>
      <w:kern w:val="44"/>
      <w:sz w:val="44"/>
      <w:szCs w:val="44"/>
      <w:lang w:val="en-US" w:eastAsia="zh-CN" w:bidi="ar-SA"/>
    </w:rPr>
  </w:style>
  <w:style w:type="character" w:customStyle="1" w:styleId="1840">
    <w:name w:val="样式175 Char"/>
    <w:link w:val="1841"/>
    <w:qFormat/>
    <w:uiPriority w:val="0"/>
    <w:rPr>
      <w:rFonts w:ascii="宋体" w:hAnsi="宋体"/>
      <w:color w:val="000000"/>
    </w:rPr>
  </w:style>
  <w:style w:type="paragraph" w:customStyle="1" w:styleId="1841">
    <w:name w:val="样式175"/>
    <w:basedOn w:val="1"/>
    <w:link w:val="1840"/>
    <w:qFormat/>
    <w:uiPriority w:val="0"/>
    <w:pPr>
      <w:tabs>
        <w:tab w:val="left" w:pos="780"/>
      </w:tabs>
      <w:adjustRightInd w:val="0"/>
      <w:spacing w:line="320" w:lineRule="exact"/>
      <w:jc w:val="center"/>
      <w:textAlignment w:val="baseline"/>
    </w:pPr>
    <w:rPr>
      <w:rFonts w:ascii="宋体" w:hAnsi="宋体"/>
      <w:color w:val="000000"/>
      <w:kern w:val="0"/>
      <w:sz w:val="20"/>
      <w:szCs w:val="20"/>
    </w:rPr>
  </w:style>
  <w:style w:type="character" w:customStyle="1" w:styleId="1842">
    <w:name w:val="样式 要点 + 黑体 五号"/>
    <w:qFormat/>
    <w:uiPriority w:val="0"/>
    <w:rPr>
      <w:rFonts w:hint="eastAsia" w:ascii="黑体" w:hAnsi="黑体" w:eastAsia="黑体" w:cs="Arial"/>
      <w:b/>
      <w:bCs/>
      <w:snapToGrid/>
      <w:sz w:val="21"/>
      <w:szCs w:val="21"/>
      <w:lang w:val="eu-ES" w:eastAsia="zh-CN" w:bidi="ar-SA"/>
    </w:rPr>
  </w:style>
  <w:style w:type="character" w:customStyle="1" w:styleId="1843">
    <w:name w:val="zy"/>
    <w:qFormat/>
    <w:uiPriority w:val="0"/>
  </w:style>
  <w:style w:type="character" w:customStyle="1" w:styleId="1844">
    <w:name w:val="南联小四宋体 Char"/>
    <w:qFormat/>
    <w:uiPriority w:val="0"/>
    <w:rPr>
      <w:sz w:val="24"/>
      <w:szCs w:val="30"/>
    </w:rPr>
  </w:style>
  <w:style w:type="character" w:customStyle="1" w:styleId="1845">
    <w:name w:val="正文1-1 Char"/>
    <w:qFormat/>
    <w:uiPriority w:val="0"/>
    <w:rPr>
      <w:rFonts w:ascii="宋体" w:hAnsi="宋体" w:eastAsia="仿宋_GB2312" w:cs="Times New Roman"/>
      <w:kern w:val="0"/>
      <w:sz w:val="28"/>
      <w:szCs w:val="24"/>
    </w:rPr>
  </w:style>
  <w:style w:type="character" w:customStyle="1" w:styleId="1846">
    <w:name w:val="正文小四首缩1.3行距 Char"/>
    <w:link w:val="1847"/>
    <w:qFormat/>
    <w:uiPriority w:val="0"/>
    <w:rPr>
      <w:sz w:val="24"/>
      <w:szCs w:val="24"/>
    </w:rPr>
  </w:style>
  <w:style w:type="paragraph" w:customStyle="1" w:styleId="1847">
    <w:name w:val="正文小四首缩1.3行距"/>
    <w:basedOn w:val="1"/>
    <w:link w:val="1846"/>
    <w:qFormat/>
    <w:uiPriority w:val="0"/>
    <w:pPr>
      <w:spacing w:line="312" w:lineRule="auto"/>
      <w:ind w:firstLine="420" w:firstLineChars="200"/>
    </w:pPr>
    <w:rPr>
      <w:kern w:val="0"/>
      <w:sz w:val="24"/>
    </w:rPr>
  </w:style>
  <w:style w:type="character" w:customStyle="1" w:styleId="1848">
    <w:name w:val="报告标题四级 Char"/>
    <w:link w:val="1849"/>
    <w:qFormat/>
    <w:uiPriority w:val="0"/>
    <w:rPr>
      <w:b/>
      <w:bCs/>
      <w:kern w:val="2"/>
      <w:sz w:val="24"/>
    </w:rPr>
  </w:style>
  <w:style w:type="paragraph" w:customStyle="1" w:styleId="1849">
    <w:name w:val="报告标题四级"/>
    <w:basedOn w:val="1"/>
    <w:link w:val="1848"/>
    <w:qFormat/>
    <w:uiPriority w:val="0"/>
    <w:pPr>
      <w:spacing w:before="120" w:line="360" w:lineRule="auto"/>
      <w:outlineLvl w:val="3"/>
    </w:pPr>
    <w:rPr>
      <w:b/>
      <w:bCs/>
      <w:sz w:val="24"/>
      <w:szCs w:val="20"/>
    </w:rPr>
  </w:style>
  <w:style w:type="character" w:customStyle="1" w:styleId="1850">
    <w:name w:val="表格居中 Char Char"/>
    <w:qFormat/>
    <w:uiPriority w:val="0"/>
    <w:rPr>
      <w:kern w:val="2"/>
      <w:sz w:val="21"/>
      <w:lang w:bidi="ar-SA"/>
    </w:rPr>
  </w:style>
  <w:style w:type="character" w:customStyle="1" w:styleId="1851">
    <w:name w:val="华正文 Char"/>
    <w:link w:val="1852"/>
    <w:qFormat/>
    <w:uiPriority w:val="0"/>
    <w:rPr>
      <w:rFonts w:ascii="宋体" w:hAnsi="宋体" w:eastAsia="仿宋_GB2312"/>
      <w:color w:val="000000"/>
      <w:kern w:val="2"/>
      <w:sz w:val="21"/>
      <w:szCs w:val="24"/>
      <w:lang w:val="zh-CN"/>
    </w:rPr>
  </w:style>
  <w:style w:type="paragraph" w:customStyle="1" w:styleId="1852">
    <w:name w:val="华正文"/>
    <w:basedOn w:val="1853"/>
    <w:link w:val="1851"/>
    <w:qFormat/>
    <w:uiPriority w:val="0"/>
    <w:pPr>
      <w:spacing w:line="360" w:lineRule="auto"/>
      <w:ind w:firstLine="480"/>
      <w:jc w:val="both"/>
    </w:pPr>
    <w:rPr>
      <w:rFonts w:ascii="宋体" w:hAnsi="宋体"/>
      <w:sz w:val="21"/>
    </w:rPr>
  </w:style>
  <w:style w:type="paragraph" w:customStyle="1" w:styleId="1853">
    <w:name w:val="正文（首行缩进两个字） + 首行缩进:  2 字符"/>
    <w:basedOn w:val="1"/>
    <w:link w:val="2343"/>
    <w:qFormat/>
    <w:uiPriority w:val="0"/>
    <w:pPr>
      <w:widowControl/>
      <w:spacing w:line="440" w:lineRule="exact"/>
      <w:ind w:firstLine="200" w:firstLineChars="200"/>
      <w:jc w:val="left"/>
    </w:pPr>
    <w:rPr>
      <w:rFonts w:eastAsia="仿宋_GB2312"/>
      <w:color w:val="000000"/>
      <w:sz w:val="24"/>
      <w:lang w:val="zh-CN"/>
    </w:rPr>
  </w:style>
  <w:style w:type="character" w:customStyle="1" w:styleId="1854">
    <w:name w:val="样式 楷体_GB2312 加粗"/>
    <w:qFormat/>
    <w:uiPriority w:val="0"/>
    <w:rPr>
      <w:rFonts w:ascii="楷体_GB2312" w:hAnsi="楷体_GB2312"/>
      <w:b/>
      <w:bCs/>
    </w:rPr>
  </w:style>
  <w:style w:type="character" w:customStyle="1" w:styleId="1855">
    <w:name w:val="slink1"/>
    <w:qFormat/>
    <w:uiPriority w:val="0"/>
    <w:rPr>
      <w:rFonts w:hint="default" w:ascii="ˎ̥" w:hAnsi="ˎ̥"/>
      <w:sz w:val="18"/>
      <w:szCs w:val="18"/>
      <w:u w:val="none"/>
    </w:rPr>
  </w:style>
  <w:style w:type="character" w:customStyle="1" w:styleId="1856">
    <w:name w:val="房地产报告正文 Char"/>
    <w:qFormat/>
    <w:uiPriority w:val="0"/>
    <w:rPr>
      <w:color w:val="000000"/>
      <w:kern w:val="21"/>
      <w:sz w:val="24"/>
      <w:szCs w:val="24"/>
      <w:lang w:val="zh-CN"/>
    </w:rPr>
  </w:style>
  <w:style w:type="character" w:customStyle="1" w:styleId="1857">
    <w:name w:val="p2"/>
    <w:qFormat/>
    <w:uiPriority w:val="0"/>
    <w:rPr>
      <w:rFonts w:ascii="宋体" w:hAnsi="宋体" w:eastAsia="宋体"/>
      <w:sz w:val="28"/>
      <w:szCs w:val="28"/>
      <w:lang w:val="en-US" w:eastAsia="en-US" w:bidi="ar-SA"/>
    </w:rPr>
  </w:style>
  <w:style w:type="character" w:customStyle="1" w:styleId="1858">
    <w:name w:val="标题二 Char"/>
    <w:link w:val="1742"/>
    <w:qFormat/>
    <w:uiPriority w:val="0"/>
    <w:rPr>
      <w:rFonts w:ascii="Calibri" w:hAnsi="Calibri"/>
      <w:b/>
      <w:sz w:val="32"/>
      <w:szCs w:val="21"/>
      <w:lang w:eastAsia="en-US" w:bidi="en-US"/>
    </w:rPr>
  </w:style>
  <w:style w:type="character" w:customStyle="1" w:styleId="1859">
    <w:name w:val="上标"/>
    <w:qFormat/>
    <w:uiPriority w:val="0"/>
    <w:rPr>
      <w:spacing w:val="0"/>
      <w:position w:val="7"/>
      <w:sz w:val="21"/>
    </w:rPr>
  </w:style>
  <w:style w:type="character" w:customStyle="1" w:styleId="1860">
    <w:name w:val="投标正文 Char Char"/>
    <w:qFormat/>
    <w:uiPriority w:val="0"/>
    <w:rPr>
      <w:rFonts w:ascii="宋体" w:hAnsi="宋体" w:cs="宋体"/>
      <w:sz w:val="24"/>
    </w:rPr>
  </w:style>
  <w:style w:type="character" w:customStyle="1" w:styleId="1861">
    <w:name w:val="样式 第3级标题 + (中文) 宋体 Char Char"/>
    <w:qFormat/>
    <w:uiPriority w:val="0"/>
    <w:rPr>
      <w:rFonts w:ascii="宋体" w:hAnsi="宋体" w:cs="宋体"/>
      <w:b/>
      <w:bCs/>
      <w:sz w:val="30"/>
      <w:szCs w:val="30"/>
    </w:rPr>
  </w:style>
  <w:style w:type="character" w:customStyle="1" w:styleId="1862">
    <w:name w:val="正文新 Char Char Char1"/>
    <w:qFormat/>
    <w:uiPriority w:val="0"/>
    <w:rPr>
      <w:rFonts w:eastAsia="宋体" w:cs="宋体"/>
      <w:kern w:val="2"/>
      <w:sz w:val="24"/>
      <w:lang w:val="en-US" w:eastAsia="zh-CN" w:bidi="ar-SA"/>
    </w:rPr>
  </w:style>
  <w:style w:type="character" w:customStyle="1" w:styleId="1863">
    <w:name w:val="样式 样式 标题 4（一） + 楷体_GB2312 左 段前: 2.5 磅 行距: 1.5 倍行距 + Arial Char"/>
    <w:qFormat/>
    <w:uiPriority w:val="0"/>
    <w:rPr>
      <w:rFonts w:ascii="Arial"/>
      <w:sz w:val="24"/>
      <w:szCs w:val="22"/>
    </w:rPr>
  </w:style>
  <w:style w:type="character" w:customStyle="1" w:styleId="1864">
    <w:name w:val="T3标题 Char Char1"/>
    <w:qFormat/>
    <w:uiPriority w:val="0"/>
    <w:rPr>
      <w:rFonts w:hAnsi="宋体" w:eastAsia="宋体" w:cs="宋体"/>
      <w:b/>
      <w:bCs/>
      <w:color w:val="000000"/>
      <w:sz w:val="30"/>
      <w:szCs w:val="30"/>
      <w:lang w:val="zh-CN"/>
    </w:rPr>
  </w:style>
  <w:style w:type="character" w:customStyle="1" w:styleId="1865">
    <w:name w:val="正文文本缩进 3 Char Char"/>
    <w:qFormat/>
    <w:uiPriority w:val="0"/>
    <w:rPr>
      <w:rFonts w:eastAsia="宋体"/>
      <w:b/>
      <w:kern w:val="2"/>
      <w:sz w:val="18"/>
      <w:szCs w:val="16"/>
      <w:lang w:val="en-US" w:eastAsia="zh-CN" w:bidi="ar-SA"/>
    </w:rPr>
  </w:style>
  <w:style w:type="character" w:customStyle="1" w:styleId="1866">
    <w:name w:val="样式 标题 4Subsection + 宋体 小四 Char"/>
    <w:link w:val="1867"/>
    <w:semiHidden/>
    <w:qFormat/>
    <w:uiPriority w:val="0"/>
    <w:rPr>
      <w:rFonts w:ascii="宋体" w:hAnsi="宋体" w:cs="宋体"/>
      <w:b/>
      <w:bCs/>
      <w:color w:val="000000"/>
      <w:sz w:val="28"/>
      <w:szCs w:val="28"/>
      <w:lang w:val="zh-CN"/>
    </w:rPr>
  </w:style>
  <w:style w:type="paragraph" w:customStyle="1" w:styleId="1867">
    <w:name w:val="样式 标题 4Subsection + 宋体 小四"/>
    <w:basedOn w:val="7"/>
    <w:link w:val="1866"/>
    <w:semiHidden/>
    <w:qFormat/>
    <w:uiPriority w:val="0"/>
    <w:pPr>
      <w:widowControl/>
      <w:numPr>
        <w:ilvl w:val="0"/>
        <w:numId w:val="0"/>
      </w:numPr>
      <w:tabs>
        <w:tab w:val="left" w:pos="436"/>
        <w:tab w:val="left" w:pos="720"/>
        <w:tab w:val="left" w:pos="992"/>
      </w:tabs>
      <w:adjustRightInd/>
      <w:spacing w:before="240" w:after="240"/>
      <w:ind w:left="643" w:firstLine="284"/>
    </w:pPr>
    <w:rPr>
      <w:rFonts w:ascii="宋体" w:hAnsi="宋体" w:eastAsia="宋体" w:cs="宋体"/>
      <w:b/>
      <w:color w:val="000000"/>
      <w:kern w:val="0"/>
      <w:sz w:val="28"/>
      <w:lang w:val="zh-CN"/>
    </w:rPr>
  </w:style>
  <w:style w:type="character" w:customStyle="1" w:styleId="1868">
    <w:name w:val="样式 标题 3标题 3 Char Char Char标题 3 Char Char Char Char Char Char标... Char Char"/>
    <w:link w:val="1869"/>
    <w:qFormat/>
    <w:uiPriority w:val="0"/>
    <w:rPr>
      <w:rFonts w:ascii="Plotter" w:hAnsi="Plotter" w:cs="宋体"/>
      <w:b/>
      <w:color w:val="000000"/>
      <w:sz w:val="24"/>
      <w:szCs w:val="24"/>
    </w:rPr>
  </w:style>
  <w:style w:type="paragraph" w:customStyle="1" w:styleId="1869">
    <w:name w:val="样式 标题 3标题 3 Char Char Char标题 3 Char Char Char Char Char Char标... Char"/>
    <w:basedOn w:val="5"/>
    <w:link w:val="1868"/>
    <w:qFormat/>
    <w:uiPriority w:val="0"/>
    <w:pPr>
      <w:widowControl w:val="0"/>
      <w:numPr>
        <w:ilvl w:val="0"/>
        <w:numId w:val="0"/>
      </w:numPr>
      <w:tabs>
        <w:tab w:val="left" w:pos="720"/>
      </w:tabs>
      <w:adjustRightInd/>
      <w:spacing w:line="240" w:lineRule="auto"/>
      <w:jc w:val="both"/>
      <w:textAlignment w:val="auto"/>
    </w:pPr>
    <w:rPr>
      <w:rFonts w:ascii="Plotter" w:hAnsi="Plotter" w:eastAsia="宋体" w:cs="宋体"/>
      <w:b/>
      <w:szCs w:val="24"/>
    </w:rPr>
  </w:style>
  <w:style w:type="character" w:customStyle="1" w:styleId="1870">
    <w:name w:val="表格头 Char"/>
    <w:qFormat/>
    <w:uiPriority w:val="0"/>
    <w:rPr>
      <w:rFonts w:ascii="黑体" w:hAnsi="宋体" w:eastAsia="黑体"/>
      <w:kern w:val="2"/>
      <w:sz w:val="24"/>
      <w:lang w:val="en-US" w:eastAsia="zh-CN" w:bidi="ar-SA"/>
    </w:rPr>
  </w:style>
  <w:style w:type="character" w:customStyle="1" w:styleId="1871">
    <w:name w:val="表头1 Char Char"/>
    <w:link w:val="1077"/>
    <w:qFormat/>
    <w:uiPriority w:val="0"/>
    <w:rPr>
      <w:b/>
      <w:bCs/>
      <w:snapToGrid w:val="0"/>
      <w:kern w:val="24"/>
      <w:sz w:val="24"/>
      <w:szCs w:val="24"/>
    </w:rPr>
  </w:style>
  <w:style w:type="character" w:customStyle="1" w:styleId="1872">
    <w:name w:val="缩进 Char Char"/>
    <w:qFormat/>
    <w:uiPriority w:val="0"/>
    <w:rPr>
      <w:rFonts w:ascii="Times New Roman" w:hAnsi="Times New Roman"/>
      <w:color w:val="000000"/>
      <w:kern w:val="2"/>
      <w:sz w:val="24"/>
      <w:szCs w:val="21"/>
    </w:rPr>
  </w:style>
  <w:style w:type="character" w:customStyle="1" w:styleId="1873">
    <w:name w:val="二级标题（宗兴） Char"/>
    <w:qFormat/>
    <w:uiPriority w:val="99"/>
    <w:rPr>
      <w:rFonts w:ascii="Arial" w:hAnsi="Arial" w:eastAsia="黑体"/>
      <w:b/>
      <w:bCs/>
      <w:kern w:val="2"/>
      <w:sz w:val="30"/>
      <w:szCs w:val="30"/>
      <w:lang w:val="en-US" w:eastAsia="zh-CN"/>
    </w:rPr>
  </w:style>
  <w:style w:type="character" w:customStyle="1" w:styleId="1874">
    <w:name w:val="河石管道 表名 Char"/>
    <w:link w:val="1623"/>
    <w:qFormat/>
    <w:uiPriority w:val="0"/>
    <w:rPr>
      <w:rFonts w:ascii="黑体" w:eastAsia="黑体"/>
      <w:snapToGrid w:val="0"/>
      <w:kern w:val="2"/>
      <w:sz w:val="24"/>
      <w:szCs w:val="24"/>
    </w:rPr>
  </w:style>
  <w:style w:type="character" w:customStyle="1" w:styleId="1875">
    <w:name w:val="表格名称 Char"/>
    <w:qFormat/>
    <w:uiPriority w:val="0"/>
    <w:rPr>
      <w:rFonts w:ascii="Times New Roman" w:hAnsi="Times New Roman" w:eastAsia="宋体" w:cs="Times New Roman"/>
      <w:bCs/>
      <w:sz w:val="24"/>
      <w:szCs w:val="20"/>
    </w:rPr>
  </w:style>
  <w:style w:type="character" w:customStyle="1" w:styleId="1876">
    <w:name w:val="结束语 Char2"/>
    <w:qFormat/>
    <w:uiPriority w:val="0"/>
    <w:rPr>
      <w:rFonts w:ascii="Arial" w:hAnsi="Arial" w:eastAsia="MS Gothic"/>
      <w:spacing w:val="-5"/>
      <w:szCs w:val="21"/>
      <w:lang w:eastAsia="ja-JP"/>
    </w:rPr>
  </w:style>
  <w:style w:type="character" w:customStyle="1" w:styleId="1877">
    <w:name w:val="沥青正文 Char"/>
    <w:qFormat/>
    <w:uiPriority w:val="0"/>
    <w:rPr>
      <w:rFonts w:eastAsia="宋体"/>
      <w:kern w:val="2"/>
      <w:sz w:val="24"/>
      <w:lang w:val="en-US" w:eastAsia="zh-CN"/>
    </w:rPr>
  </w:style>
  <w:style w:type="character" w:customStyle="1" w:styleId="1878">
    <w:name w:val="正文01 Char1"/>
    <w:qFormat/>
    <w:uiPriority w:val="0"/>
    <w:rPr>
      <w:rFonts w:eastAsia="宋体"/>
      <w:kern w:val="2"/>
      <w:sz w:val="24"/>
      <w:szCs w:val="24"/>
      <w:lang w:val="en-US" w:eastAsia="zh-CN" w:bidi="ar-SA"/>
    </w:rPr>
  </w:style>
  <w:style w:type="character" w:customStyle="1" w:styleId="1879">
    <w:name w:val="表格11 Char Char Char"/>
    <w:qFormat/>
    <w:uiPriority w:val="0"/>
    <w:rPr>
      <w:rFonts w:eastAsia="宋体" w:cs="宋体"/>
      <w:color w:val="000000"/>
      <w:kern w:val="2"/>
      <w:sz w:val="21"/>
      <w:szCs w:val="24"/>
      <w:lang w:val="en-US" w:eastAsia="zh-CN" w:bidi="ar-SA"/>
    </w:rPr>
  </w:style>
  <w:style w:type="character" w:customStyle="1" w:styleId="1880">
    <w:name w:val="环小四表内容 Char"/>
    <w:link w:val="1080"/>
    <w:qFormat/>
    <w:uiPriority w:val="0"/>
    <w:rPr>
      <w:rFonts w:ascii="宋体"/>
      <w:kern w:val="2"/>
      <w:sz w:val="18"/>
      <w:szCs w:val="21"/>
    </w:rPr>
  </w:style>
  <w:style w:type="character" w:customStyle="1" w:styleId="1881">
    <w:name w:val="正文小四首缩1.3行距 Char Char"/>
    <w:qFormat/>
    <w:uiPriority w:val="0"/>
    <w:rPr>
      <w:rFonts w:eastAsia="宋体"/>
      <w:kern w:val="2"/>
      <w:sz w:val="24"/>
      <w:szCs w:val="24"/>
      <w:lang w:bidi="ar-SA"/>
    </w:rPr>
  </w:style>
  <w:style w:type="character" w:customStyle="1" w:styleId="1882">
    <w:name w:val="不明显参考2"/>
    <w:qFormat/>
    <w:uiPriority w:val="0"/>
    <w:rPr>
      <w:smallCaps/>
      <w:color w:val="C0504D"/>
      <w:u w:val="single"/>
    </w:rPr>
  </w:style>
  <w:style w:type="character" w:customStyle="1" w:styleId="1883">
    <w:name w:val="TTT表格标题 Char Char"/>
    <w:qFormat/>
    <w:uiPriority w:val="0"/>
    <w:rPr>
      <w:rFonts w:eastAsia="宋体" w:cs="宋体"/>
      <w:b/>
      <w:bCs/>
      <w:sz w:val="24"/>
      <w:lang w:val="en-US" w:eastAsia="zh-CN" w:bidi="ar-SA"/>
    </w:rPr>
  </w:style>
  <w:style w:type="character" w:customStyle="1" w:styleId="1884">
    <w:name w:val="普通正文 Char Char Char"/>
    <w:qFormat/>
    <w:uiPriority w:val="0"/>
    <w:rPr>
      <w:rFonts w:eastAsia="宋体" w:cs="宋体"/>
      <w:kern w:val="2"/>
      <w:sz w:val="24"/>
      <w:lang w:val="en-US" w:eastAsia="zh-CN" w:bidi="ar-SA"/>
    </w:rPr>
  </w:style>
  <w:style w:type="character" w:customStyle="1" w:styleId="1885">
    <w:name w:val="样式 正文文本缩进 3 + 行距: 1.5 倍行距 Char Char"/>
    <w:qFormat/>
    <w:uiPriority w:val="0"/>
    <w:rPr>
      <w:rFonts w:ascii="宋体" w:eastAsia="宋体" w:cs="宋体"/>
      <w:color w:val="000000"/>
      <w:kern w:val="2"/>
      <w:sz w:val="28"/>
      <w:szCs w:val="24"/>
      <w:lang w:val="en-US" w:eastAsia="zh-CN" w:bidi="ar-SA"/>
    </w:rPr>
  </w:style>
  <w:style w:type="character" w:customStyle="1" w:styleId="1886">
    <w:name w:val="段落 Char Char Char"/>
    <w:qFormat/>
    <w:uiPriority w:val="0"/>
    <w:rPr>
      <w:rFonts w:ascii="宋体" w:hAnsi="宋体" w:eastAsia="宋体" w:cs="宋体"/>
      <w:kern w:val="2"/>
      <w:sz w:val="24"/>
      <w:szCs w:val="24"/>
      <w:lang w:val="en-US" w:eastAsia="zh-CN" w:bidi="ar-SA"/>
    </w:rPr>
  </w:style>
  <w:style w:type="character" w:customStyle="1" w:styleId="1887">
    <w:name w:val="表格文字01 Char Char"/>
    <w:qFormat/>
    <w:uiPriority w:val="0"/>
    <w:rPr>
      <w:rFonts w:eastAsia="宋体"/>
      <w:snapToGrid w:val="0"/>
      <w:color w:val="000000"/>
      <w:kern w:val="2"/>
      <w:sz w:val="21"/>
      <w:lang w:val="en-US" w:eastAsia="zh-CN" w:bidi="ar-SA"/>
    </w:rPr>
  </w:style>
  <w:style w:type="character" w:customStyle="1" w:styleId="1888">
    <w:name w:val="样式 首行缩进:  2 字符1 Char Char Char Char"/>
    <w:qFormat/>
    <w:uiPriority w:val="0"/>
    <w:rPr>
      <w:rFonts w:eastAsia="宋体"/>
      <w:kern w:val="2"/>
      <w:sz w:val="24"/>
      <w:szCs w:val="24"/>
      <w:lang w:val="en-US" w:eastAsia="zh-CN" w:bidi="ar-SA"/>
    </w:rPr>
  </w:style>
  <w:style w:type="character" w:customStyle="1" w:styleId="1889">
    <w:name w:val="报告图名 Char"/>
    <w:qFormat/>
    <w:uiPriority w:val="0"/>
    <w:rPr>
      <w:rFonts w:ascii="黑体" w:hAnsi="黑体"/>
      <w:b/>
      <w:sz w:val="24"/>
    </w:rPr>
  </w:style>
  <w:style w:type="character" w:customStyle="1" w:styleId="1890">
    <w:name w:val="样式 报告 + 首行缩进:  0.58 字符 Char Char"/>
    <w:qFormat/>
    <w:uiPriority w:val="0"/>
    <w:rPr>
      <w:rFonts w:eastAsia="宋体" w:cs="宋体"/>
      <w:kern w:val="2"/>
      <w:sz w:val="24"/>
      <w:szCs w:val="24"/>
      <w:lang w:val="en-US" w:eastAsia="zh-CN" w:bidi="ar-SA"/>
    </w:rPr>
  </w:style>
  <w:style w:type="character" w:customStyle="1" w:styleId="1891">
    <w:name w:val="普通段落 Char Char"/>
    <w:qFormat/>
    <w:uiPriority w:val="0"/>
    <w:rPr>
      <w:rFonts w:ascii="宋体" w:hAnsi="宋体" w:cs="宋体"/>
      <w:i/>
      <w:color w:val="000000"/>
      <w:kern w:val="2"/>
      <w:sz w:val="28"/>
    </w:rPr>
  </w:style>
  <w:style w:type="character" w:customStyle="1" w:styleId="1892">
    <w:name w:val="标题3 Char2"/>
    <w:qFormat/>
    <w:uiPriority w:val="0"/>
    <w:rPr>
      <w:rFonts w:ascii="Times New Roman" w:hAnsi="Times New Roman" w:eastAsia="黑体"/>
      <w:color w:val="000000"/>
      <w:sz w:val="28"/>
    </w:rPr>
  </w:style>
  <w:style w:type="character" w:customStyle="1" w:styleId="1893">
    <w:name w:val="样式100 Char"/>
    <w:qFormat/>
    <w:uiPriority w:val="0"/>
    <w:rPr>
      <w:rFonts w:ascii="宋体" w:hAnsi="宋体" w:eastAsia="仿宋_GB2312"/>
      <w:kern w:val="11"/>
      <w:sz w:val="24"/>
      <w:szCs w:val="24"/>
    </w:rPr>
  </w:style>
  <w:style w:type="character" w:customStyle="1" w:styleId="1894">
    <w:name w:val="表格11 Char"/>
    <w:qFormat/>
    <w:uiPriority w:val="0"/>
    <w:rPr>
      <w:rFonts w:eastAsia="宋体" w:cs="宋体"/>
      <w:color w:val="000000"/>
      <w:kern w:val="2"/>
      <w:sz w:val="21"/>
      <w:szCs w:val="24"/>
      <w:lang w:val="en-US" w:eastAsia="zh-CN" w:bidi="ar-SA"/>
    </w:rPr>
  </w:style>
  <w:style w:type="character" w:customStyle="1" w:styleId="1895">
    <w:name w:val="样式 首行缩进:  2 字符6 Char"/>
    <w:qFormat/>
    <w:uiPriority w:val="0"/>
    <w:rPr>
      <w:rFonts w:cs="宋体"/>
      <w:kern w:val="2"/>
      <w:sz w:val="24"/>
    </w:rPr>
  </w:style>
  <w:style w:type="character" w:customStyle="1" w:styleId="1896">
    <w:name w:val="样式 标题 2 + 非加粗 Char Char Char"/>
    <w:qFormat/>
    <w:uiPriority w:val="0"/>
    <w:rPr>
      <w:rFonts w:ascii="宋体" w:hAnsi="宋体" w:eastAsia="黑体" w:cs="宋体"/>
      <w:b/>
      <w:bCs/>
      <w:kern w:val="2"/>
      <w:sz w:val="24"/>
      <w:szCs w:val="32"/>
      <w:lang w:val="en-US" w:eastAsia="zh-CN" w:bidi="ar-SA"/>
    </w:rPr>
  </w:style>
  <w:style w:type="character" w:customStyle="1" w:styleId="1897">
    <w:name w:val="TTT表格标题 Char Char Char"/>
    <w:qFormat/>
    <w:uiPriority w:val="0"/>
    <w:rPr>
      <w:rFonts w:ascii="宋体" w:hAnsi="宋体" w:eastAsia="宋体" w:cs="宋体"/>
      <w:b/>
      <w:bCs/>
      <w:sz w:val="24"/>
      <w:lang w:val="en-US" w:eastAsia="zh-CN" w:bidi="ar-SA"/>
    </w:rPr>
  </w:style>
  <w:style w:type="character" w:customStyle="1" w:styleId="1898">
    <w:name w:val="标题3new Char"/>
    <w:qFormat/>
    <w:uiPriority w:val="0"/>
    <w:rPr>
      <w:b/>
      <w:kern w:val="2"/>
      <w:sz w:val="24"/>
      <w:szCs w:val="24"/>
    </w:rPr>
  </w:style>
  <w:style w:type="character" w:customStyle="1" w:styleId="1899">
    <w:name w:val="样式 四号 右侧:  -0.26 厘米 Char Char"/>
    <w:qFormat/>
    <w:uiPriority w:val="0"/>
    <w:rPr>
      <w:rFonts w:eastAsia="宋体" w:cs="宋体"/>
      <w:color w:val="000000"/>
      <w:kern w:val="2"/>
      <w:sz w:val="28"/>
      <w:szCs w:val="24"/>
      <w:lang w:val="en-US" w:eastAsia="zh-CN" w:bidi="ar-SA"/>
    </w:rPr>
  </w:style>
  <w:style w:type="character" w:customStyle="1" w:styleId="1900">
    <w:name w:val="表格，内容 Char"/>
    <w:qFormat/>
    <w:uiPriority w:val="0"/>
    <w:rPr>
      <w:rFonts w:eastAsia="宋体"/>
      <w:spacing w:val="6"/>
      <w:kern w:val="44"/>
      <w:sz w:val="21"/>
      <w:szCs w:val="21"/>
      <w:lang w:val="en-US" w:eastAsia="zh-CN" w:bidi="ar-SA"/>
    </w:rPr>
  </w:style>
  <w:style w:type="character" w:customStyle="1" w:styleId="1901">
    <w:name w:val="tex14"/>
    <w:qFormat/>
    <w:uiPriority w:val="0"/>
    <w:rPr>
      <w:rFonts w:eastAsia="宋体" w:cs="宋体"/>
      <w:color w:val="000000"/>
      <w:kern w:val="2"/>
      <w:sz w:val="24"/>
      <w:szCs w:val="24"/>
      <w:lang w:val="zh-CN" w:eastAsia="zh-CN" w:bidi="ar-SA"/>
    </w:rPr>
  </w:style>
  <w:style w:type="character" w:customStyle="1" w:styleId="1902">
    <w:name w:val="样式 标题 3 + Times New Roman Char Char Char Char Char"/>
    <w:qFormat/>
    <w:uiPriority w:val="0"/>
    <w:rPr>
      <w:rFonts w:ascii="宋体" w:hAnsi="宋体" w:eastAsia="宋体"/>
      <w:b/>
      <w:bCs/>
      <w:sz w:val="30"/>
      <w:szCs w:val="30"/>
      <w:lang w:val="en-US" w:eastAsia="zh-CN" w:bidi="ar-SA"/>
    </w:rPr>
  </w:style>
  <w:style w:type="character" w:customStyle="1" w:styleId="1903">
    <w:name w:val="tex12"/>
    <w:qFormat/>
    <w:uiPriority w:val="0"/>
    <w:rPr>
      <w:rFonts w:eastAsia="宋体" w:cs="宋体"/>
      <w:color w:val="000000"/>
      <w:kern w:val="2"/>
      <w:sz w:val="24"/>
      <w:szCs w:val="24"/>
      <w:lang w:val="zh-CN" w:eastAsia="zh-CN" w:bidi="ar-SA"/>
    </w:rPr>
  </w:style>
  <w:style w:type="character" w:customStyle="1" w:styleId="1904">
    <w:name w:val="宗兴正文 Char"/>
    <w:qFormat/>
    <w:uiPriority w:val="99"/>
    <w:rPr>
      <w:rFonts w:cs="宋体"/>
      <w:color w:val="000000"/>
      <w:kern w:val="2"/>
      <w:sz w:val="24"/>
      <w:szCs w:val="24"/>
    </w:rPr>
  </w:style>
  <w:style w:type="character" w:customStyle="1" w:styleId="1905">
    <w:name w:val="样式 题注 + 黑色 Char Char"/>
    <w:qFormat/>
    <w:uiPriority w:val="0"/>
    <w:rPr>
      <w:rFonts w:ascii="宋体" w:hAnsi="宋体" w:eastAsia="宋体" w:cs="Arial"/>
      <w:color w:val="000000"/>
      <w:sz w:val="24"/>
      <w:lang w:bidi="ar-SA"/>
    </w:rPr>
  </w:style>
  <w:style w:type="character" w:customStyle="1" w:styleId="1906">
    <w:name w:val="样式 0 + 加粗 Char"/>
    <w:qFormat/>
    <w:uiPriority w:val="0"/>
    <w:rPr>
      <w:rFonts w:ascii="宋体" w:hAnsi="宋体"/>
      <w:b/>
      <w:bCs/>
      <w:spacing w:val="10"/>
      <w:sz w:val="24"/>
      <w:szCs w:val="24"/>
    </w:rPr>
  </w:style>
  <w:style w:type="character" w:customStyle="1" w:styleId="1907">
    <w:name w:val="样式 样式 题注 + 仿宋_GB2312 小四 加粗 居中 + 加粗 Char"/>
    <w:qFormat/>
    <w:uiPriority w:val="0"/>
    <w:rPr>
      <w:rFonts w:hint="eastAsia" w:ascii="黑体" w:hAnsi="Arial" w:eastAsia="黑体" w:cs="宋体"/>
      <w:b/>
      <w:bCs/>
      <w:snapToGrid/>
      <w:kern w:val="2"/>
      <w:sz w:val="24"/>
      <w:szCs w:val="24"/>
      <w:lang w:val="en-US" w:eastAsia="zh-CN"/>
    </w:rPr>
  </w:style>
  <w:style w:type="character" w:customStyle="1" w:styleId="1908">
    <w:name w:val="戚表头 Char"/>
    <w:qFormat/>
    <w:uiPriority w:val="0"/>
    <w:rPr>
      <w:rFonts w:eastAsia="黑体"/>
      <w:b/>
      <w:color w:val="000000"/>
      <w:kern w:val="2"/>
      <w:sz w:val="21"/>
      <w:szCs w:val="21"/>
      <w:lang w:val="zh-CN"/>
    </w:rPr>
  </w:style>
  <w:style w:type="character" w:customStyle="1" w:styleId="1909">
    <w:name w:val="称呼 Char1"/>
    <w:qFormat/>
    <w:uiPriority w:val="0"/>
    <w:rPr>
      <w:rFonts w:ascii="宋体" w:hAnsi="宋体" w:eastAsia="宋体" w:cs="Times New Roman"/>
      <w:sz w:val="28"/>
      <w:szCs w:val="20"/>
    </w:rPr>
  </w:style>
  <w:style w:type="character" w:customStyle="1" w:styleId="1910">
    <w:name w:val="页脚 Char Char Char Char Char"/>
    <w:qFormat/>
    <w:uiPriority w:val="0"/>
    <w:rPr>
      <w:rFonts w:ascii="Times New Roman" w:hAnsi="Times New Roman" w:cs="Times New Roman"/>
      <w:sz w:val="18"/>
      <w:szCs w:val="18"/>
    </w:rPr>
  </w:style>
  <w:style w:type="character" w:customStyle="1" w:styleId="1911">
    <w:name w:val="表格 32 Char Char Char Char"/>
    <w:qFormat/>
    <w:uiPriority w:val="0"/>
    <w:rPr>
      <w:rFonts w:eastAsia="宋体"/>
      <w:sz w:val="21"/>
      <w:szCs w:val="21"/>
      <w:lang w:val="en-US" w:eastAsia="zh-CN" w:bidi="ar-SA"/>
    </w:rPr>
  </w:style>
  <w:style w:type="character" w:customStyle="1" w:styleId="1912">
    <w:name w:val="表头（杨） Char"/>
    <w:link w:val="1913"/>
    <w:qFormat/>
    <w:uiPriority w:val="0"/>
    <w:rPr>
      <w:rFonts w:ascii="宋体" w:hAnsi="宋体"/>
      <w:spacing w:val="10"/>
      <w:sz w:val="24"/>
      <w:szCs w:val="24"/>
    </w:rPr>
  </w:style>
  <w:style w:type="paragraph" w:customStyle="1" w:styleId="1913">
    <w:name w:val="表头（杨）"/>
    <w:basedOn w:val="1"/>
    <w:link w:val="1912"/>
    <w:qFormat/>
    <w:uiPriority w:val="0"/>
    <w:pPr>
      <w:spacing w:line="440" w:lineRule="exact"/>
      <w:jc w:val="center"/>
    </w:pPr>
    <w:rPr>
      <w:rFonts w:ascii="宋体" w:hAnsi="宋体"/>
      <w:spacing w:val="10"/>
      <w:kern w:val="0"/>
      <w:sz w:val="24"/>
    </w:rPr>
  </w:style>
  <w:style w:type="character" w:customStyle="1" w:styleId="1914">
    <w:name w:val="subtitle_disp"/>
    <w:qFormat/>
    <w:uiPriority w:val="0"/>
  </w:style>
  <w:style w:type="character" w:customStyle="1" w:styleId="1915">
    <w:name w:val="样式 标题 3 + (西文) 宋体 Char"/>
    <w:qFormat/>
    <w:uiPriority w:val="0"/>
    <w:rPr>
      <w:rFonts w:ascii="宋体" w:hAnsi="宋体" w:cs="宋体"/>
      <w:b/>
      <w:bCs/>
      <w:snapToGrid w:val="0"/>
      <w:sz w:val="24"/>
      <w:szCs w:val="24"/>
      <w:lang w:val="eu-ES" w:eastAsia="zh-CN"/>
    </w:rPr>
  </w:style>
  <w:style w:type="character" w:customStyle="1" w:styleId="1916">
    <w:name w:val="评价单位 Char Char"/>
    <w:link w:val="1917"/>
    <w:semiHidden/>
    <w:qFormat/>
    <w:locked/>
    <w:uiPriority w:val="0"/>
    <w:rPr>
      <w:rFonts w:eastAsia="楷体_GB2312" w:cs="宋体"/>
      <w:b/>
      <w:sz w:val="36"/>
    </w:rPr>
  </w:style>
  <w:style w:type="paragraph" w:customStyle="1" w:styleId="1917">
    <w:name w:val="评价单位"/>
    <w:basedOn w:val="1"/>
    <w:link w:val="1916"/>
    <w:semiHidden/>
    <w:qFormat/>
    <w:uiPriority w:val="0"/>
    <w:pPr>
      <w:overflowPunct w:val="0"/>
      <w:autoSpaceDE w:val="0"/>
      <w:autoSpaceDN w:val="0"/>
      <w:adjustRightInd w:val="0"/>
      <w:snapToGrid w:val="0"/>
      <w:spacing w:beforeLines="50" w:afterLines="50" w:line="360" w:lineRule="auto"/>
      <w:ind w:left="300" w:leftChars="300"/>
      <w:jc w:val="left"/>
    </w:pPr>
    <w:rPr>
      <w:rFonts w:eastAsia="楷体_GB2312" w:cs="宋体"/>
      <w:b/>
      <w:kern w:val="0"/>
      <w:sz w:val="36"/>
      <w:szCs w:val="20"/>
    </w:rPr>
  </w:style>
  <w:style w:type="character" w:customStyle="1" w:styleId="1918">
    <w:name w:val="正缩1 Char"/>
    <w:qFormat/>
    <w:uiPriority w:val="0"/>
    <w:rPr>
      <w:rFonts w:ascii="仿宋_GB2312" w:hAnsi="宋体" w:eastAsia="仿宋_GB2312"/>
      <w:color w:val="000000"/>
      <w:kern w:val="2"/>
      <w:sz w:val="28"/>
      <w:szCs w:val="28"/>
    </w:rPr>
  </w:style>
  <w:style w:type="character" w:customStyle="1" w:styleId="1919">
    <w:name w:val="结束语 Char1"/>
    <w:qFormat/>
    <w:uiPriority w:val="0"/>
    <w:rPr>
      <w:rFonts w:ascii="Arial" w:hAnsi="Arial" w:eastAsia="MS Gothic" w:cs="Arial"/>
      <w:spacing w:val="-5"/>
      <w:kern w:val="0"/>
      <w:szCs w:val="21"/>
      <w:lang w:eastAsia="ja-JP"/>
    </w:rPr>
  </w:style>
  <w:style w:type="character" w:customStyle="1" w:styleId="1920">
    <w:name w:val="毕一级 Char"/>
    <w:qFormat/>
    <w:uiPriority w:val="0"/>
    <w:rPr>
      <w:rFonts w:eastAsia="黑体"/>
      <w:kern w:val="2"/>
      <w:sz w:val="36"/>
      <w:szCs w:val="24"/>
    </w:rPr>
  </w:style>
  <w:style w:type="character" w:customStyle="1" w:styleId="1921">
    <w:name w:val="普通正文 Char Char Char Char"/>
    <w:qFormat/>
    <w:uiPriority w:val="0"/>
    <w:rPr>
      <w:rFonts w:eastAsia="宋体" w:cs="宋体"/>
      <w:kern w:val="2"/>
      <w:sz w:val="24"/>
      <w:lang w:val="en-US" w:eastAsia="zh-CN" w:bidi="ar-SA"/>
    </w:rPr>
  </w:style>
  <w:style w:type="character" w:customStyle="1" w:styleId="1922">
    <w:name w:val="样式 蓝色"/>
    <w:qFormat/>
    <w:uiPriority w:val="0"/>
    <w:rPr>
      <w:rFonts w:eastAsia="宋体" w:cs="宋体"/>
      <w:color w:val="0000FF"/>
      <w:kern w:val="2"/>
      <w:sz w:val="24"/>
      <w:szCs w:val="24"/>
      <w:lang w:val="zh-CN" w:eastAsia="zh-CN" w:bidi="ar-SA"/>
    </w:rPr>
  </w:style>
  <w:style w:type="character" w:customStyle="1" w:styleId="1923">
    <w:name w:val="样式 小四 段前: 12 磅 行距: 1.5 倍行距 Char"/>
    <w:qFormat/>
    <w:uiPriority w:val="0"/>
    <w:rPr>
      <w:color w:val="FF0000"/>
      <w:sz w:val="24"/>
    </w:rPr>
  </w:style>
  <w:style w:type="character" w:customStyle="1" w:styleId="1924">
    <w:name w:val="TT标题 Char"/>
    <w:qFormat/>
    <w:uiPriority w:val="0"/>
    <w:rPr>
      <w:rFonts w:cs="宋体"/>
      <w:b/>
      <w:kern w:val="2"/>
      <w:sz w:val="24"/>
    </w:rPr>
  </w:style>
  <w:style w:type="character" w:customStyle="1" w:styleId="1925">
    <w:name w:val="戚正文 Char"/>
    <w:link w:val="1926"/>
    <w:qFormat/>
    <w:uiPriority w:val="0"/>
    <w:rPr>
      <w:color w:val="000000"/>
      <w:kern w:val="2"/>
      <w:sz w:val="24"/>
      <w:szCs w:val="24"/>
      <w:lang w:val="zh-CN"/>
    </w:rPr>
  </w:style>
  <w:style w:type="paragraph" w:customStyle="1" w:styleId="1926">
    <w:name w:val="戚正文"/>
    <w:basedOn w:val="1"/>
    <w:link w:val="1925"/>
    <w:qFormat/>
    <w:uiPriority w:val="0"/>
    <w:pPr>
      <w:spacing w:line="360" w:lineRule="auto"/>
      <w:ind w:firstLine="200" w:firstLineChars="200"/>
    </w:pPr>
    <w:rPr>
      <w:color w:val="000000"/>
      <w:sz w:val="24"/>
      <w:lang w:val="zh-CN"/>
    </w:rPr>
  </w:style>
  <w:style w:type="character" w:customStyle="1" w:styleId="1927">
    <w:name w:val="文本框 Char"/>
    <w:qFormat/>
    <w:uiPriority w:val="0"/>
    <w:rPr>
      <w:rFonts w:eastAsia="宋体"/>
      <w:kern w:val="2"/>
      <w:sz w:val="21"/>
      <w:szCs w:val="21"/>
      <w:lang w:val="en-US" w:eastAsia="zh-CN" w:bidi="ar-SA"/>
    </w:rPr>
  </w:style>
  <w:style w:type="character" w:customStyle="1" w:styleId="1928">
    <w:name w:val="正文1 加粗 Char"/>
    <w:qFormat/>
    <w:uiPriority w:val="0"/>
    <w:rPr>
      <w:b/>
      <w:sz w:val="24"/>
      <w:szCs w:val="28"/>
    </w:rPr>
  </w:style>
  <w:style w:type="character" w:customStyle="1" w:styleId="1929">
    <w:name w:val="样式 标题 2标题 2 Char标题 2 Char Char节标题 1.11.1标题2b2SeHead wsa2... Char"/>
    <w:qFormat/>
    <w:uiPriority w:val="0"/>
    <w:rPr>
      <w:rFonts w:ascii="Arial" w:hAnsi="Arial" w:eastAsia="黑体"/>
      <w:b/>
      <w:bCs/>
      <w:color w:val="000000"/>
      <w:kern w:val="2"/>
      <w:sz w:val="32"/>
      <w:szCs w:val="32"/>
      <w:lang w:val="en-US" w:eastAsia="zh-CN" w:bidi="ar-SA"/>
    </w:rPr>
  </w:style>
  <w:style w:type="character" w:customStyle="1" w:styleId="1930">
    <w:name w:val="强调2"/>
    <w:qFormat/>
    <w:uiPriority w:val="0"/>
    <w:rPr>
      <w:color w:val="CC0033"/>
      <w:u w:val="single"/>
    </w:rPr>
  </w:style>
  <w:style w:type="character" w:customStyle="1" w:styleId="1931">
    <w:name w:val="正文（杨） Char Char"/>
    <w:qFormat/>
    <w:uiPriority w:val="0"/>
    <w:rPr>
      <w:rFonts w:hAnsi="宋体" w:eastAsia="宋体" w:cs="宋体"/>
      <w:snapToGrid/>
      <w:color w:val="000000"/>
      <w:kern w:val="2"/>
      <w:sz w:val="24"/>
      <w:szCs w:val="24"/>
      <w:lang w:val="en-US" w:eastAsia="zh-CN" w:bidi="ar-SA"/>
    </w:rPr>
  </w:style>
  <w:style w:type="character" w:customStyle="1" w:styleId="1932">
    <w:name w:val="环调标题1 Char"/>
    <w:qFormat/>
    <w:uiPriority w:val="0"/>
    <w:rPr>
      <w:b/>
      <w:bCs/>
      <w:kern w:val="44"/>
      <w:sz w:val="32"/>
      <w:szCs w:val="32"/>
    </w:rPr>
  </w:style>
  <w:style w:type="character" w:customStyle="1" w:styleId="1933">
    <w:name w:val="样式 样式 样式 正文首行缩进 2 Char + 首行缩进:  2 字符 段后: 0.5 行 + 首行缩进:  2 字符 段后... Char"/>
    <w:qFormat/>
    <w:uiPriority w:val="0"/>
    <w:rPr>
      <w:rFonts w:ascii="宋体" w:hAnsi="宋体" w:cs="宋体"/>
      <w:sz w:val="24"/>
    </w:rPr>
  </w:style>
  <w:style w:type="character" w:customStyle="1" w:styleId="1934">
    <w:name w:val="表格内容 Char Char Char"/>
    <w:qFormat/>
    <w:uiPriority w:val="0"/>
    <w:rPr>
      <w:rFonts w:ascii="宋体" w:hAnsi="宋体" w:eastAsia="宋体" w:cs="宋体"/>
      <w:color w:val="008080"/>
      <w:kern w:val="2"/>
      <w:sz w:val="24"/>
      <w:szCs w:val="24"/>
      <w:lang w:val="en-US" w:eastAsia="zh-CN" w:bidi="ar-SA"/>
    </w:rPr>
  </w:style>
  <w:style w:type="character" w:customStyle="1" w:styleId="1935">
    <w:name w:val="表格（hwl) + Char Char"/>
    <w:link w:val="1936"/>
    <w:qFormat/>
    <w:locked/>
    <w:uiPriority w:val="0"/>
    <w:rPr>
      <w:szCs w:val="24"/>
    </w:rPr>
  </w:style>
  <w:style w:type="paragraph" w:customStyle="1" w:styleId="1936">
    <w:name w:val="表格（hwl) +"/>
    <w:basedOn w:val="1937"/>
    <w:link w:val="1935"/>
    <w:qFormat/>
    <w:uiPriority w:val="0"/>
    <w:rPr>
      <w:sz w:val="20"/>
    </w:rPr>
  </w:style>
  <w:style w:type="paragraph" w:customStyle="1" w:styleId="1937">
    <w:name w:val="表格（hwl)"/>
    <w:basedOn w:val="1"/>
    <w:link w:val="2126"/>
    <w:qFormat/>
    <w:uiPriority w:val="0"/>
    <w:pPr>
      <w:widowControl/>
      <w:adjustRightInd w:val="0"/>
      <w:snapToGrid w:val="0"/>
      <w:ind w:left="-35" w:leftChars="-35"/>
    </w:pPr>
    <w:rPr>
      <w:kern w:val="0"/>
      <w:sz w:val="24"/>
    </w:rPr>
  </w:style>
  <w:style w:type="character" w:customStyle="1" w:styleId="1938">
    <w:name w:val="正文(首行缩进)宋旭峰 Char Char"/>
    <w:qFormat/>
    <w:uiPriority w:val="0"/>
    <w:rPr>
      <w:snapToGrid/>
      <w:sz w:val="24"/>
      <w:szCs w:val="24"/>
    </w:rPr>
  </w:style>
  <w:style w:type="character" w:customStyle="1" w:styleId="1939">
    <w:name w:val="样式 标题 3 + (符号) 宋体1 Char"/>
    <w:qFormat/>
    <w:uiPriority w:val="0"/>
    <w:rPr>
      <w:rFonts w:hint="eastAsia" w:ascii="宋体" w:hAnsi="宋体" w:eastAsia="宋体"/>
      <w:b/>
      <w:bCs/>
      <w:kern w:val="2"/>
      <w:sz w:val="28"/>
      <w:szCs w:val="28"/>
      <w:lang w:val="en-US" w:eastAsia="zh-CN" w:bidi="ar-SA"/>
    </w:rPr>
  </w:style>
  <w:style w:type="character" w:customStyle="1" w:styleId="1940">
    <w:name w:val="red1"/>
    <w:qFormat/>
    <w:uiPriority w:val="0"/>
    <w:rPr>
      <w:color w:val="CC0000"/>
      <w:sz w:val="18"/>
      <w:szCs w:val="18"/>
      <w:u w:val="none"/>
    </w:rPr>
  </w:style>
  <w:style w:type="character" w:customStyle="1" w:styleId="1941">
    <w:name w:val="真宗兴正文 Char"/>
    <w:qFormat/>
    <w:uiPriority w:val="0"/>
    <w:rPr>
      <w:kern w:val="2"/>
      <w:sz w:val="24"/>
    </w:rPr>
  </w:style>
  <w:style w:type="character" w:customStyle="1" w:styleId="1942">
    <w:name w:val="文字主体 Char Char"/>
    <w:qFormat/>
    <w:uiPriority w:val="0"/>
    <w:rPr>
      <w:rFonts w:eastAsia="宋体"/>
      <w:sz w:val="24"/>
      <w:szCs w:val="24"/>
      <w:lang w:val="en-US" w:eastAsia="zh-CN" w:bidi="ar-SA"/>
    </w:rPr>
  </w:style>
  <w:style w:type="character" w:customStyle="1" w:styleId="1943">
    <w:name w:val="表标题（杨） Char"/>
    <w:qFormat/>
    <w:uiPriority w:val="0"/>
    <w:rPr>
      <w:sz w:val="24"/>
    </w:rPr>
  </w:style>
  <w:style w:type="character" w:customStyle="1" w:styleId="1944">
    <w:name w:val="正 文 Char Char"/>
    <w:qFormat/>
    <w:uiPriority w:val="0"/>
    <w:rPr>
      <w:rFonts w:ascii="Arial" w:hAnsi="Arial"/>
      <w:kern w:val="2"/>
      <w:sz w:val="24"/>
      <w:szCs w:val="22"/>
      <w:lang w:val="en-US" w:eastAsia="zh-CN" w:bidi="ar-SA"/>
    </w:rPr>
  </w:style>
  <w:style w:type="character" w:customStyle="1" w:styleId="1945">
    <w:name w:val="样式 题注 + 仿宋_GB2312 小四 加粗 居中 Char"/>
    <w:qFormat/>
    <w:uiPriority w:val="0"/>
    <w:rPr>
      <w:rFonts w:hint="eastAsia" w:ascii="黑体" w:hAnsi="Arial" w:eastAsia="黑体" w:cs="宋体"/>
      <w:bCs/>
      <w:snapToGrid/>
      <w:kern w:val="2"/>
      <w:sz w:val="24"/>
      <w:szCs w:val="24"/>
      <w:lang w:val="en-US" w:eastAsia="zh-CN"/>
    </w:rPr>
  </w:style>
  <w:style w:type="character" w:customStyle="1" w:styleId="1946">
    <w:name w:val="中大1级 Char"/>
    <w:qFormat/>
    <w:uiPriority w:val="0"/>
    <w:rPr>
      <w:rFonts w:eastAsia="宋体"/>
      <w:b/>
      <w:bCs/>
      <w:kern w:val="44"/>
      <w:sz w:val="36"/>
      <w:szCs w:val="36"/>
      <w:lang w:bidi="ar-SA"/>
    </w:rPr>
  </w:style>
  <w:style w:type="character" w:customStyle="1" w:styleId="1947">
    <w:name w:val="中大正文 Char Char"/>
    <w:qFormat/>
    <w:uiPriority w:val="0"/>
    <w:rPr>
      <w:rFonts w:ascii="宋体" w:hAnsi="宋体"/>
      <w:sz w:val="24"/>
      <w:szCs w:val="24"/>
      <w:lang w:val="zh-CN"/>
    </w:rPr>
  </w:style>
  <w:style w:type="character" w:customStyle="1" w:styleId="1948">
    <w:name w:val="退格正文 Char"/>
    <w:semiHidden/>
    <w:qFormat/>
    <w:uiPriority w:val="0"/>
    <w:rPr>
      <w:rFonts w:hint="eastAsia" w:ascii="宋体" w:hAnsi="宋体" w:eastAsia="宋体"/>
      <w:kern w:val="2"/>
      <w:sz w:val="28"/>
      <w:szCs w:val="24"/>
      <w:lang w:val="en-US" w:eastAsia="zh-CN" w:bidi="ar-SA"/>
    </w:rPr>
  </w:style>
  <w:style w:type="character" w:customStyle="1" w:styleId="1949">
    <w:name w:val="注释标题 Char1"/>
    <w:qFormat/>
    <w:uiPriority w:val="0"/>
  </w:style>
  <w:style w:type="character" w:customStyle="1" w:styleId="1950">
    <w:name w:val="样式 样式 标题 2标题 2 CharH2título 2h2RN chapter段节 + 段前: 1 行 段后: 1... +... Char"/>
    <w:qFormat/>
    <w:uiPriority w:val="0"/>
    <w:rPr>
      <w:rFonts w:ascii="Arial" w:hAnsi="Arial" w:eastAsia="黑体"/>
      <w:b/>
      <w:bCs/>
      <w:sz w:val="28"/>
      <w:szCs w:val="28"/>
    </w:rPr>
  </w:style>
  <w:style w:type="character" w:customStyle="1" w:styleId="1951">
    <w:name w:val="text21"/>
    <w:qFormat/>
    <w:uiPriority w:val="0"/>
    <w:rPr>
      <w:color w:val="000000"/>
      <w:sz w:val="21"/>
      <w:u w:val="none"/>
    </w:rPr>
  </w:style>
  <w:style w:type="character" w:customStyle="1" w:styleId="1952">
    <w:name w:val="环小四表题 Char Char"/>
    <w:qFormat/>
    <w:uiPriority w:val="0"/>
    <w:rPr>
      <w:rFonts w:ascii="宋体"/>
      <w:b/>
      <w:sz w:val="24"/>
      <w:szCs w:val="24"/>
    </w:rPr>
  </w:style>
  <w:style w:type="character" w:customStyle="1" w:styleId="1953">
    <w:name w:val="题注（图、表） Char"/>
    <w:qFormat/>
    <w:uiPriority w:val="0"/>
    <w:rPr>
      <w:rFonts w:ascii="Arial" w:hAnsi="Arial" w:eastAsia="黑体" w:cs="宋体"/>
    </w:rPr>
  </w:style>
  <w:style w:type="character" w:customStyle="1" w:styleId="1954">
    <w:name w:val="正文15 Char Char Char"/>
    <w:qFormat/>
    <w:uiPriority w:val="0"/>
    <w:rPr>
      <w:rFonts w:ascii="宋体" w:hAnsi="宋体" w:cs="宋体"/>
      <w:sz w:val="28"/>
    </w:rPr>
  </w:style>
  <w:style w:type="character" w:customStyle="1" w:styleId="1955">
    <w:name w:val="南昌院表格文字 Char"/>
    <w:semiHidden/>
    <w:qFormat/>
    <w:uiPriority w:val="0"/>
    <w:rPr>
      <w:rFonts w:ascii="宋体"/>
      <w:kern w:val="2"/>
      <w:sz w:val="21"/>
      <w:szCs w:val="21"/>
    </w:rPr>
  </w:style>
  <w:style w:type="character" w:customStyle="1" w:styleId="1956">
    <w:name w:val="第正文级"/>
    <w:qFormat/>
    <w:uiPriority w:val="0"/>
    <w:rPr>
      <w:rFonts w:ascii="华文中宋" w:hAnsi="华文中宋" w:eastAsia="华文中宋"/>
      <w:sz w:val="28"/>
    </w:rPr>
  </w:style>
  <w:style w:type="character" w:customStyle="1" w:styleId="1957">
    <w:name w:val="正文自己 Char Char Char"/>
    <w:qFormat/>
    <w:uiPriority w:val="0"/>
    <w:rPr>
      <w:rFonts w:eastAsia="宋体" w:cs="宋体"/>
      <w:color w:val="000000"/>
      <w:spacing w:val="2"/>
      <w:kern w:val="2"/>
      <w:sz w:val="24"/>
      <w:szCs w:val="24"/>
      <w:lang w:val="en-US" w:eastAsia="zh-CN" w:bidi="ar-SA"/>
    </w:rPr>
  </w:style>
  <w:style w:type="character" w:customStyle="1" w:styleId="1958">
    <w:name w:val="正文15 Char"/>
    <w:qFormat/>
    <w:uiPriority w:val="0"/>
    <w:rPr>
      <w:rFonts w:ascii="宋体" w:hAnsi="宋体" w:eastAsia="宋体"/>
      <w:kern w:val="2"/>
      <w:sz w:val="28"/>
      <w:szCs w:val="28"/>
      <w:lang w:val="en-US" w:eastAsia="zh-CN" w:bidi="ar-SA"/>
    </w:rPr>
  </w:style>
  <w:style w:type="character" w:customStyle="1" w:styleId="1959">
    <w:name w:val="尾注文本 Char2"/>
    <w:qFormat/>
    <w:uiPriority w:val="0"/>
    <w:rPr>
      <w:rFonts w:ascii="Times New Roman" w:hAnsi="Times New Roman" w:eastAsia="宋体" w:cs="Times New Roman"/>
      <w:kern w:val="0"/>
      <w:sz w:val="20"/>
      <w:szCs w:val="20"/>
    </w:rPr>
  </w:style>
  <w:style w:type="character" w:customStyle="1" w:styleId="1960">
    <w:name w:val="样式20（注解） Char"/>
    <w:qFormat/>
    <w:uiPriority w:val="0"/>
    <w:rPr>
      <w:rFonts w:ascii="宋体" w:hAnsi="宋体"/>
      <w:szCs w:val="21"/>
    </w:rPr>
  </w:style>
  <w:style w:type="character" w:customStyle="1" w:styleId="1961">
    <w:name w:val="样式 标题 3 + 华文中宋 小三 段前: 6 磅 段后: 6 磅 行距: 多倍行距 1.4 字行 Char1"/>
    <w:link w:val="1962"/>
    <w:qFormat/>
    <w:uiPriority w:val="0"/>
    <w:rPr>
      <w:rFonts w:ascii="华文中宋" w:hAnsi="华文中宋" w:eastAsia="华文中宋"/>
      <w:b/>
      <w:bCs/>
      <w:color w:val="000000"/>
      <w:kern w:val="2"/>
      <w:sz w:val="30"/>
      <w:szCs w:val="30"/>
    </w:rPr>
  </w:style>
  <w:style w:type="paragraph" w:customStyle="1" w:styleId="1962">
    <w:name w:val="样式 标题 3 + 华文中宋 小三 段前: 6 磅 段后: 6 磅 行距: 多倍行距 1.4 字行"/>
    <w:basedOn w:val="5"/>
    <w:link w:val="1961"/>
    <w:qFormat/>
    <w:uiPriority w:val="0"/>
    <w:pPr>
      <w:keepLines w:val="0"/>
      <w:widowControl w:val="0"/>
      <w:numPr>
        <w:numId w:val="0"/>
      </w:numPr>
      <w:tabs>
        <w:tab w:val="left" w:pos="42"/>
        <w:tab w:val="left" w:pos="720"/>
        <w:tab w:val="left" w:pos="861"/>
        <w:tab w:val="left" w:pos="1260"/>
      </w:tabs>
      <w:adjustRightInd/>
      <w:spacing w:before="260" w:beforeLines="50" w:after="260" w:afterLines="50"/>
      <w:ind w:left="693" w:hanging="720"/>
      <w:textAlignment w:val="auto"/>
    </w:pPr>
    <w:rPr>
      <w:rFonts w:ascii="华文中宋" w:hAnsi="华文中宋" w:eastAsia="华文中宋"/>
      <w:b/>
      <w:bCs/>
      <w:kern w:val="2"/>
      <w:sz w:val="30"/>
      <w:szCs w:val="30"/>
    </w:rPr>
  </w:style>
  <w:style w:type="character" w:customStyle="1" w:styleId="1963">
    <w:name w:val="表内文字边 Char Char"/>
    <w:qFormat/>
    <w:locked/>
    <w:uiPriority w:val="0"/>
    <w:rPr>
      <w:rFonts w:ascii="宋体" w:hAnsi="宋体"/>
      <w:color w:val="000000"/>
      <w:sz w:val="24"/>
      <w:szCs w:val="21"/>
    </w:rPr>
  </w:style>
  <w:style w:type="character" w:customStyle="1" w:styleId="1964">
    <w:name w:val="zw Char"/>
    <w:link w:val="858"/>
    <w:qFormat/>
    <w:uiPriority w:val="0"/>
    <w:rPr>
      <w:rFonts w:ascii="宋体" w:hAnsi="宋体" w:cs="宋体"/>
      <w:kern w:val="2"/>
      <w:sz w:val="24"/>
      <w:szCs w:val="24"/>
    </w:rPr>
  </w:style>
  <w:style w:type="character" w:customStyle="1" w:styleId="1965">
    <w:name w:val="样式 黑色 首行缩进:  2 字符3 Char"/>
    <w:qFormat/>
    <w:uiPriority w:val="0"/>
    <w:rPr>
      <w:color w:val="000000"/>
      <w:sz w:val="28"/>
    </w:rPr>
  </w:style>
  <w:style w:type="character" w:customStyle="1" w:styleId="1966">
    <w:name w:val="新白云正文 Char Char"/>
    <w:link w:val="1967"/>
    <w:qFormat/>
    <w:uiPriority w:val="0"/>
    <w:rPr>
      <w:rFonts w:cs="宋体"/>
      <w:color w:val="000000"/>
      <w:sz w:val="24"/>
      <w:szCs w:val="24"/>
      <w:lang w:val="zh-CN"/>
    </w:rPr>
  </w:style>
  <w:style w:type="paragraph" w:customStyle="1" w:styleId="1967">
    <w:name w:val="新白云正文"/>
    <w:basedOn w:val="1"/>
    <w:link w:val="1966"/>
    <w:qFormat/>
    <w:uiPriority w:val="0"/>
    <w:pPr>
      <w:tabs>
        <w:tab w:val="left" w:pos="1030"/>
      </w:tabs>
      <w:adjustRightInd w:val="0"/>
      <w:snapToGrid w:val="0"/>
      <w:spacing w:line="288" w:lineRule="auto"/>
      <w:ind w:firstLine="480" w:firstLineChars="200"/>
    </w:pPr>
    <w:rPr>
      <w:rFonts w:cs="宋体"/>
      <w:color w:val="000000"/>
      <w:kern w:val="0"/>
      <w:sz w:val="24"/>
      <w:lang w:val="zh-CN"/>
    </w:rPr>
  </w:style>
  <w:style w:type="character" w:customStyle="1" w:styleId="1968">
    <w:name w:val="txtcontent11"/>
    <w:qFormat/>
    <w:uiPriority w:val="0"/>
    <w:rPr>
      <w:rFonts w:hint="default" w:ascii="ˎ̥" w:hAnsi="ˎ̥"/>
      <w:color w:val="000000"/>
      <w:sz w:val="23"/>
      <w:szCs w:val="23"/>
    </w:rPr>
  </w:style>
  <w:style w:type="character" w:customStyle="1" w:styleId="1969">
    <w:name w:val="中大4级3 Char"/>
    <w:qFormat/>
    <w:uiPriority w:val="0"/>
    <w:rPr>
      <w:b/>
      <w:bCs/>
      <w:kern w:val="2"/>
      <w:sz w:val="24"/>
      <w:szCs w:val="24"/>
    </w:rPr>
  </w:style>
  <w:style w:type="character" w:customStyle="1" w:styleId="1970">
    <w:name w:val="列表(L) Char Char"/>
    <w:link w:val="1971"/>
    <w:qFormat/>
    <w:uiPriority w:val="0"/>
    <w:rPr>
      <w:rFonts w:cs="宋体"/>
      <w:kern w:val="2"/>
      <w:sz w:val="21"/>
    </w:rPr>
  </w:style>
  <w:style w:type="paragraph" w:customStyle="1" w:styleId="1971">
    <w:name w:val="列表(L)"/>
    <w:basedOn w:val="67"/>
    <w:link w:val="1970"/>
    <w:qFormat/>
    <w:uiPriority w:val="0"/>
    <w:pPr>
      <w:snapToGrid w:val="0"/>
      <w:ind w:left="0" w:firstLine="0" w:firstLineChars="0"/>
    </w:pPr>
    <w:rPr>
      <w:rFonts w:cs="宋体"/>
      <w:szCs w:val="20"/>
    </w:rPr>
  </w:style>
  <w:style w:type="character" w:customStyle="1" w:styleId="1972">
    <w:name w:val="样式 题注 + 黑色1 Char"/>
    <w:qFormat/>
    <w:locked/>
    <w:uiPriority w:val="0"/>
    <w:rPr>
      <w:rFonts w:ascii="黑体" w:hAnsi="宋体" w:eastAsia="黑体" w:cs="Arial"/>
      <w:color w:val="000000"/>
      <w:sz w:val="24"/>
    </w:rPr>
  </w:style>
  <w:style w:type="character" w:customStyle="1" w:styleId="1973">
    <w:name w:val="第3级标题 Char"/>
    <w:qFormat/>
    <w:uiPriority w:val="0"/>
    <w:rPr>
      <w:rFonts w:eastAsia="华文中宋"/>
      <w:b/>
      <w:bCs/>
      <w:kern w:val="2"/>
      <w:sz w:val="30"/>
      <w:szCs w:val="30"/>
      <w:lang w:val="zh-CN" w:eastAsia="zh-CN"/>
    </w:rPr>
  </w:style>
  <w:style w:type="character" w:customStyle="1" w:styleId="1974">
    <w:name w:val="标题 6 Char Char"/>
    <w:qFormat/>
    <w:uiPriority w:val="0"/>
    <w:rPr>
      <w:rFonts w:ascii="Arial" w:hAnsi="Arial" w:eastAsia="黑体"/>
      <w:b/>
      <w:bCs/>
      <w:kern w:val="2"/>
      <w:sz w:val="24"/>
      <w:szCs w:val="24"/>
      <w:lang w:val="en-US" w:eastAsia="zh-CN" w:bidi="ar-SA"/>
    </w:rPr>
  </w:style>
  <w:style w:type="character" w:customStyle="1" w:styleId="1975">
    <w:name w:val="中大中编号 Char"/>
    <w:link w:val="1976"/>
    <w:qFormat/>
    <w:uiPriority w:val="0"/>
    <w:rPr>
      <w:rFonts w:ascii="宋体" w:hAnsi="宋体"/>
      <w:kern w:val="2"/>
      <w:sz w:val="24"/>
      <w:szCs w:val="21"/>
      <w:lang w:val="zh-CN" w:eastAsia="zh-CN"/>
    </w:rPr>
  </w:style>
  <w:style w:type="paragraph" w:customStyle="1" w:styleId="1976">
    <w:name w:val="中大中编号"/>
    <w:basedOn w:val="1"/>
    <w:link w:val="1975"/>
    <w:qFormat/>
    <w:uiPriority w:val="0"/>
    <w:pPr>
      <w:widowControl/>
      <w:numPr>
        <w:ilvl w:val="0"/>
        <w:numId w:val="20"/>
      </w:numPr>
      <w:tabs>
        <w:tab w:val="left" w:pos="0"/>
        <w:tab w:val="clear" w:pos="980"/>
      </w:tabs>
      <w:spacing w:line="360" w:lineRule="auto"/>
      <w:ind w:left="0" w:firstLine="426"/>
      <w:jc w:val="left"/>
    </w:pPr>
    <w:rPr>
      <w:rFonts w:ascii="宋体" w:hAnsi="宋体"/>
      <w:sz w:val="24"/>
      <w:szCs w:val="21"/>
      <w:lang w:val="zh-CN"/>
    </w:rPr>
  </w:style>
  <w:style w:type="character" w:customStyle="1" w:styleId="1977">
    <w:name w:val="样式 正文首行缩进 2 + 首行缩进:  2 字符1 Char1"/>
    <w:qFormat/>
    <w:uiPriority w:val="0"/>
    <w:rPr>
      <w:rFonts w:ascii="黑体" w:hAnsi="Arial" w:eastAsia="宋体" w:cs="宋体"/>
      <w:bCs/>
      <w:kern w:val="2"/>
      <w:sz w:val="24"/>
      <w:szCs w:val="24"/>
      <w:lang w:val="en-US" w:eastAsia="zh-CN" w:bidi="ar-SA"/>
    </w:rPr>
  </w:style>
  <w:style w:type="character" w:customStyle="1" w:styleId="1978">
    <w:name w:val="信息标题 Char1"/>
    <w:qFormat/>
    <w:uiPriority w:val="0"/>
    <w:rPr>
      <w:rFonts w:ascii="Arial" w:hAnsi="Arial" w:eastAsia="宋体" w:cs="Arial"/>
      <w:sz w:val="24"/>
      <w:szCs w:val="24"/>
      <w:shd w:val="pct20" w:color="auto" w:fill="auto"/>
    </w:rPr>
  </w:style>
  <w:style w:type="character" w:customStyle="1" w:styleId="1979">
    <w:name w:val="页眉 Char Char Char"/>
    <w:qFormat/>
    <w:uiPriority w:val="99"/>
    <w:rPr>
      <w:rFonts w:ascii="Times New Roman" w:hAnsi="Times New Roman" w:eastAsia="宋体" w:cs="Times New Roman"/>
      <w:sz w:val="18"/>
      <w:szCs w:val="18"/>
    </w:rPr>
  </w:style>
  <w:style w:type="character" w:customStyle="1" w:styleId="1980">
    <w:name w:val="孙普文字 Char Char"/>
    <w:qFormat/>
    <w:uiPriority w:val="0"/>
    <w:rPr>
      <w:rFonts w:ascii="宋体" w:hAnsi="Courier New" w:eastAsia="宋体"/>
      <w:kern w:val="2"/>
      <w:sz w:val="24"/>
      <w:szCs w:val="24"/>
      <w:lang w:val="en-US" w:eastAsia="zh-CN" w:bidi="ar-SA"/>
    </w:rPr>
  </w:style>
  <w:style w:type="character" w:customStyle="1" w:styleId="1981">
    <w:name w:val="文本文字 Char Char"/>
    <w:qFormat/>
    <w:uiPriority w:val="0"/>
    <w:rPr>
      <w:rFonts w:ascii="宋体" w:hAnsi="宋体" w:cs="宋体"/>
      <w:sz w:val="24"/>
      <w:szCs w:val="24"/>
    </w:rPr>
  </w:style>
  <w:style w:type="character" w:customStyle="1" w:styleId="1982">
    <w:name w:val="样式203 Char1"/>
    <w:qFormat/>
    <w:uiPriority w:val="0"/>
    <w:rPr>
      <w:rFonts w:ascii="宋体" w:hAnsi="宋体"/>
      <w:color w:val="000000"/>
      <w:kern w:val="2"/>
      <w:sz w:val="24"/>
      <w:szCs w:val="24"/>
    </w:rPr>
  </w:style>
  <w:style w:type="character" w:customStyle="1" w:styleId="1983">
    <w:name w:val="表格文本 Char"/>
    <w:qFormat/>
    <w:uiPriority w:val="0"/>
    <w:rPr>
      <w:rFonts w:ascii="宋体" w:hAnsi="宋体" w:eastAsia="Times New Roman"/>
      <w:bCs/>
      <w:snapToGrid/>
      <w:sz w:val="24"/>
      <w:szCs w:val="24"/>
    </w:rPr>
  </w:style>
  <w:style w:type="character" w:customStyle="1" w:styleId="1984">
    <w:name w:val="样式36 Char"/>
    <w:link w:val="196"/>
    <w:qFormat/>
    <w:uiPriority w:val="0"/>
    <w:rPr>
      <w:rFonts w:eastAsia="黑体"/>
      <w:b/>
      <w:bCs/>
      <w:color w:val="000000"/>
      <w:sz w:val="24"/>
      <w:szCs w:val="32"/>
    </w:rPr>
  </w:style>
  <w:style w:type="character" w:customStyle="1" w:styleId="1985">
    <w:name w:val="表格1 Char Char"/>
    <w:qFormat/>
    <w:uiPriority w:val="0"/>
    <w:rPr>
      <w:rFonts w:ascii="CG Times (W1)" w:hAnsi="CG Times (W1)" w:eastAsia="宋体" w:cs="宋体"/>
      <w:color w:val="000000"/>
      <w:kern w:val="2"/>
      <w:sz w:val="24"/>
      <w:szCs w:val="24"/>
      <w:lang w:val="en-US" w:eastAsia="zh-CN" w:bidi="ar-SA"/>
    </w:rPr>
  </w:style>
  <w:style w:type="character" w:customStyle="1" w:styleId="1986">
    <w:name w:val="search_content1"/>
    <w:qFormat/>
    <w:uiPriority w:val="0"/>
    <w:rPr>
      <w:sz w:val="20"/>
      <w:szCs w:val="20"/>
    </w:rPr>
  </w:style>
  <w:style w:type="character" w:customStyle="1" w:styleId="1987">
    <w:name w:val="样式310 Char"/>
    <w:qFormat/>
    <w:uiPriority w:val="0"/>
    <w:rPr>
      <w:rFonts w:ascii="Calibri" w:hAnsi="Calibri"/>
      <w:color w:val="000000"/>
      <w:kern w:val="2"/>
      <w:sz w:val="21"/>
      <w:szCs w:val="21"/>
    </w:rPr>
  </w:style>
  <w:style w:type="character" w:customStyle="1" w:styleId="1988">
    <w:name w:val="样式 0 + 加粗 Char Char"/>
    <w:qFormat/>
    <w:uiPriority w:val="0"/>
    <w:rPr>
      <w:rFonts w:ascii="宋体" w:hAnsi="宋体" w:cs="宋体"/>
      <w:b/>
      <w:bCs/>
      <w:spacing w:val="10"/>
      <w:sz w:val="24"/>
      <w:szCs w:val="24"/>
    </w:rPr>
  </w:style>
  <w:style w:type="character" w:customStyle="1" w:styleId="1989">
    <w:name w:val="样式 首行缩进:  2.25 字符3 Char"/>
    <w:link w:val="1990"/>
    <w:qFormat/>
    <w:uiPriority w:val="0"/>
    <w:rPr>
      <w:color w:val="000000"/>
      <w:kern w:val="2"/>
      <w:sz w:val="24"/>
      <w:szCs w:val="24"/>
    </w:rPr>
  </w:style>
  <w:style w:type="paragraph" w:customStyle="1" w:styleId="1990">
    <w:name w:val="样式 首行缩进:  2.25 字符3"/>
    <w:basedOn w:val="1"/>
    <w:link w:val="1989"/>
    <w:qFormat/>
    <w:uiPriority w:val="0"/>
    <w:pPr>
      <w:spacing w:line="360" w:lineRule="auto"/>
      <w:ind w:firstLine="225" w:firstLineChars="225"/>
      <w:jc w:val="left"/>
    </w:pPr>
    <w:rPr>
      <w:color w:val="000000"/>
      <w:sz w:val="24"/>
    </w:rPr>
  </w:style>
  <w:style w:type="character" w:customStyle="1" w:styleId="1991">
    <w:name w:val="中大2级1 Char"/>
    <w:qFormat/>
    <w:uiPriority w:val="0"/>
    <w:rPr>
      <w:b/>
      <w:bCs/>
      <w:kern w:val="2"/>
      <w:sz w:val="30"/>
      <w:szCs w:val="30"/>
    </w:rPr>
  </w:style>
  <w:style w:type="character" w:customStyle="1" w:styleId="1992">
    <w:name w:val="style111"/>
    <w:qFormat/>
    <w:uiPriority w:val="0"/>
    <w:rPr>
      <w:color w:val="333333"/>
      <w:sz w:val="21"/>
      <w:szCs w:val="21"/>
    </w:rPr>
  </w:style>
  <w:style w:type="character" w:customStyle="1" w:styleId="1993">
    <w:name w:val="投标正文 Char Char Char"/>
    <w:qFormat/>
    <w:uiPriority w:val="0"/>
    <w:rPr>
      <w:rFonts w:ascii="宋体" w:hAnsi="宋体" w:eastAsia="宋体" w:cs="宋体"/>
      <w:sz w:val="24"/>
      <w:lang w:val="en-US" w:eastAsia="zh-CN" w:bidi="ar-SA"/>
    </w:rPr>
  </w:style>
  <w:style w:type="character" w:customStyle="1" w:styleId="1994">
    <w:name w:val="正文＋黑体 Char"/>
    <w:link w:val="1995"/>
    <w:qFormat/>
    <w:uiPriority w:val="0"/>
    <w:rPr>
      <w:rFonts w:ascii="Arial" w:hAnsi="Arial" w:eastAsia="黑体" w:cs="宋体"/>
      <w:color w:val="000000"/>
      <w:sz w:val="24"/>
      <w:szCs w:val="24"/>
    </w:rPr>
  </w:style>
  <w:style w:type="paragraph" w:customStyle="1" w:styleId="1995">
    <w:name w:val="正文＋黑体"/>
    <w:basedOn w:val="1"/>
    <w:link w:val="1994"/>
    <w:qFormat/>
    <w:uiPriority w:val="0"/>
    <w:pPr>
      <w:spacing w:beforeLines="50" w:afterLines="50"/>
      <w:ind w:firstLine="480" w:firstLineChars="200"/>
      <w:jc w:val="left"/>
    </w:pPr>
    <w:rPr>
      <w:rFonts w:ascii="Arial" w:hAnsi="Arial" w:eastAsia="黑体" w:cs="宋体"/>
      <w:color w:val="000000"/>
      <w:kern w:val="0"/>
      <w:sz w:val="24"/>
    </w:rPr>
  </w:style>
  <w:style w:type="character" w:customStyle="1" w:styleId="1996">
    <w:name w:val="段落3 Char"/>
    <w:qFormat/>
    <w:uiPriority w:val="0"/>
    <w:rPr>
      <w:rFonts w:ascii="宋体" w:hAnsi="宋体"/>
      <w:sz w:val="24"/>
    </w:rPr>
  </w:style>
  <w:style w:type="character" w:customStyle="1" w:styleId="1997">
    <w:name w:val="签名 Char2"/>
    <w:qFormat/>
    <w:uiPriority w:val="0"/>
    <w:rPr>
      <w:rFonts w:ascii="Times New Roman" w:hAnsi="Times New Roman" w:eastAsia="宋体" w:cs="Times New Roman"/>
      <w:kern w:val="0"/>
      <w:sz w:val="20"/>
      <w:szCs w:val="24"/>
    </w:rPr>
  </w:style>
  <w:style w:type="character" w:customStyle="1" w:styleId="1998">
    <w:name w:val="样式 标题 3三级标题 + Char"/>
    <w:qFormat/>
    <w:uiPriority w:val="0"/>
    <w:rPr>
      <w:rFonts w:ascii="黑体" w:hAnsi="宋体" w:eastAsia="黑体" w:cs="宋体"/>
      <w:color w:val="000000"/>
      <w:sz w:val="28"/>
      <w:szCs w:val="28"/>
    </w:rPr>
  </w:style>
  <w:style w:type="character" w:customStyle="1" w:styleId="1999">
    <w:name w:val="报告正文0 Char Char"/>
    <w:link w:val="2000"/>
    <w:qFormat/>
    <w:uiPriority w:val="0"/>
    <w:rPr>
      <w:kern w:val="2"/>
      <w:sz w:val="24"/>
      <w:szCs w:val="24"/>
    </w:rPr>
  </w:style>
  <w:style w:type="paragraph" w:customStyle="1" w:styleId="2000">
    <w:name w:val="报告正文0"/>
    <w:basedOn w:val="1"/>
    <w:link w:val="1999"/>
    <w:qFormat/>
    <w:uiPriority w:val="0"/>
    <w:pPr>
      <w:spacing w:line="360" w:lineRule="auto"/>
      <w:ind w:firstLine="480" w:firstLineChars="200"/>
    </w:pPr>
    <w:rPr>
      <w:sz w:val="24"/>
    </w:rPr>
  </w:style>
  <w:style w:type="character" w:customStyle="1" w:styleId="2001">
    <w:name w:val="中大3级标题 Char"/>
    <w:link w:val="2002"/>
    <w:qFormat/>
    <w:uiPriority w:val="0"/>
    <w:rPr>
      <w:b/>
      <w:bCs/>
      <w:sz w:val="28"/>
      <w:szCs w:val="32"/>
    </w:rPr>
  </w:style>
  <w:style w:type="paragraph" w:customStyle="1" w:styleId="2002">
    <w:name w:val="中大3级标题"/>
    <w:basedOn w:val="5"/>
    <w:link w:val="2001"/>
    <w:qFormat/>
    <w:uiPriority w:val="0"/>
    <w:pPr>
      <w:widowControl w:val="0"/>
      <w:numPr>
        <w:numId w:val="0"/>
      </w:numPr>
      <w:tabs>
        <w:tab w:val="left" w:pos="720"/>
      </w:tabs>
      <w:adjustRightInd/>
      <w:spacing w:before="260" w:beforeLines="50" w:after="260" w:afterLines="50"/>
      <w:textAlignment w:val="auto"/>
    </w:pPr>
    <w:rPr>
      <w:rFonts w:eastAsia="宋体"/>
      <w:b/>
      <w:bCs/>
      <w:color w:val="auto"/>
      <w:szCs w:val="32"/>
    </w:rPr>
  </w:style>
  <w:style w:type="character" w:customStyle="1" w:styleId="2003">
    <w:name w:val="表格名称 Char Char Char"/>
    <w:qFormat/>
    <w:uiPriority w:val="0"/>
    <w:rPr>
      <w:rFonts w:eastAsia="宋体" w:cs="宋体"/>
      <w:b/>
      <w:color w:val="000000"/>
      <w:kern w:val="2"/>
      <w:sz w:val="21"/>
      <w:szCs w:val="21"/>
      <w:lang w:val="en-US" w:eastAsia="zh-CN" w:bidi="ar-SA"/>
    </w:rPr>
  </w:style>
  <w:style w:type="character" w:customStyle="1" w:styleId="2004">
    <w:name w:val="图表注 Char Char"/>
    <w:qFormat/>
    <w:uiPriority w:val="0"/>
    <w:rPr>
      <w:rFonts w:ascii="仿宋_GB2312" w:hAnsi="宋体" w:eastAsia="仿宋_GB2312" w:cs="仿宋_GB2312"/>
      <w:b/>
      <w:bCs/>
      <w:kern w:val="2"/>
      <w:sz w:val="21"/>
      <w:szCs w:val="21"/>
      <w:lang w:val="en-US" w:eastAsia="zh-CN" w:bidi="ar-SA"/>
    </w:rPr>
  </w:style>
  <w:style w:type="character" w:customStyle="1" w:styleId="2005">
    <w:name w:val="中大1级标题 Char"/>
    <w:qFormat/>
    <w:uiPriority w:val="0"/>
    <w:rPr>
      <w:b/>
      <w:kern w:val="28"/>
      <w:sz w:val="36"/>
    </w:rPr>
  </w:style>
  <w:style w:type="character" w:customStyle="1" w:styleId="2006">
    <w:name w:val="顺德-正文 Char Char"/>
    <w:qFormat/>
    <w:uiPriority w:val="0"/>
    <w:rPr>
      <w:rFonts w:ascii="宋体" w:hAnsi="宋体" w:cs="宋体"/>
      <w:color w:val="000000"/>
      <w:sz w:val="24"/>
    </w:rPr>
  </w:style>
  <w:style w:type="character" w:customStyle="1" w:styleId="2007">
    <w:name w:val="表格11 Char Char"/>
    <w:qFormat/>
    <w:uiPriority w:val="0"/>
    <w:rPr>
      <w:rFonts w:cs="宋体"/>
      <w:color w:val="000000"/>
      <w:szCs w:val="24"/>
      <w:lang w:val="zh-CN"/>
    </w:rPr>
  </w:style>
  <w:style w:type="character" w:customStyle="1" w:styleId="2008">
    <w:name w:val="样式 宋体 五号 黑色 居中 行距: 单倍行距 Char"/>
    <w:link w:val="2009"/>
    <w:qFormat/>
    <w:uiPriority w:val="0"/>
    <w:rPr>
      <w:rFonts w:ascii="宋体" w:hAnsi="宋体" w:cs="宋体"/>
      <w:color w:val="000000"/>
      <w:kern w:val="2"/>
      <w:sz w:val="21"/>
    </w:rPr>
  </w:style>
  <w:style w:type="paragraph" w:customStyle="1" w:styleId="2009">
    <w:name w:val="样式 宋体 五号 黑色 居中 行距: 单倍行距"/>
    <w:basedOn w:val="1"/>
    <w:link w:val="2008"/>
    <w:qFormat/>
    <w:uiPriority w:val="0"/>
    <w:pPr>
      <w:jc w:val="center"/>
    </w:pPr>
    <w:rPr>
      <w:rFonts w:ascii="宋体" w:hAnsi="宋体" w:cs="宋体"/>
      <w:color w:val="000000"/>
      <w:szCs w:val="20"/>
    </w:rPr>
  </w:style>
  <w:style w:type="character" w:customStyle="1" w:styleId="2010">
    <w:name w:val="样式 标题 2Chapter Heading2nd levelh22Titre2l2H2Header 2UND...2 Char"/>
    <w:qFormat/>
    <w:uiPriority w:val="0"/>
    <w:rPr>
      <w:rFonts w:eastAsia="黑体"/>
      <w:bCs/>
      <w:kern w:val="2"/>
      <w:sz w:val="24"/>
      <w:szCs w:val="32"/>
      <w:lang w:val="en-US" w:eastAsia="zh-CN" w:bidi="ar-SA"/>
    </w:rPr>
  </w:style>
  <w:style w:type="character" w:customStyle="1" w:styleId="2011">
    <w:name w:val="样式 正文文本缩进 2 + 黑色 行距: 固定值 12 磅 Char"/>
    <w:qFormat/>
    <w:uiPriority w:val="0"/>
    <w:rPr>
      <w:b/>
      <w:color w:val="3366FF"/>
      <w:kern w:val="2"/>
      <w:szCs w:val="21"/>
    </w:rPr>
  </w:style>
  <w:style w:type="character" w:customStyle="1" w:styleId="2012">
    <w:name w:val="样式88 Char"/>
    <w:qFormat/>
    <w:uiPriority w:val="0"/>
    <w:rPr>
      <w:rFonts w:ascii="宋体" w:hAnsi="宋体" w:eastAsia="黑体"/>
      <w:b/>
      <w:sz w:val="24"/>
      <w:szCs w:val="24"/>
    </w:rPr>
  </w:style>
  <w:style w:type="character" w:customStyle="1" w:styleId="2013">
    <w:name w:val="图题 Char"/>
    <w:link w:val="1225"/>
    <w:qFormat/>
    <w:locked/>
    <w:uiPriority w:val="0"/>
    <w:rPr>
      <w:rFonts w:eastAsia="仿宋_GB2312"/>
      <w:b/>
      <w:sz w:val="24"/>
      <w:szCs w:val="24"/>
    </w:rPr>
  </w:style>
  <w:style w:type="character" w:customStyle="1" w:styleId="2014">
    <w:name w:val="样式 第3级标题 + (中文) 宋体 Char"/>
    <w:qFormat/>
    <w:uiPriority w:val="0"/>
    <w:rPr>
      <w:rFonts w:eastAsia="华文中宋"/>
      <w:b/>
      <w:bCs/>
      <w:kern w:val="2"/>
      <w:sz w:val="30"/>
      <w:szCs w:val="30"/>
      <w:lang w:val="zh-CN" w:eastAsia="zh-CN"/>
    </w:rPr>
  </w:style>
  <w:style w:type="character" w:customStyle="1" w:styleId="2015">
    <w:name w:val="postbody"/>
    <w:qFormat/>
    <w:uiPriority w:val="0"/>
    <w:rPr>
      <w:rFonts w:eastAsia="宋体" w:cs="宋体"/>
      <w:color w:val="000000"/>
      <w:kern w:val="2"/>
      <w:sz w:val="24"/>
      <w:szCs w:val="24"/>
      <w:lang w:val="zh-CN" w:eastAsia="zh-CN" w:bidi="ar-SA"/>
    </w:rPr>
  </w:style>
  <w:style w:type="character" w:customStyle="1" w:styleId="2016">
    <w:name w:val="正文（有空格） Char"/>
    <w:qFormat/>
    <w:uiPriority w:val="0"/>
    <w:rPr>
      <w:kern w:val="2"/>
      <w:sz w:val="28"/>
      <w:szCs w:val="28"/>
      <w:lang w:val="en-US" w:eastAsia="zh-CN" w:bidi="ar-SA"/>
    </w:rPr>
  </w:style>
  <w:style w:type="character" w:customStyle="1" w:styleId="2017">
    <w:name w:val="样式 正文首行缩进 2 + 首行缩进:  2 字符1 Char Char"/>
    <w:qFormat/>
    <w:uiPriority w:val="0"/>
    <w:rPr>
      <w:rFonts w:hint="eastAsia" w:ascii="宋体" w:hAnsi="宋体" w:eastAsia="宋体" w:cs="宋体"/>
      <w:snapToGrid/>
      <w:kern w:val="2"/>
      <w:sz w:val="24"/>
      <w:szCs w:val="24"/>
      <w:lang w:val="en-US" w:eastAsia="zh-CN" w:bidi="ar-SA"/>
    </w:rPr>
  </w:style>
  <w:style w:type="character" w:customStyle="1" w:styleId="2018">
    <w:name w:val="T2标题 Char"/>
    <w:qFormat/>
    <w:uiPriority w:val="0"/>
    <w:rPr>
      <w:rFonts w:ascii="宋体" w:hAnsi="宋体" w:cs="宋体"/>
      <w:b/>
      <w:bCs/>
      <w:kern w:val="2"/>
      <w:sz w:val="32"/>
    </w:rPr>
  </w:style>
  <w:style w:type="character" w:customStyle="1" w:styleId="2019">
    <w:name w:val="样式5 Char Char Char"/>
    <w:semiHidden/>
    <w:qFormat/>
    <w:uiPriority w:val="0"/>
    <w:rPr>
      <w:rFonts w:ascii="楷体_GB2312" w:eastAsia="楷体_GB2312"/>
      <w:spacing w:val="-4"/>
      <w:sz w:val="28"/>
      <w:szCs w:val="28"/>
    </w:rPr>
  </w:style>
  <w:style w:type="character" w:customStyle="1" w:styleId="2020">
    <w:name w:val="小四 Char Char Char"/>
    <w:qFormat/>
    <w:uiPriority w:val="0"/>
    <w:rPr>
      <w:rFonts w:eastAsia="宋体" w:cs="宋体"/>
      <w:color w:val="000000"/>
      <w:kern w:val="2"/>
      <w:sz w:val="24"/>
      <w:szCs w:val="24"/>
      <w:lang w:val="en-US" w:eastAsia="zh-CN" w:bidi="ar-SA"/>
    </w:rPr>
  </w:style>
  <w:style w:type="character" w:customStyle="1" w:styleId="2021">
    <w:name w:val="正文（YHY-GDB) Char"/>
    <w:qFormat/>
    <w:locked/>
    <w:uiPriority w:val="0"/>
    <w:rPr>
      <w:sz w:val="24"/>
      <w:szCs w:val="24"/>
    </w:rPr>
  </w:style>
  <w:style w:type="character" w:customStyle="1" w:styleId="2022">
    <w:name w:val="君邦正文 Char2"/>
    <w:qFormat/>
    <w:locked/>
    <w:uiPriority w:val="0"/>
    <w:rPr>
      <w:rFonts w:eastAsia="Times New Roman"/>
      <w:bCs/>
      <w:snapToGrid/>
      <w:sz w:val="24"/>
    </w:rPr>
  </w:style>
  <w:style w:type="character" w:customStyle="1" w:styleId="2023">
    <w:name w:val="正文样式新 Char"/>
    <w:qFormat/>
    <w:uiPriority w:val="0"/>
    <w:rPr>
      <w:spacing w:val="12"/>
      <w:kern w:val="2"/>
      <w:sz w:val="24"/>
    </w:rPr>
  </w:style>
  <w:style w:type="character" w:customStyle="1" w:styleId="2024">
    <w:name w:val="节下小标题 Char"/>
    <w:link w:val="2025"/>
    <w:qFormat/>
    <w:uiPriority w:val="0"/>
    <w:rPr>
      <w:rFonts w:ascii="宋体" w:eastAsia="黑体" w:cs="宋体"/>
      <w:color w:val="000000"/>
      <w:sz w:val="24"/>
      <w:szCs w:val="24"/>
    </w:rPr>
  </w:style>
  <w:style w:type="paragraph" w:customStyle="1" w:styleId="2025">
    <w:name w:val="节下小标题"/>
    <w:basedOn w:val="1"/>
    <w:link w:val="2024"/>
    <w:qFormat/>
    <w:uiPriority w:val="0"/>
    <w:pPr>
      <w:spacing w:beforeLines="50" w:line="300" w:lineRule="auto"/>
      <w:ind w:firstLine="567"/>
    </w:pPr>
    <w:rPr>
      <w:rFonts w:ascii="宋体" w:eastAsia="黑体" w:cs="宋体"/>
      <w:color w:val="000000"/>
      <w:kern w:val="0"/>
      <w:sz w:val="24"/>
    </w:rPr>
  </w:style>
  <w:style w:type="character" w:customStyle="1" w:styleId="2026">
    <w:name w:val="第2级标题 Char"/>
    <w:qFormat/>
    <w:uiPriority w:val="0"/>
    <w:rPr>
      <w:rFonts w:eastAsia="华文中宋"/>
      <w:b/>
      <w:bCs/>
      <w:sz w:val="32"/>
      <w:szCs w:val="32"/>
      <w:lang w:val="en-US" w:eastAsia="zh-CN" w:bidi="ar-SA"/>
    </w:rPr>
  </w:style>
  <w:style w:type="character" w:customStyle="1" w:styleId="2027">
    <w:name w:val="样式 报告 + 首行缩进:  2 字符 Char"/>
    <w:qFormat/>
    <w:uiPriority w:val="0"/>
    <w:rPr>
      <w:sz w:val="24"/>
    </w:rPr>
  </w:style>
  <w:style w:type="character" w:customStyle="1" w:styleId="2028">
    <w:name w:val="样式 Char + Char"/>
    <w:qFormat/>
    <w:uiPriority w:val="0"/>
    <w:rPr>
      <w:rFonts w:ascii="宋体" w:hAnsi="宋体"/>
      <w:sz w:val="24"/>
      <w:szCs w:val="24"/>
      <w:lang w:eastAsia="en-US"/>
    </w:rPr>
  </w:style>
  <w:style w:type="character" w:customStyle="1" w:styleId="2029">
    <w:name w:val="样式 djz + 首行缩进:  2 字符 Char"/>
    <w:qFormat/>
    <w:uiPriority w:val="0"/>
    <w:rPr>
      <w:rFonts w:ascii="仿宋_GB2312" w:hAnsi="仿宋_GB2312"/>
      <w:kern w:val="2"/>
      <w:sz w:val="24"/>
      <w:szCs w:val="28"/>
    </w:rPr>
  </w:style>
  <w:style w:type="character" w:customStyle="1" w:styleId="2030">
    <w:name w:val="此篇标题3 Char"/>
    <w:qFormat/>
    <w:uiPriority w:val="0"/>
    <w:rPr>
      <w:rFonts w:ascii="仿宋_GB2312" w:hAnsi="Arial" w:cs="宋体"/>
      <w:b/>
      <w:kern w:val="2"/>
      <w:sz w:val="24"/>
      <w:szCs w:val="24"/>
    </w:rPr>
  </w:style>
  <w:style w:type="character" w:customStyle="1" w:styleId="2031">
    <w:name w:val="图名（杨） Char Char"/>
    <w:link w:val="2032"/>
    <w:qFormat/>
    <w:uiPriority w:val="0"/>
    <w:rPr>
      <w:rFonts w:eastAsia="黑体"/>
      <w:kern w:val="2"/>
      <w:sz w:val="24"/>
      <w:szCs w:val="24"/>
    </w:rPr>
  </w:style>
  <w:style w:type="paragraph" w:customStyle="1" w:styleId="2032">
    <w:name w:val="图名（杨）"/>
    <w:basedOn w:val="1"/>
    <w:link w:val="2031"/>
    <w:qFormat/>
    <w:uiPriority w:val="0"/>
    <w:pPr>
      <w:jc w:val="center"/>
    </w:pPr>
    <w:rPr>
      <w:rFonts w:eastAsia="黑体"/>
      <w:sz w:val="24"/>
    </w:rPr>
  </w:style>
  <w:style w:type="character" w:customStyle="1" w:styleId="2033">
    <w:name w:val="p13z1"/>
    <w:qFormat/>
    <w:uiPriority w:val="0"/>
    <w:rPr>
      <w:rFonts w:eastAsia="宋体" w:cs="宋体"/>
      <w:color w:val="000000"/>
      <w:spacing w:val="0"/>
      <w:kern w:val="2"/>
      <w:sz w:val="20"/>
      <w:szCs w:val="20"/>
      <w:lang w:val="zh-CN" w:eastAsia="zh-CN" w:bidi="ar-SA"/>
    </w:rPr>
  </w:style>
  <w:style w:type="character" w:customStyle="1" w:styleId="2034">
    <w:name w:val="样式 标题 3标题 3 Char Char Char标题 3 Char Char Char Char Char Char标... Char Char Char Char"/>
    <w:qFormat/>
    <w:uiPriority w:val="0"/>
    <w:rPr>
      <w:rFonts w:ascii="Plotter" w:hAnsi="Plotter" w:eastAsia="宋体" w:cs="宋体"/>
      <w:b/>
      <w:color w:val="000000"/>
      <w:kern w:val="2"/>
      <w:sz w:val="24"/>
      <w:szCs w:val="24"/>
      <w:lang w:val="en-US" w:eastAsia="zh-CN" w:bidi="ar-SA"/>
    </w:rPr>
  </w:style>
  <w:style w:type="character" w:customStyle="1" w:styleId="2035">
    <w:name w:val="正文格式 Char12"/>
    <w:qFormat/>
    <w:uiPriority w:val="0"/>
    <w:rPr>
      <w:rFonts w:hint="eastAsia" w:ascii="宋体" w:hAnsi="宋体" w:eastAsia="宋体" w:cs="宋体"/>
      <w:kern w:val="2"/>
      <w:sz w:val="24"/>
      <w:szCs w:val="24"/>
      <w:lang w:val="en-US" w:eastAsia="zh-CN" w:bidi="ar-SA"/>
    </w:rPr>
  </w:style>
  <w:style w:type="character" w:customStyle="1" w:styleId="2036">
    <w:name w:val="smalltxt1"/>
    <w:qFormat/>
    <w:uiPriority w:val="0"/>
    <w:rPr>
      <w:rFonts w:hint="default" w:ascii="Arial" w:hAnsi="Arial" w:cs="Arial"/>
      <w:sz w:val="23"/>
      <w:szCs w:val="23"/>
    </w:rPr>
  </w:style>
  <w:style w:type="character" w:customStyle="1" w:styleId="2037">
    <w:name w:val="text41"/>
    <w:qFormat/>
    <w:uiPriority w:val="0"/>
    <w:rPr>
      <w:color w:val="3C3C3C"/>
    </w:rPr>
  </w:style>
  <w:style w:type="character" w:customStyle="1" w:styleId="2038">
    <w:name w:val="样式 正文首行缩进 2 Char1"/>
    <w:qFormat/>
    <w:uiPriority w:val="0"/>
    <w:rPr>
      <w:rFonts w:ascii="宋体" w:eastAsia="宋体" w:cs="宋体"/>
      <w:kern w:val="2"/>
      <w:sz w:val="24"/>
      <w:szCs w:val="24"/>
      <w:lang w:val="en-US" w:eastAsia="zh-CN" w:bidi="ar-SA"/>
    </w:rPr>
  </w:style>
  <w:style w:type="character" w:customStyle="1" w:styleId="2039">
    <w:name w:val="表格样式 Char"/>
    <w:qFormat/>
    <w:uiPriority w:val="0"/>
    <w:rPr>
      <w:bCs/>
      <w:kern w:val="2"/>
      <w:sz w:val="21"/>
      <w:szCs w:val="24"/>
    </w:rPr>
  </w:style>
  <w:style w:type="character" w:customStyle="1" w:styleId="2040">
    <w:name w:val="表格 32 Char Char"/>
    <w:qFormat/>
    <w:uiPriority w:val="0"/>
    <w:rPr>
      <w:rFonts w:eastAsia="宋体"/>
      <w:sz w:val="21"/>
      <w:szCs w:val="21"/>
      <w:lang w:val="en-US" w:eastAsia="zh-CN" w:bidi="ar-SA"/>
    </w:rPr>
  </w:style>
  <w:style w:type="character" w:customStyle="1" w:styleId="2041">
    <w:name w:val="style13"/>
    <w:qFormat/>
    <w:uiPriority w:val="0"/>
    <w:rPr>
      <w:rFonts w:ascii="宋体" w:hAnsi="宋体" w:eastAsia="黑体" w:cs="宋体"/>
      <w:b/>
      <w:bCs/>
      <w:sz w:val="28"/>
      <w:szCs w:val="21"/>
      <w:lang w:val="en-US" w:eastAsia="zh-CN" w:bidi="ar-SA"/>
    </w:rPr>
  </w:style>
  <w:style w:type="character" w:customStyle="1" w:styleId="2042">
    <w:name w:val="样式 0 + 加粗 Char Char Char"/>
    <w:qFormat/>
    <w:uiPriority w:val="0"/>
    <w:rPr>
      <w:rFonts w:ascii="宋体" w:hAnsi="宋体" w:eastAsia="宋体" w:cs="宋体"/>
      <w:b/>
      <w:bCs/>
      <w:spacing w:val="10"/>
      <w:sz w:val="24"/>
      <w:szCs w:val="24"/>
      <w:lang w:val="en-US" w:eastAsia="zh-CN" w:bidi="ar-SA"/>
    </w:rPr>
  </w:style>
  <w:style w:type="character" w:customStyle="1" w:styleId="2043">
    <w:name w:val="TT4 Char Char"/>
    <w:link w:val="2044"/>
    <w:semiHidden/>
    <w:qFormat/>
    <w:uiPriority w:val="0"/>
    <w:rPr>
      <w:rFonts w:ascii="Arial" w:hAnsi="Arial" w:eastAsia="华文中宋"/>
      <w:b/>
      <w:bCs/>
      <w:kern w:val="2"/>
      <w:sz w:val="32"/>
      <w:szCs w:val="32"/>
      <w:lang w:val="zh-CN" w:eastAsia="zh-CN"/>
    </w:rPr>
  </w:style>
  <w:style w:type="paragraph" w:customStyle="1" w:styleId="2044">
    <w:name w:val="TT4"/>
    <w:basedOn w:val="4"/>
    <w:link w:val="2043"/>
    <w:semiHidden/>
    <w:qFormat/>
    <w:uiPriority w:val="0"/>
    <w:pPr>
      <w:numPr>
        <w:ilvl w:val="0"/>
        <w:numId w:val="0"/>
      </w:numPr>
      <w:tabs>
        <w:tab w:val="left" w:pos="720"/>
        <w:tab w:val="left" w:pos="864"/>
        <w:tab w:val="left" w:pos="992"/>
      </w:tabs>
      <w:adjustRightInd/>
      <w:snapToGrid/>
      <w:ind w:left="864" w:hanging="864"/>
      <w:outlineLvl w:val="3"/>
    </w:pPr>
    <w:rPr>
      <w:rFonts w:ascii="Arial" w:hAnsi="Arial" w:eastAsia="华文中宋"/>
      <w:b/>
      <w:sz w:val="32"/>
      <w:szCs w:val="32"/>
    </w:rPr>
  </w:style>
  <w:style w:type="character" w:customStyle="1" w:styleId="2045">
    <w:name w:val="图片（杨） Char Char Char"/>
    <w:qFormat/>
    <w:uiPriority w:val="0"/>
    <w:rPr>
      <w:rFonts w:eastAsia="宋体"/>
      <w:kern w:val="2"/>
      <w:sz w:val="24"/>
      <w:szCs w:val="24"/>
      <w:lang w:val="en-US" w:eastAsia="zh-CN" w:bidi="ar-SA"/>
    </w:rPr>
  </w:style>
  <w:style w:type="character" w:customStyle="1" w:styleId="2046">
    <w:name w:val="脚注文本 Char2"/>
    <w:qFormat/>
    <w:uiPriority w:val="0"/>
    <w:rPr>
      <w:rFonts w:eastAsia="仿宋_GB2312"/>
      <w:szCs w:val="24"/>
    </w:rPr>
  </w:style>
  <w:style w:type="character" w:customStyle="1" w:styleId="2047">
    <w:name w:val="正文文字 2 Char2"/>
    <w:qFormat/>
    <w:uiPriority w:val="0"/>
    <w:rPr>
      <w:rFonts w:hint="eastAsia" w:ascii="宋体" w:hAnsi="宋体" w:eastAsia="宋体"/>
      <w:kern w:val="2"/>
      <w:sz w:val="21"/>
      <w:szCs w:val="24"/>
      <w:lang w:val="en-US" w:eastAsia="zh-CN" w:bidi="ar-SA"/>
    </w:rPr>
  </w:style>
  <w:style w:type="character" w:customStyle="1" w:styleId="2048">
    <w:name w:val="正文（首行缩进两字） Char Char Char1"/>
    <w:qFormat/>
    <w:uiPriority w:val="0"/>
    <w:rPr>
      <w:rFonts w:ascii="宋体" w:hAnsi="宋体" w:eastAsia="宋体"/>
      <w:kern w:val="2"/>
      <w:sz w:val="28"/>
      <w:lang w:val="en-US" w:eastAsia="zh-CN" w:bidi="ar-SA"/>
    </w:rPr>
  </w:style>
  <w:style w:type="character" w:customStyle="1" w:styleId="2049">
    <w:name w:val="rcjs_jswm_font"/>
    <w:qFormat/>
    <w:uiPriority w:val="0"/>
    <w:rPr>
      <w:rFonts w:ascii="宋体" w:hAnsi="宋体" w:eastAsia="宋体" w:cs="宋体"/>
      <w:sz w:val="24"/>
      <w:szCs w:val="24"/>
      <w:lang w:val="en-US" w:eastAsia="zh-CN" w:bidi="ar-SA"/>
    </w:rPr>
  </w:style>
  <w:style w:type="character" w:customStyle="1" w:styleId="2050">
    <w:name w:val="图片名称 Char Char"/>
    <w:qFormat/>
    <w:uiPriority w:val="0"/>
    <w:rPr>
      <w:rFonts w:ascii="黑体" w:hAnsi="宋体" w:eastAsia="黑体"/>
      <w:bCs/>
      <w:color w:val="000000"/>
      <w:spacing w:val="-4"/>
      <w:sz w:val="24"/>
      <w:szCs w:val="24"/>
      <w:lang w:val="eu-ES" w:eastAsia="zh-CN"/>
    </w:rPr>
  </w:style>
  <w:style w:type="character" w:customStyle="1" w:styleId="2051">
    <w:name w:val="注解文字 Char"/>
    <w:qFormat/>
    <w:uiPriority w:val="0"/>
    <w:rPr>
      <w:rFonts w:hint="eastAsia" w:ascii="宋体" w:hAnsi="宋体" w:eastAsia="宋体" w:cs="Courier New"/>
      <w:bCs/>
      <w:snapToGrid/>
      <w:kern w:val="2"/>
      <w:sz w:val="21"/>
      <w:szCs w:val="21"/>
      <w:lang w:val="en-US" w:eastAsia="zh-CN" w:bidi="ar-SA"/>
    </w:rPr>
  </w:style>
  <w:style w:type="character" w:customStyle="1" w:styleId="2052">
    <w:name w:val="zi1"/>
    <w:qFormat/>
    <w:uiPriority w:val="0"/>
    <w:rPr>
      <w:color w:val="000000"/>
      <w:sz w:val="17"/>
      <w:szCs w:val="17"/>
      <w:u w:val="none"/>
    </w:rPr>
  </w:style>
  <w:style w:type="character" w:customStyle="1" w:styleId="2053">
    <w:name w:val="样式 标题 2 + 宋体1 Char Char"/>
    <w:qFormat/>
    <w:uiPriority w:val="0"/>
    <w:rPr>
      <w:rFonts w:ascii="宋体" w:hAnsi="宋体" w:eastAsia="宋体" w:cs="宋体"/>
      <w:b/>
      <w:bCs/>
      <w:color w:val="000000"/>
      <w:kern w:val="2"/>
      <w:sz w:val="30"/>
      <w:szCs w:val="24"/>
      <w:lang w:val="en-US" w:eastAsia="zh-CN" w:bidi="ar-SA"/>
    </w:rPr>
  </w:style>
  <w:style w:type="character" w:customStyle="1" w:styleId="2054">
    <w:name w:val="实德题注 Char2"/>
    <w:qFormat/>
    <w:uiPriority w:val="0"/>
    <w:rPr>
      <w:rFonts w:eastAsia="宋体"/>
      <w:b/>
      <w:bCs/>
      <w:sz w:val="32"/>
      <w:lang w:bidi="ar-SA"/>
    </w:rPr>
  </w:style>
  <w:style w:type="character" w:customStyle="1" w:styleId="2055">
    <w:name w:val="图片（杨） Char Char"/>
    <w:qFormat/>
    <w:uiPriority w:val="0"/>
    <w:rPr>
      <w:sz w:val="24"/>
      <w:szCs w:val="24"/>
    </w:rPr>
  </w:style>
  <w:style w:type="character" w:customStyle="1" w:styleId="2056">
    <w:name w:val="td7"/>
    <w:qFormat/>
    <w:uiPriority w:val="0"/>
    <w:rPr>
      <w:rFonts w:eastAsia="宋体" w:cs="宋体"/>
      <w:color w:val="000000"/>
      <w:kern w:val="2"/>
      <w:sz w:val="24"/>
      <w:szCs w:val="24"/>
      <w:lang w:val="zh-CN" w:eastAsia="zh-CN" w:bidi="ar-SA"/>
    </w:rPr>
  </w:style>
  <w:style w:type="character" w:customStyle="1" w:styleId="2057">
    <w:name w:val="样式 样式 标题 4 + Times New Roman Char + 小四 Char Char Char"/>
    <w:qFormat/>
    <w:uiPriority w:val="0"/>
    <w:rPr>
      <w:rFonts w:ascii="Arial" w:hAnsi="Arial" w:eastAsia="宋体"/>
      <w:kern w:val="2"/>
      <w:sz w:val="24"/>
      <w:lang w:val="en-US" w:eastAsia="zh-CN" w:bidi="ar-SA"/>
    </w:rPr>
  </w:style>
  <w:style w:type="character" w:customStyle="1" w:styleId="2058">
    <w:name w:val="正文报告 Char"/>
    <w:qFormat/>
    <w:uiPriority w:val="0"/>
    <w:rPr>
      <w:rFonts w:hint="eastAsia" w:ascii="宋体" w:hAnsi="宋体" w:eastAsia="宋体"/>
      <w:kern w:val="2"/>
      <w:sz w:val="28"/>
      <w:szCs w:val="28"/>
      <w:lang w:val="en-US" w:eastAsia="zh-CN" w:bidi="ar-SA"/>
    </w:rPr>
  </w:style>
  <w:style w:type="character" w:customStyle="1" w:styleId="2059">
    <w:name w:val="表格，表内标题 Char"/>
    <w:qFormat/>
    <w:locked/>
    <w:uiPriority w:val="0"/>
    <w:rPr>
      <w:spacing w:val="10"/>
      <w:kern w:val="44"/>
      <w:sz w:val="24"/>
      <w:szCs w:val="24"/>
    </w:rPr>
  </w:style>
  <w:style w:type="character" w:customStyle="1" w:styleId="2060">
    <w:name w:val="table-xiayou"/>
    <w:qFormat/>
    <w:uiPriority w:val="0"/>
    <w:rPr>
      <w:rFonts w:eastAsia="宋体" w:cs="宋体"/>
      <w:color w:val="000000"/>
      <w:kern w:val="2"/>
      <w:sz w:val="24"/>
      <w:szCs w:val="24"/>
      <w:lang w:val="zh-CN" w:eastAsia="zh-CN" w:bidi="ar-SA"/>
    </w:rPr>
  </w:style>
  <w:style w:type="character" w:customStyle="1" w:styleId="2061">
    <w:name w:val="样式 宋体 小四 行距: 固定值 26 磅 Char Char"/>
    <w:qFormat/>
    <w:uiPriority w:val="0"/>
    <w:rPr>
      <w:rFonts w:cs="宋体"/>
      <w:kern w:val="2"/>
      <w:sz w:val="24"/>
      <w:szCs w:val="24"/>
    </w:rPr>
  </w:style>
  <w:style w:type="character" w:customStyle="1" w:styleId="2062">
    <w:name w:val="样式 zhang正文 + (中文) 宋体 Char Char"/>
    <w:qFormat/>
    <w:uiPriority w:val="0"/>
    <w:rPr>
      <w:rFonts w:ascii="宋体" w:hAnsi="宋体" w:eastAsia="宋体" w:cs="宋体"/>
      <w:kern w:val="2"/>
      <w:sz w:val="24"/>
      <w:szCs w:val="24"/>
      <w:lang w:val="en-US" w:eastAsia="zh-CN" w:bidi="ar-SA"/>
    </w:rPr>
  </w:style>
  <w:style w:type="character" w:customStyle="1" w:styleId="2063">
    <w:name w:val="南沙正文 Char Char"/>
    <w:qFormat/>
    <w:uiPriority w:val="0"/>
    <w:rPr>
      <w:rFonts w:eastAsia="宋体"/>
      <w:kern w:val="2"/>
      <w:sz w:val="24"/>
      <w:lang w:bidi="ar-SA"/>
    </w:rPr>
  </w:style>
  <w:style w:type="character" w:customStyle="1" w:styleId="2064">
    <w:name w:val="表头（杨） Char Char"/>
    <w:qFormat/>
    <w:uiPriority w:val="0"/>
    <w:rPr>
      <w:rFonts w:ascii="宋体" w:hAnsi="宋体" w:cs="宋体"/>
      <w:spacing w:val="10"/>
      <w:sz w:val="24"/>
      <w:szCs w:val="24"/>
    </w:rPr>
  </w:style>
  <w:style w:type="character" w:customStyle="1" w:styleId="2065">
    <w:name w:val="标题４（hwl） Char Char"/>
    <w:qFormat/>
    <w:uiPriority w:val="0"/>
    <w:rPr>
      <w:rFonts w:hint="default" w:ascii="Cambria" w:hAnsi="Cambria"/>
      <w:b/>
      <w:kern w:val="2"/>
      <w:sz w:val="30"/>
      <w:szCs w:val="28"/>
    </w:rPr>
  </w:style>
  <w:style w:type="character" w:customStyle="1" w:styleId="2066">
    <w:name w:val="正文 Char Char Char"/>
    <w:qFormat/>
    <w:uiPriority w:val="0"/>
    <w:rPr>
      <w:rFonts w:eastAsia="宋体" w:cs="宋体"/>
      <w:snapToGrid/>
      <w:kern w:val="2"/>
      <w:sz w:val="24"/>
      <w:lang w:val="en-US" w:eastAsia="zh-CN" w:bidi="ar-SA"/>
    </w:rPr>
  </w:style>
  <w:style w:type="character" w:customStyle="1" w:styleId="2067">
    <w:name w:val="样式 题注 Char + 黑体 小四"/>
    <w:qFormat/>
    <w:uiPriority w:val="0"/>
    <w:rPr>
      <w:rFonts w:ascii="黑体" w:hAnsi="黑体" w:eastAsia="黑体" w:cs="Arial"/>
      <w:bCs/>
      <w:kern w:val="2"/>
      <w:sz w:val="36"/>
      <w:szCs w:val="36"/>
      <w:lang w:val="en-US" w:eastAsia="zh-CN" w:bidi="ar-SA"/>
    </w:rPr>
  </w:style>
  <w:style w:type="character" w:customStyle="1" w:styleId="2068">
    <w:name w:val="style11"/>
    <w:qFormat/>
    <w:uiPriority w:val="0"/>
    <w:rPr>
      <w:rFonts w:ascii="宋体" w:hAnsi="宋体" w:eastAsia="宋体" w:cs="宋体"/>
      <w:kern w:val="2"/>
      <w:sz w:val="23"/>
      <w:szCs w:val="23"/>
      <w:lang w:val="en-US" w:eastAsia="zh-CN" w:bidi="ar-SA"/>
    </w:rPr>
  </w:style>
  <w:style w:type="character" w:customStyle="1" w:styleId="2069">
    <w:name w:val="实德题注 Char3"/>
    <w:qFormat/>
    <w:uiPriority w:val="35"/>
    <w:rPr>
      <w:rFonts w:ascii="Times New Roman" w:hAnsi="Times New Roman" w:eastAsia="宋体"/>
      <w:b/>
      <w:szCs w:val="22"/>
    </w:rPr>
  </w:style>
  <w:style w:type="character" w:customStyle="1" w:styleId="2070">
    <w:name w:val="标题 2（hwl） Char Char"/>
    <w:qFormat/>
    <w:uiPriority w:val="0"/>
    <w:rPr>
      <w:rFonts w:hint="default" w:ascii="Cambria" w:hAnsi="Cambria" w:eastAsia="宋体"/>
      <w:b/>
      <w:kern w:val="2"/>
      <w:sz w:val="36"/>
      <w:szCs w:val="32"/>
      <w:lang w:val="en-US" w:eastAsia="zh-CN" w:bidi="ar-SA"/>
    </w:rPr>
  </w:style>
  <w:style w:type="character" w:customStyle="1" w:styleId="2071">
    <w:name w:val="表格内容1 Char"/>
    <w:qFormat/>
    <w:uiPriority w:val="0"/>
    <w:rPr>
      <w:rFonts w:ascii="宋体" w:hAnsi="宋体" w:eastAsia="宋体" w:cs="宋体"/>
      <w:kern w:val="2"/>
      <w:sz w:val="21"/>
      <w:szCs w:val="24"/>
      <w:lang w:val="en-US" w:eastAsia="zh-CN" w:bidi="ar-SA"/>
    </w:rPr>
  </w:style>
  <w:style w:type="character" w:customStyle="1" w:styleId="2072">
    <w:name w:val="正文新 Char Char Char Char"/>
    <w:qFormat/>
    <w:uiPriority w:val="0"/>
    <w:rPr>
      <w:rFonts w:eastAsia="宋体" w:cs="宋体"/>
      <w:kern w:val="2"/>
      <w:sz w:val="24"/>
      <w:szCs w:val="24"/>
      <w:lang w:val="en-US" w:eastAsia="zh-CN" w:bidi="ar-SA"/>
    </w:rPr>
  </w:style>
  <w:style w:type="character" w:customStyle="1" w:styleId="2073">
    <w:name w:val="样式 居中 首行缩进:  2 字符 段后: 7.8 磅 Char"/>
    <w:qFormat/>
    <w:uiPriority w:val="0"/>
    <w:rPr>
      <w:rFonts w:ascii="宋体" w:cs="宋体"/>
      <w:sz w:val="24"/>
      <w:szCs w:val="24"/>
    </w:rPr>
  </w:style>
  <w:style w:type="character" w:customStyle="1" w:styleId="2074">
    <w:name w:val="样式 样式 样式 正文 首行缩进 + 首行缩进:  2 字符 行距: 单倍行距 + 首行缩进:  2 字符 + 小四 首行缩进... Char"/>
    <w:link w:val="2075"/>
    <w:qFormat/>
    <w:uiPriority w:val="0"/>
    <w:rPr>
      <w:kern w:val="2"/>
      <w:sz w:val="24"/>
    </w:rPr>
  </w:style>
  <w:style w:type="paragraph" w:customStyle="1" w:styleId="2075">
    <w:name w:val="样式 样式 样式 正文 首行缩进 + 首行缩进:  2 字符 行距: 单倍行距 + 首行缩进:  2 字符 + 小四 首行缩进..."/>
    <w:basedOn w:val="1"/>
    <w:link w:val="2074"/>
    <w:qFormat/>
    <w:uiPriority w:val="0"/>
    <w:pPr>
      <w:spacing w:line="312" w:lineRule="auto"/>
      <w:ind w:firstLine="480" w:firstLineChars="200"/>
    </w:pPr>
    <w:rPr>
      <w:sz w:val="24"/>
      <w:szCs w:val="20"/>
    </w:rPr>
  </w:style>
  <w:style w:type="character" w:customStyle="1" w:styleId="2076">
    <w:name w:val="第3级标题 Char Char Char"/>
    <w:qFormat/>
    <w:uiPriority w:val="0"/>
    <w:rPr>
      <w:rFonts w:ascii="宋体" w:hAnsi="宋体" w:eastAsia="华文中宋" w:cs="宋体"/>
      <w:b/>
      <w:bCs/>
      <w:sz w:val="30"/>
      <w:szCs w:val="30"/>
      <w:lang w:val="en-US" w:eastAsia="zh-CN" w:bidi="ar-SA"/>
    </w:rPr>
  </w:style>
  <w:style w:type="character" w:customStyle="1" w:styleId="2077">
    <w:name w:val="subject2"/>
    <w:qFormat/>
    <w:uiPriority w:val="0"/>
    <w:rPr>
      <w:sz w:val="19"/>
      <w:szCs w:val="19"/>
    </w:rPr>
  </w:style>
  <w:style w:type="character" w:customStyle="1" w:styleId="2078">
    <w:name w:val="样式 注释标题 + Times New Roman Char"/>
    <w:qFormat/>
    <w:uiPriority w:val="0"/>
    <w:rPr>
      <w:rFonts w:ascii="黑体" w:hAnsi="宋体" w:eastAsia="黑体"/>
      <w:kern w:val="2"/>
      <w:sz w:val="24"/>
      <w:szCs w:val="24"/>
    </w:rPr>
  </w:style>
  <w:style w:type="character" w:customStyle="1" w:styleId="2079">
    <w:name w:val="此篇标题3 Char Char Char"/>
    <w:qFormat/>
    <w:uiPriority w:val="0"/>
    <w:rPr>
      <w:rFonts w:ascii="仿宋_GB2312" w:hAnsi="Arial" w:eastAsia="Times New Roman" w:cs="宋体"/>
      <w:b/>
      <w:kern w:val="2"/>
      <w:sz w:val="24"/>
      <w:szCs w:val="24"/>
      <w:lang w:val="en-US" w:eastAsia="zh-CN" w:bidi="ar-SA"/>
    </w:rPr>
  </w:style>
  <w:style w:type="character" w:customStyle="1" w:styleId="2080">
    <w:name w:val="样式3 Char Char"/>
    <w:qFormat/>
    <w:uiPriority w:val="0"/>
    <w:rPr>
      <w:rFonts w:eastAsia="宋体"/>
      <w:sz w:val="24"/>
      <w:szCs w:val="24"/>
    </w:rPr>
  </w:style>
  <w:style w:type="character" w:customStyle="1" w:styleId="2081">
    <w:name w:val="批注框文本 Char2"/>
    <w:semiHidden/>
    <w:qFormat/>
    <w:uiPriority w:val="99"/>
    <w:rPr>
      <w:rFonts w:ascii="Times New Roman" w:hAnsi="Times New Roman" w:eastAsia="宋体" w:cs="Times New Roman"/>
      <w:sz w:val="18"/>
      <w:szCs w:val="18"/>
    </w:rPr>
  </w:style>
  <w:style w:type="character" w:customStyle="1" w:styleId="2082">
    <w:name w:val="TT正文 Char Char Char"/>
    <w:qFormat/>
    <w:uiPriority w:val="0"/>
    <w:rPr>
      <w:rFonts w:eastAsia="宋体" w:cs="宋体"/>
      <w:color w:val="000000"/>
      <w:kern w:val="2"/>
      <w:sz w:val="24"/>
      <w:szCs w:val="24"/>
      <w:lang w:val="en-US" w:eastAsia="zh-CN" w:bidi="ar-SA"/>
    </w:rPr>
  </w:style>
  <w:style w:type="character" w:customStyle="1" w:styleId="2083">
    <w:name w:val="TT表格文字01 Char Char"/>
    <w:qFormat/>
    <w:uiPriority w:val="0"/>
    <w:rPr>
      <w:snapToGrid w:val="0"/>
      <w:color w:val="000000"/>
      <w:kern w:val="2"/>
      <w:sz w:val="21"/>
    </w:rPr>
  </w:style>
  <w:style w:type="character" w:customStyle="1" w:styleId="2084">
    <w:name w:val="样式122 Char"/>
    <w:qFormat/>
    <w:uiPriority w:val="0"/>
    <w:rPr>
      <w:b/>
      <w:color w:val="000000"/>
      <w:sz w:val="24"/>
      <w:szCs w:val="24"/>
    </w:rPr>
  </w:style>
  <w:style w:type="character" w:customStyle="1" w:styleId="2085">
    <w:name w:val="样式 首行缩进 2 字符 Char Char"/>
    <w:qFormat/>
    <w:uiPriority w:val="0"/>
    <w:rPr>
      <w:rFonts w:ascii="RomanD" w:hAnsi="RomanD" w:cs="宋体"/>
      <w:sz w:val="24"/>
      <w:szCs w:val="24"/>
    </w:rPr>
  </w:style>
  <w:style w:type="character" w:customStyle="1" w:styleId="2086">
    <w:name w:val="TOC 3 字符"/>
    <w:link w:val="45"/>
    <w:qFormat/>
    <w:uiPriority w:val="39"/>
    <w:rPr>
      <w:i/>
      <w:iCs/>
      <w:kern w:val="2"/>
    </w:rPr>
  </w:style>
  <w:style w:type="character" w:customStyle="1" w:styleId="2087">
    <w:name w:val="样式 正文2 + Char Char"/>
    <w:qFormat/>
    <w:uiPriority w:val="0"/>
    <w:rPr>
      <w:rFonts w:eastAsia="宋体" w:cs="宋体"/>
      <w:color w:val="000000"/>
      <w:kern w:val="2"/>
      <w:sz w:val="28"/>
      <w:szCs w:val="28"/>
      <w:lang w:val="en-US" w:eastAsia="zh-CN" w:bidi="ar-SA"/>
    </w:rPr>
  </w:style>
  <w:style w:type="character" w:customStyle="1" w:styleId="2088">
    <w:name w:val="txt021"/>
    <w:qFormat/>
    <w:uiPriority w:val="0"/>
    <w:rPr>
      <w:color w:val="333333"/>
      <w:sz w:val="18"/>
      <w:szCs w:val="18"/>
      <w:u w:val="none"/>
    </w:rPr>
  </w:style>
  <w:style w:type="character" w:customStyle="1" w:styleId="2089">
    <w:name w:val="正文首行缩进 Char2"/>
    <w:qFormat/>
    <w:uiPriority w:val="0"/>
    <w:rPr>
      <w:rFonts w:ascii="Times New Roman" w:hAnsi="Times New Roman" w:eastAsia="宋体" w:cs="Times New Roman"/>
      <w:kern w:val="0"/>
      <w:szCs w:val="24"/>
    </w:rPr>
  </w:style>
  <w:style w:type="character" w:customStyle="1" w:styleId="2090">
    <w:name w:val="标题表格 Char1"/>
    <w:qFormat/>
    <w:uiPriority w:val="0"/>
    <w:rPr>
      <w:b/>
      <w:kern w:val="2"/>
      <w:sz w:val="21"/>
      <w:szCs w:val="21"/>
      <w:lang w:val="zh-CN"/>
    </w:rPr>
  </w:style>
  <w:style w:type="character" w:customStyle="1" w:styleId="2091">
    <w:name w:val="rcjsjswmfont1"/>
    <w:qFormat/>
    <w:uiPriority w:val="0"/>
    <w:rPr>
      <w:rFonts w:ascii="宋体" w:hAnsi="宋体" w:eastAsia="宋体" w:cs="宋体"/>
      <w:sz w:val="24"/>
      <w:szCs w:val="24"/>
      <w:lang w:val="en-US" w:eastAsia="zh-CN" w:bidi="ar-SA"/>
    </w:rPr>
  </w:style>
  <w:style w:type="character" w:customStyle="1" w:styleId="2092">
    <w:name w:val="样式 标题 2标题 2 Char + 红色 Char"/>
    <w:qFormat/>
    <w:uiPriority w:val="0"/>
    <w:rPr>
      <w:rFonts w:ascii="Arial" w:hAnsi="Arial" w:eastAsia="黑体"/>
      <w:b/>
      <w:bCs/>
      <w:color w:val="000000"/>
      <w:kern w:val="2"/>
      <w:sz w:val="32"/>
      <w:szCs w:val="32"/>
      <w:lang w:val="en-US" w:eastAsia="zh-CN" w:bidi="ar-SA"/>
    </w:rPr>
  </w:style>
  <w:style w:type="character" w:customStyle="1" w:styleId="2093">
    <w:name w:val="样式 首行缩进:  2 字符 Char Char Char"/>
    <w:qFormat/>
    <w:uiPriority w:val="0"/>
    <w:rPr>
      <w:rFonts w:ascii="宋体" w:hAnsi="宋体" w:eastAsia="仿宋_GB2312" w:cs="宋体"/>
      <w:sz w:val="24"/>
      <w:lang w:val="en-US" w:eastAsia="zh-CN" w:bidi="ar-SA"/>
    </w:rPr>
  </w:style>
  <w:style w:type="character" w:customStyle="1" w:styleId="2094">
    <w:name w:val="样式 正文内容 + 段前: 0.5 行 段后: 0.5 行 Char"/>
    <w:qFormat/>
    <w:uiPriority w:val="0"/>
    <w:rPr>
      <w:rFonts w:ascii="Calibri" w:hAnsi="宋体"/>
      <w:color w:val="FF00FF"/>
      <w:kern w:val="10"/>
      <w:sz w:val="24"/>
      <w:szCs w:val="24"/>
    </w:rPr>
  </w:style>
  <w:style w:type="character" w:customStyle="1" w:styleId="2095">
    <w:name w:val="样式43 Char"/>
    <w:link w:val="205"/>
    <w:qFormat/>
    <w:uiPriority w:val="0"/>
    <w:rPr>
      <w:kern w:val="2"/>
      <w:sz w:val="24"/>
      <w:szCs w:val="28"/>
    </w:rPr>
  </w:style>
  <w:style w:type="character" w:customStyle="1" w:styleId="2096">
    <w:name w:val="正文（杨） Char"/>
    <w:link w:val="2097"/>
    <w:qFormat/>
    <w:uiPriority w:val="0"/>
    <w:rPr>
      <w:rFonts w:hAnsi="宋体" w:cs="宋体"/>
      <w:color w:val="000000"/>
      <w:sz w:val="24"/>
      <w:szCs w:val="24"/>
    </w:rPr>
  </w:style>
  <w:style w:type="paragraph" w:customStyle="1" w:styleId="2097">
    <w:name w:val="正文（杨）"/>
    <w:basedOn w:val="1"/>
    <w:link w:val="2096"/>
    <w:qFormat/>
    <w:uiPriority w:val="0"/>
    <w:pPr>
      <w:spacing w:line="360" w:lineRule="auto"/>
      <w:ind w:firstLine="480" w:firstLineChars="200"/>
      <w:jc w:val="left"/>
    </w:pPr>
    <w:rPr>
      <w:rFonts w:hAnsi="宋体" w:cs="宋体"/>
      <w:color w:val="000000"/>
      <w:kern w:val="0"/>
      <w:sz w:val="24"/>
    </w:rPr>
  </w:style>
  <w:style w:type="character" w:customStyle="1" w:styleId="2098">
    <w:name w:val="消息标题标签"/>
    <w:qFormat/>
    <w:uiPriority w:val="0"/>
    <w:rPr>
      <w:rFonts w:ascii="Arial" w:hAnsi="Arial"/>
      <w:b/>
      <w:spacing w:val="-4"/>
      <w:sz w:val="18"/>
      <w:lang w:eastAsia="zh-CN"/>
    </w:rPr>
  </w:style>
  <w:style w:type="character" w:customStyle="1" w:styleId="2099">
    <w:name w:val="样式 (西文) Times New Roman 四号 首行缩进:  2 字符 Char Char"/>
    <w:qFormat/>
    <w:uiPriority w:val="0"/>
    <w:rPr>
      <w:rFonts w:eastAsia="宋体" w:cs="宋体"/>
      <w:color w:val="000000"/>
      <w:kern w:val="2"/>
      <w:sz w:val="28"/>
      <w:szCs w:val="24"/>
      <w:lang w:val="en-US" w:eastAsia="zh-CN" w:bidi="ar-SA"/>
    </w:rPr>
  </w:style>
  <w:style w:type="character" w:customStyle="1" w:styleId="2100">
    <w:name w:val="表格五号字"/>
    <w:qFormat/>
    <w:uiPriority w:val="0"/>
    <w:rPr>
      <w:sz w:val="21"/>
    </w:rPr>
  </w:style>
  <w:style w:type="character" w:customStyle="1" w:styleId="2101">
    <w:name w:val="yellow1"/>
    <w:qFormat/>
    <w:uiPriority w:val="0"/>
    <w:rPr>
      <w:color w:val="FFFF00"/>
      <w:u w:val="none"/>
    </w:rPr>
  </w:style>
  <w:style w:type="character" w:customStyle="1" w:styleId="2102">
    <w:name w:val="标题 1.1 Char Char"/>
    <w:qFormat/>
    <w:uiPriority w:val="0"/>
    <w:rPr>
      <w:rFonts w:eastAsia="黑体"/>
      <w:b/>
      <w:bCs/>
      <w:kern w:val="2"/>
      <w:sz w:val="28"/>
      <w:szCs w:val="32"/>
    </w:rPr>
  </w:style>
  <w:style w:type="character" w:customStyle="1" w:styleId="2103">
    <w:name w:val="表头 Char2"/>
    <w:qFormat/>
    <w:uiPriority w:val="0"/>
    <w:rPr>
      <w:rFonts w:eastAsia="黑体"/>
      <w:sz w:val="21"/>
      <w:szCs w:val="21"/>
      <w:lang w:val="en-US" w:eastAsia="zh-CN" w:bidi="ar-SA"/>
    </w:rPr>
  </w:style>
  <w:style w:type="character" w:customStyle="1" w:styleId="2104">
    <w:name w:val="不明显强调2"/>
    <w:qFormat/>
    <w:uiPriority w:val="0"/>
    <w:rPr>
      <w:i/>
      <w:iCs/>
      <w:color w:val="808080"/>
    </w:rPr>
  </w:style>
  <w:style w:type="character" w:customStyle="1" w:styleId="2105">
    <w:name w:val="样式51 Char"/>
    <w:qFormat/>
    <w:uiPriority w:val="0"/>
    <w:rPr>
      <w:rFonts w:ascii="宋体" w:hAnsi="宋体"/>
      <w:kern w:val="18"/>
      <w:sz w:val="24"/>
      <w:szCs w:val="24"/>
    </w:rPr>
  </w:style>
  <w:style w:type="character" w:customStyle="1" w:styleId="2106">
    <w:name w:val="明显强调2"/>
    <w:qFormat/>
    <w:uiPriority w:val="0"/>
    <w:rPr>
      <w:b/>
      <w:bCs/>
      <w:i/>
      <w:iCs/>
      <w:color w:val="4F81BD"/>
    </w:rPr>
  </w:style>
  <w:style w:type="character" w:customStyle="1" w:styleId="2107">
    <w:name w:val="审核报告正文小四 Char"/>
    <w:link w:val="2108"/>
    <w:qFormat/>
    <w:uiPriority w:val="0"/>
    <w:rPr>
      <w:sz w:val="24"/>
    </w:rPr>
  </w:style>
  <w:style w:type="paragraph" w:customStyle="1" w:styleId="2108">
    <w:name w:val="审核报告正文小四"/>
    <w:basedOn w:val="1"/>
    <w:link w:val="2107"/>
    <w:qFormat/>
    <w:uiPriority w:val="0"/>
    <w:pPr>
      <w:spacing w:beforeLines="50" w:afterLines="50" w:line="440" w:lineRule="exact"/>
      <w:ind w:firstLine="200" w:firstLineChars="200"/>
    </w:pPr>
    <w:rPr>
      <w:kern w:val="0"/>
      <w:sz w:val="24"/>
      <w:szCs w:val="20"/>
    </w:rPr>
  </w:style>
  <w:style w:type="character" w:customStyle="1" w:styleId="2109">
    <w:name w:val="小标题 Char Char Char"/>
    <w:qFormat/>
    <w:uiPriority w:val="0"/>
    <w:rPr>
      <w:b/>
      <w:sz w:val="24"/>
      <w:u w:val="words"/>
    </w:rPr>
  </w:style>
  <w:style w:type="character" w:customStyle="1" w:styleId="2110">
    <w:name w:val="落款 Char Char"/>
    <w:qFormat/>
    <w:uiPriority w:val="0"/>
    <w:rPr>
      <w:rFonts w:hint="eastAsia" w:ascii="宋体" w:hAnsi="宋体" w:eastAsia="宋体"/>
      <w:kern w:val="2"/>
      <w:sz w:val="18"/>
      <w:lang w:val="en-US" w:eastAsia="zh-CN" w:bidi="ar-SA"/>
    </w:rPr>
  </w:style>
  <w:style w:type="character" w:customStyle="1" w:styleId="2111">
    <w:name w:val="标题 4 + 小四 Char Char"/>
    <w:qFormat/>
    <w:locked/>
    <w:uiPriority w:val="0"/>
    <w:rPr>
      <w:rFonts w:ascii="Arial" w:hAnsi="Arial" w:eastAsia="黑体"/>
      <w:b/>
      <w:sz w:val="24"/>
    </w:rPr>
  </w:style>
  <w:style w:type="character" w:customStyle="1" w:styleId="2112">
    <w:name w:val="要点2"/>
    <w:qFormat/>
    <w:uiPriority w:val="0"/>
    <w:rPr>
      <w:b/>
      <w:bCs/>
      <w:color w:val="006699"/>
    </w:rPr>
  </w:style>
  <w:style w:type="character" w:customStyle="1" w:styleId="2113">
    <w:name w:val="正文01 Char2"/>
    <w:qFormat/>
    <w:uiPriority w:val="0"/>
    <w:rPr>
      <w:sz w:val="24"/>
    </w:rPr>
  </w:style>
  <w:style w:type="character" w:customStyle="1" w:styleId="2114">
    <w:name w:val="正 文 Char Char Char"/>
    <w:qFormat/>
    <w:uiPriority w:val="0"/>
    <w:rPr>
      <w:color w:val="000000"/>
      <w:kern w:val="2"/>
      <w:sz w:val="24"/>
      <w:szCs w:val="24"/>
      <w:lang w:val="en-US" w:eastAsia="zh-CN" w:bidi="ar-SA"/>
    </w:rPr>
  </w:style>
  <w:style w:type="character" w:customStyle="1" w:styleId="2115">
    <w:name w:val="样式93 Char"/>
    <w:qFormat/>
    <w:uiPriority w:val="0"/>
    <w:rPr>
      <w:rFonts w:ascii="宋体" w:hAnsi="宋体" w:eastAsia="仿宋_GB2312"/>
      <w:kern w:val="11"/>
      <w:sz w:val="24"/>
      <w:szCs w:val="24"/>
    </w:rPr>
  </w:style>
  <w:style w:type="character" w:customStyle="1" w:styleId="2116">
    <w:name w:val="脚注文本 Char1"/>
    <w:qFormat/>
    <w:uiPriority w:val="0"/>
    <w:rPr>
      <w:rFonts w:ascii="Times New Roman" w:hAnsi="Times New Roman" w:eastAsia="仿宋_GB2312" w:cs="Times New Roman"/>
      <w:sz w:val="20"/>
      <w:szCs w:val="24"/>
    </w:rPr>
  </w:style>
  <w:style w:type="character" w:customStyle="1" w:styleId="2117">
    <w:name w:val="顺德-正文 Char"/>
    <w:link w:val="2118"/>
    <w:qFormat/>
    <w:uiPriority w:val="0"/>
    <w:rPr>
      <w:rFonts w:ascii="宋体" w:hAnsi="宋体" w:cs="宋体"/>
      <w:color w:val="000000"/>
      <w:kern w:val="2"/>
      <w:sz w:val="24"/>
    </w:rPr>
  </w:style>
  <w:style w:type="paragraph" w:customStyle="1" w:styleId="2118">
    <w:name w:val="顺德-正文"/>
    <w:basedOn w:val="1"/>
    <w:link w:val="2117"/>
    <w:qFormat/>
    <w:uiPriority w:val="0"/>
    <w:pPr>
      <w:spacing w:line="360" w:lineRule="auto"/>
      <w:ind w:firstLine="480" w:firstLineChars="200"/>
      <w:jc w:val="left"/>
    </w:pPr>
    <w:rPr>
      <w:rFonts w:ascii="宋体" w:hAnsi="宋体" w:cs="宋体"/>
      <w:color w:val="000000"/>
      <w:sz w:val="24"/>
      <w:szCs w:val="20"/>
    </w:rPr>
  </w:style>
  <w:style w:type="character" w:customStyle="1" w:styleId="2119">
    <w:name w:val="样式323 Char"/>
    <w:link w:val="2120"/>
    <w:qFormat/>
    <w:uiPriority w:val="0"/>
    <w:rPr>
      <w:rFonts w:eastAsia="黑体"/>
      <w:b/>
      <w:color w:val="000000"/>
      <w:kern w:val="2"/>
      <w:sz w:val="21"/>
      <w:szCs w:val="21"/>
    </w:rPr>
  </w:style>
  <w:style w:type="paragraph" w:customStyle="1" w:styleId="2120">
    <w:name w:val="样式323"/>
    <w:basedOn w:val="1"/>
    <w:link w:val="2119"/>
    <w:qFormat/>
    <w:uiPriority w:val="0"/>
    <w:pPr>
      <w:spacing w:line="520" w:lineRule="exact"/>
    </w:pPr>
    <w:rPr>
      <w:rFonts w:eastAsia="黑体"/>
      <w:b/>
      <w:color w:val="000000"/>
      <w:szCs w:val="21"/>
    </w:rPr>
  </w:style>
  <w:style w:type="character" w:customStyle="1" w:styleId="2121">
    <w:name w:val="样式 表标题（杨） + 首行缩进:  0.85 厘米 Char"/>
    <w:qFormat/>
    <w:uiPriority w:val="0"/>
    <w:rPr>
      <w:rFonts w:ascii="宋体" w:hAnsi="宋体"/>
      <w:bCs/>
      <w:color w:val="000000"/>
      <w:kern w:val="2"/>
      <w:sz w:val="24"/>
      <w:szCs w:val="24"/>
      <w:lang w:val="zh-CN" w:eastAsia="zh-CN"/>
    </w:rPr>
  </w:style>
  <w:style w:type="character" w:customStyle="1" w:styleId="2122">
    <w:name w:val="样式 表格中 +1 Char"/>
    <w:link w:val="2123"/>
    <w:qFormat/>
    <w:uiPriority w:val="0"/>
    <w:rPr>
      <w:rFonts w:ascii="宋体" w:cs="宋体"/>
      <w:color w:val="000000"/>
      <w:szCs w:val="18"/>
    </w:rPr>
  </w:style>
  <w:style w:type="paragraph" w:customStyle="1" w:styleId="2123">
    <w:name w:val="样式 表格中 +1"/>
    <w:basedOn w:val="1"/>
    <w:link w:val="2122"/>
    <w:qFormat/>
    <w:uiPriority w:val="0"/>
    <w:pPr>
      <w:adjustRightInd w:val="0"/>
      <w:spacing w:line="312" w:lineRule="atLeast"/>
      <w:jc w:val="center"/>
      <w:textAlignment w:val="baseline"/>
    </w:pPr>
    <w:rPr>
      <w:rFonts w:ascii="宋体" w:cs="宋体"/>
      <w:color w:val="000000"/>
      <w:kern w:val="0"/>
      <w:sz w:val="20"/>
      <w:szCs w:val="18"/>
    </w:rPr>
  </w:style>
  <w:style w:type="character" w:customStyle="1" w:styleId="2124">
    <w:name w:val="phone"/>
    <w:qFormat/>
    <w:uiPriority w:val="0"/>
  </w:style>
  <w:style w:type="character" w:customStyle="1" w:styleId="2125">
    <w:name w:val="样式 首行缩进:  2 字符1 Char Char Char Char Char"/>
    <w:qFormat/>
    <w:uiPriority w:val="0"/>
    <w:rPr>
      <w:rFonts w:eastAsia="宋体"/>
      <w:kern w:val="2"/>
      <w:sz w:val="24"/>
      <w:szCs w:val="24"/>
      <w:lang w:val="en-US" w:eastAsia="zh-CN" w:bidi="ar-SA"/>
    </w:rPr>
  </w:style>
  <w:style w:type="character" w:customStyle="1" w:styleId="2126">
    <w:name w:val="表格（hwl) Char"/>
    <w:link w:val="1937"/>
    <w:qFormat/>
    <w:locked/>
    <w:uiPriority w:val="0"/>
    <w:rPr>
      <w:sz w:val="24"/>
      <w:szCs w:val="24"/>
    </w:rPr>
  </w:style>
  <w:style w:type="character" w:customStyle="1" w:styleId="2127">
    <w:name w:val="样式 正文首行缩进 2 Char"/>
    <w:qFormat/>
    <w:uiPriority w:val="0"/>
    <w:rPr>
      <w:rFonts w:ascii="宋体" w:eastAsia="宋体" w:cs="宋体"/>
      <w:kern w:val="2"/>
      <w:sz w:val="24"/>
      <w:szCs w:val="24"/>
      <w:lang w:val="en-US" w:eastAsia="zh-CN" w:bidi="ar-SA"/>
    </w:rPr>
  </w:style>
  <w:style w:type="character" w:customStyle="1" w:styleId="2128">
    <w:name w:val="正文(首行缩进) Char Char"/>
    <w:qFormat/>
    <w:uiPriority w:val="0"/>
    <w:rPr>
      <w:rFonts w:ascii="宋体" w:hAnsi="宋体" w:eastAsia="宋体" w:cs="Times New Roman"/>
      <w:snapToGrid w:val="0"/>
      <w:sz w:val="24"/>
      <w:szCs w:val="24"/>
    </w:rPr>
  </w:style>
  <w:style w:type="character" w:customStyle="1" w:styleId="2129">
    <w:name w:val="尾注文本 Char1"/>
    <w:qFormat/>
    <w:uiPriority w:val="0"/>
    <w:rPr>
      <w:rFonts w:ascii="Times New Roman" w:hAnsi="Times New Roman" w:eastAsia="宋体" w:cs="Times New Roman"/>
      <w:kern w:val="0"/>
      <w:szCs w:val="20"/>
    </w:rPr>
  </w:style>
  <w:style w:type="character" w:customStyle="1" w:styleId="2130">
    <w:name w:val="正文111111111 Char"/>
    <w:qFormat/>
    <w:uiPriority w:val="0"/>
    <w:rPr>
      <w:rFonts w:cs="宋体"/>
      <w:kern w:val="2"/>
      <w:sz w:val="24"/>
    </w:rPr>
  </w:style>
  <w:style w:type="character" w:customStyle="1" w:styleId="2131">
    <w:name w:val="样式 投标正文 + 华文中宋 Char Char"/>
    <w:qFormat/>
    <w:uiPriority w:val="0"/>
    <w:rPr>
      <w:rFonts w:ascii="华文中宋" w:hAnsi="华文中宋" w:eastAsia="华文中宋" w:cs="宋体"/>
      <w:kern w:val="24"/>
      <w:sz w:val="24"/>
      <w:szCs w:val="24"/>
    </w:rPr>
  </w:style>
  <w:style w:type="character" w:customStyle="1" w:styleId="2132">
    <w:name w:val="标题 6 Char1"/>
    <w:qFormat/>
    <w:uiPriority w:val="0"/>
    <w:rPr>
      <w:rFonts w:ascii="Arial" w:hAnsi="Arial" w:eastAsia="黑体"/>
      <w:b/>
      <w:bCs/>
      <w:kern w:val="2"/>
      <w:sz w:val="24"/>
      <w:szCs w:val="24"/>
      <w:lang w:val="en-US" w:eastAsia="zh-CN" w:bidi="ar-SA"/>
    </w:rPr>
  </w:style>
  <w:style w:type="character" w:customStyle="1" w:styleId="2133">
    <w:name w:val="编号 Char"/>
    <w:link w:val="2134"/>
    <w:qFormat/>
    <w:uiPriority w:val="0"/>
    <w:rPr>
      <w:rFonts w:ascii="宋体" w:hAnsi="宋体"/>
      <w:sz w:val="24"/>
      <w:szCs w:val="24"/>
      <w:lang w:val="zh-CN"/>
    </w:rPr>
  </w:style>
  <w:style w:type="paragraph" w:customStyle="1" w:styleId="2134">
    <w:name w:val="编号"/>
    <w:basedOn w:val="2135"/>
    <w:link w:val="2133"/>
    <w:qFormat/>
    <w:uiPriority w:val="0"/>
    <w:pPr>
      <w:numPr>
        <w:ilvl w:val="1"/>
        <w:numId w:val="21"/>
      </w:numPr>
      <w:ind w:firstLine="0" w:firstLineChars="0"/>
    </w:pPr>
  </w:style>
  <w:style w:type="paragraph" w:customStyle="1" w:styleId="2135">
    <w:name w:val="中大正文"/>
    <w:basedOn w:val="1"/>
    <w:link w:val="2320"/>
    <w:qFormat/>
    <w:uiPriority w:val="0"/>
    <w:pPr>
      <w:wordWrap w:val="0"/>
      <w:autoSpaceDE w:val="0"/>
      <w:autoSpaceDN w:val="0"/>
      <w:adjustRightInd w:val="0"/>
      <w:spacing w:line="360" w:lineRule="auto"/>
      <w:ind w:firstLine="200" w:firstLineChars="200"/>
    </w:pPr>
    <w:rPr>
      <w:rFonts w:ascii="宋体" w:hAnsi="宋体"/>
      <w:kern w:val="0"/>
      <w:sz w:val="24"/>
      <w:lang w:val="zh-CN"/>
    </w:rPr>
  </w:style>
  <w:style w:type="character" w:customStyle="1" w:styleId="2136">
    <w:name w:val="麦志勤正文 Char"/>
    <w:qFormat/>
    <w:uiPriority w:val="0"/>
    <w:rPr>
      <w:rFonts w:ascii="宋体" w:hAnsi="宋体"/>
      <w:kern w:val="2"/>
      <w:sz w:val="24"/>
    </w:rPr>
  </w:style>
  <w:style w:type="character" w:customStyle="1" w:styleId="2137">
    <w:name w:val="环小四1.1.1（三级） Char"/>
    <w:link w:val="2138"/>
    <w:qFormat/>
    <w:uiPriority w:val="0"/>
    <w:rPr>
      <w:rFonts w:ascii="宋体" w:hAnsi="宋体" w:eastAsia="楷体_GB2312"/>
      <w:b/>
      <w:bCs/>
      <w:color w:val="000000"/>
      <w:kern w:val="24"/>
      <w:sz w:val="24"/>
      <w:szCs w:val="24"/>
    </w:rPr>
  </w:style>
  <w:style w:type="paragraph" w:customStyle="1" w:styleId="2138">
    <w:name w:val="环小四1.1.1（三级）"/>
    <w:link w:val="2137"/>
    <w:qFormat/>
    <w:uiPriority w:val="0"/>
    <w:pPr>
      <w:widowControl w:val="0"/>
      <w:outlineLvl w:val="2"/>
    </w:pPr>
    <w:rPr>
      <w:rFonts w:ascii="宋体" w:hAnsi="宋体" w:eastAsia="楷体_GB2312" w:cs="Times New Roman"/>
      <w:b/>
      <w:bCs/>
      <w:color w:val="000000"/>
      <w:kern w:val="24"/>
      <w:sz w:val="24"/>
      <w:szCs w:val="24"/>
      <w:lang w:val="en-US" w:eastAsia="zh-CN" w:bidi="ar-SA"/>
    </w:rPr>
  </w:style>
  <w:style w:type="character" w:customStyle="1" w:styleId="2139">
    <w:name w:val="新华为正文 Char"/>
    <w:qFormat/>
    <w:uiPriority w:val="0"/>
    <w:rPr>
      <w:rFonts w:ascii="宋体" w:hAnsi="宋体" w:cs="宋体"/>
      <w:color w:val="000000"/>
      <w:kern w:val="2"/>
      <w:sz w:val="24"/>
      <w:szCs w:val="22"/>
      <w:lang w:val="zh-CN"/>
    </w:rPr>
  </w:style>
  <w:style w:type="character" w:customStyle="1" w:styleId="2140">
    <w:name w:val="麦志勤标题三 Char"/>
    <w:qFormat/>
    <w:uiPriority w:val="0"/>
    <w:rPr>
      <w:rFonts w:ascii="黑体" w:hAnsi="宋体" w:eastAsia="黑体"/>
      <w:bCs/>
      <w:color w:val="0000FF"/>
      <w:kern w:val="2"/>
      <w:sz w:val="32"/>
      <w:szCs w:val="24"/>
    </w:rPr>
  </w:style>
  <w:style w:type="character" w:customStyle="1" w:styleId="2141">
    <w:name w:val="样式7 Char Char"/>
    <w:qFormat/>
    <w:uiPriority w:val="0"/>
    <w:rPr>
      <w:rFonts w:ascii="宋体" w:hAnsi="宋体" w:eastAsia="宋体" w:cs="宋体"/>
      <w:color w:val="000000"/>
      <w:kern w:val="2"/>
      <w:sz w:val="28"/>
      <w:szCs w:val="28"/>
      <w:lang w:val="en-US" w:eastAsia="zh-CN" w:bidi="ar-SA"/>
    </w:rPr>
  </w:style>
  <w:style w:type="character" w:customStyle="1" w:styleId="2142">
    <w:name w:val="副标题 Char2"/>
    <w:qFormat/>
    <w:uiPriority w:val="0"/>
    <w:rPr>
      <w:rFonts w:ascii="Arial" w:hAnsi="Arial"/>
      <w:b/>
      <w:bCs/>
      <w:kern w:val="28"/>
      <w:sz w:val="32"/>
      <w:szCs w:val="32"/>
    </w:rPr>
  </w:style>
  <w:style w:type="character" w:customStyle="1" w:styleId="2143">
    <w:name w:val="正文格式 Char1"/>
    <w:qFormat/>
    <w:uiPriority w:val="0"/>
    <w:rPr>
      <w:rFonts w:eastAsia="仿宋_GB2312"/>
      <w:kern w:val="2"/>
      <w:sz w:val="28"/>
      <w:szCs w:val="28"/>
      <w:lang w:val="en-US" w:eastAsia="zh-CN" w:bidi="ar-SA"/>
    </w:rPr>
  </w:style>
  <w:style w:type="character" w:customStyle="1" w:styleId="2144">
    <w:name w:val="标题三 Char"/>
    <w:link w:val="1743"/>
    <w:qFormat/>
    <w:uiPriority w:val="0"/>
    <w:rPr>
      <w:rFonts w:ascii="Calibri" w:hAnsi="Calibri"/>
      <w:b/>
      <w:sz w:val="28"/>
      <w:szCs w:val="24"/>
      <w:lang w:eastAsia="en-US" w:bidi="en-US"/>
    </w:rPr>
  </w:style>
  <w:style w:type="character" w:customStyle="1" w:styleId="2145">
    <w:name w:val="表头1 Char"/>
    <w:qFormat/>
    <w:uiPriority w:val="0"/>
    <w:rPr>
      <w:rFonts w:eastAsia="黑体"/>
      <w:sz w:val="21"/>
      <w:szCs w:val="28"/>
      <w:lang w:val="en-US" w:eastAsia="zh-CN" w:bidi="ar-SA"/>
    </w:rPr>
  </w:style>
  <w:style w:type="character" w:customStyle="1" w:styleId="2146">
    <w:name w:val="style91"/>
    <w:qFormat/>
    <w:uiPriority w:val="0"/>
    <w:rPr>
      <w:color w:val="333333"/>
      <w:sz w:val="20"/>
      <w:szCs w:val="20"/>
    </w:rPr>
  </w:style>
  <w:style w:type="character" w:customStyle="1" w:styleId="2147">
    <w:name w:val="T正文 Char Char"/>
    <w:qFormat/>
    <w:uiPriority w:val="0"/>
    <w:rPr>
      <w:kern w:val="2"/>
      <w:sz w:val="24"/>
      <w:szCs w:val="24"/>
    </w:rPr>
  </w:style>
  <w:style w:type="character" w:customStyle="1" w:styleId="2148">
    <w:name w:val="表格，内容 Char Char"/>
    <w:link w:val="124"/>
    <w:qFormat/>
    <w:uiPriority w:val="0"/>
    <w:rPr>
      <w:spacing w:val="10"/>
      <w:kern w:val="44"/>
      <w:sz w:val="21"/>
      <w:szCs w:val="24"/>
    </w:rPr>
  </w:style>
  <w:style w:type="character" w:customStyle="1" w:styleId="2149">
    <w:name w:val="报告书文字 Char"/>
    <w:qFormat/>
    <w:uiPriority w:val="0"/>
    <w:rPr>
      <w:color w:val="000000"/>
      <w:sz w:val="24"/>
    </w:rPr>
  </w:style>
  <w:style w:type="character" w:customStyle="1" w:styleId="2150">
    <w:name w:val="章题名 Char Char"/>
    <w:qFormat/>
    <w:uiPriority w:val="0"/>
    <w:rPr>
      <w:rFonts w:eastAsia="宋体"/>
      <w:b/>
      <w:bCs/>
      <w:kern w:val="44"/>
      <w:sz w:val="44"/>
      <w:szCs w:val="44"/>
      <w:lang w:val="en-US" w:eastAsia="zh-CN" w:bidi="ar-SA"/>
    </w:rPr>
  </w:style>
  <w:style w:type="character" w:customStyle="1" w:styleId="2151">
    <w:name w:val="中大2级标题 Char"/>
    <w:qFormat/>
    <w:uiPriority w:val="0"/>
    <w:rPr>
      <w:rFonts w:eastAsia="黑体"/>
      <w:b/>
      <w:bCs/>
      <w:kern w:val="2"/>
      <w:sz w:val="30"/>
      <w:szCs w:val="30"/>
    </w:rPr>
  </w:style>
  <w:style w:type="character" w:customStyle="1" w:styleId="2152">
    <w:name w:val="表格文本 Char Char"/>
    <w:link w:val="2153"/>
    <w:qFormat/>
    <w:uiPriority w:val="0"/>
    <w:rPr>
      <w:rFonts w:ascii="宋体" w:hAnsi="宋体" w:eastAsia="Times New Roman"/>
      <w:bCs/>
      <w:snapToGrid w:val="0"/>
      <w:kern w:val="2"/>
      <w:sz w:val="24"/>
      <w:szCs w:val="24"/>
    </w:rPr>
  </w:style>
  <w:style w:type="paragraph" w:customStyle="1" w:styleId="2153">
    <w:name w:val="表格文本"/>
    <w:next w:val="1"/>
    <w:link w:val="2152"/>
    <w:qFormat/>
    <w:uiPriority w:val="0"/>
    <w:pPr>
      <w:widowControl w:val="0"/>
      <w:wordWrap w:val="0"/>
      <w:jc w:val="center"/>
    </w:pPr>
    <w:rPr>
      <w:rFonts w:ascii="宋体" w:hAnsi="宋体" w:eastAsia="Times New Roman" w:cs="Times New Roman"/>
      <w:bCs/>
      <w:snapToGrid w:val="0"/>
      <w:kern w:val="2"/>
      <w:sz w:val="24"/>
      <w:szCs w:val="24"/>
      <w:lang w:val="en-US" w:eastAsia="zh-CN" w:bidi="ar-SA"/>
    </w:rPr>
  </w:style>
  <w:style w:type="character" w:customStyle="1" w:styleId="2154">
    <w:name w:val="样式53 Char"/>
    <w:link w:val="2155"/>
    <w:qFormat/>
    <w:uiPriority w:val="0"/>
    <w:rPr>
      <w:rFonts w:ascii="黑体" w:hAnsi="宋体" w:eastAsia="黑体"/>
      <w:b/>
      <w:bCs/>
      <w:color w:val="000000"/>
      <w:szCs w:val="21"/>
    </w:rPr>
  </w:style>
  <w:style w:type="paragraph" w:customStyle="1" w:styleId="2155">
    <w:name w:val="样式53"/>
    <w:basedOn w:val="1"/>
    <w:link w:val="2154"/>
    <w:qFormat/>
    <w:uiPriority w:val="0"/>
    <w:pPr>
      <w:adjustRightInd w:val="0"/>
      <w:spacing w:before="214" w:line="360" w:lineRule="auto"/>
      <w:jc w:val="center"/>
      <w:textAlignment w:val="baseline"/>
    </w:pPr>
    <w:rPr>
      <w:rFonts w:ascii="黑体" w:hAnsi="宋体" w:eastAsia="黑体"/>
      <w:b/>
      <w:bCs/>
      <w:color w:val="000000"/>
      <w:kern w:val="0"/>
      <w:sz w:val="20"/>
      <w:szCs w:val="21"/>
    </w:rPr>
  </w:style>
  <w:style w:type="character" w:customStyle="1" w:styleId="2156">
    <w:name w:val="正文＋黑体 Char Char"/>
    <w:qFormat/>
    <w:uiPriority w:val="0"/>
    <w:rPr>
      <w:rFonts w:ascii="Arial" w:hAnsi="Arial" w:eastAsia="黑体" w:cs="宋体"/>
      <w:color w:val="000000"/>
      <w:kern w:val="2"/>
      <w:sz w:val="24"/>
      <w:szCs w:val="24"/>
      <w:lang w:val="en-US" w:eastAsia="zh-CN" w:bidi="ar-SA"/>
    </w:rPr>
  </w:style>
  <w:style w:type="character" w:customStyle="1" w:styleId="2157">
    <w:name w:val="表格内文字 Char1"/>
    <w:qFormat/>
    <w:uiPriority w:val="0"/>
    <w:rPr>
      <w:sz w:val="21"/>
      <w:szCs w:val="21"/>
      <w:lang w:val="zh-CN" w:eastAsia="zh-CN" w:bidi="ar-SA"/>
    </w:rPr>
  </w:style>
  <w:style w:type="character" w:customStyle="1" w:styleId="2158">
    <w:name w:val="中气附件 Char Char"/>
    <w:qFormat/>
    <w:uiPriority w:val="0"/>
    <w:rPr>
      <w:rFonts w:ascii="宋体" w:hAnsi="宋体" w:eastAsia="黑体" w:cs="宋体"/>
      <w:bCs/>
      <w:kern w:val="44"/>
      <w:sz w:val="32"/>
      <w:szCs w:val="44"/>
    </w:rPr>
  </w:style>
  <w:style w:type="character" w:customStyle="1" w:styleId="2159">
    <w:name w:val="君邦正文 Char"/>
    <w:qFormat/>
    <w:locked/>
    <w:uiPriority w:val="0"/>
    <w:rPr>
      <w:rFonts w:ascii="宋体" w:hAnsi="宋体"/>
      <w:bCs/>
      <w:snapToGrid w:val="0"/>
      <w:sz w:val="24"/>
    </w:rPr>
  </w:style>
  <w:style w:type="character" w:customStyle="1" w:styleId="2160">
    <w:name w:val="样式 正文缩进正文（首行缩进两字） Char Char Char Char Char Char正文（首行缩进两字） Char... Char"/>
    <w:qFormat/>
    <w:locked/>
    <w:uiPriority w:val="0"/>
    <w:rPr>
      <w:bCs/>
    </w:rPr>
  </w:style>
  <w:style w:type="character" w:customStyle="1" w:styleId="2161">
    <w:name w:val="明显参考2"/>
    <w:qFormat/>
    <w:uiPriority w:val="0"/>
    <w:rPr>
      <w:b/>
      <w:bCs/>
      <w:smallCaps/>
      <w:color w:val="C0504D"/>
      <w:spacing w:val="5"/>
      <w:u w:val="single"/>
    </w:rPr>
  </w:style>
  <w:style w:type="character" w:customStyle="1" w:styleId="2162">
    <w:name w:val="Table Title Char1 Char Char"/>
    <w:qFormat/>
    <w:uiPriority w:val="0"/>
    <w:rPr>
      <w:rFonts w:eastAsia="宋体"/>
      <w:kern w:val="2"/>
      <w:sz w:val="24"/>
      <w:szCs w:val="24"/>
      <w:lang w:val="en-US" w:eastAsia="en-US" w:bidi="ar-SA"/>
    </w:rPr>
  </w:style>
  <w:style w:type="character" w:customStyle="1" w:styleId="2163">
    <w:name w:val="重点文字 Char Char Char Char"/>
    <w:qFormat/>
    <w:uiPriority w:val="0"/>
    <w:rPr>
      <w:rFonts w:eastAsia="黑体"/>
      <w:color w:val="FF00FF"/>
      <w:sz w:val="24"/>
      <w:szCs w:val="24"/>
      <w:lang w:bidi="ar-SA"/>
    </w:rPr>
  </w:style>
  <w:style w:type="character" w:customStyle="1" w:styleId="2164">
    <w:name w:val="样式 段前: 0.3 行 段后: 0.3 行 Char"/>
    <w:qFormat/>
    <w:uiPriority w:val="0"/>
    <w:rPr>
      <w:kern w:val="2"/>
      <w:sz w:val="24"/>
    </w:rPr>
  </w:style>
  <w:style w:type="character" w:customStyle="1" w:styleId="2165">
    <w:name w:val="节下小标题 Char Char"/>
    <w:qFormat/>
    <w:uiPriority w:val="0"/>
    <w:rPr>
      <w:rFonts w:ascii="宋体" w:eastAsia="黑体" w:cs="宋体"/>
      <w:color w:val="000000"/>
      <w:kern w:val="2"/>
      <w:sz w:val="24"/>
      <w:szCs w:val="24"/>
      <w:lang w:val="en-US" w:eastAsia="zh-CN" w:bidi="ar-SA"/>
    </w:rPr>
  </w:style>
  <w:style w:type="character" w:customStyle="1" w:styleId="2166">
    <w:name w:val="样式 四号1 Char Char"/>
    <w:qFormat/>
    <w:uiPriority w:val="0"/>
    <w:rPr>
      <w:rFonts w:ascii="宋体" w:eastAsia="宋体" w:cs="宋体"/>
      <w:color w:val="000000"/>
      <w:kern w:val="2"/>
      <w:sz w:val="28"/>
      <w:szCs w:val="24"/>
      <w:lang w:val="en-US" w:eastAsia="zh-CN" w:bidi="ar-SA"/>
    </w:rPr>
  </w:style>
  <w:style w:type="character" w:customStyle="1" w:styleId="2167">
    <w:name w:val="落款 Char Char2"/>
    <w:qFormat/>
    <w:uiPriority w:val="0"/>
    <w:rPr>
      <w:rFonts w:hint="eastAsia" w:ascii="宋体" w:hAnsi="宋体" w:eastAsia="宋体"/>
      <w:kern w:val="2"/>
      <w:sz w:val="21"/>
      <w:lang w:val="en-US" w:eastAsia="zh-CN" w:bidi="ar-SA"/>
    </w:rPr>
  </w:style>
  <w:style w:type="character" w:customStyle="1" w:styleId="2168">
    <w:name w:val="样式26 Char"/>
    <w:link w:val="184"/>
    <w:qFormat/>
    <w:uiPriority w:val="0"/>
    <w:rPr>
      <w:rFonts w:eastAsia="黑体"/>
      <w:sz w:val="28"/>
      <w:szCs w:val="28"/>
    </w:rPr>
  </w:style>
  <w:style w:type="character" w:customStyle="1" w:styleId="2169">
    <w:name w:val="中大表格标题 Char"/>
    <w:qFormat/>
    <w:uiPriority w:val="0"/>
    <w:rPr>
      <w:b/>
      <w:bCs/>
      <w:sz w:val="24"/>
    </w:rPr>
  </w:style>
  <w:style w:type="character" w:customStyle="1" w:styleId="2170">
    <w:name w:val="标题３（hwl） Char Char"/>
    <w:qFormat/>
    <w:uiPriority w:val="0"/>
    <w:rPr>
      <w:rFonts w:hint="eastAsia" w:ascii="宋体" w:hAnsi="宋体" w:eastAsia="宋体"/>
      <w:b/>
      <w:bCs/>
      <w:kern w:val="2"/>
      <w:sz w:val="32"/>
      <w:szCs w:val="30"/>
      <w:lang w:val="en-US" w:eastAsia="zh-CN" w:bidi="ar-SA"/>
    </w:rPr>
  </w:style>
  <w:style w:type="character" w:customStyle="1" w:styleId="2171">
    <w:name w:val="p14_black_1501"/>
    <w:qFormat/>
    <w:uiPriority w:val="0"/>
    <w:rPr>
      <w:sz w:val="22"/>
      <w:szCs w:val="22"/>
    </w:rPr>
  </w:style>
  <w:style w:type="character" w:customStyle="1" w:styleId="2172">
    <w:name w:val="表标题（自定义） Char"/>
    <w:qFormat/>
    <w:uiPriority w:val="0"/>
    <w:rPr>
      <w:rFonts w:eastAsia="宋体"/>
      <w:b/>
      <w:color w:val="000000"/>
      <w:sz w:val="24"/>
      <w:szCs w:val="24"/>
      <w:lang w:val="en-US" w:eastAsia="zh-CN" w:bidi="ar-SA"/>
    </w:rPr>
  </w:style>
  <w:style w:type="character" w:customStyle="1" w:styleId="2173">
    <w:name w:val="批注主题 Char2"/>
    <w:semiHidden/>
    <w:qFormat/>
    <w:uiPriority w:val="99"/>
    <w:rPr>
      <w:rFonts w:ascii="Times New Roman" w:hAnsi="Times New Roman" w:eastAsia="宋体" w:cs="Times New Roman"/>
      <w:b/>
      <w:bCs/>
      <w:szCs w:val="24"/>
    </w:rPr>
  </w:style>
  <w:style w:type="character" w:customStyle="1" w:styleId="2174">
    <w:name w:val="中大图片名称 Char Char"/>
    <w:link w:val="2175"/>
    <w:qFormat/>
    <w:uiPriority w:val="0"/>
    <w:rPr>
      <w:rFonts w:ascii="宋体" w:hAnsi="宋体"/>
      <w:b/>
      <w:sz w:val="24"/>
    </w:rPr>
  </w:style>
  <w:style w:type="paragraph" w:customStyle="1" w:styleId="2175">
    <w:name w:val="中大图片名称"/>
    <w:basedOn w:val="1"/>
    <w:link w:val="2174"/>
    <w:qFormat/>
    <w:uiPriority w:val="0"/>
    <w:pPr>
      <w:overflowPunct w:val="0"/>
      <w:autoSpaceDE w:val="0"/>
      <w:autoSpaceDN w:val="0"/>
      <w:adjustRightInd w:val="0"/>
      <w:snapToGrid w:val="0"/>
      <w:spacing w:after="160" w:line="400" w:lineRule="atLeast"/>
      <w:jc w:val="center"/>
      <w:textAlignment w:val="baseline"/>
    </w:pPr>
    <w:rPr>
      <w:rFonts w:ascii="宋体" w:hAnsi="宋体"/>
      <w:b/>
      <w:kern w:val="0"/>
      <w:sz w:val="24"/>
      <w:szCs w:val="20"/>
    </w:rPr>
  </w:style>
  <w:style w:type="character" w:customStyle="1" w:styleId="2176">
    <w:name w:val="日期 Char2"/>
    <w:qFormat/>
    <w:uiPriority w:val="0"/>
    <w:rPr>
      <w:rFonts w:ascii="仿宋体" w:hAnsi="Times New Roman" w:eastAsia="仿宋体" w:cs="Times New Roman"/>
      <w:sz w:val="24"/>
      <w:szCs w:val="20"/>
    </w:rPr>
  </w:style>
  <w:style w:type="character" w:customStyle="1" w:styleId="2177">
    <w:name w:val="表底说明 Char Char"/>
    <w:qFormat/>
    <w:uiPriority w:val="0"/>
    <w:rPr>
      <w:rFonts w:ascii="宋体" w:hAnsi="宋体" w:eastAsia="宋体" w:cs="宋体"/>
      <w:kern w:val="2"/>
      <w:sz w:val="18"/>
      <w:szCs w:val="24"/>
      <w:lang w:val="en-US" w:eastAsia="zh-CN" w:bidi="ar-SA"/>
    </w:rPr>
  </w:style>
  <w:style w:type="character" w:customStyle="1" w:styleId="2178">
    <w:name w:val="样式 样式 正文首行缩进 + 首行缩进:  1 字符 + 首行缩进:  2 字符 Char"/>
    <w:qFormat/>
    <w:uiPriority w:val="0"/>
    <w:rPr>
      <w:sz w:val="24"/>
      <w:szCs w:val="24"/>
    </w:rPr>
  </w:style>
  <w:style w:type="character" w:customStyle="1" w:styleId="2179">
    <w:name w:val="样式 正文文本 + 宋体 四号 Char"/>
    <w:qFormat/>
    <w:uiPriority w:val="0"/>
    <w:rPr>
      <w:rFonts w:ascii="宋体" w:hAnsi="宋体" w:eastAsia="宋体"/>
      <w:spacing w:val="20"/>
      <w:kern w:val="28"/>
      <w:position w:val="2"/>
      <w:sz w:val="28"/>
      <w:lang w:val="en-US" w:eastAsia="zh-CN" w:bidi="ar-SA"/>
    </w:rPr>
  </w:style>
  <w:style w:type="character" w:customStyle="1" w:styleId="2180">
    <w:name w:val="小四 Char"/>
    <w:qFormat/>
    <w:uiPriority w:val="0"/>
    <w:rPr>
      <w:rFonts w:eastAsia="宋体" w:cs="宋体"/>
      <w:color w:val="000000"/>
      <w:kern w:val="2"/>
      <w:sz w:val="24"/>
      <w:szCs w:val="24"/>
      <w:lang w:val="en-US" w:eastAsia="zh-CN" w:bidi="ar-SA"/>
    </w:rPr>
  </w:style>
  <w:style w:type="character" w:customStyle="1" w:styleId="2181">
    <w:name w:val="中气表头 Char Char Char"/>
    <w:qFormat/>
    <w:uiPriority w:val="0"/>
    <w:rPr>
      <w:rFonts w:ascii="宋体" w:hAnsi="宋体" w:eastAsia="黑体" w:cs="宋体"/>
      <w:b/>
      <w:sz w:val="24"/>
      <w:szCs w:val="21"/>
      <w:lang w:val="en-US" w:eastAsia="zh-CN" w:bidi="ar-SA"/>
    </w:rPr>
  </w:style>
  <w:style w:type="character" w:customStyle="1" w:styleId="2182">
    <w:name w:val="样式 标题 1 Char Char + Arial 三号"/>
    <w:qFormat/>
    <w:uiPriority w:val="0"/>
    <w:rPr>
      <w:rFonts w:ascii="Arial" w:hAnsi="Arial" w:eastAsia="宋体"/>
      <w:b/>
      <w:bCs/>
      <w:kern w:val="44"/>
      <w:sz w:val="36"/>
      <w:szCs w:val="44"/>
      <w:lang w:val="en-US" w:eastAsia="zh-CN" w:bidi="ar-SA"/>
    </w:rPr>
  </w:style>
  <w:style w:type="character" w:customStyle="1" w:styleId="2183">
    <w:name w:val="缩进 Char1"/>
    <w:qFormat/>
    <w:uiPriority w:val="0"/>
    <w:rPr>
      <w:rFonts w:eastAsia="宋体" w:cs="宋体"/>
      <w:color w:val="000000"/>
      <w:kern w:val="2"/>
      <w:sz w:val="24"/>
      <w:szCs w:val="24"/>
      <w:lang w:val="en-US" w:eastAsia="zh-CN" w:bidi="ar-SA"/>
    </w:rPr>
  </w:style>
  <w:style w:type="character" w:customStyle="1" w:styleId="2184">
    <w:name w:val="表头格式1 Char"/>
    <w:qFormat/>
    <w:uiPriority w:val="0"/>
    <w:rPr>
      <w:rFonts w:ascii="宋体" w:hAnsi="宋体" w:eastAsia="宋体" w:cs="宋体"/>
      <w:b/>
      <w:bCs/>
      <w:sz w:val="24"/>
      <w:szCs w:val="24"/>
      <w:lang w:val="en-US" w:eastAsia="zh-CN" w:bidi="ar-SA"/>
    </w:rPr>
  </w:style>
  <w:style w:type="character" w:customStyle="1" w:styleId="2185">
    <w:name w:val="文章正文样式 Char"/>
    <w:link w:val="2186"/>
    <w:qFormat/>
    <w:uiPriority w:val="0"/>
    <w:rPr>
      <w:rFonts w:ascii="宋体" w:hAnsi="宋体"/>
      <w:sz w:val="24"/>
    </w:rPr>
  </w:style>
  <w:style w:type="paragraph" w:customStyle="1" w:styleId="2186">
    <w:name w:val="文章正文样式"/>
    <w:basedOn w:val="1"/>
    <w:link w:val="2185"/>
    <w:qFormat/>
    <w:uiPriority w:val="0"/>
    <w:pPr>
      <w:spacing w:line="520" w:lineRule="exact"/>
      <w:ind w:firstLine="480" w:firstLineChars="200"/>
      <w:jc w:val="left"/>
    </w:pPr>
    <w:rPr>
      <w:rFonts w:ascii="宋体" w:hAnsi="宋体"/>
      <w:kern w:val="0"/>
      <w:sz w:val="24"/>
      <w:szCs w:val="20"/>
    </w:rPr>
  </w:style>
  <w:style w:type="character" w:customStyle="1" w:styleId="2187">
    <w:name w:val="样式1 Char2"/>
    <w:qFormat/>
    <w:uiPriority w:val="0"/>
    <w:rPr>
      <w:rFonts w:ascii="Times New Roman" w:hAnsi="Times New Roman"/>
      <w:kern w:val="2"/>
      <w:sz w:val="21"/>
    </w:rPr>
  </w:style>
  <w:style w:type="character" w:customStyle="1" w:styleId="2188">
    <w:name w:val="编号2 Char Char Char Char"/>
    <w:qFormat/>
    <w:uiPriority w:val="0"/>
    <w:rPr>
      <w:rFonts w:eastAsia="宋体"/>
      <w:kern w:val="2"/>
      <w:sz w:val="24"/>
      <w:szCs w:val="24"/>
      <w:lang w:val="en-US" w:eastAsia="zh-CN" w:bidi="ar-SA"/>
    </w:rPr>
  </w:style>
  <w:style w:type="character" w:customStyle="1" w:styleId="2189">
    <w:name w:val="样式 正文首行缩进 2 Char Char"/>
    <w:qFormat/>
    <w:uiPriority w:val="0"/>
    <w:rPr>
      <w:rFonts w:ascii="宋体" w:cs="宋体"/>
      <w:color w:val="FF0000"/>
      <w:sz w:val="24"/>
      <w:szCs w:val="24"/>
    </w:rPr>
  </w:style>
  <w:style w:type="character" w:customStyle="1" w:styleId="2190">
    <w:name w:val="正文（罗）"/>
    <w:qFormat/>
    <w:uiPriority w:val="0"/>
    <w:rPr>
      <w:rFonts w:ascii="宋体" w:hAnsi="宋体" w:eastAsia="宋体" w:cs="宋体"/>
      <w:color w:val="000000"/>
      <w:kern w:val="2"/>
      <w:sz w:val="24"/>
      <w:szCs w:val="24"/>
      <w:lang w:val="zh-CN" w:eastAsia="zh-CN" w:bidi="ar-SA"/>
    </w:rPr>
  </w:style>
  <w:style w:type="character" w:customStyle="1" w:styleId="2191">
    <w:name w:val="正文标准 Char Char"/>
    <w:qFormat/>
    <w:uiPriority w:val="0"/>
    <w:rPr>
      <w:rFonts w:cs="宋体"/>
      <w:sz w:val="24"/>
    </w:rPr>
  </w:style>
  <w:style w:type="character" w:customStyle="1" w:styleId="2192">
    <w:name w:val="样式18 Char"/>
    <w:link w:val="167"/>
    <w:qFormat/>
    <w:uiPriority w:val="0"/>
    <w:rPr>
      <w:rFonts w:eastAsia="黑体"/>
      <w:b/>
      <w:bCs/>
      <w:color w:val="000000"/>
      <w:sz w:val="24"/>
      <w:szCs w:val="32"/>
    </w:rPr>
  </w:style>
  <w:style w:type="character" w:customStyle="1" w:styleId="2193">
    <w:name w:val="样式 报告 + 小四 Char Char Char Char"/>
    <w:qFormat/>
    <w:uiPriority w:val="0"/>
    <w:rPr>
      <w:rFonts w:eastAsia="宋体"/>
      <w:kern w:val="2"/>
      <w:sz w:val="24"/>
      <w:szCs w:val="24"/>
      <w:lang w:val="en-US" w:eastAsia="zh-CN" w:bidi="ar-SA"/>
    </w:rPr>
  </w:style>
  <w:style w:type="character" w:customStyle="1" w:styleId="2194">
    <w:name w:val="项目文件 Char1"/>
    <w:qFormat/>
    <w:uiPriority w:val="0"/>
    <w:rPr>
      <w:rFonts w:ascii="宋体" w:hAnsi="Arial" w:eastAsia="宋体"/>
      <w:b/>
      <w:sz w:val="24"/>
      <w:lang w:val="en-US" w:eastAsia="zh-CN" w:bidi="ar-SA"/>
    </w:rPr>
  </w:style>
  <w:style w:type="character" w:customStyle="1" w:styleId="2195">
    <w:name w:val="正文文本缩进 3 Char2"/>
    <w:qFormat/>
    <w:uiPriority w:val="0"/>
    <w:rPr>
      <w:rFonts w:ascii="Times New Roman" w:hAnsi="Times New Roman" w:eastAsia="宋体" w:cs="Times New Roman"/>
      <w:sz w:val="16"/>
      <w:szCs w:val="16"/>
    </w:rPr>
  </w:style>
  <w:style w:type="character" w:customStyle="1" w:styleId="2196">
    <w:name w:val="特点标题 Char Char"/>
    <w:semiHidden/>
    <w:qFormat/>
    <w:uiPriority w:val="0"/>
    <w:rPr>
      <w:rFonts w:hint="eastAsia" w:ascii="宋体" w:hAnsi="宋体" w:eastAsia="宋体"/>
      <w:kern w:val="2"/>
      <w:sz w:val="24"/>
      <w:szCs w:val="24"/>
      <w:lang w:val="en-US" w:eastAsia="zh-CN" w:bidi="ar-SA"/>
    </w:rPr>
  </w:style>
  <w:style w:type="character" w:customStyle="1" w:styleId="2197">
    <w:name w:val="正文首行缩进＋湿地 Char Char Char Char"/>
    <w:qFormat/>
    <w:uiPriority w:val="0"/>
    <w:rPr>
      <w:rFonts w:ascii="仿宋_GB2312" w:hAnsi="宋体" w:eastAsia="仿宋_GB2312"/>
      <w:kern w:val="2"/>
      <w:sz w:val="28"/>
      <w:szCs w:val="28"/>
    </w:rPr>
  </w:style>
  <w:style w:type="character" w:customStyle="1" w:styleId="2198">
    <w:name w:val="正文正本 + 宋体 Char"/>
    <w:semiHidden/>
    <w:qFormat/>
    <w:uiPriority w:val="0"/>
    <w:rPr>
      <w:rFonts w:ascii="宋体" w:hAnsi="宋体"/>
      <w:sz w:val="24"/>
      <w:szCs w:val="24"/>
    </w:rPr>
  </w:style>
  <w:style w:type="character" w:customStyle="1" w:styleId="2199">
    <w:name w:val="Table Title Char1 Char Char Char"/>
    <w:qFormat/>
    <w:uiPriority w:val="0"/>
    <w:rPr>
      <w:rFonts w:eastAsia="宋体"/>
      <w:kern w:val="2"/>
      <w:sz w:val="24"/>
      <w:szCs w:val="24"/>
      <w:lang w:val="en-US" w:eastAsia="en-US" w:bidi="ar-SA"/>
    </w:rPr>
  </w:style>
  <w:style w:type="character" w:customStyle="1" w:styleId="2200">
    <w:name w:val="样式127 Char"/>
    <w:link w:val="2201"/>
    <w:qFormat/>
    <w:uiPriority w:val="0"/>
    <w:rPr>
      <w:color w:val="000000"/>
      <w:sz w:val="24"/>
      <w:szCs w:val="28"/>
    </w:rPr>
  </w:style>
  <w:style w:type="paragraph" w:customStyle="1" w:styleId="2201">
    <w:name w:val="样式127"/>
    <w:basedOn w:val="1"/>
    <w:link w:val="2200"/>
    <w:qFormat/>
    <w:uiPriority w:val="0"/>
    <w:pPr>
      <w:spacing w:line="520" w:lineRule="exact"/>
      <w:ind w:firstLine="480" w:firstLineChars="200"/>
    </w:pPr>
    <w:rPr>
      <w:color w:val="000000"/>
      <w:kern w:val="0"/>
      <w:sz w:val="24"/>
      <w:szCs w:val="28"/>
    </w:rPr>
  </w:style>
  <w:style w:type="character" w:customStyle="1" w:styleId="2202">
    <w:name w:val="华正3 Char"/>
    <w:qFormat/>
    <w:uiPriority w:val="0"/>
    <w:rPr>
      <w:rFonts w:ascii="黑体" w:eastAsia="黑体"/>
      <w:bCs/>
      <w:kern w:val="2"/>
      <w:sz w:val="28"/>
      <w:szCs w:val="28"/>
      <w:lang w:val="zh-CN"/>
    </w:rPr>
  </w:style>
  <w:style w:type="character" w:customStyle="1" w:styleId="2203">
    <w:name w:val="样式 标题 4标题 4 Char（一）款（一） Char（一） Char Char（一） Char Char Cha... Char"/>
    <w:link w:val="2204"/>
    <w:qFormat/>
    <w:uiPriority w:val="0"/>
    <w:rPr>
      <w:b/>
      <w:bCs/>
      <w:sz w:val="24"/>
      <w:szCs w:val="28"/>
    </w:rPr>
  </w:style>
  <w:style w:type="paragraph" w:customStyle="1" w:styleId="2204">
    <w:name w:val="样式 标题 4标题 4 Char（一）款（一） Char（一） Char Char（一） Char Char Cha..."/>
    <w:basedOn w:val="7"/>
    <w:link w:val="2203"/>
    <w:qFormat/>
    <w:uiPriority w:val="0"/>
    <w:pPr>
      <w:keepNext w:val="0"/>
      <w:widowControl/>
      <w:numPr>
        <w:numId w:val="0"/>
      </w:numPr>
      <w:tabs>
        <w:tab w:val="left" w:pos="720"/>
        <w:tab w:val="left" w:pos="993"/>
        <w:tab w:val="left" w:pos="1080"/>
      </w:tabs>
      <w:adjustRightInd/>
      <w:spacing w:before="100" w:beforeAutospacing="1" w:after="100" w:afterAutospacing="1"/>
      <w:ind w:left="936" w:hanging="709"/>
    </w:pPr>
    <w:rPr>
      <w:rFonts w:eastAsia="宋体"/>
      <w:b/>
      <w:kern w:val="0"/>
    </w:rPr>
  </w:style>
  <w:style w:type="character" w:customStyle="1" w:styleId="2205">
    <w:name w:val="电子邮件签名 Char1"/>
    <w:qFormat/>
    <w:uiPriority w:val="0"/>
    <w:rPr>
      <w:rFonts w:ascii="Times New Roman" w:hAnsi="Times New Roman" w:eastAsia="宋体" w:cs="Times New Roman"/>
      <w:szCs w:val="24"/>
    </w:rPr>
  </w:style>
  <w:style w:type="character" w:customStyle="1" w:styleId="2206">
    <w:name w:val="小标题 Char1"/>
    <w:qFormat/>
    <w:uiPriority w:val="0"/>
    <w:rPr>
      <w:rFonts w:eastAsia="宋体"/>
      <w:b/>
      <w:sz w:val="24"/>
      <w:u w:val="single"/>
      <w:lang w:val="en-US" w:eastAsia="zh-CN" w:bidi="ar-SA"/>
    </w:rPr>
  </w:style>
  <w:style w:type="character" w:customStyle="1" w:styleId="2207">
    <w:name w:val="样式 zhang正文 + (中文) 宋体 Char Char Char"/>
    <w:qFormat/>
    <w:uiPriority w:val="0"/>
    <w:rPr>
      <w:rFonts w:ascii="宋体" w:hAnsi="宋体" w:eastAsia="宋体" w:cs="宋体"/>
      <w:kern w:val="2"/>
      <w:sz w:val="24"/>
      <w:szCs w:val="24"/>
      <w:lang w:val="en-US" w:eastAsia="zh-CN" w:bidi="ar-SA"/>
    </w:rPr>
  </w:style>
  <w:style w:type="character" w:customStyle="1" w:styleId="2208">
    <w:name w:val="插图名称 Char"/>
    <w:link w:val="2209"/>
    <w:qFormat/>
    <w:uiPriority w:val="0"/>
    <w:rPr>
      <w:rFonts w:ascii="宋体" w:hAnsi="宋体"/>
      <w:b/>
      <w:sz w:val="24"/>
      <w:szCs w:val="24"/>
    </w:rPr>
  </w:style>
  <w:style w:type="paragraph" w:customStyle="1" w:styleId="2209">
    <w:name w:val="插图名称"/>
    <w:basedOn w:val="1"/>
    <w:link w:val="2208"/>
    <w:qFormat/>
    <w:uiPriority w:val="0"/>
    <w:pPr>
      <w:tabs>
        <w:tab w:val="left" w:pos="1030"/>
      </w:tabs>
      <w:adjustRightInd w:val="0"/>
      <w:snapToGrid w:val="0"/>
      <w:spacing w:line="500" w:lineRule="atLeast"/>
      <w:ind w:firstLine="1928" w:firstLineChars="800"/>
      <w:outlineLvl w:val="8"/>
    </w:pPr>
    <w:rPr>
      <w:rFonts w:ascii="宋体" w:hAnsi="宋体"/>
      <w:b/>
      <w:kern w:val="0"/>
      <w:sz w:val="24"/>
    </w:rPr>
  </w:style>
  <w:style w:type="character" w:customStyle="1" w:styleId="2210">
    <w:name w:val="样式 样式 正文首行缩进 + 首行缩进:  1 字符 + 加粗 首行缩进:  2 字符 Char"/>
    <w:qFormat/>
    <w:uiPriority w:val="0"/>
    <w:rPr>
      <w:rFonts w:cs="宋体"/>
      <w:b/>
      <w:bCs/>
      <w:sz w:val="24"/>
    </w:rPr>
  </w:style>
  <w:style w:type="character" w:customStyle="1" w:styleId="2211">
    <w:name w:val="样式 标题 2 + Times New Roman Char"/>
    <w:qFormat/>
    <w:uiPriority w:val="0"/>
    <w:rPr>
      <w:rFonts w:eastAsia="宋体"/>
      <w:b/>
      <w:bCs/>
      <w:kern w:val="1"/>
      <w:sz w:val="24"/>
      <w:szCs w:val="32"/>
      <w:lang w:val="en-US" w:eastAsia="ar-SA" w:bidi="ar-SA"/>
    </w:rPr>
  </w:style>
  <w:style w:type="character" w:customStyle="1" w:styleId="2212">
    <w:name w:val="样式 小四 首行缩进:  0.85 厘米 行距: 1.5 倍行距 Char"/>
    <w:qFormat/>
    <w:uiPriority w:val="0"/>
    <w:rPr>
      <w:rFonts w:ascii="黑体" w:hAnsi="Arial" w:eastAsia="宋体" w:cs="宋体"/>
      <w:bCs/>
      <w:kern w:val="2"/>
      <w:sz w:val="24"/>
      <w:szCs w:val="24"/>
      <w:lang w:val="en-US" w:eastAsia="zh-CN" w:bidi="ar-SA"/>
    </w:rPr>
  </w:style>
  <w:style w:type="character" w:customStyle="1" w:styleId="2213">
    <w:name w:val="样式 标题 3 + Times New Roman Char Char Char Char Char Char Char"/>
    <w:qFormat/>
    <w:uiPriority w:val="0"/>
    <w:rPr>
      <w:rFonts w:ascii="宋体" w:hAnsi="宋体" w:eastAsia="宋体"/>
      <w:b/>
      <w:bCs/>
      <w:sz w:val="30"/>
      <w:szCs w:val="30"/>
      <w:lang w:val="en-US" w:eastAsia="zh-CN" w:bidi="ar-SA"/>
    </w:rPr>
  </w:style>
  <w:style w:type="character" w:customStyle="1" w:styleId="2214">
    <w:name w:val="文档正文 Char Char"/>
    <w:qFormat/>
    <w:uiPriority w:val="0"/>
    <w:rPr>
      <w:rFonts w:eastAsia="宋体"/>
      <w:spacing w:val="4"/>
      <w:sz w:val="21"/>
      <w:szCs w:val="36"/>
      <w:lang w:bidi="ar-SA"/>
    </w:rPr>
  </w:style>
  <w:style w:type="character" w:customStyle="1" w:styleId="2215">
    <w:name w:val="可研-正文首行缩进 Char Char2"/>
    <w:qFormat/>
    <w:uiPriority w:val="0"/>
    <w:rPr>
      <w:rFonts w:eastAsia="宋体"/>
      <w:spacing w:val="12"/>
      <w:kern w:val="2"/>
      <w:sz w:val="24"/>
      <w:szCs w:val="21"/>
      <w:lang w:val="en-US" w:eastAsia="zh-CN" w:bidi="ar-SA"/>
    </w:rPr>
  </w:style>
  <w:style w:type="character" w:customStyle="1" w:styleId="2216">
    <w:name w:val="样式 四号 加粗"/>
    <w:qFormat/>
    <w:uiPriority w:val="0"/>
    <w:rPr>
      <w:rFonts w:eastAsia="宋体" w:cs="宋体"/>
      <w:b/>
      <w:bCs/>
      <w:color w:val="000000"/>
      <w:kern w:val="2"/>
      <w:sz w:val="28"/>
      <w:szCs w:val="24"/>
      <w:lang w:val="zh-CN" w:eastAsia="zh-CN" w:bidi="ar-SA"/>
    </w:rPr>
  </w:style>
  <w:style w:type="character" w:customStyle="1" w:styleId="2217">
    <w:name w:val="样式 段落 Char + Char"/>
    <w:qFormat/>
    <w:uiPriority w:val="0"/>
  </w:style>
  <w:style w:type="character" w:customStyle="1" w:styleId="2218">
    <w:name w:val="样式 样式 黑体 五号 居中 段前: 7.8 磅 + 首行缩进:  2 字符 Char"/>
    <w:link w:val="2219"/>
    <w:qFormat/>
    <w:uiPriority w:val="0"/>
    <w:rPr>
      <w:rFonts w:ascii="黑体" w:eastAsia="黑体"/>
      <w:color w:val="000000"/>
      <w:kern w:val="2"/>
      <w:sz w:val="21"/>
      <w:szCs w:val="24"/>
      <w:lang w:val="zh-CN"/>
    </w:rPr>
  </w:style>
  <w:style w:type="paragraph" w:customStyle="1" w:styleId="2219">
    <w:name w:val="样式 样式 黑体 五号 居中 段前: 7.8 磅 + 首行缩进:  2 字符"/>
    <w:basedOn w:val="1"/>
    <w:next w:val="1"/>
    <w:link w:val="2218"/>
    <w:qFormat/>
    <w:uiPriority w:val="0"/>
    <w:pPr>
      <w:spacing w:line="360" w:lineRule="auto"/>
    </w:pPr>
    <w:rPr>
      <w:rFonts w:ascii="黑体" w:eastAsia="黑体"/>
      <w:color w:val="000000"/>
      <w:lang w:val="zh-CN"/>
    </w:rPr>
  </w:style>
  <w:style w:type="character" w:customStyle="1" w:styleId="2220">
    <w:name w:val="yqlink"/>
    <w:qFormat/>
    <w:uiPriority w:val="0"/>
    <w:rPr>
      <w:rFonts w:eastAsia="宋体" w:cs="宋体"/>
      <w:color w:val="000000"/>
      <w:kern w:val="2"/>
      <w:sz w:val="24"/>
      <w:szCs w:val="24"/>
      <w:lang w:val="zh-CN" w:eastAsia="zh-CN" w:bidi="ar-SA"/>
    </w:rPr>
  </w:style>
  <w:style w:type="character" w:customStyle="1" w:styleId="2221">
    <w:name w:val="T3标题 Char"/>
    <w:qFormat/>
    <w:uiPriority w:val="0"/>
    <w:rPr>
      <w:rFonts w:ascii="宋体" w:hAnsi="宋体" w:cs="宋体"/>
      <w:b/>
      <w:bCs/>
      <w:kern w:val="18"/>
      <w:sz w:val="30"/>
      <w:szCs w:val="30"/>
    </w:rPr>
  </w:style>
  <w:style w:type="character" w:customStyle="1" w:styleId="2222">
    <w:name w:val="样式208 Char"/>
    <w:qFormat/>
    <w:uiPriority w:val="0"/>
    <w:rPr>
      <w:rFonts w:ascii="Calibri" w:hAnsi="Calibri"/>
      <w:color w:val="000000"/>
      <w:kern w:val="2"/>
      <w:sz w:val="21"/>
      <w:szCs w:val="21"/>
    </w:rPr>
  </w:style>
  <w:style w:type="character" w:customStyle="1" w:styleId="2223">
    <w:name w:val="zt1"/>
    <w:qFormat/>
    <w:uiPriority w:val="0"/>
    <w:rPr>
      <w:sz w:val="18"/>
      <w:szCs w:val="18"/>
    </w:rPr>
  </w:style>
  <w:style w:type="character" w:customStyle="1" w:styleId="2224">
    <w:name w:val="表标题 Char1"/>
    <w:qFormat/>
    <w:uiPriority w:val="0"/>
    <w:rPr>
      <w:rFonts w:eastAsia="宋体"/>
      <w:b/>
      <w:bCs/>
      <w:kern w:val="2"/>
      <w:sz w:val="24"/>
      <w:szCs w:val="24"/>
      <w:lang w:val="en-US" w:eastAsia="zh-CN" w:bidi="ar-SA"/>
    </w:rPr>
  </w:style>
  <w:style w:type="character" w:customStyle="1" w:styleId="2225">
    <w:name w:val="样式 黑色"/>
    <w:qFormat/>
    <w:uiPriority w:val="0"/>
    <w:rPr>
      <w:rFonts w:ascii="宋体" w:hAnsi="宋体" w:eastAsia="宋体"/>
      <w:color w:val="000000"/>
      <w:sz w:val="24"/>
      <w:szCs w:val="24"/>
      <w:lang w:val="en-US" w:eastAsia="en-US" w:bidi="ar-SA"/>
    </w:rPr>
  </w:style>
  <w:style w:type="character" w:customStyle="1" w:styleId="2226">
    <w:name w:val="样式 宋体 小一 居中1 Char"/>
    <w:link w:val="2227"/>
    <w:qFormat/>
    <w:uiPriority w:val="0"/>
    <w:rPr>
      <w:rFonts w:ascii="宋体" w:hAnsi="宋体" w:cs="宋体"/>
      <w:sz w:val="48"/>
    </w:rPr>
  </w:style>
  <w:style w:type="paragraph" w:customStyle="1" w:styleId="2227">
    <w:name w:val="样式 宋体 小一 居中1"/>
    <w:basedOn w:val="1"/>
    <w:link w:val="2226"/>
    <w:qFormat/>
    <w:uiPriority w:val="0"/>
    <w:pPr>
      <w:spacing w:beforeLines="50"/>
      <w:jc w:val="center"/>
    </w:pPr>
    <w:rPr>
      <w:rFonts w:ascii="宋体" w:hAnsi="宋体" w:cs="宋体"/>
      <w:kern w:val="0"/>
      <w:sz w:val="48"/>
      <w:szCs w:val="20"/>
    </w:rPr>
  </w:style>
  <w:style w:type="character" w:customStyle="1" w:styleId="2228">
    <w:name w:val="引用 Char"/>
    <w:qFormat/>
    <w:uiPriority w:val="29"/>
    <w:rPr>
      <w:i/>
      <w:iCs/>
      <w:color w:val="000000"/>
      <w:kern w:val="2"/>
      <w:sz w:val="24"/>
      <w:szCs w:val="24"/>
    </w:rPr>
  </w:style>
  <w:style w:type="character" w:customStyle="1" w:styleId="2229">
    <w:name w:val="南沙正文 Char"/>
    <w:qFormat/>
    <w:uiPriority w:val="0"/>
    <w:rPr>
      <w:sz w:val="24"/>
    </w:rPr>
  </w:style>
  <w:style w:type="character" w:customStyle="1" w:styleId="2230">
    <w:name w:val="样式128 Char"/>
    <w:qFormat/>
    <w:uiPriority w:val="0"/>
    <w:rPr>
      <w:color w:val="000000"/>
      <w:sz w:val="24"/>
      <w:szCs w:val="28"/>
    </w:rPr>
  </w:style>
  <w:style w:type="character" w:customStyle="1" w:styleId="2231">
    <w:name w:val="样式 (西文) Arial (中文) 楷体_GB2312"/>
    <w:semiHidden/>
    <w:qFormat/>
    <w:uiPriority w:val="0"/>
    <w:rPr>
      <w:rFonts w:ascii="宋体" w:hAnsi="Arial" w:eastAsia="宋体"/>
      <w:color w:val="auto"/>
      <w:spacing w:val="8"/>
      <w:w w:val="100"/>
      <w:kern w:val="0"/>
      <w:position w:val="0"/>
      <w:sz w:val="24"/>
      <w:szCs w:val="24"/>
      <w:u w:val="none"/>
      <w:vertAlign w:val="baseline"/>
    </w:rPr>
  </w:style>
  <w:style w:type="character" w:customStyle="1" w:styleId="2232">
    <w:name w:val="样式 正文文本缩进 2正文文本缩进 2 Char Char Char Char正文文本缩进 2 Char Char + 黑色2 Char"/>
    <w:qFormat/>
    <w:uiPriority w:val="0"/>
    <w:rPr>
      <w:color w:val="000000"/>
      <w:kern w:val="2"/>
      <w:szCs w:val="21"/>
    </w:rPr>
  </w:style>
  <w:style w:type="character" w:customStyle="1" w:styleId="2233">
    <w:name w:val="列表编号 5 Char Char"/>
    <w:qFormat/>
    <w:uiPriority w:val="0"/>
    <w:rPr>
      <w:rFonts w:eastAsia="宋体" w:cs="宋体"/>
      <w:color w:val="000000"/>
      <w:kern w:val="2"/>
      <w:sz w:val="24"/>
      <w:szCs w:val="24"/>
      <w:lang w:val="en-US" w:eastAsia="zh-CN" w:bidi="ar-SA"/>
    </w:rPr>
  </w:style>
  <w:style w:type="character" w:customStyle="1" w:styleId="2234">
    <w:name w:val="真宗兴表格内容 Char"/>
    <w:link w:val="2235"/>
    <w:qFormat/>
    <w:locked/>
    <w:uiPriority w:val="0"/>
    <w:rPr>
      <w:kern w:val="2"/>
      <w:sz w:val="24"/>
      <w:szCs w:val="24"/>
    </w:rPr>
  </w:style>
  <w:style w:type="paragraph" w:customStyle="1" w:styleId="2235">
    <w:name w:val="真宗兴表格内容"/>
    <w:basedOn w:val="1"/>
    <w:link w:val="2234"/>
    <w:qFormat/>
    <w:uiPriority w:val="0"/>
    <w:pPr>
      <w:tabs>
        <w:tab w:val="left" w:pos="-2848"/>
      </w:tabs>
      <w:overflowPunct w:val="0"/>
      <w:autoSpaceDE w:val="0"/>
      <w:autoSpaceDN w:val="0"/>
      <w:adjustRightInd w:val="0"/>
      <w:spacing w:beforeLines="20" w:afterLines="20" w:line="400" w:lineRule="atLeast"/>
      <w:ind w:firstLine="420" w:firstLineChars="200"/>
      <w:jc w:val="center"/>
      <w:textAlignment w:val="baseline"/>
    </w:pPr>
    <w:rPr>
      <w:sz w:val="24"/>
    </w:rPr>
  </w:style>
  <w:style w:type="character" w:customStyle="1" w:styleId="2236">
    <w:name w:val="样式 首行缩进:  2 字符5 Char"/>
    <w:link w:val="2237"/>
    <w:qFormat/>
    <w:uiPriority w:val="0"/>
    <w:rPr>
      <w:rFonts w:cs="宋体"/>
      <w:kern w:val="2"/>
      <w:sz w:val="24"/>
    </w:rPr>
  </w:style>
  <w:style w:type="paragraph" w:customStyle="1" w:styleId="2237">
    <w:name w:val="样式 首行缩进:  2 字符5"/>
    <w:basedOn w:val="1"/>
    <w:link w:val="2236"/>
    <w:qFormat/>
    <w:uiPriority w:val="0"/>
    <w:pPr>
      <w:snapToGrid w:val="0"/>
      <w:spacing w:line="360" w:lineRule="auto"/>
      <w:ind w:firstLine="480" w:firstLineChars="200"/>
    </w:pPr>
    <w:rPr>
      <w:rFonts w:cs="宋体"/>
      <w:sz w:val="24"/>
      <w:szCs w:val="20"/>
    </w:rPr>
  </w:style>
  <w:style w:type="character" w:customStyle="1" w:styleId="2238">
    <w:name w:val="样式 题注Char Char Char题注cao题注 Char Char Char实德题注 + Times New Ro... Char"/>
    <w:link w:val="2239"/>
    <w:qFormat/>
    <w:uiPriority w:val="0"/>
    <w:rPr>
      <w:rFonts w:eastAsia="黑体" w:cs="Arial"/>
      <w:kern w:val="2"/>
      <w:sz w:val="24"/>
      <w:szCs w:val="24"/>
    </w:rPr>
  </w:style>
  <w:style w:type="paragraph" w:customStyle="1" w:styleId="2239">
    <w:name w:val="样式 题注Char Char Char题注cao题注 Char Char Char实德题注 + Times New Ro..."/>
    <w:basedOn w:val="23"/>
    <w:link w:val="2238"/>
    <w:qFormat/>
    <w:uiPriority w:val="0"/>
    <w:pPr>
      <w:snapToGrid w:val="0"/>
      <w:spacing w:line="360" w:lineRule="auto"/>
      <w:jc w:val="center"/>
    </w:pPr>
    <w:rPr>
      <w:rFonts w:ascii="Times New Roman" w:hAnsi="Times New Roman"/>
      <w:sz w:val="24"/>
      <w:szCs w:val="24"/>
    </w:rPr>
  </w:style>
  <w:style w:type="character" w:customStyle="1" w:styleId="2240">
    <w:name w:val="中大2级2 Char"/>
    <w:qFormat/>
    <w:uiPriority w:val="0"/>
    <w:rPr>
      <w:b/>
      <w:bCs/>
      <w:kern w:val="2"/>
      <w:sz w:val="30"/>
      <w:szCs w:val="30"/>
    </w:rPr>
  </w:style>
  <w:style w:type="character" w:customStyle="1" w:styleId="2241">
    <w:name w:val="第二标题 Char"/>
    <w:qFormat/>
    <w:uiPriority w:val="0"/>
    <w:rPr>
      <w:rFonts w:ascii="Arial" w:hAnsi="Arial" w:eastAsia="黑体"/>
      <w:b/>
      <w:bCs/>
      <w:kern w:val="2"/>
      <w:sz w:val="36"/>
      <w:szCs w:val="36"/>
      <w:lang w:val="en-US" w:eastAsia="zh-CN" w:bidi="ar-SA"/>
    </w:rPr>
  </w:style>
  <w:style w:type="character" w:customStyle="1" w:styleId="2242">
    <w:name w:val="项标题(1) Char Char"/>
    <w:qFormat/>
    <w:uiPriority w:val="0"/>
    <w:rPr>
      <w:rFonts w:ascii="Times New Roman" w:hAnsi="Times New Roman" w:eastAsia="宋体" w:cs="Times New Roman"/>
      <w:b/>
      <w:bCs/>
      <w:sz w:val="24"/>
      <w:szCs w:val="24"/>
    </w:rPr>
  </w:style>
  <w:style w:type="character" w:customStyle="1" w:styleId="2243">
    <w:name w:val="南联小四宋体 Char Char"/>
    <w:qFormat/>
    <w:uiPriority w:val="0"/>
    <w:rPr>
      <w:rFonts w:ascii="宋体" w:hAnsi="宋体"/>
      <w:sz w:val="24"/>
      <w:szCs w:val="30"/>
    </w:rPr>
  </w:style>
  <w:style w:type="character" w:customStyle="1" w:styleId="2244">
    <w:name w:val="样式 标题 4标题4款标题款标题1.1.1.1PIM 4H4h4blbbTitre44th levelse... Char"/>
    <w:semiHidden/>
    <w:qFormat/>
    <w:uiPriority w:val="0"/>
    <w:rPr>
      <w:rFonts w:ascii="Cambria" w:hAnsi="Cambria"/>
      <w:b/>
      <w:bCs/>
      <w:color w:val="000000"/>
      <w:kern w:val="2"/>
      <w:sz w:val="24"/>
      <w:szCs w:val="24"/>
    </w:rPr>
  </w:style>
  <w:style w:type="character" w:customStyle="1" w:styleId="2245">
    <w:name w:val="样式 正文首行缩进 + 宋体 小四 行距: 1.5 倍行距 Char1"/>
    <w:qFormat/>
    <w:uiPriority w:val="0"/>
    <w:rPr>
      <w:rFonts w:ascii="黑体" w:hAnsi="Arial" w:eastAsia="黑体" w:cs="Arial"/>
      <w:bCs/>
      <w:kern w:val="2"/>
      <w:sz w:val="24"/>
      <w:szCs w:val="24"/>
      <w:lang w:val="en-US" w:eastAsia="zh-CN" w:bidi="ar-SA"/>
    </w:rPr>
  </w:style>
  <w:style w:type="character" w:customStyle="1" w:styleId="2246">
    <w:name w:val="样式79 Char"/>
    <w:qFormat/>
    <w:uiPriority w:val="0"/>
    <w:rPr>
      <w:rFonts w:ascii="黑体" w:eastAsia="黑体"/>
      <w:color w:val="000000"/>
      <w:kern w:val="2"/>
      <w:sz w:val="21"/>
      <w:szCs w:val="21"/>
    </w:rPr>
  </w:style>
  <w:style w:type="character" w:customStyle="1" w:styleId="2247">
    <w:name w:val="样式34 Char"/>
    <w:link w:val="192"/>
    <w:qFormat/>
    <w:uiPriority w:val="0"/>
    <w:rPr>
      <w:rFonts w:eastAsia="黑体"/>
      <w:bCs/>
      <w:snapToGrid w:val="0"/>
      <w:kern w:val="2"/>
      <w:sz w:val="28"/>
      <w:szCs w:val="28"/>
      <w:lang w:val="zh-CN"/>
    </w:rPr>
  </w:style>
  <w:style w:type="character" w:customStyle="1" w:styleId="2248">
    <w:name w:val="样式 标题 3ReHead 3 WSAh3h3 Char + 段后: 7.8 磅 行距: 1.5 倍行距 Char"/>
    <w:link w:val="2249"/>
    <w:qFormat/>
    <w:uiPriority w:val="0"/>
    <w:rPr>
      <w:rFonts w:ascii="宋体" w:cs="黑体"/>
      <w:b/>
      <w:bCs/>
      <w:sz w:val="24"/>
    </w:rPr>
  </w:style>
  <w:style w:type="paragraph" w:customStyle="1" w:styleId="2249">
    <w:name w:val="样式 标题 3ReHead 3 WSAh3h3 Char + 段后: 7.8 磅 行距: 1.5 倍行距"/>
    <w:basedOn w:val="5"/>
    <w:next w:val="87"/>
    <w:link w:val="2248"/>
    <w:qFormat/>
    <w:uiPriority w:val="0"/>
    <w:pPr>
      <w:widowControl w:val="0"/>
      <w:numPr>
        <w:numId w:val="0"/>
      </w:numPr>
      <w:tabs>
        <w:tab w:val="left" w:pos="720"/>
      </w:tabs>
      <w:spacing w:before="100" w:beforeAutospacing="1" w:after="100" w:afterAutospacing="1"/>
      <w:jc w:val="both"/>
    </w:pPr>
    <w:rPr>
      <w:rFonts w:ascii="宋体" w:eastAsia="宋体" w:cs="黑体"/>
      <w:b/>
      <w:bCs/>
      <w:color w:val="auto"/>
    </w:rPr>
  </w:style>
  <w:style w:type="character" w:customStyle="1" w:styleId="2250">
    <w:name w:val="样式321 Char"/>
    <w:qFormat/>
    <w:uiPriority w:val="0"/>
    <w:rPr>
      <w:rFonts w:ascii="仿宋_GB2312" w:eastAsia="仿宋_GB2312"/>
      <w:bCs/>
      <w:color w:val="000000"/>
      <w:kern w:val="2"/>
      <w:sz w:val="24"/>
      <w:szCs w:val="24"/>
    </w:rPr>
  </w:style>
  <w:style w:type="character" w:customStyle="1" w:styleId="2251">
    <w:name w:val="样式 标题 3 + Times New Roman Char Char Char Char Char Char"/>
    <w:qFormat/>
    <w:uiPriority w:val="0"/>
    <w:rPr>
      <w:rFonts w:ascii="宋体" w:hAnsi="宋体" w:eastAsia="宋体"/>
      <w:b/>
      <w:bCs/>
      <w:sz w:val="30"/>
      <w:szCs w:val="30"/>
      <w:lang w:val="en-US" w:eastAsia="zh-CN" w:bidi="ar-SA"/>
    </w:rPr>
  </w:style>
  <w:style w:type="character" w:customStyle="1" w:styleId="2252">
    <w:name w:val="表格五中 Char"/>
    <w:qFormat/>
    <w:uiPriority w:val="0"/>
    <w:rPr>
      <w:sz w:val="21"/>
    </w:rPr>
  </w:style>
  <w:style w:type="character" w:customStyle="1" w:styleId="2253">
    <w:name w:val="zi"/>
    <w:qFormat/>
    <w:uiPriority w:val="0"/>
  </w:style>
  <w:style w:type="character" w:customStyle="1" w:styleId="2254">
    <w:name w:val="tx9pt1"/>
    <w:qFormat/>
    <w:uiPriority w:val="0"/>
    <w:rPr>
      <w:sz w:val="18"/>
      <w:szCs w:val="18"/>
      <w:u w:val="none"/>
    </w:rPr>
  </w:style>
  <w:style w:type="character" w:customStyle="1" w:styleId="2255">
    <w:name w:val="普通正文 Char Char"/>
    <w:link w:val="2256"/>
    <w:qFormat/>
    <w:uiPriority w:val="0"/>
    <w:rPr>
      <w:rFonts w:cs="宋体"/>
      <w:kern w:val="2"/>
      <w:sz w:val="24"/>
    </w:rPr>
  </w:style>
  <w:style w:type="paragraph" w:customStyle="1" w:styleId="2256">
    <w:name w:val="普通正文"/>
    <w:basedOn w:val="1"/>
    <w:link w:val="2255"/>
    <w:qFormat/>
    <w:uiPriority w:val="0"/>
    <w:pPr>
      <w:snapToGrid w:val="0"/>
      <w:spacing w:line="360" w:lineRule="auto"/>
      <w:ind w:firstLine="200" w:firstLineChars="200"/>
      <w:jc w:val="left"/>
    </w:pPr>
    <w:rPr>
      <w:rFonts w:cs="宋体"/>
      <w:sz w:val="24"/>
      <w:szCs w:val="20"/>
    </w:rPr>
  </w:style>
  <w:style w:type="character" w:customStyle="1" w:styleId="2257">
    <w:name w:val="osx285"/>
    <w:qFormat/>
    <w:uiPriority w:val="0"/>
    <w:rPr>
      <w:rFonts w:ascii="宋体" w:hAnsi="宋体" w:eastAsia="宋体" w:cs="宋体"/>
      <w:kern w:val="2"/>
      <w:sz w:val="24"/>
      <w:szCs w:val="24"/>
      <w:lang w:val="en-US" w:eastAsia="zh-CN" w:bidi="ar-SA"/>
    </w:rPr>
  </w:style>
  <w:style w:type="character" w:customStyle="1" w:styleId="2258">
    <w:name w:val="表格注释 Char Char"/>
    <w:qFormat/>
    <w:uiPriority w:val="0"/>
    <w:rPr>
      <w:rFonts w:eastAsia="宋体"/>
      <w:sz w:val="16"/>
      <w:szCs w:val="16"/>
      <w:lang w:bidi="ar-SA"/>
    </w:rPr>
  </w:style>
  <w:style w:type="character" w:customStyle="1" w:styleId="2259">
    <w:name w:val="Q Char1"/>
    <w:qFormat/>
    <w:uiPriority w:val="0"/>
    <w:rPr>
      <w:bCs/>
      <w:spacing w:val="10"/>
      <w:kern w:val="2"/>
      <w:sz w:val="28"/>
      <w:szCs w:val="28"/>
    </w:rPr>
  </w:style>
  <w:style w:type="character" w:customStyle="1" w:styleId="2260">
    <w:name w:val="题注彭林 Char"/>
    <w:link w:val="2261"/>
    <w:qFormat/>
    <w:uiPriority w:val="0"/>
    <w:rPr>
      <w:rFonts w:ascii="宋体" w:hAnsi="宋体" w:cs="Arial"/>
      <w:spacing w:val="20"/>
      <w:kern w:val="2"/>
      <w:sz w:val="24"/>
      <w:szCs w:val="24"/>
      <w:lang w:val="zh-CN"/>
    </w:rPr>
  </w:style>
  <w:style w:type="paragraph" w:customStyle="1" w:styleId="2261">
    <w:name w:val="题注彭林"/>
    <w:basedOn w:val="23"/>
    <w:link w:val="2260"/>
    <w:qFormat/>
    <w:uiPriority w:val="0"/>
    <w:pPr>
      <w:keepNext/>
      <w:jc w:val="center"/>
    </w:pPr>
    <w:rPr>
      <w:rFonts w:ascii="宋体" w:hAnsi="宋体" w:eastAsia="宋体"/>
      <w:spacing w:val="20"/>
      <w:sz w:val="24"/>
      <w:szCs w:val="24"/>
      <w:lang w:val="zh-CN"/>
    </w:rPr>
  </w:style>
  <w:style w:type="character" w:customStyle="1" w:styleId="2262">
    <w:name w:val="标题3 1.1.1 Char"/>
    <w:qFormat/>
    <w:uiPriority w:val="0"/>
  </w:style>
  <w:style w:type="character" w:customStyle="1" w:styleId="2263">
    <w:name w:val="标题 33 Char1"/>
    <w:qFormat/>
    <w:uiPriority w:val="0"/>
    <w:rPr>
      <w:b/>
      <w:bCs/>
      <w:sz w:val="32"/>
      <w:szCs w:val="32"/>
    </w:rPr>
  </w:style>
  <w:style w:type="character" w:customStyle="1" w:styleId="2264">
    <w:name w:val="华为目录3 Char"/>
    <w:qFormat/>
    <w:uiPriority w:val="0"/>
    <w:rPr>
      <w:rFonts w:ascii="宋体" w:hAnsi="宋体" w:cs="Calibri"/>
      <w:kern w:val="2"/>
    </w:rPr>
  </w:style>
  <w:style w:type="character" w:customStyle="1" w:styleId="2265">
    <w:name w:val="正文4 Char"/>
    <w:link w:val="575"/>
    <w:qFormat/>
    <w:uiPriority w:val="0"/>
    <w:rPr>
      <w:rFonts w:ascii="宋体"/>
      <w:sz w:val="34"/>
    </w:rPr>
  </w:style>
  <w:style w:type="character" w:customStyle="1" w:styleId="2266">
    <w:name w:val="样式89 Char"/>
    <w:qFormat/>
    <w:uiPriority w:val="0"/>
    <w:rPr>
      <w:rFonts w:ascii="黑体" w:hAnsi="宋体"/>
      <w:b/>
      <w:bCs/>
      <w:color w:val="000000"/>
      <w:szCs w:val="21"/>
    </w:rPr>
  </w:style>
  <w:style w:type="character" w:customStyle="1" w:styleId="2267">
    <w:name w:val="样式 正文文本缩进 3 + 黑色 Char"/>
    <w:link w:val="2268"/>
    <w:qFormat/>
    <w:uiPriority w:val="0"/>
    <w:rPr>
      <w:rFonts w:ascii="宋体" w:hAnsi="宋体"/>
      <w:b/>
      <w:bCs/>
      <w:color w:val="000000"/>
      <w:spacing w:val="16"/>
      <w:sz w:val="24"/>
      <w:szCs w:val="24"/>
    </w:rPr>
  </w:style>
  <w:style w:type="paragraph" w:customStyle="1" w:styleId="2268">
    <w:name w:val="样式 正文文本缩进 3 + 黑色"/>
    <w:basedOn w:val="71"/>
    <w:link w:val="2267"/>
    <w:qFormat/>
    <w:uiPriority w:val="0"/>
    <w:pPr>
      <w:adjustRightInd w:val="0"/>
      <w:spacing w:before="60" w:after="0" w:line="500" w:lineRule="exact"/>
      <w:ind w:left="0" w:leftChars="0"/>
      <w:jc w:val="center"/>
      <w:textAlignment w:val="baseline"/>
    </w:pPr>
    <w:rPr>
      <w:rFonts w:ascii="宋体" w:hAnsi="宋体"/>
      <w:b/>
      <w:bCs/>
      <w:color w:val="000000"/>
      <w:spacing w:val="16"/>
      <w:kern w:val="0"/>
      <w:sz w:val="24"/>
      <w:szCs w:val="24"/>
    </w:rPr>
  </w:style>
  <w:style w:type="character" w:customStyle="1" w:styleId="2269">
    <w:name w:val="正文111111111 Char Char"/>
    <w:qFormat/>
    <w:uiPriority w:val="0"/>
    <w:rPr>
      <w:rFonts w:eastAsia="宋体" w:cs="宋体"/>
      <w:kern w:val="2"/>
      <w:sz w:val="24"/>
      <w:lang w:val="en-US" w:eastAsia="zh-CN" w:bidi="ar-SA"/>
    </w:rPr>
  </w:style>
  <w:style w:type="character" w:customStyle="1" w:styleId="2270">
    <w:name w:val="样式 题注 Char Char"/>
    <w:qFormat/>
    <w:uiPriority w:val="0"/>
    <w:rPr>
      <w:rFonts w:ascii="Arial" w:hAnsi="Arial" w:cs="Arial"/>
      <w:kern w:val="2"/>
      <w:sz w:val="24"/>
    </w:rPr>
  </w:style>
  <w:style w:type="character" w:customStyle="1" w:styleId="2271">
    <w:name w:val="表格文字01 Char"/>
    <w:qFormat/>
    <w:uiPriority w:val="0"/>
    <w:rPr>
      <w:snapToGrid w:val="0"/>
      <w:color w:val="000000"/>
      <w:kern w:val="2"/>
      <w:sz w:val="21"/>
    </w:rPr>
  </w:style>
  <w:style w:type="character" w:customStyle="1" w:styleId="2272">
    <w:name w:val="新白云正文 Char Char Char"/>
    <w:qFormat/>
    <w:uiPriority w:val="0"/>
    <w:rPr>
      <w:rFonts w:eastAsia="宋体" w:cs="宋体"/>
      <w:color w:val="000000"/>
      <w:kern w:val="2"/>
      <w:sz w:val="24"/>
      <w:szCs w:val="24"/>
      <w:lang w:val="zh-CN" w:eastAsia="zh-CN" w:bidi="ar-SA"/>
    </w:rPr>
  </w:style>
  <w:style w:type="character" w:customStyle="1" w:styleId="2273">
    <w:name w:val="p10"/>
    <w:qFormat/>
    <w:uiPriority w:val="0"/>
  </w:style>
  <w:style w:type="character" w:customStyle="1" w:styleId="2274">
    <w:name w:val="样式 标题 2 + (西文) Times New Roman (中文) 宋体 Char Char"/>
    <w:link w:val="2275"/>
    <w:qFormat/>
    <w:uiPriority w:val="0"/>
    <w:rPr>
      <w:rFonts w:eastAsia="黑体"/>
      <w:kern w:val="44"/>
      <w:sz w:val="32"/>
      <w:szCs w:val="36"/>
    </w:rPr>
  </w:style>
  <w:style w:type="paragraph" w:customStyle="1" w:styleId="2275">
    <w:name w:val="样式 标题 2 + (西文) Times New Roman (中文) 宋体"/>
    <w:basedOn w:val="4"/>
    <w:link w:val="2274"/>
    <w:qFormat/>
    <w:uiPriority w:val="0"/>
    <w:pPr>
      <w:keepNext w:val="0"/>
      <w:keepLines w:val="0"/>
      <w:widowControl/>
      <w:numPr>
        <w:ilvl w:val="0"/>
        <w:numId w:val="0"/>
      </w:numPr>
      <w:tabs>
        <w:tab w:val="left" w:pos="576"/>
        <w:tab w:val="left" w:pos="720"/>
      </w:tabs>
      <w:adjustRightInd/>
      <w:snapToGrid/>
      <w:spacing w:line="240" w:lineRule="auto"/>
      <w:ind w:left="576" w:hanging="576"/>
      <w:jc w:val="left"/>
    </w:pPr>
    <w:rPr>
      <w:bCs w:val="0"/>
      <w:kern w:val="44"/>
      <w:sz w:val="32"/>
      <w:szCs w:val="36"/>
      <w:lang w:val="en-US"/>
    </w:rPr>
  </w:style>
  <w:style w:type="character" w:customStyle="1" w:styleId="2276">
    <w:name w:val="下标"/>
    <w:qFormat/>
    <w:uiPriority w:val="0"/>
    <w:rPr>
      <w:rFonts w:ascii="Times New Roman" w:hAnsi="Times New Roman" w:eastAsia="宋体"/>
      <w:spacing w:val="0"/>
      <w:position w:val="-7"/>
      <w:sz w:val="18"/>
    </w:rPr>
  </w:style>
  <w:style w:type="character" w:customStyle="1" w:styleId="2277">
    <w:name w:val="正文（首行缩进两字） Cha Char"/>
    <w:qFormat/>
    <w:uiPriority w:val="0"/>
    <w:rPr>
      <w:rFonts w:eastAsia="宋体" w:cs="宋体"/>
      <w:color w:val="000000"/>
      <w:kern w:val="2"/>
      <w:sz w:val="24"/>
      <w:szCs w:val="24"/>
      <w:lang w:val="en-US" w:eastAsia="zh-CN" w:bidi="ar-SA"/>
    </w:rPr>
  </w:style>
  <w:style w:type="character" w:customStyle="1" w:styleId="2278">
    <w:name w:val="图表样式 Char"/>
    <w:link w:val="2279"/>
    <w:qFormat/>
    <w:uiPriority w:val="0"/>
    <w:rPr>
      <w:sz w:val="24"/>
      <w:szCs w:val="24"/>
    </w:rPr>
  </w:style>
  <w:style w:type="paragraph" w:customStyle="1" w:styleId="2279">
    <w:name w:val="图表样式"/>
    <w:basedOn w:val="1"/>
    <w:link w:val="2278"/>
    <w:qFormat/>
    <w:uiPriority w:val="0"/>
    <w:pPr>
      <w:keepNext/>
      <w:jc w:val="center"/>
    </w:pPr>
    <w:rPr>
      <w:kern w:val="0"/>
      <w:sz w:val="24"/>
    </w:rPr>
  </w:style>
  <w:style w:type="character" w:customStyle="1" w:styleId="2280">
    <w:name w:val="样式 标题 2 + 非加粗 Char Char"/>
    <w:qFormat/>
    <w:uiPriority w:val="0"/>
    <w:rPr>
      <w:rFonts w:ascii="宋体" w:hAnsi="宋体" w:eastAsia="黑体" w:cs="宋体"/>
      <w:b/>
      <w:bCs/>
      <w:kern w:val="2"/>
      <w:sz w:val="24"/>
      <w:szCs w:val="32"/>
      <w:lang w:val="en-US" w:eastAsia="zh-CN" w:bidi="ar-SA"/>
    </w:rPr>
  </w:style>
  <w:style w:type="character" w:customStyle="1" w:styleId="2281">
    <w:name w:val="peng Char Char"/>
    <w:qFormat/>
    <w:uiPriority w:val="0"/>
    <w:rPr>
      <w:rFonts w:ascii="宋体" w:hAnsi="宋体"/>
      <w:kern w:val="2"/>
      <w:sz w:val="24"/>
      <w:szCs w:val="24"/>
    </w:rPr>
  </w:style>
  <w:style w:type="character" w:customStyle="1" w:styleId="2282">
    <w:name w:val="表名 Char Char Char"/>
    <w:link w:val="2283"/>
    <w:qFormat/>
    <w:uiPriority w:val="0"/>
    <w:rPr>
      <w:rFonts w:ascii="黑体" w:eastAsia="黑体"/>
      <w:sz w:val="24"/>
    </w:rPr>
  </w:style>
  <w:style w:type="paragraph" w:customStyle="1" w:styleId="2283">
    <w:name w:val="表名 Char Char"/>
    <w:basedOn w:val="1"/>
    <w:next w:val="1"/>
    <w:link w:val="2282"/>
    <w:qFormat/>
    <w:uiPriority w:val="0"/>
    <w:pPr>
      <w:tabs>
        <w:tab w:val="left" w:pos="851"/>
      </w:tabs>
      <w:adjustRightInd w:val="0"/>
      <w:spacing w:before="120" w:after="120" w:line="380" w:lineRule="atLeast"/>
      <w:jc w:val="center"/>
      <w:textAlignment w:val="baseline"/>
    </w:pPr>
    <w:rPr>
      <w:rFonts w:ascii="黑体" w:eastAsia="黑体"/>
      <w:kern w:val="0"/>
      <w:sz w:val="24"/>
      <w:szCs w:val="20"/>
    </w:rPr>
  </w:style>
  <w:style w:type="character" w:customStyle="1" w:styleId="2284">
    <w:name w:val="北京永新正文 Char"/>
    <w:qFormat/>
    <w:uiPriority w:val="0"/>
    <w:rPr>
      <w:kern w:val="2"/>
      <w:sz w:val="24"/>
      <w:szCs w:val="24"/>
    </w:rPr>
  </w:style>
  <w:style w:type="character" w:customStyle="1" w:styleId="2285">
    <w:name w:val="编号1 Char Char"/>
    <w:qFormat/>
    <w:uiPriority w:val="0"/>
    <w:rPr>
      <w:rFonts w:eastAsia="宋体"/>
      <w:kern w:val="2"/>
      <w:sz w:val="24"/>
      <w:szCs w:val="24"/>
      <w:lang w:val="en-US" w:eastAsia="zh-CN" w:bidi="ar-SA"/>
    </w:rPr>
  </w:style>
  <w:style w:type="character" w:customStyle="1" w:styleId="2286">
    <w:name w:val="表 正文 Char"/>
    <w:link w:val="2287"/>
    <w:qFormat/>
    <w:uiPriority w:val="0"/>
    <w:rPr>
      <w:kern w:val="2"/>
      <w:sz w:val="24"/>
      <w:szCs w:val="24"/>
    </w:rPr>
  </w:style>
  <w:style w:type="paragraph" w:customStyle="1" w:styleId="2287">
    <w:name w:val="表 正文"/>
    <w:basedOn w:val="1"/>
    <w:link w:val="2286"/>
    <w:qFormat/>
    <w:uiPriority w:val="0"/>
    <w:pPr>
      <w:adjustRightInd w:val="0"/>
      <w:snapToGrid w:val="0"/>
      <w:spacing w:line="360" w:lineRule="auto"/>
      <w:ind w:firstLine="200" w:firstLineChars="200"/>
      <w:jc w:val="left"/>
    </w:pPr>
    <w:rPr>
      <w:sz w:val="24"/>
    </w:rPr>
  </w:style>
  <w:style w:type="character" w:customStyle="1" w:styleId="2288">
    <w:name w:val="正文1 Char Char Char"/>
    <w:qFormat/>
    <w:uiPriority w:val="0"/>
    <w:rPr>
      <w:rFonts w:ascii="BatangChe" w:hAnsi="BatangChe" w:eastAsia="楷体_GB2312" w:cs="宋体"/>
      <w:color w:val="000000"/>
      <w:kern w:val="44"/>
      <w:sz w:val="24"/>
      <w:szCs w:val="24"/>
      <w:lang w:val="zh-CN" w:eastAsia="zh-CN" w:bidi="ar-SA"/>
    </w:rPr>
  </w:style>
  <w:style w:type="character" w:customStyle="1" w:styleId="2289">
    <w:name w:val="样式 1 + 首行缩进:  1.11 厘米 Char"/>
    <w:qFormat/>
    <w:uiPriority w:val="0"/>
    <w:rPr>
      <w:rFonts w:ascii="黑体" w:eastAsia="黑体" w:cs="宋体"/>
      <w:bCs/>
      <w:kern w:val="44"/>
      <w:sz w:val="30"/>
      <w:szCs w:val="22"/>
    </w:rPr>
  </w:style>
  <w:style w:type="character" w:customStyle="1" w:styleId="2290">
    <w:name w:val="表格文字2 Char"/>
    <w:link w:val="313"/>
    <w:qFormat/>
    <w:uiPriority w:val="0"/>
    <w:rPr>
      <w:sz w:val="21"/>
      <w:szCs w:val="21"/>
    </w:rPr>
  </w:style>
  <w:style w:type="character" w:customStyle="1" w:styleId="2291">
    <w:name w:val="正文自己 Char"/>
    <w:qFormat/>
    <w:uiPriority w:val="0"/>
    <w:rPr>
      <w:rFonts w:eastAsia="宋体" w:cs="宋体"/>
      <w:color w:val="000000"/>
      <w:spacing w:val="2"/>
      <w:kern w:val="2"/>
      <w:sz w:val="24"/>
      <w:szCs w:val="24"/>
      <w:lang w:val="en-US" w:eastAsia="zh-CN" w:bidi="ar-SA"/>
    </w:rPr>
  </w:style>
  <w:style w:type="character" w:customStyle="1" w:styleId="2292">
    <w:name w:val="样式 投标正文 + 华文中宋 Char"/>
    <w:qFormat/>
    <w:uiPriority w:val="0"/>
    <w:rPr>
      <w:rFonts w:ascii="华文中宋" w:hAnsi="华文中宋" w:eastAsia="华文中宋" w:cs="宋体"/>
      <w:kern w:val="24"/>
      <w:sz w:val="24"/>
      <w:szCs w:val="24"/>
      <w:lang w:val="en-US" w:eastAsia="zh-CN" w:bidi="ar-SA"/>
    </w:rPr>
  </w:style>
  <w:style w:type="character" w:customStyle="1" w:styleId="2293">
    <w:name w:val="正文新 Char Char"/>
    <w:qFormat/>
    <w:uiPriority w:val="0"/>
    <w:rPr>
      <w:rFonts w:eastAsia="宋体" w:cs="宋体"/>
      <w:kern w:val="2"/>
      <w:sz w:val="24"/>
      <w:lang w:val="en-US" w:eastAsia="zh-CN" w:bidi="ar-SA"/>
    </w:rPr>
  </w:style>
  <w:style w:type="character" w:customStyle="1" w:styleId="2294">
    <w:name w:val="样式 题注题注 Char + 宋体 Char"/>
    <w:qFormat/>
    <w:uiPriority w:val="0"/>
    <w:rPr>
      <w:rFonts w:hint="eastAsia" w:ascii="宋体" w:hAnsi="宋体" w:eastAsia="宋体" w:cs="Arial"/>
      <w:bCs/>
      <w:snapToGrid/>
      <w:kern w:val="2"/>
      <w:sz w:val="24"/>
      <w:szCs w:val="21"/>
      <w:lang w:val="en-US" w:eastAsia="zh-CN" w:bidi="ar-SA"/>
    </w:rPr>
  </w:style>
  <w:style w:type="character" w:customStyle="1" w:styleId="2295">
    <w:name w:val="海南化工城正文 Char"/>
    <w:qFormat/>
    <w:uiPriority w:val="0"/>
    <w:rPr>
      <w:rFonts w:ascii="宋体" w:hAnsi="宋体" w:eastAsia="宋体" w:cs="宋体"/>
      <w:kern w:val="2"/>
      <w:sz w:val="24"/>
      <w:lang w:val="en-US" w:eastAsia="zh-CN" w:bidi="ar-SA"/>
    </w:rPr>
  </w:style>
  <w:style w:type="character" w:customStyle="1" w:styleId="2296">
    <w:name w:val="YB正文小四宋体 Char"/>
    <w:qFormat/>
    <w:uiPriority w:val="0"/>
    <w:rPr>
      <w:kern w:val="2"/>
      <w:sz w:val="24"/>
    </w:rPr>
  </w:style>
  <w:style w:type="character" w:customStyle="1" w:styleId="2297">
    <w:name w:val="表底说明 Char Char Char"/>
    <w:qFormat/>
    <w:uiPriority w:val="0"/>
    <w:rPr>
      <w:rFonts w:ascii="宋体" w:hAnsi="宋体" w:eastAsia="宋体" w:cs="宋体"/>
      <w:kern w:val="2"/>
      <w:sz w:val="18"/>
      <w:szCs w:val="24"/>
      <w:lang w:val="en-US" w:eastAsia="zh-CN" w:bidi="ar-SA"/>
    </w:rPr>
  </w:style>
  <w:style w:type="character" w:customStyle="1" w:styleId="2298">
    <w:name w:val="正文表格（小四） Char"/>
    <w:semiHidden/>
    <w:qFormat/>
    <w:uiPriority w:val="0"/>
    <w:rPr>
      <w:rFonts w:eastAsia="楷体_GB2312"/>
      <w:sz w:val="24"/>
      <w:szCs w:val="28"/>
    </w:rPr>
  </w:style>
  <w:style w:type="character" w:customStyle="1" w:styleId="2299">
    <w:name w:val="真宗兴表格标题 Char"/>
    <w:qFormat/>
    <w:uiPriority w:val="0"/>
    <w:rPr>
      <w:rFonts w:ascii="黑体" w:eastAsia="黑体"/>
      <w:sz w:val="24"/>
      <w:szCs w:val="24"/>
    </w:rPr>
  </w:style>
  <w:style w:type="character" w:customStyle="1" w:styleId="2300">
    <w:name w:val="文字主体 Char Char Char"/>
    <w:qFormat/>
    <w:uiPriority w:val="0"/>
    <w:rPr>
      <w:sz w:val="24"/>
      <w:szCs w:val="24"/>
    </w:rPr>
  </w:style>
  <w:style w:type="character" w:customStyle="1" w:styleId="2301">
    <w:name w:val="样式179 Char"/>
    <w:qFormat/>
    <w:uiPriority w:val="0"/>
    <w:rPr>
      <w:rFonts w:ascii="宋体" w:hAnsi="宋体"/>
      <w:b/>
      <w:kern w:val="11"/>
      <w:sz w:val="24"/>
      <w:szCs w:val="24"/>
      <w:lang w:eastAsia="en-US"/>
    </w:rPr>
  </w:style>
  <w:style w:type="character" w:customStyle="1" w:styleId="2302">
    <w:name w:val="环科院表格标题 Char Char"/>
    <w:qFormat/>
    <w:uiPriority w:val="0"/>
    <w:rPr>
      <w:b/>
      <w:kern w:val="2"/>
      <w:sz w:val="21"/>
      <w:szCs w:val="21"/>
      <w:lang w:bidi="ar-SA"/>
    </w:rPr>
  </w:style>
  <w:style w:type="character" w:customStyle="1" w:styleId="2303">
    <w:name w:val="房地产报告 小标题 Char"/>
    <w:qFormat/>
    <w:uiPriority w:val="0"/>
    <w:rPr>
      <w:rFonts w:ascii="宋体" w:hAnsi="宋体"/>
      <w:b/>
      <w:color w:val="000000"/>
      <w:kern w:val="2"/>
      <w:sz w:val="24"/>
      <w:szCs w:val="24"/>
      <w:u w:val="single"/>
      <w:lang w:val="zh-CN"/>
    </w:rPr>
  </w:style>
  <w:style w:type="character" w:customStyle="1" w:styleId="2304">
    <w:name w:val="文档正文 Char"/>
    <w:qFormat/>
    <w:uiPriority w:val="0"/>
    <w:rPr>
      <w:spacing w:val="4"/>
      <w:szCs w:val="36"/>
    </w:rPr>
  </w:style>
  <w:style w:type="character" w:customStyle="1" w:styleId="2305">
    <w:name w:val="环调标题2 Char1"/>
    <w:qFormat/>
    <w:uiPriority w:val="0"/>
    <w:rPr>
      <w:b/>
      <w:bCs/>
      <w:kern w:val="2"/>
      <w:sz w:val="30"/>
      <w:szCs w:val="32"/>
    </w:rPr>
  </w:style>
  <w:style w:type="character" w:customStyle="1" w:styleId="2306">
    <w:name w:val="报告 Char Char Char Char Char"/>
    <w:qFormat/>
    <w:uiPriority w:val="0"/>
    <w:rPr>
      <w:rFonts w:eastAsia="宋体" w:cs="宋体"/>
      <w:color w:val="000000"/>
      <w:kern w:val="2"/>
      <w:sz w:val="24"/>
      <w:szCs w:val="24"/>
      <w:lang w:val="en-US" w:eastAsia="zh-CN" w:bidi="ar-SA"/>
    </w:rPr>
  </w:style>
  <w:style w:type="character" w:customStyle="1" w:styleId="2307">
    <w:name w:val="正文段落首行缩进 Char"/>
    <w:qFormat/>
    <w:uiPriority w:val="0"/>
    <w:rPr>
      <w:rFonts w:eastAsia="仿宋_GB2312" w:cs="宋体"/>
      <w:kern w:val="2"/>
      <w:sz w:val="24"/>
    </w:rPr>
  </w:style>
  <w:style w:type="character" w:customStyle="1" w:styleId="2308">
    <w:name w:val="样式 标题 2 + 宋体 非加粗 左侧:  2 字符 Char"/>
    <w:qFormat/>
    <w:uiPriority w:val="0"/>
    <w:rPr>
      <w:rFonts w:ascii="宋体" w:hAnsi="宋体" w:eastAsia="仿宋_GB2312" w:cs="宋体"/>
      <w:b/>
      <w:snapToGrid/>
      <w:sz w:val="28"/>
    </w:rPr>
  </w:style>
  <w:style w:type="character" w:customStyle="1" w:styleId="2309">
    <w:name w:val="引用 Char1"/>
    <w:qFormat/>
    <w:uiPriority w:val="0"/>
    <w:rPr>
      <w:rFonts w:ascii="宋体" w:hAnsi="宋体" w:cs="宋体"/>
      <w:i/>
      <w:iCs/>
      <w:color w:val="000000"/>
      <w:sz w:val="24"/>
      <w:szCs w:val="24"/>
    </w:rPr>
  </w:style>
  <w:style w:type="character" w:customStyle="1" w:styleId="2310">
    <w:name w:val="中气表头 Char Char"/>
    <w:qFormat/>
    <w:uiPriority w:val="0"/>
    <w:rPr>
      <w:rFonts w:ascii="宋体" w:hAnsi="宋体" w:eastAsia="黑体" w:cs="宋体"/>
      <w:b/>
      <w:sz w:val="24"/>
      <w:szCs w:val="21"/>
    </w:rPr>
  </w:style>
  <w:style w:type="character" w:customStyle="1" w:styleId="2311">
    <w:name w:val="图表名称 Char Char"/>
    <w:qFormat/>
    <w:uiPriority w:val="0"/>
    <w:rPr>
      <w:rFonts w:ascii="Times New Roman" w:hAnsi="Times New Roman" w:eastAsia="仿宋_GB2312" w:cs="Times New Roman"/>
      <w:b/>
      <w:bCs/>
      <w:sz w:val="24"/>
      <w:szCs w:val="21"/>
    </w:rPr>
  </w:style>
  <w:style w:type="character" w:customStyle="1" w:styleId="2312">
    <w:name w:val="样式 标题 2标题 2 Char Char + 宋体1 Char"/>
    <w:qFormat/>
    <w:uiPriority w:val="0"/>
    <w:rPr>
      <w:rFonts w:ascii="宋体" w:hAnsi="宋体" w:eastAsia="宋体"/>
      <w:b/>
      <w:sz w:val="28"/>
    </w:rPr>
  </w:style>
  <w:style w:type="character" w:customStyle="1" w:styleId="2313">
    <w:name w:val="标题 2 Char Char1"/>
    <w:qFormat/>
    <w:uiPriority w:val="0"/>
    <w:rPr>
      <w:rFonts w:eastAsia="黑体"/>
      <w:b/>
      <w:bCs/>
      <w:kern w:val="2"/>
      <w:sz w:val="32"/>
      <w:szCs w:val="32"/>
      <w:lang w:val="en-US" w:eastAsia="zh-CN" w:bidi="ar-SA"/>
    </w:rPr>
  </w:style>
  <w:style w:type="character" w:customStyle="1" w:styleId="2314">
    <w:name w:val="样式 沥青表 + 宋体 小四 Char"/>
    <w:qFormat/>
    <w:uiPriority w:val="0"/>
    <w:rPr>
      <w:rFonts w:ascii="宋体" w:hAnsi="宋体" w:eastAsia="宋体"/>
      <w:spacing w:val="10"/>
      <w:sz w:val="24"/>
      <w:lang w:val="en-US" w:eastAsia="zh-CN"/>
    </w:rPr>
  </w:style>
  <w:style w:type="character" w:customStyle="1" w:styleId="2315">
    <w:name w:val="条标题 Char"/>
    <w:qFormat/>
    <w:uiPriority w:val="0"/>
    <w:rPr>
      <w:rFonts w:eastAsia="黑体"/>
      <w:b/>
      <w:kern w:val="2"/>
      <w:sz w:val="28"/>
      <w:lang w:val="en-US" w:eastAsia="zh-CN" w:bidi="ar-SA"/>
    </w:rPr>
  </w:style>
  <w:style w:type="character" w:customStyle="1" w:styleId="2316">
    <w:name w:val="样式 正文首行缩进 2 + 左侧:  2 字符 首行缩进:  2 字符 Char"/>
    <w:link w:val="2317"/>
    <w:qFormat/>
    <w:uiPriority w:val="0"/>
    <w:rPr>
      <w:rFonts w:ascii="宋体" w:cs="宋体"/>
      <w:color w:val="000000"/>
      <w:sz w:val="24"/>
      <w:szCs w:val="24"/>
    </w:rPr>
  </w:style>
  <w:style w:type="paragraph" w:customStyle="1" w:styleId="2317">
    <w:name w:val="样式 正文首行缩进 2 + 左侧:  2 字符 首行缩进:  2 字符"/>
    <w:basedOn w:val="87"/>
    <w:link w:val="2316"/>
    <w:qFormat/>
    <w:uiPriority w:val="0"/>
    <w:pPr>
      <w:widowControl w:val="0"/>
      <w:adjustRightInd/>
      <w:snapToGrid/>
      <w:spacing w:after="120" w:afterLines="50" w:line="500" w:lineRule="exact"/>
      <w:ind w:firstLine="480"/>
    </w:pPr>
    <w:rPr>
      <w:rFonts w:hAnsi="Times New Roman" w:cs="宋体"/>
      <w:snapToGrid/>
      <w:szCs w:val="24"/>
    </w:rPr>
  </w:style>
  <w:style w:type="character" w:customStyle="1" w:styleId="2318">
    <w:name w:val="样式 首行缩进:  2 字符 段后: 7.8 磅 Char Char Char Char Char Char Char"/>
    <w:qFormat/>
    <w:uiPriority w:val="0"/>
    <w:rPr>
      <w:rFonts w:ascii="Arial" w:hAnsi="Arial" w:cs="Arial"/>
      <w:sz w:val="24"/>
      <w:szCs w:val="28"/>
    </w:rPr>
  </w:style>
  <w:style w:type="character" w:customStyle="1" w:styleId="2319">
    <w:name w:val="样式 标题 4 + Times New Roman Char Char Char"/>
    <w:qFormat/>
    <w:uiPriority w:val="0"/>
    <w:rPr>
      <w:rFonts w:ascii="Arial" w:hAnsi="Arial" w:eastAsia="宋体"/>
      <w:kern w:val="2"/>
      <w:sz w:val="28"/>
      <w:lang w:val="en-US" w:eastAsia="zh-CN" w:bidi="ar-SA"/>
    </w:rPr>
  </w:style>
  <w:style w:type="character" w:customStyle="1" w:styleId="2320">
    <w:name w:val="中大正文 Char"/>
    <w:link w:val="2135"/>
    <w:qFormat/>
    <w:uiPriority w:val="0"/>
    <w:rPr>
      <w:rFonts w:ascii="宋体" w:hAnsi="宋体"/>
      <w:sz w:val="24"/>
      <w:szCs w:val="24"/>
      <w:lang w:val="zh-CN"/>
    </w:rPr>
  </w:style>
  <w:style w:type="character" w:customStyle="1" w:styleId="2321">
    <w:name w:val="样式 标题 3三级标题 + Char Char"/>
    <w:qFormat/>
    <w:uiPriority w:val="0"/>
    <w:rPr>
      <w:rFonts w:ascii="黑体" w:hAnsi="宋体" w:eastAsia="黑体" w:cs="宋体"/>
      <w:color w:val="000000"/>
      <w:kern w:val="2"/>
      <w:sz w:val="28"/>
      <w:szCs w:val="28"/>
      <w:lang w:val="en-US" w:eastAsia="zh-CN" w:bidi="ar-SA"/>
    </w:rPr>
  </w:style>
  <w:style w:type="character" w:customStyle="1" w:styleId="2322">
    <w:name w:val="重点 Char"/>
    <w:link w:val="2323"/>
    <w:qFormat/>
    <w:uiPriority w:val="0"/>
    <w:rPr>
      <w:rFonts w:ascii="宋体"/>
      <w:b/>
      <w:color w:val="000080"/>
      <w:sz w:val="28"/>
      <w:szCs w:val="28"/>
    </w:rPr>
  </w:style>
  <w:style w:type="paragraph" w:customStyle="1" w:styleId="2323">
    <w:name w:val="重点"/>
    <w:basedOn w:val="1"/>
    <w:link w:val="2322"/>
    <w:qFormat/>
    <w:uiPriority w:val="0"/>
    <w:pPr>
      <w:spacing w:line="360" w:lineRule="auto"/>
      <w:ind w:firstLine="560" w:firstLineChars="200"/>
    </w:pPr>
    <w:rPr>
      <w:rFonts w:ascii="宋体"/>
      <w:b/>
      <w:color w:val="000080"/>
      <w:kern w:val="0"/>
      <w:sz w:val="28"/>
      <w:szCs w:val="28"/>
    </w:rPr>
  </w:style>
  <w:style w:type="character" w:customStyle="1" w:styleId="2324">
    <w:name w:val="样式5 Char Char"/>
    <w:qFormat/>
    <w:uiPriority w:val="0"/>
    <w:rPr>
      <w:rFonts w:ascii="楷体_GB2312" w:hAnsi="宋体" w:eastAsia="楷体_GB2312" w:cs="Times New Roman"/>
      <w:spacing w:val="-4"/>
      <w:kern w:val="0"/>
      <w:sz w:val="28"/>
      <w:szCs w:val="28"/>
    </w:rPr>
  </w:style>
  <w:style w:type="character" w:customStyle="1" w:styleId="2325">
    <w:name w:val="样式 标题 2(C+F2)(F3)Title22nd levelh22Header 2l2heading 2...1 Char Char"/>
    <w:qFormat/>
    <w:uiPriority w:val="0"/>
    <w:rPr>
      <w:rFonts w:ascii="Arial" w:hAnsi="Arial" w:eastAsia="黑体" w:cs="宋体"/>
      <w:b/>
      <w:bCs/>
      <w:kern w:val="2"/>
      <w:sz w:val="28"/>
      <w:szCs w:val="28"/>
      <w:lang w:val="en-US" w:eastAsia="zh-CN" w:bidi="ar-SA"/>
    </w:rPr>
  </w:style>
  <w:style w:type="character" w:customStyle="1" w:styleId="2326">
    <w:name w:val="环科院表格标题 Char"/>
    <w:qFormat/>
    <w:uiPriority w:val="0"/>
    <w:rPr>
      <w:b/>
      <w:szCs w:val="21"/>
    </w:rPr>
  </w:style>
  <w:style w:type="character" w:customStyle="1" w:styleId="2327">
    <w:name w:val="样式 宋体 小四 行距: 固定值 26 磅 Char"/>
    <w:qFormat/>
    <w:uiPriority w:val="0"/>
    <w:rPr>
      <w:rFonts w:cs="宋体"/>
      <w:kern w:val="2"/>
      <w:sz w:val="24"/>
      <w:szCs w:val="24"/>
    </w:rPr>
  </w:style>
  <w:style w:type="character" w:customStyle="1" w:styleId="2328">
    <w:name w:val="投标正文 Char"/>
    <w:qFormat/>
    <w:uiPriority w:val="0"/>
    <w:rPr>
      <w:rFonts w:ascii="宋体" w:hAnsi="宋体" w:eastAsia="宋体" w:cs="宋体"/>
      <w:sz w:val="24"/>
      <w:lang w:val="en-US" w:eastAsia="zh-CN" w:bidi="ar-SA"/>
    </w:rPr>
  </w:style>
  <w:style w:type="character" w:customStyle="1" w:styleId="2329">
    <w:name w:val="文章正文格式 Char Char"/>
    <w:qFormat/>
    <w:uiPriority w:val="0"/>
    <w:rPr>
      <w:rFonts w:ascii="宋体" w:hAnsi="宋体" w:cs="宋体"/>
      <w:spacing w:val="8"/>
      <w:sz w:val="28"/>
      <w:szCs w:val="28"/>
    </w:rPr>
  </w:style>
  <w:style w:type="character" w:customStyle="1" w:styleId="2330">
    <w:name w:val="表格（hwl) + + 11 磅 Char"/>
    <w:link w:val="2331"/>
    <w:qFormat/>
    <w:locked/>
    <w:uiPriority w:val="0"/>
    <w:rPr>
      <w:sz w:val="22"/>
      <w:szCs w:val="24"/>
    </w:rPr>
  </w:style>
  <w:style w:type="paragraph" w:customStyle="1" w:styleId="2331">
    <w:name w:val="表格（hwl) + + 11 磅"/>
    <w:basedOn w:val="1936"/>
    <w:link w:val="2330"/>
    <w:qFormat/>
    <w:uiPriority w:val="0"/>
    <w:pPr>
      <w:jc w:val="center"/>
    </w:pPr>
    <w:rPr>
      <w:sz w:val="22"/>
    </w:rPr>
  </w:style>
  <w:style w:type="character" w:customStyle="1" w:styleId="2332">
    <w:name w:val="标题 22 Char Char"/>
    <w:qFormat/>
    <w:uiPriority w:val="0"/>
    <w:rPr>
      <w:kern w:val="2"/>
      <w:sz w:val="21"/>
      <w:szCs w:val="24"/>
    </w:rPr>
  </w:style>
  <w:style w:type="character" w:customStyle="1" w:styleId="2333">
    <w:name w:val="p12grey"/>
    <w:qFormat/>
    <w:uiPriority w:val="0"/>
  </w:style>
  <w:style w:type="character" w:customStyle="1" w:styleId="2334">
    <w:name w:val="表格字体 Char"/>
    <w:qFormat/>
    <w:uiPriority w:val="0"/>
    <w:rPr>
      <w:szCs w:val="21"/>
    </w:rPr>
  </w:style>
  <w:style w:type="character" w:customStyle="1" w:styleId="2335">
    <w:name w:val="标题 Char2"/>
    <w:qFormat/>
    <w:uiPriority w:val="10"/>
    <w:rPr>
      <w:rFonts w:ascii="Cambria" w:hAnsi="Cambria" w:eastAsia="宋体" w:cs="Times New Roman"/>
      <w:b/>
      <w:bCs/>
      <w:sz w:val="32"/>
      <w:szCs w:val="32"/>
    </w:rPr>
  </w:style>
  <w:style w:type="character" w:customStyle="1" w:styleId="2336">
    <w:name w:val="报告 Char Char Char Char"/>
    <w:qFormat/>
    <w:uiPriority w:val="0"/>
    <w:rPr>
      <w:sz w:val="24"/>
    </w:rPr>
  </w:style>
  <w:style w:type="character" w:customStyle="1" w:styleId="2337">
    <w:name w:val="题注-彭林 Char Char"/>
    <w:qFormat/>
    <w:uiPriority w:val="0"/>
    <w:rPr>
      <w:rFonts w:cs="黑体"/>
      <w:sz w:val="24"/>
    </w:rPr>
  </w:style>
  <w:style w:type="character" w:customStyle="1" w:styleId="2338">
    <w:name w:val="图片（杨） Char"/>
    <w:link w:val="2339"/>
    <w:qFormat/>
    <w:uiPriority w:val="0"/>
    <w:rPr>
      <w:kern w:val="2"/>
      <w:sz w:val="24"/>
      <w:szCs w:val="24"/>
    </w:rPr>
  </w:style>
  <w:style w:type="paragraph" w:customStyle="1" w:styleId="2339">
    <w:name w:val="图片（杨）"/>
    <w:basedOn w:val="2032"/>
    <w:link w:val="2338"/>
    <w:qFormat/>
    <w:uiPriority w:val="0"/>
    <w:pPr>
      <w:spacing w:beforeLines="50"/>
    </w:pPr>
    <w:rPr>
      <w:rFonts w:eastAsia="宋体"/>
    </w:rPr>
  </w:style>
  <w:style w:type="character" w:customStyle="1" w:styleId="2340">
    <w:name w:val="tx105pt1"/>
    <w:qFormat/>
    <w:uiPriority w:val="0"/>
    <w:rPr>
      <w:color w:val="000000"/>
      <w:sz w:val="18"/>
      <w:szCs w:val="18"/>
      <w:u w:val="none"/>
    </w:rPr>
  </w:style>
  <w:style w:type="character" w:customStyle="1" w:styleId="2341">
    <w:name w:val="zhang正文 Char"/>
    <w:qFormat/>
    <w:uiPriority w:val="0"/>
    <w:rPr>
      <w:rFonts w:eastAsia="楷体_GB2312"/>
      <w:sz w:val="28"/>
    </w:rPr>
  </w:style>
  <w:style w:type="character" w:customStyle="1" w:styleId="2342">
    <w:name w:val="表标题（杨） Char Char"/>
    <w:qFormat/>
    <w:uiPriority w:val="0"/>
    <w:rPr>
      <w:rFonts w:eastAsia="宋体" w:cs="宋体"/>
      <w:color w:val="000000"/>
      <w:kern w:val="2"/>
      <w:sz w:val="24"/>
      <w:szCs w:val="24"/>
      <w:lang w:val="en-US" w:eastAsia="zh-CN" w:bidi="ar-SA"/>
    </w:rPr>
  </w:style>
  <w:style w:type="character" w:customStyle="1" w:styleId="2343">
    <w:name w:val="正文（首行缩进两个字） + 首行缩进:  2 字符 Char"/>
    <w:link w:val="1853"/>
    <w:qFormat/>
    <w:uiPriority w:val="0"/>
    <w:rPr>
      <w:rFonts w:eastAsia="仿宋_GB2312"/>
      <w:color w:val="000000"/>
      <w:kern w:val="2"/>
      <w:sz w:val="24"/>
      <w:szCs w:val="24"/>
      <w:lang w:val="zh-CN"/>
    </w:rPr>
  </w:style>
  <w:style w:type="character" w:customStyle="1" w:styleId="2344">
    <w:name w:val="样式 宋体 四号 行距: 1.5 倍行距 Char Char"/>
    <w:qFormat/>
    <w:uiPriority w:val="0"/>
    <w:rPr>
      <w:rFonts w:ascii="宋体" w:hAnsi="宋体" w:eastAsia="宋体" w:cs="宋体"/>
      <w:color w:val="000000"/>
      <w:kern w:val="2"/>
      <w:sz w:val="28"/>
      <w:szCs w:val="24"/>
      <w:lang w:val="en-US" w:eastAsia="zh-CN" w:bidi="ar-SA"/>
    </w:rPr>
  </w:style>
  <w:style w:type="character" w:customStyle="1" w:styleId="2345">
    <w:name w:val="页眉 Char Char"/>
    <w:qFormat/>
    <w:uiPriority w:val="99"/>
    <w:rPr>
      <w:rFonts w:ascii="Times New Roman" w:hAnsi="Times New Roman" w:eastAsia="宋体" w:cs="Times New Roman"/>
      <w:sz w:val="18"/>
      <w:szCs w:val="18"/>
    </w:rPr>
  </w:style>
  <w:style w:type="character" w:customStyle="1" w:styleId="2346">
    <w:name w:val="样式 样式 标题 2(C+F2)(F3)Title22nd levelh22Header 2l2heading 2...1 + ... Char Char Char"/>
    <w:qFormat/>
    <w:uiPriority w:val="0"/>
  </w:style>
  <w:style w:type="character" w:customStyle="1" w:styleId="2347">
    <w:name w:val="样式 表格文字 + Char"/>
    <w:link w:val="1809"/>
    <w:qFormat/>
    <w:locked/>
    <w:uiPriority w:val="0"/>
    <w:rPr>
      <w:sz w:val="21"/>
      <w:lang w:val="zh-CN" w:eastAsia="zh-CN"/>
    </w:rPr>
  </w:style>
  <w:style w:type="character" w:customStyle="1" w:styleId="2348">
    <w:name w:val="正文zz Char"/>
    <w:qFormat/>
    <w:uiPriority w:val="0"/>
    <w:rPr>
      <w:sz w:val="24"/>
      <w:szCs w:val="24"/>
      <w:lang w:val="en-US" w:eastAsia="zh-CN" w:bidi="ar-SA"/>
    </w:rPr>
  </w:style>
  <w:style w:type="character" w:customStyle="1" w:styleId="2349">
    <w:name w:val="南联小四宋体 Char Char Char"/>
    <w:qFormat/>
    <w:uiPriority w:val="0"/>
    <w:rPr>
      <w:rFonts w:ascii="宋体" w:hAnsi="宋体"/>
      <w:sz w:val="24"/>
      <w:szCs w:val="30"/>
      <w:lang w:val="en-US" w:eastAsia="zh-CN" w:bidi="ar-SA"/>
    </w:rPr>
  </w:style>
  <w:style w:type="character" w:customStyle="1" w:styleId="2350">
    <w:name w:val="样式 第3级标题 + (中文) 宋体 Char Char Char"/>
    <w:qFormat/>
    <w:uiPriority w:val="0"/>
    <w:rPr>
      <w:rFonts w:ascii="宋体" w:hAnsi="宋体" w:eastAsia="宋体" w:cs="宋体"/>
      <w:b/>
      <w:bCs/>
      <w:sz w:val="30"/>
      <w:szCs w:val="30"/>
      <w:lang w:val="en-US" w:eastAsia="zh-CN" w:bidi="ar-SA"/>
    </w:rPr>
  </w:style>
  <w:style w:type="character" w:customStyle="1" w:styleId="2351">
    <w:name w:val="正文文本缩进 Char3"/>
    <w:semiHidden/>
    <w:qFormat/>
    <w:uiPriority w:val="99"/>
    <w:rPr>
      <w:kern w:val="2"/>
      <w:sz w:val="21"/>
      <w:szCs w:val="24"/>
    </w:rPr>
  </w:style>
  <w:style w:type="character" w:customStyle="1" w:styleId="2352">
    <w:name w:val="未命名1"/>
    <w:qFormat/>
    <w:uiPriority w:val="0"/>
    <w:rPr>
      <w:rFonts w:eastAsia="宋体" w:cs="宋体"/>
      <w:color w:val="000000"/>
      <w:kern w:val="2"/>
      <w:sz w:val="24"/>
      <w:szCs w:val="24"/>
      <w:lang w:val="zh-CN" w:eastAsia="zh-CN" w:bidi="ar-SA"/>
    </w:rPr>
  </w:style>
  <w:style w:type="character" w:customStyle="1" w:styleId="2353">
    <w:name w:val="章（1级） Char Char"/>
    <w:qFormat/>
    <w:uiPriority w:val="0"/>
    <w:rPr>
      <w:rFonts w:ascii="宋体" w:hAnsi="宋体" w:eastAsia="黑体" w:cs="宋体"/>
      <w:b/>
      <w:bCs/>
      <w:kern w:val="44"/>
      <w:sz w:val="32"/>
      <w:szCs w:val="32"/>
      <w:lang w:val="en-US" w:eastAsia="zh-CN" w:bidi="ar-SA"/>
    </w:rPr>
  </w:style>
  <w:style w:type="character" w:customStyle="1" w:styleId="2354">
    <w:name w:val="TTT表格标题 Char"/>
    <w:qFormat/>
    <w:uiPriority w:val="0"/>
    <w:rPr>
      <w:rFonts w:cs="宋体"/>
      <w:b/>
      <w:bCs/>
      <w:sz w:val="24"/>
    </w:rPr>
  </w:style>
  <w:style w:type="character" w:customStyle="1" w:styleId="2355">
    <w:name w:val="正文文 Char"/>
    <w:qFormat/>
    <w:locked/>
    <w:uiPriority w:val="0"/>
    <w:rPr>
      <w:rFonts w:ascii="宋体" w:hAnsi="宋体"/>
      <w:sz w:val="24"/>
    </w:rPr>
  </w:style>
  <w:style w:type="character" w:customStyle="1" w:styleId="2356">
    <w:name w:val="标题小 Char"/>
    <w:qFormat/>
    <w:uiPriority w:val="0"/>
    <w:rPr>
      <w:rFonts w:ascii="黑体" w:eastAsia="黑体"/>
      <w:b/>
      <w:sz w:val="28"/>
      <w:szCs w:val="30"/>
      <w:u w:val="single"/>
    </w:rPr>
  </w:style>
  <w:style w:type="character" w:customStyle="1" w:styleId="2357">
    <w:name w:val="正文001 Char"/>
    <w:link w:val="1072"/>
    <w:qFormat/>
    <w:uiPriority w:val="0"/>
    <w:rPr>
      <w:sz w:val="24"/>
    </w:rPr>
  </w:style>
  <w:style w:type="character" w:customStyle="1" w:styleId="2358">
    <w:name w:val="正文文本 Char Char"/>
    <w:qFormat/>
    <w:uiPriority w:val="0"/>
    <w:rPr>
      <w:rFonts w:eastAsia="宋体"/>
      <w:kern w:val="2"/>
      <w:sz w:val="24"/>
      <w:szCs w:val="24"/>
      <w:lang w:val="en-US" w:eastAsia="zh-CN" w:bidi="ar-SA"/>
    </w:rPr>
  </w:style>
  <w:style w:type="character" w:customStyle="1" w:styleId="2359">
    <w:name w:val="样式 正文（首行缩进两字） + 宋体 Char Char"/>
    <w:qFormat/>
    <w:uiPriority w:val="0"/>
    <w:rPr>
      <w:rFonts w:ascii="宋体" w:hAnsi="宋体"/>
      <w:sz w:val="28"/>
    </w:rPr>
  </w:style>
  <w:style w:type="character" w:customStyle="1" w:styleId="2360">
    <w:name w:val="样式 宋体"/>
    <w:qFormat/>
    <w:uiPriority w:val="0"/>
    <w:rPr>
      <w:rFonts w:ascii="宋体" w:hAnsi="宋体" w:eastAsia="宋体" w:cs="宋体"/>
      <w:color w:val="000000"/>
      <w:kern w:val="2"/>
      <w:sz w:val="28"/>
      <w:szCs w:val="24"/>
      <w:lang w:val="zh-CN" w:eastAsia="zh-CN" w:bidi="ar-SA"/>
    </w:rPr>
  </w:style>
  <w:style w:type="character" w:customStyle="1" w:styleId="2361">
    <w:name w:val="样式 标题 2 + 非加粗 Char"/>
    <w:qFormat/>
    <w:uiPriority w:val="0"/>
    <w:rPr>
      <w:rFonts w:ascii="宋体" w:hAnsi="宋体" w:eastAsia="黑体" w:cs="宋体"/>
      <w:b/>
      <w:bCs/>
      <w:kern w:val="2"/>
      <w:sz w:val="24"/>
      <w:szCs w:val="32"/>
      <w:lang w:val="en-US" w:eastAsia="zh-CN" w:bidi="ar-SA"/>
    </w:rPr>
  </w:style>
  <w:style w:type="character" w:customStyle="1" w:styleId="2362">
    <w:name w:val="图表名称 Char"/>
    <w:qFormat/>
    <w:uiPriority w:val="0"/>
    <w:rPr>
      <w:rFonts w:eastAsia="黑体"/>
      <w:b/>
      <w:bCs/>
      <w:kern w:val="2"/>
      <w:sz w:val="24"/>
      <w:szCs w:val="21"/>
    </w:rPr>
  </w:style>
  <w:style w:type="character" w:customStyle="1" w:styleId="2363">
    <w:name w:val="样式 题注 + 黑色 Char"/>
    <w:link w:val="2364"/>
    <w:qFormat/>
    <w:uiPriority w:val="0"/>
    <w:rPr>
      <w:rFonts w:ascii="Arial" w:hAnsi="Arial" w:cs="Arial"/>
      <w:b/>
      <w:bCs/>
      <w:color w:val="000000"/>
      <w:kern w:val="2"/>
      <w:sz w:val="24"/>
    </w:rPr>
  </w:style>
  <w:style w:type="paragraph" w:customStyle="1" w:styleId="2364">
    <w:name w:val="样式 题注 + 黑色"/>
    <w:basedOn w:val="23"/>
    <w:link w:val="2363"/>
    <w:qFormat/>
    <w:uiPriority w:val="0"/>
    <w:pPr>
      <w:tabs>
        <w:tab w:val="center" w:pos="10467"/>
        <w:tab w:val="left" w:pos="13095"/>
      </w:tabs>
      <w:spacing w:afterLines="50"/>
      <w:jc w:val="center"/>
    </w:pPr>
    <w:rPr>
      <w:rFonts w:eastAsia="宋体"/>
      <w:b/>
      <w:bCs/>
      <w:color w:val="000000"/>
      <w:sz w:val="24"/>
    </w:rPr>
  </w:style>
  <w:style w:type="character" w:customStyle="1" w:styleId="2365">
    <w:name w:val="编号1 Char Char1"/>
    <w:qFormat/>
    <w:uiPriority w:val="0"/>
    <w:rPr>
      <w:rFonts w:ascii="宋体" w:hAnsi="宋体" w:eastAsia="宋体"/>
      <w:sz w:val="24"/>
      <w:szCs w:val="24"/>
      <w:lang w:bidi="ar-SA"/>
    </w:rPr>
  </w:style>
  <w:style w:type="character" w:customStyle="1" w:styleId="2366">
    <w:name w:val="文章正文格式 Char"/>
    <w:qFormat/>
    <w:uiPriority w:val="0"/>
    <w:rPr>
      <w:rFonts w:ascii="宋体"/>
      <w:spacing w:val="8"/>
      <w:kern w:val="2"/>
      <w:sz w:val="28"/>
      <w:szCs w:val="28"/>
    </w:rPr>
  </w:style>
  <w:style w:type="character" w:customStyle="1" w:styleId="2367">
    <w:name w:val="TTT Char"/>
    <w:qFormat/>
    <w:uiPriority w:val="0"/>
    <w:rPr>
      <w:rFonts w:cs="宋体"/>
      <w:b/>
      <w:kern w:val="2"/>
      <w:sz w:val="24"/>
      <w:szCs w:val="24"/>
    </w:rPr>
  </w:style>
  <w:style w:type="character" w:customStyle="1" w:styleId="2368">
    <w:name w:val="毕一级 Char Char Char"/>
    <w:qFormat/>
    <w:uiPriority w:val="0"/>
    <w:rPr>
      <w:rFonts w:ascii="宋体" w:hAnsi="宋体" w:eastAsia="黑体" w:cs="宋体"/>
      <w:sz w:val="36"/>
      <w:szCs w:val="24"/>
      <w:lang w:val="en-US" w:eastAsia="zh-CN" w:bidi="ar-SA"/>
    </w:rPr>
  </w:style>
  <w:style w:type="character" w:customStyle="1" w:styleId="2369">
    <w:name w:val="正文（小四）"/>
    <w:qFormat/>
    <w:uiPriority w:val="0"/>
    <w:rPr>
      <w:rFonts w:hint="default" w:ascii="Times New Roman" w:hAnsi="Times New Roman" w:eastAsia="宋体" w:cs="Times New Roman"/>
      <w:sz w:val="24"/>
    </w:rPr>
  </w:style>
  <w:style w:type="character" w:customStyle="1" w:styleId="2370">
    <w:name w:val="标题3 1.1.1 Char1"/>
    <w:link w:val="2371"/>
    <w:qFormat/>
    <w:uiPriority w:val="0"/>
    <w:rPr>
      <w:b/>
      <w:kern w:val="2"/>
      <w:sz w:val="24"/>
      <w:szCs w:val="24"/>
    </w:rPr>
  </w:style>
  <w:style w:type="paragraph" w:customStyle="1" w:styleId="2371">
    <w:name w:val="标题3 1.1.1"/>
    <w:basedOn w:val="1"/>
    <w:link w:val="2370"/>
    <w:qFormat/>
    <w:uiPriority w:val="0"/>
    <w:pPr>
      <w:keepNext/>
      <w:snapToGrid w:val="0"/>
      <w:spacing w:line="420" w:lineRule="auto"/>
      <w:ind w:left="1418" w:hanging="1276"/>
      <w:outlineLvl w:val="2"/>
    </w:pPr>
    <w:rPr>
      <w:b/>
      <w:sz w:val="24"/>
    </w:rPr>
  </w:style>
  <w:style w:type="character" w:customStyle="1" w:styleId="2372">
    <w:name w:val="title1"/>
    <w:qFormat/>
    <w:uiPriority w:val="0"/>
    <w:rPr>
      <w:rFonts w:ascii="宋体" w:hAnsi="宋体" w:eastAsia="宋体" w:cs="宋体"/>
      <w:b/>
      <w:bCs/>
      <w:color w:val="00008A"/>
      <w:kern w:val="2"/>
      <w:sz w:val="40"/>
      <w:szCs w:val="40"/>
      <w:lang w:val="en-US" w:eastAsia="zh-CN" w:bidi="ar-SA"/>
    </w:rPr>
  </w:style>
  <w:style w:type="character" w:customStyle="1" w:styleId="2373">
    <w:name w:val="华为图名 Char"/>
    <w:link w:val="2374"/>
    <w:qFormat/>
    <w:uiPriority w:val="0"/>
    <w:rPr>
      <w:rFonts w:ascii="黑体" w:hAnsi="宋体" w:eastAsia="黑体"/>
      <w:b/>
      <w:color w:val="000000"/>
      <w:kern w:val="2"/>
      <w:sz w:val="21"/>
      <w:szCs w:val="21"/>
      <w:lang w:val="zh-CN"/>
    </w:rPr>
  </w:style>
  <w:style w:type="paragraph" w:customStyle="1" w:styleId="2374">
    <w:name w:val="华为图名"/>
    <w:basedOn w:val="22"/>
    <w:link w:val="2373"/>
    <w:qFormat/>
    <w:uiPriority w:val="0"/>
    <w:pPr>
      <w:widowControl/>
      <w:adjustRightInd w:val="0"/>
      <w:snapToGrid w:val="0"/>
      <w:spacing w:line="360" w:lineRule="auto"/>
      <w:ind w:firstLine="0" w:firstLineChars="0"/>
      <w:jc w:val="center"/>
    </w:pPr>
    <w:rPr>
      <w:rFonts w:ascii="黑体" w:hAnsi="宋体" w:eastAsia="黑体"/>
      <w:b/>
      <w:color w:val="000000"/>
      <w:sz w:val="21"/>
      <w:szCs w:val="21"/>
      <w:lang w:val="zh-CN"/>
    </w:rPr>
  </w:style>
  <w:style w:type="character" w:customStyle="1" w:styleId="2375">
    <w:name w:val="华为2目录 Char"/>
    <w:link w:val="2376"/>
    <w:qFormat/>
    <w:uiPriority w:val="0"/>
    <w:rPr>
      <w:rFonts w:ascii="宋体" w:hAnsi="宋体" w:cs="Calibri"/>
      <w:b/>
      <w:bCs/>
      <w:smallCaps/>
      <w:color w:val="000000"/>
      <w:kern w:val="2"/>
      <w:sz w:val="24"/>
      <w:szCs w:val="22"/>
      <w:lang w:val="zh-CN" w:eastAsia="zh-CN"/>
    </w:rPr>
  </w:style>
  <w:style w:type="paragraph" w:customStyle="1" w:styleId="2376">
    <w:name w:val="华为2目录"/>
    <w:basedOn w:val="75"/>
    <w:link w:val="2375"/>
    <w:qFormat/>
    <w:uiPriority w:val="0"/>
    <w:rPr>
      <w:rFonts w:ascii="宋体" w:hAnsi="宋体" w:cs="Calibri"/>
      <w:b/>
      <w:bCs/>
      <w:color w:val="000000"/>
      <w:sz w:val="24"/>
      <w:szCs w:val="22"/>
      <w:lang w:val="zh-CN"/>
    </w:rPr>
  </w:style>
  <w:style w:type="character" w:customStyle="1" w:styleId="2377">
    <w:name w:val="正文(首行缩进) Char1"/>
    <w:qFormat/>
    <w:uiPriority w:val="0"/>
    <w:rPr>
      <w:rFonts w:eastAsia="宋体"/>
      <w:snapToGrid w:val="0"/>
      <w:color w:val="000000"/>
      <w:sz w:val="24"/>
      <w:szCs w:val="24"/>
      <w:lang w:val="en-US" w:eastAsia="zh-CN" w:bidi="ar-SA"/>
    </w:rPr>
  </w:style>
  <w:style w:type="character" w:customStyle="1" w:styleId="2378">
    <w:name w:val="报告 Char2"/>
    <w:qFormat/>
    <w:uiPriority w:val="0"/>
    <w:rPr>
      <w:rFonts w:eastAsia="宋体"/>
      <w:sz w:val="24"/>
      <w:szCs w:val="24"/>
      <w:lang w:val="en-US" w:eastAsia="zh-CN" w:bidi="ar-SA"/>
    </w:rPr>
  </w:style>
  <w:style w:type="character" w:customStyle="1" w:styleId="2379">
    <w:name w:val="列表 3 Char"/>
    <w:qFormat/>
    <w:uiPriority w:val="0"/>
    <w:rPr>
      <w:rFonts w:eastAsia="仿宋_GB2312"/>
      <w:kern w:val="2"/>
      <w:sz w:val="24"/>
      <w:szCs w:val="24"/>
      <w:lang w:val="en-US" w:eastAsia="zh-CN" w:bidi="ar-SA"/>
    </w:rPr>
  </w:style>
  <w:style w:type="character" w:customStyle="1" w:styleId="2380">
    <w:name w:val="报告 Char Char1"/>
    <w:link w:val="283"/>
    <w:qFormat/>
    <w:uiPriority w:val="0"/>
    <w:rPr>
      <w:kern w:val="2"/>
      <w:sz w:val="24"/>
      <w:szCs w:val="24"/>
    </w:rPr>
  </w:style>
  <w:style w:type="character" w:customStyle="1" w:styleId="2381">
    <w:name w:val="TTT三级标题 Char"/>
    <w:qFormat/>
    <w:uiPriority w:val="0"/>
    <w:rPr>
      <w:rFonts w:eastAsia="华文中宋"/>
      <w:b/>
      <w:bCs/>
      <w:kern w:val="2"/>
      <w:sz w:val="30"/>
      <w:szCs w:val="30"/>
      <w:lang w:val="zh-CN" w:eastAsia="zh-CN"/>
    </w:rPr>
  </w:style>
  <w:style w:type="character" w:customStyle="1" w:styleId="2382">
    <w:name w:val="正文首行缩进 2 Char Char"/>
    <w:qFormat/>
    <w:uiPriority w:val="0"/>
    <w:rPr>
      <w:rFonts w:ascii="ˎ̥" w:hAnsi="ˎ̥" w:eastAsia="宋体" w:cs="宋体"/>
      <w:color w:val="000000"/>
      <w:kern w:val="2"/>
      <w:sz w:val="24"/>
      <w:szCs w:val="24"/>
      <w:lang w:val="en-US" w:eastAsia="zh-CN" w:bidi="ar-SA"/>
    </w:rPr>
  </w:style>
  <w:style w:type="character" w:customStyle="1" w:styleId="2383">
    <w:name w:val="纯文本 Char3"/>
    <w:semiHidden/>
    <w:qFormat/>
    <w:uiPriority w:val="99"/>
    <w:rPr>
      <w:rFonts w:ascii="宋体" w:hAnsi="Courier New" w:eastAsia="宋体" w:cs="Courier New"/>
      <w:szCs w:val="21"/>
    </w:rPr>
  </w:style>
  <w:style w:type="character" w:customStyle="1" w:styleId="2384">
    <w:name w:val="正文无缩进 Char Char"/>
    <w:qFormat/>
    <w:uiPriority w:val="0"/>
    <w:rPr>
      <w:rFonts w:eastAsia="宋体"/>
      <w:kern w:val="2"/>
      <w:sz w:val="24"/>
      <w:lang w:val="en-US" w:eastAsia="zh-CN" w:bidi="ar-SA"/>
    </w:rPr>
  </w:style>
  <w:style w:type="character" w:customStyle="1" w:styleId="2385">
    <w:name w:val="样式 标题 3一style3条(C+F3)Final－标题 3Final－标题 3 Char CharFinal－... Char"/>
    <w:qFormat/>
    <w:uiPriority w:val="0"/>
    <w:rPr>
      <w:rFonts w:ascii="宋体" w:hAnsi="宋体" w:eastAsia="黑体" w:cs="宋体"/>
      <w:sz w:val="24"/>
      <w:szCs w:val="22"/>
    </w:rPr>
  </w:style>
  <w:style w:type="character" w:customStyle="1" w:styleId="2386">
    <w:name w:val="文章正文样式 Char Char"/>
    <w:qFormat/>
    <w:uiPriority w:val="0"/>
    <w:rPr>
      <w:rFonts w:ascii="宋体" w:hAnsi="宋体" w:eastAsia="宋体"/>
      <w:kern w:val="2"/>
      <w:sz w:val="24"/>
      <w:lang w:bidi="ar-SA"/>
    </w:rPr>
  </w:style>
  <w:style w:type="character" w:customStyle="1" w:styleId="2387">
    <w:name w:val="样式 宋体 小四 黑色 居中 Char"/>
    <w:qFormat/>
    <w:uiPriority w:val="0"/>
    <w:rPr>
      <w:rFonts w:ascii="宋体" w:hAnsi="宋体" w:cs="宋体"/>
      <w:color w:val="000000"/>
      <w:sz w:val="24"/>
    </w:rPr>
  </w:style>
  <w:style w:type="character" w:customStyle="1" w:styleId="2388">
    <w:name w:val="中大表格内容 Char"/>
    <w:qFormat/>
    <w:uiPriority w:val="0"/>
    <w:rPr>
      <w:rFonts w:ascii="宋体" w:hAnsi="宋体"/>
      <w:sz w:val="21"/>
      <w:szCs w:val="21"/>
      <w:lang w:val="zh-CN"/>
    </w:rPr>
  </w:style>
  <w:style w:type="character" w:customStyle="1" w:styleId="2389">
    <w:name w:val="样式 题注 + 宋体 Char"/>
    <w:qFormat/>
    <w:locked/>
    <w:uiPriority w:val="0"/>
    <w:rPr>
      <w:rFonts w:ascii="宋体" w:hAnsi="宋体" w:cs="Arial"/>
      <w:spacing w:val="5"/>
      <w:sz w:val="24"/>
    </w:rPr>
  </w:style>
  <w:style w:type="character" w:customStyle="1" w:styleId="2390">
    <w:name w:val="中大4级2 Char"/>
    <w:link w:val="2391"/>
    <w:qFormat/>
    <w:uiPriority w:val="0"/>
    <w:rPr>
      <w:b/>
      <w:bCs/>
      <w:sz w:val="24"/>
      <w:szCs w:val="24"/>
    </w:rPr>
  </w:style>
  <w:style w:type="paragraph" w:customStyle="1" w:styleId="2391">
    <w:name w:val="中大4级2"/>
    <w:basedOn w:val="2002"/>
    <w:link w:val="2390"/>
    <w:qFormat/>
    <w:uiPriority w:val="0"/>
    <w:pPr>
      <w:spacing w:beforeLines="0" w:afterLines="0"/>
      <w:outlineLvl w:val="3"/>
    </w:pPr>
    <w:rPr>
      <w:sz w:val="24"/>
      <w:szCs w:val="24"/>
    </w:rPr>
  </w:style>
  <w:style w:type="character" w:customStyle="1" w:styleId="2392">
    <w:name w:val="信息标题 Char2"/>
    <w:qFormat/>
    <w:uiPriority w:val="0"/>
    <w:rPr>
      <w:rFonts w:ascii="Arial" w:hAnsi="Arial" w:eastAsia="宋体" w:cs="Times New Roman"/>
      <w:kern w:val="0"/>
      <w:sz w:val="24"/>
      <w:szCs w:val="24"/>
      <w:shd w:val="pct20" w:color="auto" w:fill="auto"/>
    </w:rPr>
  </w:style>
  <w:style w:type="character" w:customStyle="1" w:styleId="2393">
    <w:name w:val="华为目录1 Char"/>
    <w:link w:val="2394"/>
    <w:qFormat/>
    <w:uiPriority w:val="0"/>
    <w:rPr>
      <w:rFonts w:cs="Calibri"/>
      <w:b/>
      <w:bCs/>
      <w:caps/>
      <w:kern w:val="2"/>
      <w:sz w:val="28"/>
      <w:szCs w:val="28"/>
    </w:rPr>
  </w:style>
  <w:style w:type="paragraph" w:customStyle="1" w:styleId="2394">
    <w:name w:val="华为目录1"/>
    <w:basedOn w:val="60"/>
    <w:link w:val="2393"/>
    <w:qFormat/>
    <w:uiPriority w:val="0"/>
    <w:pPr>
      <w:spacing w:line="360" w:lineRule="auto"/>
    </w:pPr>
    <w:rPr>
      <w:rFonts w:cs="Calibri"/>
      <w:sz w:val="28"/>
      <w:szCs w:val="28"/>
    </w:rPr>
  </w:style>
  <w:style w:type="character" w:customStyle="1" w:styleId="2395">
    <w:name w:val="列表编号 5 Char"/>
    <w:qFormat/>
    <w:uiPriority w:val="0"/>
    <w:rPr>
      <w:rFonts w:eastAsia="宋体"/>
      <w:kern w:val="2"/>
      <w:sz w:val="24"/>
      <w:szCs w:val="24"/>
      <w:lang w:val="en-US" w:eastAsia="zh-CN" w:bidi="ar-SA"/>
    </w:rPr>
  </w:style>
  <w:style w:type="character" w:customStyle="1" w:styleId="2396">
    <w:name w:val="样式20 Char"/>
    <w:link w:val="169"/>
    <w:qFormat/>
    <w:uiPriority w:val="99"/>
    <w:rPr>
      <w:rFonts w:ascii="宋体" w:hAnsi="宋体"/>
      <w:kern w:val="2"/>
      <w:sz w:val="24"/>
      <w:szCs w:val="24"/>
    </w:rPr>
  </w:style>
  <w:style w:type="character" w:customStyle="1" w:styleId="2397">
    <w:name w:val="textfont1"/>
    <w:qFormat/>
    <w:uiPriority w:val="0"/>
    <w:rPr>
      <w:rFonts w:hint="default" w:eastAsia="宋体" w:cs="宋体"/>
      <w:color w:val="000000"/>
      <w:kern w:val="2"/>
      <w:sz w:val="22"/>
      <w:szCs w:val="22"/>
      <w:lang w:val="zh-CN" w:eastAsia="zh-CN" w:bidi="ar-SA"/>
    </w:rPr>
  </w:style>
  <w:style w:type="character" w:customStyle="1" w:styleId="2398">
    <w:name w:val="小四 Char Char"/>
    <w:qFormat/>
    <w:uiPriority w:val="0"/>
    <w:rPr>
      <w:rFonts w:cs="宋体"/>
      <w:color w:val="000000"/>
      <w:sz w:val="24"/>
      <w:szCs w:val="24"/>
      <w:lang w:val="zh-CN"/>
    </w:rPr>
  </w:style>
  <w:style w:type="character" w:customStyle="1" w:styleId="2399">
    <w:name w:val="正文自己 Char Char"/>
    <w:link w:val="2400"/>
    <w:qFormat/>
    <w:uiPriority w:val="0"/>
    <w:rPr>
      <w:rFonts w:cs="宋体"/>
      <w:color w:val="000000"/>
      <w:spacing w:val="2"/>
      <w:sz w:val="24"/>
      <w:szCs w:val="24"/>
      <w:lang w:val="zh-CN"/>
    </w:rPr>
  </w:style>
  <w:style w:type="paragraph" w:customStyle="1" w:styleId="2400">
    <w:name w:val="正文自己"/>
    <w:basedOn w:val="46"/>
    <w:link w:val="2399"/>
    <w:qFormat/>
    <w:uiPriority w:val="0"/>
    <w:pPr>
      <w:spacing w:line="500" w:lineRule="exact"/>
      <w:ind w:firstLine="488" w:firstLineChars="200"/>
    </w:pPr>
    <w:rPr>
      <w:rFonts w:ascii="Times New Roman" w:hAnsi="Times New Roman" w:cs="宋体"/>
      <w:color w:val="000000"/>
      <w:spacing w:val="2"/>
      <w:kern w:val="0"/>
      <w:sz w:val="24"/>
      <w:szCs w:val="24"/>
      <w:lang w:val="zh-CN"/>
    </w:rPr>
  </w:style>
  <w:style w:type="character" w:customStyle="1" w:styleId="2401">
    <w:name w:val="表格内文字 Char Char Char"/>
    <w:qFormat/>
    <w:uiPriority w:val="0"/>
    <w:rPr>
      <w:rFonts w:ascii="宋体" w:hAnsi="宋体" w:eastAsia="宋体" w:cs="宋体"/>
      <w:snapToGrid/>
      <w:sz w:val="24"/>
      <w:szCs w:val="21"/>
      <w:lang w:eastAsia="zh-CN" w:bidi="ar-SA"/>
    </w:rPr>
  </w:style>
  <w:style w:type="character" w:customStyle="1" w:styleId="2402">
    <w:name w:val="标题 7表内5号 Char Char"/>
    <w:semiHidden/>
    <w:qFormat/>
    <w:uiPriority w:val="0"/>
    <w:rPr>
      <w:rFonts w:cs="Times New Roman"/>
      <w:b/>
      <w:bCs/>
      <w:kern w:val="2"/>
      <w:sz w:val="24"/>
      <w:szCs w:val="24"/>
    </w:rPr>
  </w:style>
  <w:style w:type="character" w:customStyle="1" w:styleId="2403">
    <w:name w:val="图例名"/>
    <w:qFormat/>
    <w:uiPriority w:val="0"/>
    <w:rPr>
      <w:rFonts w:hint="default" w:ascii="Arial" w:hAnsi="Arial" w:eastAsia="仿宋_GB2312" w:cs="Arial"/>
      <w:kern w:val="2"/>
      <w:sz w:val="18"/>
      <w:szCs w:val="28"/>
      <w:lang w:val="en-US" w:eastAsia="zh-CN" w:bidi="ar-SA"/>
    </w:rPr>
  </w:style>
  <w:style w:type="character" w:customStyle="1" w:styleId="2404">
    <w:name w:val="表格、图表名称 Char"/>
    <w:qFormat/>
    <w:uiPriority w:val="0"/>
    <w:rPr>
      <w:rFonts w:ascii="宋体" w:hAnsi="宋体" w:eastAsia="宋体" w:cs="宋体"/>
      <w:b/>
      <w:sz w:val="24"/>
      <w:szCs w:val="22"/>
      <w:lang w:val="en-US" w:eastAsia="zh-CN" w:bidi="ar-SA"/>
    </w:rPr>
  </w:style>
  <w:style w:type="character" w:customStyle="1" w:styleId="2405">
    <w:name w:val="样式 样式 样式 标题 2(C+F2)(F3)Title22nd levelh22Header 2l2heading 2...1... Char Char"/>
    <w:qFormat/>
    <w:uiPriority w:val="0"/>
    <w:rPr>
      <w:rFonts w:ascii="Arial" w:hAnsi="Arial" w:eastAsia="黑体" w:cs="宋体"/>
      <w:b/>
      <w:bCs/>
      <w:kern w:val="2"/>
      <w:sz w:val="24"/>
      <w:szCs w:val="24"/>
      <w:lang w:val="en-US" w:eastAsia="zh-CN" w:bidi="ar-SA"/>
    </w:rPr>
  </w:style>
  <w:style w:type="character" w:customStyle="1" w:styleId="2406">
    <w:name w:val="正文文字( 首段缩进两字） Char Char"/>
    <w:qFormat/>
    <w:uiPriority w:val="0"/>
    <w:rPr>
      <w:rFonts w:eastAsia="宋体" w:cs="宋体"/>
      <w:color w:val="000000"/>
      <w:kern w:val="2"/>
      <w:sz w:val="21"/>
      <w:szCs w:val="24"/>
      <w:lang w:val="zh-CN" w:eastAsia="zh-CN" w:bidi="ar-SA"/>
    </w:rPr>
  </w:style>
  <w:style w:type="character" w:customStyle="1" w:styleId="2407">
    <w:name w:val="表格名称 Char Char Char Char"/>
    <w:qFormat/>
    <w:uiPriority w:val="0"/>
    <w:rPr>
      <w:rFonts w:eastAsia="宋体" w:cs="宋体"/>
      <w:b/>
      <w:color w:val="000000"/>
      <w:kern w:val="2"/>
      <w:sz w:val="21"/>
      <w:szCs w:val="21"/>
      <w:lang w:val="en-US" w:eastAsia="zh-CN" w:bidi="ar-SA"/>
    </w:rPr>
  </w:style>
  <w:style w:type="character" w:customStyle="1" w:styleId="2408">
    <w:name w:val="正文文字 2 Char Char"/>
    <w:qFormat/>
    <w:uiPriority w:val="0"/>
    <w:rPr>
      <w:rFonts w:eastAsia="宋体"/>
      <w:sz w:val="21"/>
      <w:lang w:val="en-US" w:eastAsia="zh-CN" w:bidi="ar-SA"/>
    </w:rPr>
  </w:style>
  <w:style w:type="character" w:customStyle="1" w:styleId="2409">
    <w:name w:val="样式 题注 + 楷体_GB2312 Char"/>
    <w:semiHidden/>
    <w:qFormat/>
    <w:uiPriority w:val="0"/>
    <w:rPr>
      <w:rFonts w:ascii="楷体_GB2312" w:hAnsi="楷体_GB2312" w:eastAsia="楷体_GB2312" w:cs="Arial"/>
      <w:color w:val="000000"/>
      <w:spacing w:val="8"/>
      <w:sz w:val="24"/>
      <w:szCs w:val="24"/>
    </w:rPr>
  </w:style>
  <w:style w:type="character" w:customStyle="1" w:styleId="2410">
    <w:name w:val="样式10 Char Char"/>
    <w:qFormat/>
    <w:uiPriority w:val="0"/>
    <w:rPr>
      <w:kern w:val="2"/>
      <w:sz w:val="24"/>
    </w:rPr>
  </w:style>
  <w:style w:type="character" w:customStyle="1" w:styleId="2411">
    <w:name w:val="ss1"/>
    <w:qFormat/>
    <w:uiPriority w:val="0"/>
    <w:rPr>
      <w:sz w:val="21"/>
      <w:szCs w:val="21"/>
    </w:rPr>
  </w:style>
  <w:style w:type="character" w:customStyle="1" w:styleId="2412">
    <w:name w:val="样式11 Char Char"/>
    <w:qFormat/>
    <w:uiPriority w:val="99"/>
    <w:rPr>
      <w:rFonts w:ascii="Arial" w:hAnsi="宋体"/>
      <w:b/>
      <w:bCs/>
      <w:kern w:val="2"/>
      <w:sz w:val="28"/>
      <w:szCs w:val="28"/>
      <w:lang w:val="zh-CN" w:eastAsia="zh-CN"/>
    </w:rPr>
  </w:style>
  <w:style w:type="character" w:customStyle="1" w:styleId="2413">
    <w:name w:val="注释 Char"/>
    <w:link w:val="1540"/>
    <w:qFormat/>
    <w:uiPriority w:val="0"/>
    <w:rPr>
      <w:kern w:val="2"/>
      <w:sz w:val="21"/>
      <w:szCs w:val="24"/>
    </w:rPr>
  </w:style>
  <w:style w:type="character" w:customStyle="1" w:styleId="2414">
    <w:name w:val="中大图框 Char"/>
    <w:qFormat/>
    <w:uiPriority w:val="0"/>
    <w:rPr>
      <w:rFonts w:ascii="宋体" w:hAnsi="宋体"/>
      <w:sz w:val="24"/>
      <w:szCs w:val="24"/>
      <w:lang w:val="zh-CN"/>
    </w:rPr>
  </w:style>
  <w:style w:type="character" w:customStyle="1" w:styleId="2415">
    <w:name w:val="样式 标题 4 + Times New Roman Char Char"/>
    <w:link w:val="2416"/>
    <w:qFormat/>
    <w:uiPriority w:val="0"/>
    <w:rPr>
      <w:b/>
      <w:bCs/>
      <w:sz w:val="24"/>
      <w:szCs w:val="28"/>
    </w:rPr>
  </w:style>
  <w:style w:type="paragraph" w:customStyle="1" w:styleId="2416">
    <w:name w:val="样式 标题 4 + Times New Roman Char"/>
    <w:basedOn w:val="7"/>
    <w:link w:val="2415"/>
    <w:qFormat/>
    <w:uiPriority w:val="0"/>
    <w:pPr>
      <w:keepNext w:val="0"/>
      <w:keepLines w:val="0"/>
      <w:numPr>
        <w:numId w:val="0"/>
      </w:numPr>
      <w:tabs>
        <w:tab w:val="left" w:pos="720"/>
        <w:tab w:val="left" w:pos="993"/>
        <w:tab w:val="left" w:pos="1080"/>
      </w:tabs>
      <w:snapToGrid w:val="0"/>
      <w:spacing w:beforeAutospacing="1" w:afterAutospacing="1"/>
      <w:ind w:left="1080" w:hanging="1080"/>
    </w:pPr>
    <w:rPr>
      <w:rFonts w:eastAsia="宋体"/>
      <w:b/>
      <w:kern w:val="0"/>
    </w:rPr>
  </w:style>
  <w:style w:type="character" w:customStyle="1" w:styleId="2417">
    <w:name w:val="文本框 Char Char Char"/>
    <w:qFormat/>
    <w:uiPriority w:val="0"/>
    <w:rPr>
      <w:rFonts w:eastAsia="宋体"/>
      <w:kern w:val="2"/>
      <w:sz w:val="21"/>
      <w:szCs w:val="21"/>
      <w:lang w:val="en-US" w:eastAsia="zh-CN" w:bidi="ar-SA"/>
    </w:rPr>
  </w:style>
  <w:style w:type="character" w:customStyle="1" w:styleId="2418">
    <w:name w:val="委托单位 Char Char"/>
    <w:semiHidden/>
    <w:qFormat/>
    <w:locked/>
    <w:uiPriority w:val="0"/>
    <w:rPr>
      <w:rFonts w:hAnsi="宋体" w:eastAsia="楷体_GB2312"/>
      <w:b/>
      <w:sz w:val="36"/>
      <w:szCs w:val="28"/>
    </w:rPr>
  </w:style>
  <w:style w:type="character" w:customStyle="1" w:styleId="2419">
    <w:name w:val="正文 小四 行距: 1.5 倍行距 Char"/>
    <w:qFormat/>
    <w:uiPriority w:val="0"/>
    <w:rPr>
      <w:kern w:val="2"/>
      <w:sz w:val="24"/>
    </w:rPr>
  </w:style>
  <w:style w:type="character" w:customStyle="1" w:styleId="2420">
    <w:name w:val="样式 四号 右侧:  -0.26 厘米 Char"/>
    <w:qFormat/>
    <w:uiPriority w:val="0"/>
    <w:rPr>
      <w:rFonts w:cs="宋体"/>
      <w:color w:val="000000"/>
      <w:sz w:val="28"/>
      <w:szCs w:val="24"/>
    </w:rPr>
  </w:style>
  <w:style w:type="character" w:customStyle="1" w:styleId="2421">
    <w:name w:val="中大3级 Char"/>
    <w:link w:val="2422"/>
    <w:qFormat/>
    <w:uiPriority w:val="0"/>
    <w:rPr>
      <w:b/>
      <w:bCs/>
      <w:kern w:val="2"/>
      <w:sz w:val="28"/>
      <w:szCs w:val="28"/>
    </w:rPr>
  </w:style>
  <w:style w:type="paragraph" w:customStyle="1" w:styleId="2422">
    <w:name w:val="中大3级"/>
    <w:basedOn w:val="4"/>
    <w:link w:val="2421"/>
    <w:qFormat/>
    <w:uiPriority w:val="0"/>
    <w:pPr>
      <w:numPr>
        <w:numId w:val="0"/>
      </w:numPr>
      <w:tabs>
        <w:tab w:val="left" w:pos="720"/>
        <w:tab w:val="left" w:pos="1004"/>
      </w:tabs>
      <w:adjustRightInd/>
      <w:snapToGrid/>
      <w:spacing w:before="260" w:beforeLines="50" w:after="260" w:afterLines="50"/>
      <w:ind w:left="284"/>
      <w:outlineLvl w:val="2"/>
    </w:pPr>
    <w:rPr>
      <w:rFonts w:eastAsia="宋体"/>
      <w:b/>
      <w:lang w:val="en-US"/>
    </w:rPr>
  </w:style>
  <w:style w:type="character" w:customStyle="1" w:styleId="2423">
    <w:name w:val="中大图片名称 Char"/>
    <w:qFormat/>
    <w:uiPriority w:val="0"/>
    <w:rPr>
      <w:rFonts w:ascii="宋体" w:hAnsi="宋体" w:eastAsia="宋体" w:cs="Times New Roman"/>
      <w:b/>
      <w:snapToGrid/>
      <w:kern w:val="0"/>
      <w:sz w:val="24"/>
      <w:szCs w:val="20"/>
    </w:rPr>
  </w:style>
  <w:style w:type="character" w:customStyle="1" w:styleId="2424">
    <w:name w:val="表头格式1 Char Char"/>
    <w:link w:val="2425"/>
    <w:qFormat/>
    <w:uiPriority w:val="0"/>
    <w:rPr>
      <w:rFonts w:ascii="宋体" w:hAnsi="宋体" w:cs="宋体"/>
      <w:b/>
      <w:bCs/>
      <w:sz w:val="24"/>
      <w:szCs w:val="24"/>
    </w:rPr>
  </w:style>
  <w:style w:type="paragraph" w:customStyle="1" w:styleId="2425">
    <w:name w:val="表头格式1"/>
    <w:basedOn w:val="1"/>
    <w:link w:val="2424"/>
    <w:qFormat/>
    <w:uiPriority w:val="0"/>
    <w:pPr>
      <w:widowControl/>
      <w:spacing w:line="360" w:lineRule="auto"/>
      <w:jc w:val="center"/>
    </w:pPr>
    <w:rPr>
      <w:rFonts w:ascii="宋体" w:hAnsi="宋体" w:cs="宋体"/>
      <w:b/>
      <w:bCs/>
      <w:kern w:val="0"/>
      <w:sz w:val="24"/>
    </w:rPr>
  </w:style>
  <w:style w:type="character" w:customStyle="1" w:styleId="2426">
    <w:name w:val="表格标题新 Char"/>
    <w:qFormat/>
    <w:uiPriority w:val="0"/>
    <w:rPr>
      <w:rFonts w:ascii="仿宋_GB2312" w:eastAsia="黑体"/>
      <w:b/>
      <w:snapToGrid w:val="0"/>
      <w:spacing w:val="4"/>
      <w:w w:val="90"/>
      <w:kern w:val="18"/>
      <w:sz w:val="24"/>
      <w:szCs w:val="24"/>
    </w:rPr>
  </w:style>
  <w:style w:type="character" w:customStyle="1" w:styleId="2427">
    <w:name w:val="环小四文中说明 Char"/>
    <w:link w:val="2428"/>
    <w:qFormat/>
    <w:uiPriority w:val="0"/>
    <w:rPr>
      <w:rFonts w:ascii="宋体" w:hAnsi="宋体"/>
      <w:kern w:val="2"/>
      <w:sz w:val="24"/>
      <w:szCs w:val="24"/>
    </w:rPr>
  </w:style>
  <w:style w:type="paragraph" w:customStyle="1" w:styleId="2428">
    <w:name w:val="环小四文中说明"/>
    <w:link w:val="2427"/>
    <w:qFormat/>
    <w:uiPriority w:val="0"/>
    <w:pPr>
      <w:widowControl w:val="0"/>
      <w:spacing w:line="500" w:lineRule="exact"/>
      <w:ind w:firstLine="200" w:firstLineChars="200"/>
      <w:jc w:val="both"/>
    </w:pPr>
    <w:rPr>
      <w:rFonts w:ascii="宋体" w:hAnsi="宋体" w:eastAsia="宋体" w:cs="Times New Roman"/>
      <w:kern w:val="2"/>
      <w:sz w:val="24"/>
      <w:szCs w:val="24"/>
      <w:lang w:val="en-US" w:eastAsia="zh-CN" w:bidi="ar-SA"/>
    </w:rPr>
  </w:style>
  <w:style w:type="character" w:customStyle="1" w:styleId="2429">
    <w:name w:val="表底说明 Char"/>
    <w:qFormat/>
    <w:uiPriority w:val="0"/>
    <w:rPr>
      <w:rFonts w:ascii="宋体" w:hAnsi="宋体" w:eastAsia="宋体" w:cs="宋体"/>
      <w:kern w:val="2"/>
      <w:sz w:val="18"/>
      <w:szCs w:val="24"/>
      <w:lang w:val="en-US" w:eastAsia="zh-CN" w:bidi="ar-SA"/>
    </w:rPr>
  </w:style>
  <w:style w:type="character" w:customStyle="1" w:styleId="2430">
    <w:name w:val="txt11"/>
    <w:qFormat/>
    <w:uiPriority w:val="0"/>
    <w:rPr>
      <w:rFonts w:hint="default" w:ascii="ˎ̥" w:hAnsi="ˎ̥"/>
      <w:sz w:val="21"/>
      <w:szCs w:val="21"/>
    </w:rPr>
  </w:style>
  <w:style w:type="character" w:customStyle="1" w:styleId="2431">
    <w:name w:val="电子邮件签名 Char2"/>
    <w:qFormat/>
    <w:uiPriority w:val="0"/>
    <w:rPr>
      <w:szCs w:val="24"/>
    </w:rPr>
  </w:style>
  <w:style w:type="character" w:customStyle="1" w:styleId="2432">
    <w:name w:val="样式 题注实德题注Char Char Char + (西文) 宋体 小四 Char"/>
    <w:qFormat/>
    <w:uiPriority w:val="0"/>
    <w:rPr>
      <w:rFonts w:ascii="宋体" w:hAnsi="宋体" w:cs="Arial"/>
      <w:kern w:val="2"/>
      <w:sz w:val="24"/>
    </w:rPr>
  </w:style>
  <w:style w:type="character" w:customStyle="1" w:styleId="2433">
    <w:name w:val="u Char"/>
    <w:qFormat/>
    <w:uiPriority w:val="0"/>
    <w:rPr>
      <w:rFonts w:ascii="Arial" w:hAnsi="Arial" w:eastAsia="宋体"/>
      <w:b/>
      <w:bCs/>
      <w:kern w:val="44"/>
      <w:sz w:val="44"/>
      <w:szCs w:val="21"/>
      <w:lang w:val="en-US" w:eastAsia="zh-CN" w:bidi="ar-SA"/>
    </w:rPr>
  </w:style>
  <w:style w:type="character" w:customStyle="1" w:styleId="2434">
    <w:name w:val="t_blue_01"/>
    <w:qFormat/>
    <w:uiPriority w:val="0"/>
  </w:style>
  <w:style w:type="character" w:customStyle="1" w:styleId="2435">
    <w:name w:val="样式 报告 + 首行缩进:  2 字符 Char Char Char"/>
    <w:qFormat/>
    <w:uiPriority w:val="0"/>
    <w:rPr>
      <w:sz w:val="24"/>
    </w:rPr>
  </w:style>
  <w:style w:type="character" w:customStyle="1" w:styleId="2436">
    <w:name w:val="正文1-1 Char Char Char"/>
    <w:qFormat/>
    <w:uiPriority w:val="0"/>
    <w:rPr>
      <w:rFonts w:ascii="宋体" w:hAnsi="宋体" w:eastAsia="仿宋_GB2312"/>
      <w:sz w:val="28"/>
      <w:szCs w:val="24"/>
      <w:lang w:bidi="ar-SA"/>
    </w:rPr>
  </w:style>
  <w:style w:type="character" w:customStyle="1" w:styleId="2437">
    <w:name w:val="样式 报告 + 首行缩进:  2 字符 段前: 0.3 行 段后: 0.3 行3 Char"/>
    <w:qFormat/>
    <w:uiPriority w:val="0"/>
    <w:rPr>
      <w:rFonts w:eastAsia="宋体" w:cs="宋体"/>
      <w:kern w:val="2"/>
      <w:sz w:val="24"/>
      <w:szCs w:val="24"/>
      <w:lang w:val="en-US" w:eastAsia="zh-CN" w:bidi="ar-SA"/>
    </w:rPr>
  </w:style>
  <w:style w:type="character" w:customStyle="1" w:styleId="2438">
    <w:name w:val="文本正文 Char1"/>
    <w:qFormat/>
    <w:uiPriority w:val="0"/>
    <w:rPr>
      <w:kern w:val="2"/>
      <w:sz w:val="21"/>
      <w:szCs w:val="21"/>
    </w:rPr>
  </w:style>
  <w:style w:type="character" w:customStyle="1" w:styleId="2439">
    <w:name w:val="报告书正文 Char Char Char Char"/>
    <w:qFormat/>
    <w:uiPriority w:val="0"/>
    <w:rPr>
      <w:rFonts w:eastAsia="宋体"/>
      <w:kern w:val="2"/>
      <w:sz w:val="24"/>
      <w:szCs w:val="24"/>
      <w:lang w:bidi="ar-SA"/>
    </w:rPr>
  </w:style>
  <w:style w:type="character" w:customStyle="1" w:styleId="2440">
    <w:name w:val="正文文字 3 Char Char"/>
    <w:qFormat/>
    <w:uiPriority w:val="0"/>
    <w:rPr>
      <w:rFonts w:hint="eastAsia" w:ascii="宋体" w:hAnsi="宋体" w:eastAsia="宋体"/>
      <w:color w:val="000000"/>
      <w:kern w:val="2"/>
      <w:sz w:val="21"/>
      <w:szCs w:val="24"/>
      <w:lang w:val="en-US" w:eastAsia="zh-CN" w:bidi="ar-SA"/>
    </w:rPr>
  </w:style>
  <w:style w:type="character" w:customStyle="1" w:styleId="2441">
    <w:name w:val="附件 Char"/>
    <w:link w:val="1579"/>
    <w:qFormat/>
    <w:uiPriority w:val="0"/>
    <w:rPr>
      <w:rFonts w:eastAsia="黑体"/>
      <w:b/>
      <w:kern w:val="44"/>
      <w:sz w:val="30"/>
      <w:lang w:val="zh-CN" w:eastAsia="zh-CN"/>
    </w:rPr>
  </w:style>
  <w:style w:type="character" w:customStyle="1" w:styleId="2442">
    <w:name w:val="我的表格 Char"/>
    <w:qFormat/>
    <w:uiPriority w:val="0"/>
  </w:style>
  <w:style w:type="character" w:customStyle="1" w:styleId="2443">
    <w:name w:val="style4"/>
    <w:qFormat/>
    <w:uiPriority w:val="0"/>
  </w:style>
  <w:style w:type="character" w:customStyle="1" w:styleId="2444">
    <w:name w:val="注释标题 Char2"/>
    <w:qFormat/>
    <w:uiPriority w:val="0"/>
    <w:rPr>
      <w:rFonts w:ascii="Times New Roman" w:hAnsi="Times New Roman" w:eastAsia="宋体" w:cs="Times New Roman"/>
      <w:szCs w:val="20"/>
    </w:rPr>
  </w:style>
  <w:style w:type="character" w:customStyle="1" w:styleId="2445">
    <w:name w:val="文档结构图 Char2"/>
    <w:qFormat/>
    <w:uiPriority w:val="99"/>
    <w:rPr>
      <w:rFonts w:ascii="Times New Roman" w:hAnsi="Times New Roman" w:eastAsia="宋体" w:cs="Times New Roman"/>
      <w:szCs w:val="24"/>
      <w:shd w:val="clear" w:color="auto" w:fill="000080"/>
    </w:rPr>
  </w:style>
  <w:style w:type="character" w:customStyle="1" w:styleId="2446">
    <w:name w:val="毕一级 Char Char"/>
    <w:qFormat/>
    <w:uiPriority w:val="0"/>
    <w:rPr>
      <w:rFonts w:ascii="宋体" w:hAnsi="宋体" w:eastAsia="黑体" w:cs="宋体"/>
      <w:sz w:val="36"/>
      <w:szCs w:val="24"/>
    </w:rPr>
  </w:style>
  <w:style w:type="character" w:customStyle="1" w:styleId="2447">
    <w:name w:val="标题2 三号"/>
    <w:qFormat/>
    <w:uiPriority w:val="0"/>
    <w:rPr>
      <w:sz w:val="32"/>
    </w:rPr>
  </w:style>
  <w:style w:type="character" w:customStyle="1" w:styleId="2448">
    <w:name w:val="标题3 小三"/>
    <w:qFormat/>
    <w:uiPriority w:val="0"/>
    <w:rPr>
      <w:sz w:val="30"/>
    </w:rPr>
  </w:style>
  <w:style w:type="character" w:customStyle="1" w:styleId="2449">
    <w:name w:val="s"/>
    <w:qFormat/>
    <w:uiPriority w:val="0"/>
    <w:rPr>
      <w:rFonts w:eastAsia="宋体" w:cs="宋体"/>
      <w:color w:val="000000"/>
      <w:kern w:val="2"/>
      <w:sz w:val="24"/>
      <w:szCs w:val="24"/>
      <w:lang w:val="zh-CN" w:eastAsia="zh-CN" w:bidi="ar-SA"/>
    </w:rPr>
  </w:style>
  <w:style w:type="character" w:customStyle="1" w:styleId="2450">
    <w:name w:val="表格文字01 Char Char Char"/>
    <w:qFormat/>
    <w:uiPriority w:val="0"/>
    <w:rPr>
      <w:rFonts w:eastAsia="宋体" w:cs="宋体"/>
      <w:snapToGrid/>
      <w:color w:val="000000"/>
      <w:kern w:val="2"/>
      <w:sz w:val="21"/>
      <w:szCs w:val="24"/>
      <w:lang w:val="en-US" w:eastAsia="zh-CN" w:bidi="ar-SA"/>
    </w:rPr>
  </w:style>
  <w:style w:type="character" w:customStyle="1" w:styleId="2451">
    <w:name w:val="正文15 Char Char"/>
    <w:link w:val="219"/>
    <w:qFormat/>
    <w:uiPriority w:val="0"/>
    <w:rPr>
      <w:kern w:val="2"/>
      <w:sz w:val="28"/>
      <w:szCs w:val="28"/>
    </w:rPr>
  </w:style>
  <w:style w:type="character" w:customStyle="1" w:styleId="2452">
    <w:name w:val="报告表  段 Char"/>
    <w:qFormat/>
    <w:uiPriority w:val="0"/>
    <w:rPr>
      <w:rFonts w:ascii="宋体"/>
      <w:sz w:val="24"/>
      <w:szCs w:val="24"/>
    </w:rPr>
  </w:style>
  <w:style w:type="character" w:customStyle="1" w:styleId="2453">
    <w:name w:val="TT标题 Char Char"/>
    <w:qFormat/>
    <w:uiPriority w:val="0"/>
    <w:rPr>
      <w:rFonts w:eastAsia="宋体" w:cs="宋体"/>
      <w:b/>
      <w:kern w:val="2"/>
      <w:sz w:val="24"/>
      <w:lang w:val="en-US" w:eastAsia="zh-CN" w:bidi="ar-SA"/>
    </w:rPr>
  </w:style>
  <w:style w:type="character" w:customStyle="1" w:styleId="2454">
    <w:name w:val="批注文字 Char2"/>
    <w:semiHidden/>
    <w:qFormat/>
    <w:uiPriority w:val="99"/>
    <w:rPr>
      <w:rFonts w:ascii="Times New Roman" w:hAnsi="Times New Roman" w:eastAsia="宋体" w:cs="Times New Roman"/>
      <w:szCs w:val="24"/>
    </w:rPr>
  </w:style>
  <w:style w:type="character" w:customStyle="1" w:styleId="2455">
    <w:name w:val="样式 仿宋_GB2312 四号1"/>
    <w:qFormat/>
    <w:uiPriority w:val="0"/>
    <w:rPr>
      <w:rFonts w:ascii="黑体" w:hAnsi="Arial" w:eastAsia="黑体" w:cs="Arial"/>
      <w:bCs/>
      <w:kern w:val="2"/>
      <w:sz w:val="24"/>
      <w:szCs w:val="24"/>
      <w:lang w:val="en-US" w:eastAsia="zh-CN" w:bidi="ar-SA"/>
    </w:rPr>
  </w:style>
  <w:style w:type="character" w:customStyle="1" w:styleId="2456">
    <w:name w:val="zi11"/>
    <w:qFormat/>
    <w:uiPriority w:val="0"/>
    <w:rPr>
      <w:color w:val="FFFFFF"/>
      <w:sz w:val="21"/>
      <w:szCs w:val="21"/>
      <w:u w:val="none"/>
    </w:rPr>
  </w:style>
  <w:style w:type="character" w:customStyle="1" w:styleId="2457">
    <w:name w:val="样式 正文文本缩进 + 小四 Char"/>
    <w:qFormat/>
    <w:locked/>
    <w:uiPriority w:val="0"/>
    <w:rPr>
      <w:rFonts w:ascii="宋体" w:hAnsi="宋体" w:cs="宋体"/>
      <w:kern w:val="2"/>
      <w:sz w:val="24"/>
      <w:szCs w:val="24"/>
    </w:rPr>
  </w:style>
  <w:style w:type="character" w:customStyle="1" w:styleId="2458">
    <w:name w:val="样式 小四"/>
    <w:qFormat/>
    <w:uiPriority w:val="0"/>
    <w:rPr>
      <w:rFonts w:eastAsia="宋体"/>
      <w:sz w:val="24"/>
    </w:rPr>
  </w:style>
  <w:style w:type="character" w:customStyle="1" w:styleId="2459">
    <w:name w:val="表格 Char Char Char"/>
    <w:qFormat/>
    <w:uiPriority w:val="0"/>
    <w:rPr>
      <w:rFonts w:eastAsia="宋体"/>
      <w:kern w:val="2"/>
      <w:sz w:val="21"/>
      <w:szCs w:val="22"/>
      <w:lang w:val="en-US" w:eastAsia="zh-CN" w:bidi="ar-SA"/>
    </w:rPr>
  </w:style>
  <w:style w:type="character" w:customStyle="1" w:styleId="2460">
    <w:name w:val="中气表头 Char"/>
    <w:qFormat/>
    <w:uiPriority w:val="0"/>
    <w:rPr>
      <w:rFonts w:eastAsia="黑体"/>
      <w:b/>
      <w:kern w:val="2"/>
      <w:sz w:val="21"/>
      <w:szCs w:val="21"/>
    </w:rPr>
  </w:style>
  <w:style w:type="character" w:customStyle="1" w:styleId="2461">
    <w:name w:val="重点文字 Char Char Char"/>
    <w:qFormat/>
    <w:uiPriority w:val="0"/>
    <w:rPr>
      <w:rFonts w:eastAsia="黑体"/>
      <w:color w:val="FF00FF"/>
      <w:sz w:val="24"/>
      <w:szCs w:val="24"/>
      <w:lang w:bidi="ar-SA"/>
    </w:rPr>
  </w:style>
  <w:style w:type="character" w:customStyle="1" w:styleId="2462">
    <w:name w:val="样式 报告 + 段前: 0.3 行 段后: 0.3 行 Char Char"/>
    <w:qFormat/>
    <w:uiPriority w:val="0"/>
    <w:rPr>
      <w:sz w:val="24"/>
    </w:rPr>
  </w:style>
  <w:style w:type="character" w:customStyle="1" w:styleId="2463">
    <w:name w:val="图框文字(白色) Char Char"/>
    <w:link w:val="2464"/>
    <w:qFormat/>
    <w:uiPriority w:val="0"/>
    <w:rPr>
      <w:color w:val="FFFFFF"/>
      <w:kern w:val="2"/>
      <w:sz w:val="24"/>
      <w:szCs w:val="21"/>
    </w:rPr>
  </w:style>
  <w:style w:type="paragraph" w:customStyle="1" w:styleId="2464">
    <w:name w:val="图框文字(白色)"/>
    <w:basedOn w:val="1"/>
    <w:link w:val="2463"/>
    <w:qFormat/>
    <w:uiPriority w:val="0"/>
    <w:pPr>
      <w:autoSpaceDE w:val="0"/>
      <w:autoSpaceDN w:val="0"/>
      <w:adjustRightInd w:val="0"/>
      <w:jc w:val="center"/>
      <w:textAlignment w:val="baseline"/>
    </w:pPr>
    <w:rPr>
      <w:color w:val="FFFFFF"/>
      <w:sz w:val="24"/>
      <w:szCs w:val="21"/>
    </w:rPr>
  </w:style>
  <w:style w:type="character" w:customStyle="1" w:styleId="2465">
    <w:name w:val="公式 Char"/>
    <w:link w:val="360"/>
    <w:qFormat/>
    <w:uiPriority w:val="0"/>
    <w:rPr>
      <w:rFonts w:ascii="宋体"/>
      <w:sz w:val="28"/>
      <w:szCs w:val="28"/>
    </w:rPr>
  </w:style>
  <w:style w:type="character" w:customStyle="1" w:styleId="2466">
    <w:name w:val="ourfont2"/>
    <w:qFormat/>
    <w:uiPriority w:val="0"/>
    <w:rPr>
      <w:rFonts w:hint="eastAsia" w:ascii="宋体" w:hAnsi="宋体" w:eastAsia="宋体" w:cs="宋体"/>
      <w:color w:val="000000"/>
      <w:kern w:val="2"/>
      <w:sz w:val="18"/>
      <w:szCs w:val="18"/>
      <w:lang w:val="zh-CN" w:eastAsia="zh-CN" w:bidi="ar-SA"/>
    </w:rPr>
  </w:style>
  <w:style w:type="character" w:customStyle="1" w:styleId="2467">
    <w:name w:val="报告表名 Char"/>
    <w:link w:val="2468"/>
    <w:qFormat/>
    <w:uiPriority w:val="0"/>
    <w:rPr>
      <w:b/>
      <w:bCs/>
      <w:sz w:val="24"/>
    </w:rPr>
  </w:style>
  <w:style w:type="paragraph" w:customStyle="1" w:styleId="2468">
    <w:name w:val="报告表名"/>
    <w:basedOn w:val="1"/>
    <w:link w:val="2467"/>
    <w:qFormat/>
    <w:uiPriority w:val="0"/>
    <w:pPr>
      <w:adjustRightInd w:val="0"/>
      <w:spacing w:before="360" w:after="60" w:line="360" w:lineRule="auto"/>
      <w:textAlignment w:val="baseline"/>
    </w:pPr>
    <w:rPr>
      <w:b/>
      <w:bCs/>
      <w:kern w:val="0"/>
      <w:sz w:val="24"/>
      <w:szCs w:val="20"/>
    </w:rPr>
  </w:style>
  <w:style w:type="character" w:customStyle="1" w:styleId="2469">
    <w:name w:val="报告标题五级 Char"/>
    <w:qFormat/>
    <w:uiPriority w:val="0"/>
    <w:rPr>
      <w:b/>
      <w:kern w:val="2"/>
      <w:sz w:val="24"/>
    </w:rPr>
  </w:style>
  <w:style w:type="character" w:customStyle="1" w:styleId="2470">
    <w:name w:val="TOC 1 字符"/>
    <w:link w:val="60"/>
    <w:qFormat/>
    <w:uiPriority w:val="39"/>
    <w:rPr>
      <w:b/>
      <w:bCs/>
      <w:caps/>
      <w:kern w:val="2"/>
    </w:rPr>
  </w:style>
  <w:style w:type="character" w:customStyle="1" w:styleId="2471">
    <w:name w:val="华为目录 Char"/>
    <w:link w:val="2472"/>
    <w:qFormat/>
    <w:uiPriority w:val="0"/>
    <w:rPr>
      <w:rFonts w:eastAsia="仿宋_GB2312"/>
      <w:b/>
      <w:color w:val="000000"/>
      <w:kern w:val="2"/>
      <w:sz w:val="32"/>
      <w:szCs w:val="32"/>
      <w:lang w:val="zh-CN" w:eastAsia="zh-CN"/>
    </w:rPr>
  </w:style>
  <w:style w:type="paragraph" w:customStyle="1" w:styleId="2472">
    <w:name w:val="华为目录"/>
    <w:basedOn w:val="1853"/>
    <w:link w:val="2471"/>
    <w:qFormat/>
    <w:uiPriority w:val="0"/>
    <w:pPr>
      <w:ind w:firstLine="0" w:firstLineChars="0"/>
      <w:jc w:val="center"/>
    </w:pPr>
    <w:rPr>
      <w:b/>
      <w:sz w:val="32"/>
      <w:szCs w:val="32"/>
    </w:rPr>
  </w:style>
  <w:style w:type="character" w:customStyle="1" w:styleId="2473">
    <w:name w:val="华正2 Char"/>
    <w:qFormat/>
    <w:uiPriority w:val="0"/>
    <w:rPr>
      <w:rFonts w:ascii="黑体" w:eastAsia="黑体"/>
      <w:bCs/>
      <w:kern w:val="2"/>
      <w:sz w:val="28"/>
      <w:szCs w:val="28"/>
    </w:rPr>
  </w:style>
  <w:style w:type="character" w:customStyle="1" w:styleId="2474">
    <w:name w:val="环调标题 Char1"/>
    <w:link w:val="2475"/>
    <w:qFormat/>
    <w:uiPriority w:val="0"/>
    <w:rPr>
      <w:b/>
      <w:bCs/>
      <w:kern w:val="44"/>
      <w:sz w:val="36"/>
      <w:szCs w:val="36"/>
    </w:rPr>
  </w:style>
  <w:style w:type="paragraph" w:customStyle="1" w:styleId="2475">
    <w:name w:val="环调标题"/>
    <w:basedOn w:val="3"/>
    <w:link w:val="2474"/>
    <w:qFormat/>
    <w:uiPriority w:val="0"/>
    <w:pPr>
      <w:numPr>
        <w:numId w:val="0"/>
      </w:numPr>
      <w:snapToGrid w:val="0"/>
      <w:spacing w:before="600" w:beforeLines="50" w:after="330" w:afterLines="50" w:line="240" w:lineRule="auto"/>
      <w:ind w:firstLine="200" w:firstLineChars="200"/>
    </w:pPr>
    <w:rPr>
      <w:rFonts w:eastAsia="宋体"/>
      <w:b/>
      <w:sz w:val="36"/>
      <w:szCs w:val="36"/>
    </w:rPr>
  </w:style>
  <w:style w:type="character" w:customStyle="1" w:styleId="2476">
    <w:name w:val="华为表头 Char"/>
    <w:qFormat/>
    <w:uiPriority w:val="0"/>
    <w:rPr>
      <w:rFonts w:ascii="黑体" w:eastAsia="黑体"/>
      <w:color w:val="000000"/>
      <w:kern w:val="2"/>
      <w:sz w:val="21"/>
      <w:szCs w:val="21"/>
      <w:lang w:val="zh-CN"/>
    </w:rPr>
  </w:style>
  <w:style w:type="character" w:customStyle="1" w:styleId="2477">
    <w:name w:val="图框文字 Char Char"/>
    <w:link w:val="2478"/>
    <w:qFormat/>
    <w:uiPriority w:val="0"/>
    <w:rPr>
      <w:sz w:val="21"/>
      <w:szCs w:val="24"/>
    </w:rPr>
  </w:style>
  <w:style w:type="paragraph" w:customStyle="1" w:styleId="2478">
    <w:name w:val="图框文字"/>
    <w:link w:val="2477"/>
    <w:qFormat/>
    <w:uiPriority w:val="0"/>
    <w:pPr>
      <w:adjustRightInd w:val="0"/>
      <w:snapToGrid w:val="0"/>
      <w:jc w:val="center"/>
    </w:pPr>
    <w:rPr>
      <w:rFonts w:ascii="Times New Roman" w:hAnsi="Times New Roman" w:eastAsia="宋体" w:cs="Times New Roman"/>
      <w:sz w:val="21"/>
      <w:szCs w:val="24"/>
      <w:lang w:val="en-US" w:eastAsia="zh-CN" w:bidi="ar-SA"/>
    </w:rPr>
  </w:style>
  <w:style w:type="character" w:customStyle="1" w:styleId="2479">
    <w:name w:val="华正4 Char"/>
    <w:qFormat/>
    <w:uiPriority w:val="0"/>
    <w:rPr>
      <w:rFonts w:ascii="宋体" w:hAnsi="宋体" w:eastAsia="仿宋_GB2312"/>
      <w:b/>
      <w:color w:val="0000FF"/>
      <w:kern w:val="2"/>
      <w:sz w:val="21"/>
      <w:szCs w:val="24"/>
      <w:lang w:val="zh-CN"/>
    </w:rPr>
  </w:style>
  <w:style w:type="character" w:customStyle="1" w:styleId="2480">
    <w:name w:val="华正正4 Char"/>
    <w:qFormat/>
    <w:uiPriority w:val="0"/>
    <w:rPr>
      <w:rFonts w:ascii="宋体" w:hAnsi="宋体" w:eastAsia="仿宋_GB2312"/>
      <w:b/>
      <w:color w:val="0000FF"/>
      <w:kern w:val="2"/>
      <w:sz w:val="24"/>
      <w:szCs w:val="24"/>
      <w:lang w:val="zh-CN"/>
    </w:rPr>
  </w:style>
  <w:style w:type="character" w:customStyle="1" w:styleId="2481">
    <w:name w:val="style33"/>
    <w:qFormat/>
    <w:uiPriority w:val="0"/>
  </w:style>
  <w:style w:type="character" w:customStyle="1" w:styleId="2482">
    <w:name w:val="样式 题注 + 黑色 Char Char Char"/>
    <w:qFormat/>
    <w:uiPriority w:val="0"/>
    <w:rPr>
      <w:rFonts w:ascii="宋体" w:hAnsi="宋体" w:eastAsia="宋体" w:cs="Arial"/>
      <w:color w:val="000000"/>
      <w:sz w:val="24"/>
      <w:lang w:bidi="ar-SA"/>
    </w:rPr>
  </w:style>
  <w:style w:type="character" w:customStyle="1" w:styleId="2483">
    <w:name w:val="表格和图标题 Char"/>
    <w:qFormat/>
    <w:uiPriority w:val="0"/>
    <w:rPr>
      <w:rFonts w:eastAsia="黑体"/>
      <w:color w:val="000000"/>
      <w:kern w:val="2"/>
      <w:sz w:val="21"/>
      <w:szCs w:val="22"/>
    </w:rPr>
  </w:style>
  <w:style w:type="character" w:customStyle="1" w:styleId="2484">
    <w:name w:val="带括号的正文 Char"/>
    <w:qFormat/>
    <w:uiPriority w:val="0"/>
    <w:rPr>
      <w:rFonts w:ascii="Tahoma" w:hAnsi="Tahoma" w:eastAsia="楷体_GB2312"/>
      <w:sz w:val="28"/>
    </w:rPr>
  </w:style>
  <w:style w:type="character" w:customStyle="1" w:styleId="2485">
    <w:name w:val="textcontents"/>
    <w:qFormat/>
    <w:uiPriority w:val="0"/>
  </w:style>
  <w:style w:type="character" w:customStyle="1" w:styleId="2486">
    <w:name w:val="标题 1文章 Char"/>
    <w:qFormat/>
    <w:uiPriority w:val="0"/>
    <w:rPr>
      <w:rFonts w:ascii="宋体" w:hAnsi="宋体" w:cs="宋体"/>
      <w:b/>
      <w:bCs/>
      <w:sz w:val="44"/>
      <w:lang w:val="en-US"/>
    </w:rPr>
  </w:style>
  <w:style w:type="character" w:customStyle="1" w:styleId="2487">
    <w:name w:val="报告 Char1"/>
    <w:qFormat/>
    <w:uiPriority w:val="0"/>
    <w:rPr>
      <w:rFonts w:ascii="Times New Roman" w:hAnsi="Times New Roman" w:eastAsia="宋体" w:cs="Times New Roman"/>
      <w:kern w:val="0"/>
      <w:sz w:val="24"/>
      <w:szCs w:val="24"/>
    </w:rPr>
  </w:style>
  <w:style w:type="character" w:customStyle="1" w:styleId="2488">
    <w:name w:val="报告正文 Char Char Char Char"/>
    <w:qFormat/>
    <w:uiPriority w:val="0"/>
    <w:rPr>
      <w:rFonts w:eastAsia="宋体" w:cs="宋体"/>
      <w:kern w:val="2"/>
      <w:sz w:val="24"/>
      <w:szCs w:val="24"/>
      <w:lang w:val="en-US" w:eastAsia="zh-CN" w:bidi="ar-SA"/>
    </w:rPr>
  </w:style>
  <w:style w:type="character" w:customStyle="1" w:styleId="2489">
    <w:name w:val="书籍标题2"/>
    <w:qFormat/>
    <w:uiPriority w:val="0"/>
    <w:rPr>
      <w:b/>
      <w:bCs/>
      <w:smallCaps/>
      <w:spacing w:val="5"/>
    </w:rPr>
  </w:style>
  <w:style w:type="character" w:customStyle="1" w:styleId="2490">
    <w:name w:val="环调标题3 Char1"/>
    <w:qFormat/>
    <w:uiPriority w:val="0"/>
    <w:rPr>
      <w:b/>
      <w:bCs/>
      <w:color w:val="0000FF"/>
      <w:kern w:val="2"/>
      <w:sz w:val="24"/>
      <w:szCs w:val="28"/>
    </w:rPr>
  </w:style>
  <w:style w:type="character" w:customStyle="1" w:styleId="2491">
    <w:name w:val="实德题注 Char Char1"/>
    <w:qFormat/>
    <w:uiPriority w:val="0"/>
    <w:rPr>
      <w:rFonts w:hint="eastAsia" w:ascii="宋体" w:hAnsi="宋体" w:eastAsia="宋体"/>
      <w:color w:val="000000"/>
      <w:kern w:val="2"/>
      <w:sz w:val="18"/>
      <w:szCs w:val="18"/>
      <w:lang w:val="en-US" w:eastAsia="zh-CN" w:bidi="ar-SA"/>
    </w:rPr>
  </w:style>
  <w:style w:type="character" w:customStyle="1" w:styleId="2492">
    <w:name w:val="样式 标题 2标题 2 Char第一层条H2Heading 2 HiddenHeading 2 CCBSPIM22... Char"/>
    <w:qFormat/>
    <w:uiPriority w:val="0"/>
    <w:rPr>
      <w:rFonts w:ascii="Arial" w:hAnsi="Arial" w:eastAsia="黑体"/>
      <w:b/>
      <w:sz w:val="32"/>
      <w:lang w:val="en-US" w:eastAsia="zh-CN" w:bidi="ar-SA"/>
    </w:rPr>
  </w:style>
  <w:style w:type="character" w:customStyle="1" w:styleId="2493">
    <w:name w:val="正文 Char Char"/>
    <w:link w:val="272"/>
    <w:qFormat/>
    <w:uiPriority w:val="0"/>
    <w:rPr>
      <w:rFonts w:ascii="宋体"/>
      <w:sz w:val="34"/>
    </w:rPr>
  </w:style>
  <w:style w:type="character" w:customStyle="1" w:styleId="2494">
    <w:name w:val="页眉 Char Char Char Char Char"/>
    <w:qFormat/>
    <w:uiPriority w:val="99"/>
    <w:rPr>
      <w:rFonts w:ascii="Times New Roman" w:hAnsi="Times New Roman" w:cs="Times New Roman"/>
      <w:sz w:val="18"/>
      <w:szCs w:val="18"/>
    </w:rPr>
  </w:style>
  <w:style w:type="character" w:customStyle="1" w:styleId="2495">
    <w:name w:val="表头格式1 Char Char Char"/>
    <w:qFormat/>
    <w:uiPriority w:val="0"/>
    <w:rPr>
      <w:rFonts w:ascii="宋体" w:hAnsi="宋体" w:eastAsia="宋体" w:cs="宋体"/>
      <w:b/>
      <w:bCs/>
      <w:sz w:val="24"/>
      <w:szCs w:val="24"/>
      <w:lang w:val="en-US" w:eastAsia="zh-CN" w:bidi="ar-SA"/>
    </w:rPr>
  </w:style>
  <w:style w:type="character" w:customStyle="1" w:styleId="2496">
    <w:name w:val="tpc_content1"/>
    <w:qFormat/>
    <w:uiPriority w:val="0"/>
    <w:rPr>
      <w:rFonts w:ascii="宋体" w:hAnsi="宋体" w:eastAsia="宋体" w:cs="宋体"/>
      <w:kern w:val="2"/>
      <w:sz w:val="36"/>
      <w:szCs w:val="36"/>
      <w:lang w:val="en-US" w:eastAsia="zh-CN" w:bidi="ar-SA"/>
    </w:rPr>
  </w:style>
  <w:style w:type="character" w:customStyle="1" w:styleId="2497">
    <w:name w:val="第三标题 Char"/>
    <w:qFormat/>
    <w:uiPriority w:val="0"/>
    <w:rPr>
      <w:rFonts w:ascii="Arial" w:hAnsi="Arial" w:eastAsia="宋体"/>
      <w:b/>
      <w:bCs/>
      <w:color w:val="000000"/>
      <w:kern w:val="2"/>
      <w:sz w:val="32"/>
      <w:szCs w:val="32"/>
      <w:lang w:val="en-US" w:eastAsia="zh-CN" w:bidi="ar-SA"/>
    </w:rPr>
  </w:style>
  <w:style w:type="character" w:customStyle="1" w:styleId="2498">
    <w:name w:val="段落 Char Char Char Char Char"/>
    <w:qFormat/>
    <w:uiPriority w:val="0"/>
    <w:rPr>
      <w:rFonts w:ascii="宋体" w:hAnsi="宋体" w:eastAsia="宋体" w:cs="宋体"/>
      <w:kern w:val="2"/>
      <w:sz w:val="24"/>
      <w:szCs w:val="24"/>
      <w:lang w:val="en-US" w:eastAsia="zh-CN" w:bidi="ar-SA"/>
    </w:rPr>
  </w:style>
  <w:style w:type="character" w:customStyle="1" w:styleId="2499">
    <w:name w:val="页脚 Char Char Char Char"/>
    <w:qFormat/>
    <w:uiPriority w:val="0"/>
    <w:rPr>
      <w:rFonts w:ascii="Times New Roman" w:hAnsi="Times New Roman" w:eastAsia="宋体" w:cs="Times New Roman"/>
      <w:sz w:val="18"/>
      <w:szCs w:val="18"/>
    </w:rPr>
  </w:style>
  <w:style w:type="character" w:customStyle="1" w:styleId="2500">
    <w:name w:val="新白云正文 Char"/>
    <w:qFormat/>
    <w:uiPriority w:val="0"/>
    <w:rPr>
      <w:rFonts w:eastAsia="宋体" w:cs="宋体"/>
      <w:color w:val="000000"/>
      <w:kern w:val="2"/>
      <w:sz w:val="24"/>
      <w:szCs w:val="24"/>
      <w:lang w:val="zh-CN" w:eastAsia="zh-CN" w:bidi="ar-SA"/>
    </w:rPr>
  </w:style>
  <w:style w:type="character" w:customStyle="1" w:styleId="2501">
    <w:name w:val="样式 表格 + 宋体 五号 Char"/>
    <w:qFormat/>
    <w:uiPriority w:val="0"/>
    <w:rPr>
      <w:rFonts w:ascii="黑体" w:hAnsi="Arial" w:eastAsia="黑体" w:cs="Arial"/>
      <w:bCs/>
      <w:kern w:val="2"/>
      <w:sz w:val="21"/>
      <w:szCs w:val="24"/>
      <w:lang w:val="en-US" w:eastAsia="zh-CN" w:bidi="ar-SA"/>
    </w:rPr>
  </w:style>
  <w:style w:type="character" w:customStyle="1" w:styleId="2502">
    <w:name w:val="样式 四号1 Char"/>
    <w:qFormat/>
    <w:uiPriority w:val="0"/>
    <w:rPr>
      <w:rFonts w:ascii="宋体" w:cs="宋体"/>
      <w:color w:val="000000"/>
      <w:sz w:val="28"/>
      <w:szCs w:val="24"/>
    </w:rPr>
  </w:style>
  <w:style w:type="character" w:customStyle="1" w:styleId="2503">
    <w:name w:val="样式 纯文本 + (符号) 宋体 (复杂文种) 宋体 小四 Char"/>
    <w:qFormat/>
    <w:uiPriority w:val="0"/>
    <w:rPr>
      <w:rFonts w:hint="eastAsia" w:ascii="宋体" w:hAnsi="Courier New" w:eastAsia="仿宋_GB2312" w:cs="Arial"/>
      <w:snapToGrid/>
      <w:sz w:val="21"/>
      <w:szCs w:val="21"/>
      <w:lang w:val="eu-ES" w:eastAsia="zh-CN" w:bidi="ar-SA"/>
    </w:rPr>
  </w:style>
  <w:style w:type="character" w:customStyle="1" w:styleId="2504">
    <w:name w:val="不明显强调21"/>
    <w:qFormat/>
    <w:uiPriority w:val="0"/>
    <w:rPr>
      <w:rFonts w:hAnsi="Times New Roman"/>
      <w:b/>
      <w:bCs/>
      <w:color w:val="000000"/>
      <w:sz w:val="28"/>
      <w:szCs w:val="28"/>
    </w:rPr>
  </w:style>
  <w:style w:type="character" w:customStyle="1" w:styleId="2505">
    <w:name w:val="正文1-1 Char Char"/>
    <w:qFormat/>
    <w:uiPriority w:val="0"/>
    <w:rPr>
      <w:rFonts w:ascii="宋体" w:hAnsi="宋体" w:eastAsia="仿宋_GB2312" w:cs="宋体"/>
      <w:sz w:val="28"/>
      <w:szCs w:val="24"/>
    </w:rPr>
  </w:style>
  <w:style w:type="character" w:customStyle="1" w:styleId="2506">
    <w:name w:val="第2级标题 Char Char Char"/>
    <w:qFormat/>
    <w:uiPriority w:val="0"/>
    <w:rPr>
      <w:rFonts w:eastAsia="华文中宋"/>
      <w:b/>
      <w:bCs/>
      <w:sz w:val="32"/>
      <w:szCs w:val="32"/>
      <w:lang w:val="en-US" w:eastAsia="zh-CN" w:bidi="ar-SA"/>
    </w:rPr>
  </w:style>
  <w:style w:type="character" w:customStyle="1" w:styleId="2507">
    <w:name w:val="样式 投标正文 + 华文中宋 Char Char Char"/>
    <w:qFormat/>
    <w:uiPriority w:val="0"/>
    <w:rPr>
      <w:rFonts w:ascii="华文中宋" w:hAnsi="华文中宋" w:eastAsia="华文中宋" w:cs="宋体"/>
      <w:kern w:val="24"/>
      <w:sz w:val="24"/>
      <w:szCs w:val="24"/>
      <w:lang w:val="en-US" w:eastAsia="zh-CN" w:bidi="ar-SA"/>
    </w:rPr>
  </w:style>
  <w:style w:type="character" w:customStyle="1" w:styleId="2508">
    <w:name w:val="表格、图表名称 Char Char Char"/>
    <w:qFormat/>
    <w:uiPriority w:val="0"/>
    <w:rPr>
      <w:rFonts w:ascii="宋体" w:hAnsi="宋体" w:eastAsia="宋体" w:cs="宋体"/>
      <w:b/>
      <w:sz w:val="24"/>
      <w:szCs w:val="22"/>
      <w:lang w:val="en-US" w:eastAsia="zh-CN" w:bidi="ar-SA"/>
    </w:rPr>
  </w:style>
  <w:style w:type="character" w:customStyle="1" w:styleId="2509">
    <w:name w:val="style71"/>
    <w:qFormat/>
    <w:uiPriority w:val="0"/>
    <w:rPr>
      <w:sz w:val="27"/>
      <w:szCs w:val="27"/>
    </w:rPr>
  </w:style>
  <w:style w:type="character" w:customStyle="1" w:styleId="2510">
    <w:name w:val="文章正文格式 Char Char Char"/>
    <w:qFormat/>
    <w:uiPriority w:val="0"/>
    <w:rPr>
      <w:rFonts w:ascii="宋体" w:hAnsi="宋体" w:eastAsia="宋体" w:cs="宋体"/>
      <w:spacing w:val="8"/>
      <w:sz w:val="28"/>
      <w:szCs w:val="28"/>
      <w:lang w:val="en-US" w:eastAsia="zh-CN" w:bidi="ar-SA"/>
    </w:rPr>
  </w:style>
  <w:style w:type="character" w:customStyle="1" w:styleId="2511">
    <w:name w:val="puntext"/>
    <w:qFormat/>
    <w:uiPriority w:val="0"/>
    <w:rPr>
      <w:rFonts w:ascii="宋体" w:hAnsi="宋体" w:eastAsia="宋体" w:cs="宋体"/>
      <w:kern w:val="2"/>
      <w:sz w:val="24"/>
      <w:szCs w:val="24"/>
      <w:lang w:val="en-US" w:eastAsia="zh-CN" w:bidi="ar-SA"/>
    </w:rPr>
  </w:style>
  <w:style w:type="character" w:customStyle="1" w:styleId="2512">
    <w:name w:val="style41"/>
    <w:qFormat/>
    <w:uiPriority w:val="0"/>
    <w:rPr>
      <w:b/>
      <w:bCs/>
      <w:sz w:val="36"/>
      <w:szCs w:val="36"/>
    </w:rPr>
  </w:style>
  <w:style w:type="character" w:customStyle="1" w:styleId="2513">
    <w:name w:val="标准正文 Char"/>
    <w:qFormat/>
    <w:uiPriority w:val="0"/>
    <w:rPr>
      <w:rFonts w:ascii="Arial" w:hAnsi="Arial"/>
      <w:szCs w:val="21"/>
    </w:rPr>
  </w:style>
  <w:style w:type="character" w:customStyle="1" w:styleId="2514">
    <w:name w:val="正文1 Char Char"/>
    <w:qFormat/>
    <w:uiPriority w:val="0"/>
    <w:rPr>
      <w:rFonts w:ascii="BatangChe" w:hAnsi="BatangChe" w:eastAsia="楷体_GB2312" w:cs="宋体"/>
      <w:color w:val="000000"/>
      <w:kern w:val="44"/>
      <w:sz w:val="24"/>
      <w:szCs w:val="24"/>
      <w:lang w:val="zh-CN" w:eastAsia="zh-CN" w:bidi="ar-SA"/>
    </w:rPr>
  </w:style>
  <w:style w:type="character" w:customStyle="1" w:styleId="2515">
    <w:name w:val="表头（杨） Char Char Char"/>
    <w:qFormat/>
    <w:uiPriority w:val="0"/>
    <w:rPr>
      <w:rFonts w:ascii="宋体" w:hAnsi="宋体" w:eastAsia="宋体" w:cs="宋体"/>
      <w:spacing w:val="10"/>
      <w:sz w:val="24"/>
      <w:szCs w:val="24"/>
      <w:lang w:val="en-US" w:eastAsia="zh-CN" w:bidi="ar-SA"/>
    </w:rPr>
  </w:style>
  <w:style w:type="character" w:customStyle="1" w:styleId="2516">
    <w:name w:val="顺德-正文 Char Char Char"/>
    <w:qFormat/>
    <w:uiPriority w:val="0"/>
    <w:rPr>
      <w:rFonts w:ascii="宋体" w:hAnsi="宋体" w:eastAsia="宋体" w:cs="宋体"/>
      <w:color w:val="000000"/>
      <w:sz w:val="24"/>
      <w:lang w:val="en-US" w:eastAsia="zh-CN" w:bidi="ar-SA"/>
    </w:rPr>
  </w:style>
  <w:style w:type="character" w:customStyle="1" w:styleId="2517">
    <w:name w:val="rcjsjswmfont"/>
    <w:qFormat/>
    <w:uiPriority w:val="0"/>
    <w:rPr>
      <w:rFonts w:ascii="宋体" w:hAnsi="宋体" w:eastAsia="宋体" w:cs="宋体"/>
      <w:sz w:val="24"/>
      <w:szCs w:val="24"/>
      <w:lang w:val="en-US" w:eastAsia="zh-CN" w:bidi="ar-SA"/>
    </w:rPr>
  </w:style>
  <w:style w:type="character" w:customStyle="1" w:styleId="2518">
    <w:name w:val="正文段落 Char1"/>
    <w:qFormat/>
    <w:uiPriority w:val="0"/>
    <w:rPr>
      <w:bCs/>
      <w:kern w:val="2"/>
      <w:sz w:val="24"/>
      <w:szCs w:val="24"/>
    </w:rPr>
  </w:style>
  <w:style w:type="character" w:customStyle="1" w:styleId="2519">
    <w:name w:val="表标题  Char"/>
    <w:qFormat/>
    <w:uiPriority w:val="0"/>
    <w:rPr>
      <w:rFonts w:hint="eastAsia" w:ascii="楷体_GB2312" w:hAnsi="宋体" w:eastAsia="宋体" w:cs="Times New Roman"/>
      <w:b/>
      <w:color w:val="000000"/>
      <w:kern w:val="24"/>
      <w:sz w:val="24"/>
      <w:szCs w:val="28"/>
    </w:rPr>
  </w:style>
  <w:style w:type="character" w:customStyle="1" w:styleId="2520">
    <w:name w:val="样式 题注 + 黑色 Char Char Char Char"/>
    <w:qFormat/>
    <w:uiPriority w:val="0"/>
    <w:rPr>
      <w:rFonts w:ascii="宋体" w:hAnsi="宋体" w:eastAsia="宋体" w:cs="Arial"/>
      <w:color w:val="000000"/>
      <w:sz w:val="24"/>
      <w:lang w:bidi="ar-SA"/>
    </w:rPr>
  </w:style>
  <w:style w:type="character" w:customStyle="1" w:styleId="2521">
    <w:name w:val="中气附件 Char"/>
    <w:qFormat/>
    <w:uiPriority w:val="0"/>
    <w:rPr>
      <w:rFonts w:ascii="Arial" w:hAnsi="Arial" w:eastAsia="黑体"/>
      <w:b/>
      <w:bCs/>
      <w:kern w:val="44"/>
      <w:sz w:val="32"/>
      <w:szCs w:val="44"/>
    </w:rPr>
  </w:style>
  <w:style w:type="character" w:customStyle="1" w:styleId="2522">
    <w:name w:val="t10l201"/>
    <w:qFormat/>
    <w:uiPriority w:val="0"/>
    <w:rPr>
      <w:rFonts w:ascii="宋体" w:hAnsi="宋体" w:eastAsia="宋体" w:cs="宋体"/>
      <w:spacing w:val="300"/>
      <w:kern w:val="2"/>
      <w:sz w:val="21"/>
      <w:szCs w:val="21"/>
      <w:lang w:val="en-US" w:eastAsia="zh-CN" w:bidi="ar-SA"/>
    </w:rPr>
  </w:style>
  <w:style w:type="character" w:customStyle="1" w:styleId="2523">
    <w:name w:val="重点文字 Char Char"/>
    <w:qFormat/>
    <w:uiPriority w:val="0"/>
    <w:rPr>
      <w:rFonts w:eastAsia="黑体"/>
      <w:color w:val="FF00FF"/>
      <w:sz w:val="24"/>
      <w:szCs w:val="24"/>
    </w:rPr>
  </w:style>
  <w:style w:type="character" w:customStyle="1" w:styleId="2524">
    <w:name w:val="表格 32 Char Char Char"/>
    <w:qFormat/>
    <w:uiPriority w:val="0"/>
    <w:rPr>
      <w:rFonts w:eastAsia="宋体"/>
      <w:sz w:val="21"/>
      <w:szCs w:val="21"/>
      <w:lang w:val="en-US" w:eastAsia="zh-CN" w:bidi="ar-SA"/>
    </w:rPr>
  </w:style>
  <w:style w:type="character" w:customStyle="1" w:styleId="2525">
    <w:name w:val="样式 宋体 四号 行距: 1.5 倍行距 Char"/>
    <w:link w:val="2526"/>
    <w:qFormat/>
    <w:uiPriority w:val="0"/>
    <w:rPr>
      <w:rFonts w:ascii="宋体" w:hAnsi="宋体" w:cs="宋体"/>
      <w:color w:val="000000"/>
      <w:sz w:val="28"/>
      <w:szCs w:val="24"/>
    </w:rPr>
  </w:style>
  <w:style w:type="paragraph" w:customStyle="1" w:styleId="2526">
    <w:name w:val="样式 宋体 四号 行距: 1.5 倍行距"/>
    <w:basedOn w:val="1"/>
    <w:link w:val="2525"/>
    <w:qFormat/>
    <w:uiPriority w:val="0"/>
    <w:pPr>
      <w:spacing w:line="360" w:lineRule="auto"/>
      <w:ind w:left="88" w:leftChars="42" w:firstLine="538" w:firstLineChars="192"/>
    </w:pPr>
    <w:rPr>
      <w:rFonts w:ascii="宋体" w:hAnsi="宋体" w:cs="宋体"/>
      <w:color w:val="000000"/>
      <w:kern w:val="0"/>
      <w:sz w:val="28"/>
    </w:rPr>
  </w:style>
  <w:style w:type="character" w:customStyle="1" w:styleId="2527">
    <w:name w:val="文章正文 Char Char"/>
    <w:link w:val="134"/>
    <w:qFormat/>
    <w:uiPriority w:val="0"/>
    <w:rPr>
      <w:rFonts w:ascii="宋体" w:hAnsi="宋体"/>
      <w:kern w:val="2"/>
      <w:sz w:val="24"/>
      <w:szCs w:val="24"/>
    </w:rPr>
  </w:style>
  <w:style w:type="character" w:customStyle="1" w:styleId="2528">
    <w:name w:val="样式206 Char"/>
    <w:link w:val="2529"/>
    <w:qFormat/>
    <w:uiPriority w:val="0"/>
    <w:rPr>
      <w:b/>
      <w:color w:val="000000"/>
      <w:kern w:val="2"/>
      <w:sz w:val="21"/>
      <w:szCs w:val="21"/>
    </w:rPr>
  </w:style>
  <w:style w:type="paragraph" w:customStyle="1" w:styleId="2529">
    <w:name w:val="样式206"/>
    <w:basedOn w:val="1"/>
    <w:link w:val="2528"/>
    <w:qFormat/>
    <w:uiPriority w:val="0"/>
    <w:pPr>
      <w:spacing w:line="520" w:lineRule="exact"/>
    </w:pPr>
    <w:rPr>
      <w:b/>
      <w:color w:val="000000"/>
      <w:szCs w:val="21"/>
    </w:rPr>
  </w:style>
  <w:style w:type="character" w:customStyle="1" w:styleId="2530">
    <w:name w:val="编号2 Char Char Char"/>
    <w:qFormat/>
    <w:uiPriority w:val="0"/>
    <w:rPr>
      <w:rFonts w:eastAsia="宋体"/>
      <w:kern w:val="2"/>
      <w:sz w:val="24"/>
      <w:szCs w:val="24"/>
      <w:lang w:val="en-US" w:eastAsia="zh-CN" w:bidi="ar-SA"/>
    </w:rPr>
  </w:style>
  <w:style w:type="character" w:customStyle="1" w:styleId="2531">
    <w:name w:val="图 公式 Char"/>
    <w:qFormat/>
    <w:uiPriority w:val="0"/>
    <w:rPr>
      <w:color w:val="000000"/>
      <w:kern w:val="2"/>
      <w:sz w:val="24"/>
      <w:szCs w:val="24"/>
    </w:rPr>
  </w:style>
  <w:style w:type="character" w:customStyle="1" w:styleId="2532">
    <w:name w:val="缩进 Char Char Char"/>
    <w:qFormat/>
    <w:uiPriority w:val="0"/>
    <w:rPr>
      <w:rFonts w:eastAsia="宋体"/>
      <w:color w:val="000000"/>
      <w:kern w:val="2"/>
      <w:sz w:val="24"/>
      <w:szCs w:val="21"/>
      <w:lang w:bidi="ar-SA"/>
    </w:rPr>
  </w:style>
  <w:style w:type="character" w:customStyle="1" w:styleId="2533">
    <w:name w:val="沥青表 Char"/>
    <w:qFormat/>
    <w:uiPriority w:val="0"/>
    <w:rPr>
      <w:rFonts w:eastAsia="宋体"/>
      <w:spacing w:val="10"/>
      <w:sz w:val="21"/>
      <w:lang w:val="en-US" w:eastAsia="zh-CN"/>
    </w:rPr>
  </w:style>
  <w:style w:type="character" w:customStyle="1" w:styleId="2534">
    <w:name w:val="表名 Char1"/>
    <w:qFormat/>
    <w:uiPriority w:val="0"/>
    <w:rPr>
      <w:rFonts w:ascii="黑体" w:hAnsi="Times New Roman" w:eastAsia="黑体"/>
      <w:sz w:val="24"/>
    </w:rPr>
  </w:style>
  <w:style w:type="character" w:customStyle="1" w:styleId="2535">
    <w:name w:val="px20"/>
    <w:qFormat/>
    <w:uiPriority w:val="0"/>
  </w:style>
  <w:style w:type="character" w:customStyle="1" w:styleId="2536">
    <w:name w:val="表格标题TTT Char"/>
    <w:qFormat/>
    <w:uiPriority w:val="0"/>
    <w:rPr>
      <w:rFonts w:cs="宋体"/>
      <w:b/>
      <w:bCs/>
      <w:color w:val="000000"/>
      <w:sz w:val="24"/>
    </w:rPr>
  </w:style>
  <w:style w:type="character" w:customStyle="1" w:styleId="2537">
    <w:name w:val="编号2 Char Char"/>
    <w:qFormat/>
    <w:uiPriority w:val="0"/>
    <w:rPr>
      <w:kern w:val="2"/>
      <w:sz w:val="24"/>
      <w:szCs w:val="24"/>
    </w:rPr>
  </w:style>
  <w:style w:type="character" w:customStyle="1" w:styleId="2538">
    <w:name w:val="样式 列表 + 居中 首行缩进:  2 字符1 Char"/>
    <w:link w:val="2539"/>
    <w:qFormat/>
    <w:uiPriority w:val="0"/>
    <w:rPr>
      <w:rFonts w:cs="宋体"/>
      <w:kern w:val="2"/>
      <w:sz w:val="24"/>
    </w:rPr>
  </w:style>
  <w:style w:type="paragraph" w:customStyle="1" w:styleId="2539">
    <w:name w:val="样式 列表 + 居中 首行缩进:  2 字符1"/>
    <w:basedOn w:val="67"/>
    <w:link w:val="2538"/>
    <w:qFormat/>
    <w:uiPriority w:val="0"/>
    <w:pPr>
      <w:spacing w:line="440" w:lineRule="exact"/>
      <w:ind w:left="0" w:firstLine="0" w:firstLineChars="0"/>
      <w:jc w:val="left"/>
    </w:pPr>
    <w:rPr>
      <w:rFonts w:cs="宋体"/>
      <w:sz w:val="24"/>
      <w:szCs w:val="20"/>
    </w:rPr>
  </w:style>
  <w:style w:type="character" w:customStyle="1" w:styleId="2540">
    <w:name w:val="No Spacing Char"/>
    <w:link w:val="1073"/>
    <w:qFormat/>
    <w:locked/>
    <w:uiPriority w:val="0"/>
    <w:rPr>
      <w:rFonts w:ascii="Calibri" w:hAnsi="Calibri"/>
      <w:sz w:val="24"/>
      <w:szCs w:val="32"/>
      <w:lang w:eastAsia="en-US" w:bidi="en-US"/>
    </w:rPr>
  </w:style>
  <w:style w:type="character" w:customStyle="1" w:styleId="2541">
    <w:name w:val="列表(L) Char"/>
    <w:qFormat/>
    <w:uiPriority w:val="0"/>
    <w:rPr>
      <w:rFonts w:eastAsia="宋体" w:cs="宋体"/>
      <w:kern w:val="2"/>
      <w:sz w:val="21"/>
      <w:lang w:val="en-US" w:eastAsia="zh-CN" w:bidi="ar-SA"/>
    </w:rPr>
  </w:style>
  <w:style w:type="character" w:customStyle="1" w:styleId="2542">
    <w:name w:val="表格内文字 Char Char"/>
    <w:qFormat/>
    <w:uiPriority w:val="0"/>
    <w:rPr>
      <w:rFonts w:ascii="宋体" w:hAnsi="宋体" w:eastAsia="宋体"/>
      <w:snapToGrid/>
      <w:sz w:val="21"/>
      <w:lang w:val="en-US" w:eastAsia="zh-CN" w:bidi="ar-SA"/>
    </w:rPr>
  </w:style>
  <w:style w:type="character" w:customStyle="1" w:styleId="2543">
    <w:name w:val="表编号 Char"/>
    <w:qFormat/>
    <w:uiPriority w:val="0"/>
    <w:rPr>
      <w:rFonts w:ascii="仿宋_GB2312" w:eastAsia="仿宋_GB2312"/>
    </w:rPr>
  </w:style>
  <w:style w:type="character" w:customStyle="1" w:styleId="2544">
    <w:name w:val="样式 宋体 小四 首行缩进:  0.85 厘米 行距: 1.5 倍行距 Char"/>
    <w:qFormat/>
    <w:locked/>
    <w:uiPriority w:val="0"/>
    <w:rPr>
      <w:rFonts w:ascii="宋体" w:hAnsi="宋体" w:cs="宋体"/>
      <w:kern w:val="2"/>
      <w:sz w:val="24"/>
    </w:rPr>
  </w:style>
  <w:style w:type="character" w:customStyle="1" w:styleId="2545">
    <w:name w:val="样式6 Char Char"/>
    <w:qFormat/>
    <w:uiPriority w:val="0"/>
    <w:rPr>
      <w:rFonts w:ascii="宋体" w:eastAsia="宋体" w:cs="宋体"/>
      <w:b/>
      <w:bCs/>
      <w:color w:val="000000"/>
      <w:kern w:val="2"/>
      <w:sz w:val="24"/>
      <w:szCs w:val="28"/>
      <w:lang w:val="en-US" w:eastAsia="zh-CN" w:bidi="ar-SA"/>
    </w:rPr>
  </w:style>
  <w:style w:type="character" w:customStyle="1" w:styleId="2546">
    <w:name w:val="样式 题注 + 加粗 Char"/>
    <w:qFormat/>
    <w:uiPriority w:val="0"/>
    <w:rPr>
      <w:rFonts w:hint="default" w:ascii="Arial" w:hAnsi="Arial" w:eastAsia="黑体" w:cs="Arial"/>
      <w:bCs/>
      <w:snapToGrid/>
      <w:kern w:val="2"/>
      <w:sz w:val="24"/>
      <w:szCs w:val="24"/>
      <w:lang w:val="en-US" w:eastAsia="zh-CN"/>
    </w:rPr>
  </w:style>
  <w:style w:type="character" w:customStyle="1" w:styleId="2547">
    <w:name w:val="样式162 Char"/>
    <w:link w:val="2548"/>
    <w:qFormat/>
    <w:uiPriority w:val="0"/>
    <w:rPr>
      <w:color w:val="000000"/>
      <w:kern w:val="2"/>
      <w:sz w:val="24"/>
      <w:szCs w:val="24"/>
      <w:lang w:val="en-AU"/>
    </w:rPr>
  </w:style>
  <w:style w:type="paragraph" w:customStyle="1" w:styleId="2548">
    <w:name w:val="样式162"/>
    <w:basedOn w:val="1"/>
    <w:link w:val="2547"/>
    <w:qFormat/>
    <w:uiPriority w:val="0"/>
    <w:pPr>
      <w:spacing w:line="360" w:lineRule="auto"/>
      <w:ind w:firstLine="480" w:firstLineChars="200"/>
    </w:pPr>
    <w:rPr>
      <w:color w:val="000000"/>
      <w:sz w:val="24"/>
      <w:lang w:val="en-AU"/>
    </w:rPr>
  </w:style>
  <w:style w:type="character" w:customStyle="1" w:styleId="2549">
    <w:name w:val="文字主体 Char1"/>
    <w:link w:val="2550"/>
    <w:qFormat/>
    <w:locked/>
    <w:uiPriority w:val="0"/>
    <w:rPr>
      <w:spacing w:val="5"/>
      <w:sz w:val="24"/>
      <w:lang w:val="zh-CN"/>
    </w:rPr>
  </w:style>
  <w:style w:type="paragraph" w:customStyle="1" w:styleId="2550">
    <w:name w:val="文字主体"/>
    <w:basedOn w:val="1"/>
    <w:link w:val="2549"/>
    <w:qFormat/>
    <w:uiPriority w:val="0"/>
    <w:pPr>
      <w:spacing w:before="80" w:after="80" w:line="400" w:lineRule="exact"/>
      <w:ind w:firstLine="500" w:firstLineChars="200"/>
    </w:pPr>
    <w:rPr>
      <w:spacing w:val="5"/>
      <w:kern w:val="0"/>
      <w:sz w:val="24"/>
      <w:szCs w:val="20"/>
      <w:lang w:val="zh-CN"/>
    </w:rPr>
  </w:style>
  <w:style w:type="character" w:customStyle="1" w:styleId="2551">
    <w:name w:val="size13"/>
    <w:qFormat/>
    <w:uiPriority w:val="0"/>
    <w:rPr>
      <w:rFonts w:ascii="宋体" w:hAnsi="宋体" w:eastAsia="黑体" w:cs="宋体"/>
      <w:b/>
      <w:bCs/>
      <w:sz w:val="28"/>
      <w:szCs w:val="21"/>
      <w:lang w:val="en-US" w:eastAsia="zh-CN" w:bidi="ar-SA"/>
    </w:rPr>
  </w:style>
  <w:style w:type="character" w:customStyle="1" w:styleId="2552">
    <w:name w:val="样式 标题 4H4PIM 4h4blbbTitre44th levelsect 1.2.3.4Ref Head...4 Char"/>
    <w:qFormat/>
    <w:uiPriority w:val="0"/>
    <w:rPr>
      <w:rFonts w:ascii="宋体" w:hAnsi="宋体"/>
      <w:b/>
      <w:bCs/>
      <w:sz w:val="24"/>
      <w:szCs w:val="24"/>
      <w:lang w:val="en-US" w:eastAsia="zh-CN"/>
    </w:rPr>
  </w:style>
  <w:style w:type="character" w:customStyle="1" w:styleId="2553">
    <w:name w:val="样式 五号"/>
    <w:qFormat/>
    <w:uiPriority w:val="0"/>
    <w:rPr>
      <w:sz w:val="21"/>
    </w:rPr>
  </w:style>
  <w:style w:type="character" w:customStyle="1" w:styleId="2554">
    <w:name w:val="样式324 Char"/>
    <w:link w:val="2555"/>
    <w:qFormat/>
    <w:uiPriority w:val="0"/>
    <w:rPr>
      <w:color w:val="000000"/>
      <w:kern w:val="2"/>
      <w:sz w:val="21"/>
      <w:szCs w:val="21"/>
    </w:rPr>
  </w:style>
  <w:style w:type="paragraph" w:customStyle="1" w:styleId="2555">
    <w:name w:val="样式324"/>
    <w:basedOn w:val="1"/>
    <w:link w:val="2554"/>
    <w:qFormat/>
    <w:uiPriority w:val="0"/>
    <w:pPr>
      <w:adjustRightInd w:val="0"/>
      <w:spacing w:line="300" w:lineRule="exact"/>
      <w:textAlignment w:val="baseline"/>
    </w:pPr>
    <w:rPr>
      <w:color w:val="000000"/>
      <w:szCs w:val="21"/>
    </w:rPr>
  </w:style>
  <w:style w:type="character" w:customStyle="1" w:styleId="2556">
    <w:name w:val="标题 2 Char Char Char Char Char Char Char Char Char1"/>
    <w:qFormat/>
    <w:uiPriority w:val="0"/>
    <w:rPr>
      <w:rFonts w:hint="eastAsia" w:ascii="宋体" w:hAnsi="宋体" w:eastAsia="宋体"/>
      <w:b/>
      <w:color w:val="0000FF"/>
      <w:kern w:val="44"/>
      <w:sz w:val="30"/>
      <w:szCs w:val="30"/>
      <w:lang w:val="zh-CN" w:eastAsia="zh-CN" w:bidi="ar-SA"/>
    </w:rPr>
  </w:style>
  <w:style w:type="character" w:customStyle="1" w:styleId="2557">
    <w:name w:val="落款 Char Char1"/>
    <w:qFormat/>
    <w:uiPriority w:val="0"/>
    <w:rPr>
      <w:rFonts w:hint="default" w:ascii="Times New Roman" w:hAnsi="Times New Roman" w:eastAsia="宋体" w:cs="Arial"/>
      <w:bCs/>
      <w:sz w:val="24"/>
      <w:szCs w:val="24"/>
    </w:rPr>
  </w:style>
  <w:style w:type="character" w:customStyle="1" w:styleId="2558">
    <w:name w:val="标准正文 Char Char"/>
    <w:qFormat/>
    <w:uiPriority w:val="0"/>
    <w:rPr>
      <w:kern w:val="2"/>
      <w:sz w:val="24"/>
      <w:szCs w:val="24"/>
    </w:rPr>
  </w:style>
  <w:style w:type="character" w:customStyle="1" w:styleId="2559">
    <w:name w:val="正文样式1 Char Char"/>
    <w:qFormat/>
    <w:uiPriority w:val="0"/>
    <w:rPr>
      <w:rFonts w:ascii="宋体" w:hAnsi="宋体" w:eastAsia="仿宋_GB2312" w:cs="宋体"/>
      <w:snapToGrid/>
      <w:color w:val="000000"/>
      <w:kern w:val="2"/>
      <w:sz w:val="24"/>
      <w:szCs w:val="24"/>
      <w:lang w:val="en-US" w:eastAsia="zh-CN" w:bidi="ar-SA"/>
    </w:rPr>
  </w:style>
  <w:style w:type="character" w:customStyle="1" w:styleId="2560">
    <w:name w:val="样式 报告 + 宋体 段前: 0.2 行 段后: 0.2 行 Char"/>
    <w:qFormat/>
    <w:uiPriority w:val="0"/>
    <w:rPr>
      <w:rFonts w:ascii="宋体" w:hAnsi="宋体"/>
      <w:b/>
      <w:bCs/>
      <w:sz w:val="21"/>
    </w:rPr>
  </w:style>
  <w:style w:type="character" w:customStyle="1" w:styleId="2561">
    <w:name w:val="style61"/>
    <w:qFormat/>
    <w:uiPriority w:val="0"/>
    <w:rPr>
      <w:sz w:val="26"/>
    </w:rPr>
  </w:style>
  <w:style w:type="character" w:customStyle="1" w:styleId="2562">
    <w:name w:val="标题 1 Char Char Char1"/>
    <w:qFormat/>
    <w:uiPriority w:val="0"/>
    <w:rPr>
      <w:b/>
      <w:bCs/>
      <w:kern w:val="44"/>
      <w:sz w:val="44"/>
      <w:szCs w:val="44"/>
    </w:rPr>
  </w:style>
  <w:style w:type="character" w:customStyle="1" w:styleId="2563">
    <w:name w:val="样式 首行缩进:  0.85 厘米 行距: 1.5 倍行距2 Char"/>
    <w:link w:val="2564"/>
    <w:qFormat/>
    <w:uiPriority w:val="0"/>
    <w:rPr>
      <w:rFonts w:cs="宋体"/>
      <w:sz w:val="24"/>
    </w:rPr>
  </w:style>
  <w:style w:type="paragraph" w:customStyle="1" w:styleId="2564">
    <w:name w:val="样式 首行缩进:  0.85 厘米 行距: 1.5 倍行距2"/>
    <w:basedOn w:val="1"/>
    <w:link w:val="2563"/>
    <w:qFormat/>
    <w:uiPriority w:val="0"/>
    <w:pPr>
      <w:spacing w:line="360" w:lineRule="auto"/>
      <w:ind w:firstLine="480"/>
    </w:pPr>
    <w:rPr>
      <w:rFonts w:cs="宋体"/>
      <w:kern w:val="0"/>
      <w:sz w:val="24"/>
      <w:szCs w:val="20"/>
    </w:rPr>
  </w:style>
  <w:style w:type="character" w:customStyle="1" w:styleId="2565">
    <w:name w:val="样式 首行缩进:  2.25 字符1 Char"/>
    <w:qFormat/>
    <w:uiPriority w:val="0"/>
    <w:rPr>
      <w:kern w:val="2"/>
      <w:sz w:val="24"/>
    </w:rPr>
  </w:style>
  <w:style w:type="character" w:customStyle="1" w:styleId="2566">
    <w:name w:val="称呼 Char2"/>
    <w:qFormat/>
    <w:uiPriority w:val="0"/>
    <w:rPr>
      <w:rFonts w:ascii="宋体" w:hAnsi="宋体" w:eastAsia="宋体" w:cs="Times New Roman"/>
      <w:sz w:val="28"/>
      <w:szCs w:val="20"/>
    </w:rPr>
  </w:style>
  <w:style w:type="character" w:customStyle="1" w:styleId="2567">
    <w:name w:val="表格题名 Char"/>
    <w:qFormat/>
    <w:uiPriority w:val="0"/>
    <w:rPr>
      <w:rFonts w:eastAsia="黑体"/>
      <w:b/>
      <w:sz w:val="24"/>
    </w:rPr>
  </w:style>
  <w:style w:type="character" w:customStyle="1" w:styleId="2568">
    <w:name w:val="样式 标题 2 + 宋体1 Char"/>
    <w:qFormat/>
    <w:uiPriority w:val="0"/>
    <w:rPr>
      <w:rFonts w:ascii="宋体" w:hAnsi="宋体" w:cs="宋体"/>
      <w:b/>
      <w:bCs/>
      <w:color w:val="000000"/>
      <w:sz w:val="30"/>
      <w:szCs w:val="24"/>
    </w:rPr>
  </w:style>
  <w:style w:type="character" w:customStyle="1" w:styleId="2569">
    <w:name w:val="环小四表尾 Char"/>
    <w:link w:val="2570"/>
    <w:qFormat/>
    <w:uiPriority w:val="0"/>
    <w:rPr>
      <w:rFonts w:ascii="宋体"/>
      <w:b/>
      <w:bCs/>
      <w:sz w:val="21"/>
      <w:szCs w:val="21"/>
    </w:rPr>
  </w:style>
  <w:style w:type="paragraph" w:customStyle="1" w:styleId="2570">
    <w:name w:val="环小四表尾"/>
    <w:link w:val="2569"/>
    <w:qFormat/>
    <w:uiPriority w:val="0"/>
    <w:pPr>
      <w:spacing w:line="560" w:lineRule="exact"/>
      <w:jc w:val="right"/>
    </w:pPr>
    <w:rPr>
      <w:rFonts w:ascii="宋体" w:hAnsi="Times New Roman" w:eastAsia="宋体" w:cs="Times New Roman"/>
      <w:b/>
      <w:bCs/>
      <w:sz w:val="21"/>
      <w:szCs w:val="21"/>
      <w:lang w:val="en-US" w:eastAsia="zh-CN" w:bidi="ar-SA"/>
    </w:rPr>
  </w:style>
  <w:style w:type="character" w:customStyle="1" w:styleId="2571">
    <w:name w:val="环小四内容 Char Char"/>
    <w:qFormat/>
    <w:uiPriority w:val="0"/>
    <w:rPr>
      <w:rFonts w:ascii="宋体" w:hAnsi="宋体"/>
      <w:sz w:val="24"/>
      <w:szCs w:val="24"/>
    </w:rPr>
  </w:style>
  <w:style w:type="character" w:customStyle="1" w:styleId="2572">
    <w:name w:val="样式 题注实德题注Char Char Char + 小四 Char"/>
    <w:qFormat/>
    <w:uiPriority w:val="0"/>
    <w:rPr>
      <w:rFonts w:ascii="Arial" w:hAnsi="Arial" w:cs="Arial"/>
      <w:kern w:val="2"/>
      <w:sz w:val="24"/>
    </w:rPr>
  </w:style>
  <w:style w:type="character" w:customStyle="1" w:styleId="2573">
    <w:name w:val="正文标准格式张 Char"/>
    <w:qFormat/>
    <w:uiPriority w:val="0"/>
    <w:rPr>
      <w:snapToGrid w:val="0"/>
      <w:color w:val="000000"/>
      <w:sz w:val="24"/>
    </w:rPr>
  </w:style>
  <w:style w:type="character" w:customStyle="1" w:styleId="2574">
    <w:name w:val="表格 32 Char"/>
    <w:link w:val="114"/>
    <w:qFormat/>
    <w:uiPriority w:val="0"/>
    <w:rPr>
      <w:sz w:val="24"/>
    </w:rPr>
  </w:style>
  <w:style w:type="character" w:customStyle="1" w:styleId="2575">
    <w:name w:val="样式 标题 1Head 1wsah1Char Char标题 1 CharH1一、1.标题 1标题2章节标题-... Char"/>
    <w:qFormat/>
    <w:uiPriority w:val="0"/>
    <w:rPr>
      <w:rFonts w:cs="宋体"/>
      <w:b/>
      <w:bCs/>
      <w:kern w:val="2"/>
      <w:sz w:val="30"/>
    </w:rPr>
  </w:style>
  <w:style w:type="character" w:customStyle="1" w:styleId="2576">
    <w:name w:val="表头 Char Char Char"/>
    <w:qFormat/>
    <w:uiPriority w:val="0"/>
    <w:rPr>
      <w:rFonts w:ascii="楷体_GB2312" w:hAnsi="宋体" w:eastAsia="宋体"/>
      <w:b/>
      <w:snapToGrid w:val="0"/>
      <w:sz w:val="24"/>
      <w:szCs w:val="24"/>
      <w:lang w:val="en-US" w:eastAsia="zh-CN" w:bidi="ar-SA"/>
    </w:rPr>
  </w:style>
  <w:style w:type="character" w:customStyle="1" w:styleId="2577">
    <w:name w:val="ud21"/>
    <w:qFormat/>
    <w:uiPriority w:val="0"/>
    <w:rPr>
      <w:rFonts w:hint="eastAsia" w:ascii="宋体" w:hAnsi="宋体" w:eastAsia="宋体"/>
      <w:b/>
      <w:bCs/>
      <w:color w:val="000000"/>
      <w:sz w:val="21"/>
      <w:szCs w:val="21"/>
    </w:rPr>
  </w:style>
  <w:style w:type="character" w:customStyle="1" w:styleId="2578">
    <w:name w:val="样式 首行缩进:  2 字符1 Char Char Char"/>
    <w:qFormat/>
    <w:uiPriority w:val="0"/>
    <w:rPr>
      <w:kern w:val="2"/>
      <w:sz w:val="24"/>
      <w:szCs w:val="24"/>
    </w:rPr>
  </w:style>
  <w:style w:type="character" w:customStyle="1" w:styleId="2579">
    <w:name w:val="标题１（hwl） Char Char"/>
    <w:qFormat/>
    <w:uiPriority w:val="0"/>
    <w:rPr>
      <w:rFonts w:hint="eastAsia" w:ascii="宋体" w:hAnsi="宋体" w:eastAsia="宋体"/>
      <w:b/>
      <w:bCs/>
      <w:kern w:val="44"/>
      <w:sz w:val="44"/>
      <w:szCs w:val="44"/>
      <w:lang w:val="en-US" w:eastAsia="zh-CN" w:bidi="ar-SA"/>
    </w:rPr>
  </w:style>
  <w:style w:type="character" w:customStyle="1" w:styleId="2580">
    <w:name w:val="样式 报告 + 小四 Char Char Char"/>
    <w:qFormat/>
    <w:uiPriority w:val="0"/>
    <w:rPr>
      <w:rFonts w:eastAsia="宋体"/>
      <w:kern w:val="2"/>
      <w:sz w:val="24"/>
      <w:szCs w:val="24"/>
      <w:lang w:val="en-US" w:eastAsia="zh-CN" w:bidi="ar-SA"/>
    </w:rPr>
  </w:style>
  <w:style w:type="character" w:customStyle="1" w:styleId="2581">
    <w:name w:val="页眉 Char Char Char Char"/>
    <w:qFormat/>
    <w:uiPriority w:val="99"/>
    <w:rPr>
      <w:rFonts w:ascii="Times New Roman" w:hAnsi="Times New Roman" w:eastAsia="宋体" w:cs="Times New Roman"/>
      <w:sz w:val="18"/>
      <w:szCs w:val="18"/>
    </w:rPr>
  </w:style>
  <w:style w:type="character" w:customStyle="1" w:styleId="2582">
    <w:name w:val="宏文本 Char1"/>
    <w:qFormat/>
    <w:uiPriority w:val="0"/>
    <w:rPr>
      <w:rFonts w:ascii="Courier New" w:hAnsi="Courier New" w:eastAsia="宋体" w:cs="Courier New"/>
      <w:color w:val="000000"/>
      <w:kern w:val="2"/>
      <w:sz w:val="24"/>
      <w:szCs w:val="24"/>
      <w:lang w:val="zh-CN" w:eastAsia="zh-CN" w:bidi="ar-SA"/>
    </w:rPr>
  </w:style>
  <w:style w:type="character" w:customStyle="1" w:styleId="2583">
    <w:name w:val="报告正文 Char Char Char"/>
    <w:qFormat/>
    <w:uiPriority w:val="0"/>
    <w:rPr>
      <w:rFonts w:eastAsia="宋体" w:cs="宋体"/>
      <w:kern w:val="2"/>
      <w:sz w:val="24"/>
      <w:szCs w:val="24"/>
      <w:lang w:val="en-US" w:eastAsia="zh-CN" w:bidi="ar-SA"/>
    </w:rPr>
  </w:style>
  <w:style w:type="character" w:customStyle="1" w:styleId="2584">
    <w:name w:val="正文样式1 Char"/>
    <w:link w:val="1088"/>
    <w:qFormat/>
    <w:uiPriority w:val="0"/>
    <w:rPr>
      <w:b/>
      <w:kern w:val="24"/>
      <w:sz w:val="24"/>
    </w:rPr>
  </w:style>
  <w:style w:type="character" w:customStyle="1" w:styleId="2585">
    <w:name w:val="罗标题 Char"/>
    <w:link w:val="2586"/>
    <w:qFormat/>
    <w:uiPriority w:val="0"/>
    <w:rPr>
      <w:b/>
      <w:kern w:val="2"/>
      <w:sz w:val="24"/>
      <w:u w:val="single"/>
    </w:rPr>
  </w:style>
  <w:style w:type="paragraph" w:customStyle="1" w:styleId="2586">
    <w:name w:val="罗标题"/>
    <w:basedOn w:val="1"/>
    <w:link w:val="2585"/>
    <w:qFormat/>
    <w:uiPriority w:val="0"/>
    <w:pPr>
      <w:spacing w:before="93" w:after="93" w:line="360" w:lineRule="auto"/>
      <w:ind w:firstLine="482" w:firstLineChars="200"/>
    </w:pPr>
    <w:rPr>
      <w:b/>
      <w:sz w:val="24"/>
      <w:szCs w:val="20"/>
      <w:u w:val="single"/>
    </w:rPr>
  </w:style>
  <w:style w:type="character" w:customStyle="1" w:styleId="2587">
    <w:name w:val="t14black"/>
    <w:qFormat/>
    <w:uiPriority w:val="0"/>
    <w:rPr>
      <w:rFonts w:eastAsia="宋体" w:cs="宋体"/>
      <w:color w:val="000000"/>
      <w:kern w:val="2"/>
      <w:sz w:val="24"/>
      <w:szCs w:val="24"/>
      <w:lang w:val="zh-CN" w:eastAsia="zh-CN" w:bidi="ar-SA"/>
    </w:rPr>
  </w:style>
  <w:style w:type="character" w:customStyle="1" w:styleId="2588">
    <w:name w:val="报告标题三级 Char Char"/>
    <w:qFormat/>
    <w:uiPriority w:val="0"/>
    <w:rPr>
      <w:b/>
      <w:bCs/>
      <w:kern w:val="2"/>
      <w:sz w:val="28"/>
      <w:szCs w:val="28"/>
    </w:rPr>
  </w:style>
  <w:style w:type="character" w:customStyle="1" w:styleId="2589">
    <w:name w:val="金光华文本正文 Char"/>
    <w:qFormat/>
    <w:uiPriority w:val="0"/>
    <w:rPr>
      <w:rFonts w:ascii="宋体" w:hAnsi="宋体"/>
      <w:sz w:val="24"/>
      <w:szCs w:val="24"/>
    </w:rPr>
  </w:style>
  <w:style w:type="character" w:customStyle="1" w:styleId="2590">
    <w:name w:val="标题 5 Char Char1"/>
    <w:semiHidden/>
    <w:qFormat/>
    <w:uiPriority w:val="0"/>
    <w:rPr>
      <w:rFonts w:hint="eastAsia" w:ascii="宋体" w:hAnsi="宋体" w:eastAsia="宋体"/>
      <w:bCs/>
      <w:kern w:val="2"/>
      <w:sz w:val="28"/>
      <w:szCs w:val="28"/>
      <w:lang w:val="en-US" w:eastAsia="zh-CN" w:bidi="ar-SA"/>
    </w:rPr>
  </w:style>
  <w:style w:type="character" w:customStyle="1" w:styleId="2591">
    <w:name w:val="正文首行缩进 2 Char2"/>
    <w:qFormat/>
    <w:uiPriority w:val="0"/>
    <w:rPr>
      <w:rFonts w:ascii="Times New Roman" w:hAnsi="Times New Roman" w:eastAsia="宋体" w:cs="Times New Roman"/>
      <w:sz w:val="24"/>
      <w:szCs w:val="24"/>
    </w:rPr>
  </w:style>
  <w:style w:type="character" w:customStyle="1" w:styleId="2592">
    <w:name w:val="txtstyle1"/>
    <w:qFormat/>
    <w:uiPriority w:val="0"/>
    <w:rPr>
      <w:color w:val="666666"/>
      <w:sz w:val="24"/>
      <w:szCs w:val="24"/>
    </w:rPr>
  </w:style>
  <w:style w:type="character" w:customStyle="1" w:styleId="2593">
    <w:name w:val="标题2www Char"/>
    <w:qFormat/>
    <w:uiPriority w:val="0"/>
    <w:rPr>
      <w:rFonts w:ascii="华文中宋" w:hAnsi="华文中宋" w:eastAsia="黑体"/>
      <w:bCs/>
      <w:color w:val="FF00FF"/>
      <w:kern w:val="2"/>
      <w:sz w:val="30"/>
      <w:szCs w:val="30"/>
    </w:rPr>
  </w:style>
  <w:style w:type="character" w:customStyle="1" w:styleId="2594">
    <w:name w:val="标题 7表内5号 Char Char1"/>
    <w:qFormat/>
    <w:uiPriority w:val="0"/>
    <w:rPr>
      <w:rFonts w:eastAsia="黑体"/>
      <w:sz w:val="24"/>
      <w:lang w:val="en-US" w:eastAsia="zh-CN" w:bidi="ar-SA"/>
    </w:rPr>
  </w:style>
  <w:style w:type="character" w:customStyle="1" w:styleId="2595">
    <w:name w:val="TT表格标题 Char"/>
    <w:qFormat/>
    <w:uiPriority w:val="0"/>
    <w:rPr>
      <w:rFonts w:cs="宋体"/>
      <w:b/>
      <w:bCs/>
      <w:kern w:val="2"/>
      <w:sz w:val="24"/>
    </w:rPr>
  </w:style>
  <w:style w:type="character" w:customStyle="1" w:styleId="2596">
    <w:name w:val="TT正文 Char Char"/>
    <w:qFormat/>
    <w:uiPriority w:val="0"/>
    <w:rPr>
      <w:rFonts w:eastAsia="宋体" w:cs="宋体"/>
      <w:color w:val="000000"/>
      <w:kern w:val="2"/>
      <w:sz w:val="24"/>
      <w:lang w:val="en-US" w:eastAsia="zh-CN" w:bidi="ar-SA"/>
    </w:rPr>
  </w:style>
  <w:style w:type="character" w:customStyle="1" w:styleId="2597">
    <w:name w:val="文本框 Char Char"/>
    <w:qFormat/>
    <w:uiPriority w:val="0"/>
    <w:rPr>
      <w:rFonts w:eastAsia="宋体"/>
      <w:kern w:val="2"/>
      <w:sz w:val="21"/>
      <w:szCs w:val="21"/>
      <w:lang w:val="en-US" w:eastAsia="zh-CN" w:bidi="ar-SA"/>
    </w:rPr>
  </w:style>
  <w:style w:type="character" w:customStyle="1" w:styleId="2598">
    <w:name w:val="样式 报告 + 小四 Char Char"/>
    <w:link w:val="2599"/>
    <w:qFormat/>
    <w:uiPriority w:val="0"/>
    <w:rPr>
      <w:kern w:val="2"/>
      <w:sz w:val="24"/>
      <w:szCs w:val="24"/>
    </w:rPr>
  </w:style>
  <w:style w:type="paragraph" w:customStyle="1" w:styleId="2599">
    <w:name w:val="样式 报告 + 小四"/>
    <w:basedOn w:val="1"/>
    <w:link w:val="2598"/>
    <w:qFormat/>
    <w:uiPriority w:val="0"/>
    <w:pPr>
      <w:spacing w:before="156" w:beforeLines="50" w:after="156" w:afterLines="50" w:line="400" w:lineRule="atLeast"/>
      <w:ind w:firstLine="200" w:firstLineChars="200"/>
    </w:pPr>
    <w:rPr>
      <w:sz w:val="24"/>
    </w:rPr>
  </w:style>
  <w:style w:type="character" w:customStyle="1" w:styleId="2600">
    <w:name w:val="样式 首行缩进:  2 字符1 Char Char"/>
    <w:qFormat/>
    <w:uiPriority w:val="0"/>
    <w:rPr>
      <w:rFonts w:ascii="Times New Roman" w:hAnsi="Times New Roman" w:eastAsia="宋体" w:cs="Times New Roman"/>
      <w:snapToGrid w:val="0"/>
      <w:color w:val="FF0000"/>
      <w:sz w:val="24"/>
      <w:szCs w:val="24"/>
    </w:rPr>
  </w:style>
  <w:style w:type="character" w:customStyle="1" w:styleId="2601">
    <w:name w:val="样式 第三标题 + 宋体 Char"/>
    <w:qFormat/>
    <w:uiPriority w:val="0"/>
    <w:rPr>
      <w:rFonts w:ascii="宋体" w:hAnsi="宋体" w:eastAsia="宋体"/>
      <w:b/>
      <w:bCs/>
      <w:color w:val="000000"/>
      <w:kern w:val="2"/>
      <w:sz w:val="32"/>
      <w:szCs w:val="32"/>
      <w:lang w:val="en-US" w:eastAsia="zh-CN" w:bidi="ar-SA"/>
    </w:rPr>
  </w:style>
  <w:style w:type="character" w:customStyle="1" w:styleId="2602">
    <w:name w:val="正文文字缩进 31 Char Char"/>
    <w:qFormat/>
    <w:uiPriority w:val="0"/>
    <w:rPr>
      <w:rFonts w:ascii="宋体" w:hAnsi="宋体" w:eastAsia="宋体"/>
      <w:kern w:val="2"/>
      <w:sz w:val="24"/>
      <w:szCs w:val="28"/>
      <w:lang w:val="en-US" w:eastAsia="zh-CN" w:bidi="ar-SA"/>
    </w:rPr>
  </w:style>
  <w:style w:type="character" w:customStyle="1" w:styleId="2603">
    <w:name w:val="第2级标题 Char Char"/>
    <w:qFormat/>
    <w:uiPriority w:val="0"/>
    <w:rPr>
      <w:rFonts w:eastAsia="华文中宋"/>
      <w:b/>
      <w:bCs/>
      <w:kern w:val="2"/>
      <w:sz w:val="32"/>
      <w:szCs w:val="32"/>
    </w:rPr>
  </w:style>
  <w:style w:type="character" w:customStyle="1" w:styleId="2604">
    <w:name w:val="第3级标题 Char Char"/>
    <w:qFormat/>
    <w:uiPriority w:val="0"/>
    <w:rPr>
      <w:rFonts w:ascii="宋体" w:hAnsi="宋体" w:eastAsia="华文中宋" w:cs="宋体"/>
      <w:b/>
      <w:bCs/>
      <w:sz w:val="30"/>
      <w:szCs w:val="30"/>
    </w:rPr>
  </w:style>
  <w:style w:type="character" w:customStyle="1" w:styleId="2605">
    <w:name w:val="永新表头 Char"/>
    <w:qFormat/>
    <w:uiPriority w:val="0"/>
    <w:rPr>
      <w:rFonts w:eastAsia="黑体"/>
      <w:kern w:val="2"/>
      <w:sz w:val="21"/>
      <w:szCs w:val="24"/>
      <w:lang w:val="zh-CN"/>
    </w:rPr>
  </w:style>
  <w:style w:type="character" w:customStyle="1" w:styleId="2606">
    <w:name w:val="p5"/>
    <w:qFormat/>
    <w:uiPriority w:val="0"/>
  </w:style>
  <w:style w:type="character" w:customStyle="1" w:styleId="2607">
    <w:name w:val="样式 正文首行缩进 + 宋体 小四 行距: 1.5 倍行距 Char"/>
    <w:qFormat/>
    <w:uiPriority w:val="0"/>
    <w:rPr>
      <w:rFonts w:eastAsia="宋体" w:cs="宋体"/>
      <w:color w:val="000000"/>
      <w:kern w:val="2"/>
      <w:sz w:val="21"/>
      <w:szCs w:val="24"/>
      <w:lang w:val="en-US" w:eastAsia="zh-CN" w:bidi="ar-SA"/>
    </w:rPr>
  </w:style>
  <w:style w:type="character" w:customStyle="1" w:styleId="2608">
    <w:name w:val="表标题（自定义） Char Char Char"/>
    <w:qFormat/>
    <w:uiPriority w:val="0"/>
    <w:rPr>
      <w:rFonts w:eastAsia="宋体"/>
      <w:b/>
      <w:color w:val="000000"/>
      <w:sz w:val="24"/>
      <w:szCs w:val="24"/>
      <w:lang w:val="en-US" w:eastAsia="zh-CN" w:bidi="ar-SA"/>
    </w:rPr>
  </w:style>
  <w:style w:type="character" w:customStyle="1" w:styleId="2609">
    <w:name w:val="样式 正文文本缩进 3 + 行距: 1.5 倍行距 Char"/>
    <w:qFormat/>
    <w:uiPriority w:val="0"/>
    <w:rPr>
      <w:rFonts w:ascii="宋体" w:cs="宋体"/>
      <w:color w:val="000000"/>
      <w:sz w:val="28"/>
      <w:szCs w:val="24"/>
    </w:rPr>
  </w:style>
  <w:style w:type="character" w:customStyle="1" w:styleId="2610">
    <w:name w:val="样式 正文（首行缩进两字） + 宋体 Char Char Char"/>
    <w:link w:val="2611"/>
    <w:qFormat/>
    <w:uiPriority w:val="0"/>
    <w:rPr>
      <w:rFonts w:ascii="宋体" w:hAnsi="宋体"/>
      <w:sz w:val="28"/>
    </w:rPr>
  </w:style>
  <w:style w:type="paragraph" w:customStyle="1" w:styleId="2611">
    <w:name w:val="样式 正文（首行缩进两字） + 宋体 Char"/>
    <w:basedOn w:val="22"/>
    <w:link w:val="2610"/>
    <w:qFormat/>
    <w:uiPriority w:val="0"/>
    <w:pPr>
      <w:spacing w:line="360" w:lineRule="auto"/>
      <w:ind w:firstLine="573" w:firstLineChars="0"/>
    </w:pPr>
    <w:rPr>
      <w:rFonts w:ascii="宋体" w:hAnsi="宋体"/>
      <w:kern w:val="0"/>
      <w:sz w:val="28"/>
      <w:szCs w:val="20"/>
    </w:rPr>
  </w:style>
  <w:style w:type="character" w:customStyle="1" w:styleId="2612">
    <w:name w:val="我的样式（正文） Char Char"/>
    <w:qFormat/>
    <w:uiPriority w:val="0"/>
    <w:rPr>
      <w:rFonts w:ascii="宋体" w:hAnsi="华文楷体" w:eastAsia="宋体"/>
      <w:kern w:val="2"/>
      <w:sz w:val="24"/>
      <w:szCs w:val="24"/>
      <w:lang w:val="en-US" w:eastAsia="zh-CN"/>
    </w:rPr>
  </w:style>
  <w:style w:type="character" w:customStyle="1" w:styleId="2613">
    <w:name w:val="样式 题注 + 宋体 Char Char"/>
    <w:qFormat/>
    <w:uiPriority w:val="0"/>
    <w:rPr>
      <w:rFonts w:ascii="宋体" w:hAnsi="宋体"/>
      <w:b/>
      <w:bCs/>
      <w:spacing w:val="5"/>
      <w:sz w:val="24"/>
      <w:szCs w:val="24"/>
    </w:rPr>
  </w:style>
  <w:style w:type="character" w:customStyle="1" w:styleId="2614">
    <w:name w:val="正文表格（小四） Char Char"/>
    <w:semiHidden/>
    <w:qFormat/>
    <w:uiPriority w:val="0"/>
    <w:rPr>
      <w:rFonts w:eastAsia="楷体_GB2312"/>
      <w:sz w:val="24"/>
      <w:szCs w:val="28"/>
    </w:rPr>
  </w:style>
  <w:style w:type="character" w:customStyle="1" w:styleId="2615">
    <w:name w:val="落款 Char Char3"/>
    <w:qFormat/>
    <w:uiPriority w:val="0"/>
    <w:rPr>
      <w:rFonts w:hint="eastAsia" w:ascii="宋体" w:hAnsi="宋体" w:eastAsia="宋体"/>
      <w:kern w:val="2"/>
      <w:sz w:val="21"/>
      <w:szCs w:val="24"/>
      <w:lang w:val="en-US" w:eastAsia="zh-CN" w:bidi="ar-SA"/>
    </w:rPr>
  </w:style>
  <w:style w:type="character" w:customStyle="1" w:styleId="2616">
    <w:name w:val="中气附件 Char Char Char"/>
    <w:qFormat/>
    <w:uiPriority w:val="0"/>
    <w:rPr>
      <w:rFonts w:ascii="宋体" w:hAnsi="宋体" w:eastAsia="黑体" w:cs="宋体"/>
      <w:bCs/>
      <w:kern w:val="44"/>
      <w:sz w:val="32"/>
      <w:szCs w:val="44"/>
      <w:lang w:val="en-US" w:eastAsia="zh-CN" w:bidi="ar-SA"/>
    </w:rPr>
  </w:style>
  <w:style w:type="character" w:customStyle="1" w:styleId="2617">
    <w:name w:val="王正慧－正文 Char"/>
    <w:qFormat/>
    <w:locked/>
    <w:uiPriority w:val="0"/>
    <w:rPr>
      <w:rFonts w:ascii="宋体" w:hAnsi="宋体"/>
      <w:sz w:val="24"/>
      <w:szCs w:val="28"/>
    </w:rPr>
  </w:style>
  <w:style w:type="character" w:customStyle="1" w:styleId="2618">
    <w:name w:val="样式129 Char"/>
    <w:qFormat/>
    <w:uiPriority w:val="0"/>
    <w:rPr>
      <w:bCs/>
      <w:color w:val="000000"/>
      <w:szCs w:val="13"/>
    </w:rPr>
  </w:style>
  <w:style w:type="character" w:customStyle="1" w:styleId="2619">
    <w:name w:val="样式 标题 1标题 111一、Head 1wsa文章标题b1章标题 1H1PIM 1标书1h1标题 11... Char"/>
    <w:link w:val="2620"/>
    <w:qFormat/>
    <w:uiPriority w:val="0"/>
    <w:rPr>
      <w:rFonts w:ascii="宋体" w:hAnsi="宋体"/>
      <w:b/>
      <w:bCs/>
      <w:color w:val="000000"/>
      <w:kern w:val="44"/>
      <w:sz w:val="48"/>
      <w:lang w:val="zh-CN" w:eastAsia="zh-CN"/>
    </w:rPr>
  </w:style>
  <w:style w:type="paragraph" w:customStyle="1" w:styleId="2620">
    <w:name w:val="样式 标题 1标题 111一、Head 1wsa文章标题b1章标题 1H1PIM 1标书1h1标题 11..."/>
    <w:basedOn w:val="3"/>
    <w:link w:val="2619"/>
    <w:qFormat/>
    <w:uiPriority w:val="0"/>
    <w:pPr>
      <w:pageBreakBefore/>
      <w:numPr>
        <w:numId w:val="0"/>
      </w:numPr>
      <w:tabs>
        <w:tab w:val="left" w:pos="1276"/>
      </w:tabs>
      <w:spacing w:before="340" w:beforeLines="100" w:after="330" w:afterLines="100" w:line="440" w:lineRule="exact"/>
      <w:ind w:left="425" w:hanging="425"/>
    </w:pPr>
    <w:rPr>
      <w:rFonts w:ascii="宋体" w:hAnsi="宋体" w:eastAsia="宋体"/>
      <w:b/>
      <w:color w:val="000000"/>
      <w:sz w:val="48"/>
      <w:szCs w:val="20"/>
      <w:lang w:val="zh-CN"/>
    </w:rPr>
  </w:style>
  <w:style w:type="character" w:customStyle="1" w:styleId="2621">
    <w:name w:val="正文文本 3 Char2"/>
    <w:qFormat/>
    <w:uiPriority w:val="0"/>
    <w:rPr>
      <w:rFonts w:ascii="Times New Roman" w:hAnsi="宋体" w:eastAsia="宋体" w:cs="楷体_GB2312"/>
      <w:sz w:val="28"/>
      <w:szCs w:val="28"/>
    </w:rPr>
  </w:style>
  <w:style w:type="character" w:customStyle="1" w:styleId="2622">
    <w:name w:val="引用 Char Char"/>
    <w:qFormat/>
    <w:uiPriority w:val="0"/>
    <w:rPr>
      <w:rFonts w:ascii="宋体" w:hAnsi="宋体" w:eastAsia="宋体" w:cs="宋体"/>
      <w:i/>
      <w:iCs/>
      <w:color w:val="000000"/>
      <w:sz w:val="24"/>
      <w:szCs w:val="24"/>
      <w:lang w:val="en-US" w:eastAsia="zh-CN" w:bidi="ar-SA"/>
    </w:rPr>
  </w:style>
  <w:style w:type="character" w:customStyle="1" w:styleId="2623">
    <w:name w:val="样式19 Char"/>
    <w:link w:val="168"/>
    <w:qFormat/>
    <w:uiPriority w:val="0"/>
    <w:rPr>
      <w:sz w:val="24"/>
      <w:szCs w:val="28"/>
    </w:rPr>
  </w:style>
  <w:style w:type="character" w:customStyle="1" w:styleId="2624">
    <w:name w:val="样式20（图名称） Char"/>
    <w:link w:val="2625"/>
    <w:qFormat/>
    <w:uiPriority w:val="0"/>
    <w:rPr>
      <w:rFonts w:eastAsia="黑体" w:cs="Courier New"/>
      <w:b/>
      <w:bCs/>
      <w:sz w:val="24"/>
    </w:rPr>
  </w:style>
  <w:style w:type="paragraph" w:customStyle="1" w:styleId="2625">
    <w:name w:val="样式20（图名称）"/>
    <w:basedOn w:val="1"/>
    <w:link w:val="2624"/>
    <w:qFormat/>
    <w:uiPriority w:val="0"/>
    <w:pPr>
      <w:adjustRightInd w:val="0"/>
      <w:spacing w:afterLines="100"/>
      <w:jc w:val="center"/>
      <w:textAlignment w:val="baseline"/>
    </w:pPr>
    <w:rPr>
      <w:rFonts w:eastAsia="黑体" w:cs="Courier New"/>
      <w:b/>
      <w:bCs/>
      <w:kern w:val="0"/>
      <w:sz w:val="24"/>
      <w:szCs w:val="20"/>
    </w:rPr>
  </w:style>
  <w:style w:type="character" w:customStyle="1" w:styleId="2626">
    <w:name w:val="样式85 Char"/>
    <w:link w:val="2627"/>
    <w:qFormat/>
    <w:uiPriority w:val="0"/>
    <w:rPr>
      <w:color w:val="000000"/>
      <w:sz w:val="24"/>
      <w:szCs w:val="24"/>
    </w:rPr>
  </w:style>
  <w:style w:type="paragraph" w:customStyle="1" w:styleId="2627">
    <w:name w:val="样式85"/>
    <w:basedOn w:val="1"/>
    <w:link w:val="2626"/>
    <w:qFormat/>
    <w:uiPriority w:val="0"/>
    <w:pPr>
      <w:adjustRightInd w:val="0"/>
      <w:snapToGrid w:val="0"/>
      <w:spacing w:line="360" w:lineRule="auto"/>
      <w:ind w:firstLine="480" w:firstLineChars="200"/>
      <w:jc w:val="center"/>
    </w:pPr>
    <w:rPr>
      <w:color w:val="000000"/>
      <w:kern w:val="0"/>
      <w:sz w:val="24"/>
    </w:rPr>
  </w:style>
  <w:style w:type="character" w:customStyle="1" w:styleId="2628">
    <w:name w:val="中大页眉 Char"/>
    <w:link w:val="2629"/>
    <w:qFormat/>
    <w:uiPriority w:val="0"/>
    <w:rPr>
      <w:rFonts w:ascii="宋体" w:hAnsi="宋体"/>
      <w:szCs w:val="24"/>
    </w:rPr>
  </w:style>
  <w:style w:type="paragraph" w:customStyle="1" w:styleId="2629">
    <w:name w:val="中大页眉"/>
    <w:basedOn w:val="1"/>
    <w:link w:val="2628"/>
    <w:qFormat/>
    <w:uiPriority w:val="0"/>
    <w:pPr>
      <w:spacing w:line="360" w:lineRule="auto"/>
      <w:jc w:val="center"/>
    </w:pPr>
    <w:rPr>
      <w:rFonts w:ascii="宋体" w:hAnsi="宋体"/>
      <w:kern w:val="0"/>
      <w:sz w:val="20"/>
    </w:rPr>
  </w:style>
  <w:style w:type="character" w:customStyle="1" w:styleId="2630">
    <w:name w:val="章标题 Char Char"/>
    <w:qFormat/>
    <w:uiPriority w:val="0"/>
    <w:rPr>
      <w:rFonts w:eastAsia="宋体" w:cs="宋体"/>
      <w:b/>
      <w:bCs/>
      <w:color w:val="000000"/>
      <w:kern w:val="44"/>
      <w:sz w:val="44"/>
      <w:szCs w:val="44"/>
      <w:lang w:val="en-US" w:eastAsia="zh-CN" w:bidi="ar-SA"/>
    </w:rPr>
  </w:style>
  <w:style w:type="character" w:customStyle="1" w:styleId="2631">
    <w:name w:val="样式 (西文) Times New Roman 四号 首行缩进:  2 字符 Char"/>
    <w:qFormat/>
    <w:uiPriority w:val="0"/>
    <w:rPr>
      <w:rFonts w:cs="宋体"/>
      <w:color w:val="000000"/>
      <w:sz w:val="28"/>
      <w:szCs w:val="24"/>
    </w:rPr>
  </w:style>
  <w:style w:type="character" w:customStyle="1" w:styleId="2632">
    <w:name w:val="正文缩进2字符 Char"/>
    <w:qFormat/>
    <w:uiPriority w:val="0"/>
    <w:rPr>
      <w:sz w:val="24"/>
    </w:rPr>
  </w:style>
  <w:style w:type="character" w:customStyle="1" w:styleId="2633">
    <w:name w:val="中大2级 Char1"/>
    <w:qFormat/>
    <w:uiPriority w:val="0"/>
  </w:style>
  <w:style w:type="character" w:customStyle="1" w:styleId="2634">
    <w:name w:val="表标题（自定义） Char Char"/>
    <w:qFormat/>
    <w:uiPriority w:val="0"/>
    <w:rPr>
      <w:b/>
      <w:color w:val="000000"/>
      <w:sz w:val="24"/>
      <w:szCs w:val="24"/>
    </w:rPr>
  </w:style>
  <w:style w:type="character" w:customStyle="1" w:styleId="2635">
    <w:name w:val="表格、图表名称 Char Char"/>
    <w:qFormat/>
    <w:uiPriority w:val="0"/>
    <w:rPr>
      <w:rFonts w:ascii="宋体" w:hAnsi="宋体" w:cs="宋体"/>
      <w:b/>
      <w:sz w:val="24"/>
    </w:rPr>
  </w:style>
  <w:style w:type="character" w:customStyle="1" w:styleId="2636">
    <w:name w:val="此篇标题3 Char Char"/>
    <w:qFormat/>
    <w:uiPriority w:val="0"/>
    <w:rPr>
      <w:rFonts w:ascii="仿宋_GB2312" w:hAnsi="Arial" w:eastAsia="Times New Roman" w:cs="宋体"/>
      <w:b/>
      <w:sz w:val="24"/>
      <w:szCs w:val="24"/>
    </w:rPr>
  </w:style>
  <w:style w:type="character" w:customStyle="1" w:styleId="2637">
    <w:name w:val="样式 宋体 居中"/>
    <w:qFormat/>
    <w:uiPriority w:val="0"/>
  </w:style>
  <w:style w:type="character" w:customStyle="1" w:styleId="2638">
    <w:name w:val="样式 正文首行缩进 + 首行缩进:  1 字符 Char"/>
    <w:qFormat/>
    <w:uiPriority w:val="0"/>
    <w:rPr>
      <w:sz w:val="24"/>
    </w:rPr>
  </w:style>
  <w:style w:type="character" w:customStyle="1" w:styleId="2639">
    <w:name w:val="样式 样式 正文首行缩进 2 + 段后: 0.5 行"/>
    <w:qFormat/>
    <w:uiPriority w:val="0"/>
  </w:style>
  <w:style w:type="character" w:customStyle="1" w:styleId="2640">
    <w:name w:val="样式 正文缩进正文（首行缩进两字）1s4正文（首行缩进两字） Char正文缩进 Char表正文正文非缩进ALT+Z... Char"/>
    <w:link w:val="2641"/>
    <w:qFormat/>
    <w:uiPriority w:val="0"/>
    <w:rPr>
      <w:rFonts w:ascii="仿宋_GB2312" w:eastAsia="仿宋_GB2312"/>
      <w:color w:val="000000"/>
      <w:kern w:val="2"/>
      <w:sz w:val="24"/>
      <w:szCs w:val="24"/>
      <w:lang w:val="zh-CN"/>
    </w:rPr>
  </w:style>
  <w:style w:type="paragraph" w:customStyle="1" w:styleId="2641">
    <w:name w:val="样式 正文缩进正文（首行缩进两字）1s4正文（首行缩进两字） Char正文缩进 Char表正文正文非缩进ALT+Z..."/>
    <w:basedOn w:val="22"/>
    <w:link w:val="2640"/>
    <w:qFormat/>
    <w:uiPriority w:val="0"/>
    <w:pPr>
      <w:widowControl/>
      <w:tabs>
        <w:tab w:val="left" w:pos="3600"/>
        <w:tab w:val="left" w:pos="6845"/>
      </w:tabs>
      <w:adjustRightInd w:val="0"/>
      <w:snapToGrid w:val="0"/>
      <w:spacing w:line="360" w:lineRule="auto"/>
      <w:ind w:firstLine="480"/>
    </w:pPr>
    <w:rPr>
      <w:rFonts w:ascii="仿宋_GB2312" w:eastAsia="仿宋_GB2312"/>
      <w:color w:val="000000"/>
      <w:lang w:val="zh-CN"/>
    </w:rPr>
  </w:style>
  <w:style w:type="character" w:customStyle="1" w:styleId="2642">
    <w:name w:val="样式 标题 3 Char Char Char Char Char Char Char1标题 3 Char Char Char ..."/>
    <w:qFormat/>
    <w:uiPriority w:val="0"/>
    <w:rPr>
      <w:rFonts w:eastAsia="黑体" w:cs="宋体"/>
      <w:b/>
      <w:bCs/>
      <w:color w:val="000000"/>
      <w:kern w:val="2"/>
      <w:sz w:val="24"/>
      <w:szCs w:val="24"/>
      <w:lang w:val="en-US" w:eastAsia="zh-CN" w:bidi="ar-SA"/>
    </w:rPr>
  </w:style>
  <w:style w:type="character" w:customStyle="1" w:styleId="2643">
    <w:name w:val="表格内容jophy Char Char"/>
    <w:qFormat/>
    <w:uiPriority w:val="0"/>
    <w:rPr>
      <w:szCs w:val="18"/>
    </w:rPr>
  </w:style>
  <w:style w:type="character" w:customStyle="1" w:styleId="2644">
    <w:name w:val="样式 正文文本缩进 2正文文本缩进 2 Char Char Char Char正文文本缩进 2 Char Char + 黑色1 Char"/>
    <w:qFormat/>
    <w:uiPriority w:val="0"/>
    <w:rPr>
      <w:color w:val="000000"/>
      <w:kern w:val="2"/>
      <w:sz w:val="21"/>
      <w:szCs w:val="24"/>
    </w:rPr>
  </w:style>
  <w:style w:type="character" w:customStyle="1" w:styleId="2645">
    <w:name w:val="样式275 Char"/>
    <w:qFormat/>
    <w:uiPriority w:val="0"/>
    <w:rPr>
      <w:rFonts w:ascii="宋体" w:hAnsi="宋体"/>
      <w:color w:val="000000"/>
      <w:kern w:val="2"/>
      <w:sz w:val="24"/>
      <w:szCs w:val="24"/>
    </w:rPr>
  </w:style>
  <w:style w:type="character" w:customStyle="1" w:styleId="2646">
    <w:name w:val="表格居中 Char"/>
    <w:qFormat/>
    <w:uiPriority w:val="0"/>
  </w:style>
  <w:style w:type="character" w:customStyle="1" w:styleId="2647">
    <w:name w:val="zhewen1"/>
    <w:qFormat/>
    <w:uiPriority w:val="0"/>
    <w:rPr>
      <w:rFonts w:hint="default" w:ascii="ˎ̥" w:hAnsi="ˎ̥" w:eastAsia="仿宋_GB2312" w:cs="宋体"/>
      <w:color w:val="333333"/>
      <w:kern w:val="2"/>
      <w:sz w:val="18"/>
      <w:szCs w:val="18"/>
      <w:lang w:val="en-US" w:eastAsia="zh-CN" w:bidi="ar-SA"/>
    </w:rPr>
  </w:style>
  <w:style w:type="character" w:customStyle="1" w:styleId="2648">
    <w:name w:val="报告文本 Char"/>
    <w:qFormat/>
    <w:uiPriority w:val="0"/>
    <w:rPr>
      <w:kern w:val="2"/>
      <w:sz w:val="21"/>
      <w:szCs w:val="22"/>
    </w:rPr>
  </w:style>
  <w:style w:type="character" w:customStyle="1" w:styleId="2649">
    <w:name w:val="华为目录2 Char"/>
    <w:link w:val="2650"/>
    <w:qFormat/>
    <w:uiPriority w:val="0"/>
    <w:rPr>
      <w:rFonts w:ascii="宋体" w:hAnsi="宋体" w:cs="Calibri"/>
      <w:b/>
      <w:kern w:val="2"/>
    </w:rPr>
  </w:style>
  <w:style w:type="paragraph" w:customStyle="1" w:styleId="2650">
    <w:name w:val="华为目录2"/>
    <w:basedOn w:val="75"/>
    <w:link w:val="2649"/>
    <w:qFormat/>
    <w:uiPriority w:val="0"/>
    <w:pPr>
      <w:ind w:left="480"/>
    </w:pPr>
    <w:rPr>
      <w:rFonts w:ascii="宋体" w:hAnsi="宋体" w:cs="Calibri"/>
      <w:b/>
      <w:smallCaps w:val="0"/>
    </w:rPr>
  </w:style>
  <w:style w:type="character" w:customStyle="1" w:styleId="2651">
    <w:name w:val="华正1 Char"/>
    <w:link w:val="2652"/>
    <w:qFormat/>
    <w:uiPriority w:val="0"/>
    <w:rPr>
      <w:rFonts w:eastAsia="黑体"/>
      <w:bCs/>
      <w:kern w:val="44"/>
      <w:sz w:val="30"/>
      <w:szCs w:val="30"/>
    </w:rPr>
  </w:style>
  <w:style w:type="paragraph" w:customStyle="1" w:styleId="2652">
    <w:name w:val="华正1"/>
    <w:basedOn w:val="3"/>
    <w:link w:val="2651"/>
    <w:qFormat/>
    <w:uiPriority w:val="0"/>
    <w:pPr>
      <w:numPr>
        <w:numId w:val="0"/>
      </w:numPr>
      <w:spacing w:before="360" w:after="360"/>
      <w:ind w:left="3545" w:hanging="284"/>
    </w:pPr>
    <w:rPr>
      <w:sz w:val="30"/>
      <w:szCs w:val="30"/>
    </w:rPr>
  </w:style>
  <w:style w:type="paragraph" w:customStyle="1" w:styleId="2653">
    <w:name w:val="样式 样式 报告 + 黑色 首行缩进:  2 字符 段前: 0.3 行 段后: 0.3 行 行距: 最小值 21 磅 + 首行缩..."/>
    <w:basedOn w:val="1"/>
    <w:qFormat/>
    <w:uiPriority w:val="0"/>
    <w:pPr>
      <w:spacing w:before="120" w:after="120" w:line="460" w:lineRule="atLeast"/>
      <w:ind w:firstLine="200" w:firstLineChars="200"/>
    </w:pPr>
    <w:rPr>
      <w:rFonts w:cs="宋体"/>
      <w:color w:val="000000"/>
      <w:sz w:val="24"/>
      <w:szCs w:val="20"/>
    </w:rPr>
  </w:style>
  <w:style w:type="paragraph" w:customStyle="1" w:styleId="2654">
    <w:name w:val="字元 字元 Char Char 字元 字元13"/>
    <w:basedOn w:val="1"/>
    <w:qFormat/>
    <w:uiPriority w:val="0"/>
    <w:rPr>
      <w:sz w:val="24"/>
    </w:rPr>
  </w:style>
  <w:style w:type="paragraph" w:customStyle="1" w:styleId="2655">
    <w:name w:val="报告图题"/>
    <w:basedOn w:val="1"/>
    <w:next w:val="1"/>
    <w:qFormat/>
    <w:uiPriority w:val="0"/>
    <w:pPr>
      <w:spacing w:before="120" w:after="120" w:line="400" w:lineRule="exact"/>
      <w:jc w:val="center"/>
    </w:pPr>
    <w:rPr>
      <w:rFonts w:ascii="黑体" w:eastAsia="黑体"/>
      <w:szCs w:val="20"/>
    </w:rPr>
  </w:style>
  <w:style w:type="paragraph" w:customStyle="1" w:styleId="2656">
    <w:name w:val="样式 报告 + 首行缩进:  2 字符 段前: 0.3 行 段后: 0.3 行3"/>
    <w:basedOn w:val="1"/>
    <w:qFormat/>
    <w:uiPriority w:val="99"/>
    <w:pPr>
      <w:snapToGrid w:val="0"/>
      <w:spacing w:before="160" w:beforeLines="30" w:after="160" w:afterLines="30" w:line="400" w:lineRule="atLeast"/>
    </w:pPr>
    <w:rPr>
      <w:rFonts w:hAnsi="宋体" w:cs="宋体"/>
      <w:b/>
      <w:color w:val="000000"/>
      <w:szCs w:val="22"/>
      <w:u w:val="single" w:color="000000"/>
      <w:lang w:val="zh-CN"/>
    </w:rPr>
  </w:style>
  <w:style w:type="paragraph" w:customStyle="1" w:styleId="2657">
    <w:name w:val="封面1"/>
    <w:basedOn w:val="3"/>
    <w:qFormat/>
    <w:uiPriority w:val="0"/>
    <w:pPr>
      <w:keepNext w:val="0"/>
      <w:keepLines w:val="0"/>
      <w:numPr>
        <w:numId w:val="0"/>
      </w:numPr>
      <w:tabs>
        <w:tab w:val="left" w:pos="432"/>
      </w:tabs>
      <w:spacing w:before="100" w:beforeAutospacing="1" w:after="100" w:afterAutospacing="1" w:line="240" w:lineRule="auto"/>
      <w:ind w:hanging="432"/>
      <w:outlineLvl w:val="9"/>
    </w:pPr>
    <w:rPr>
      <w:rFonts w:ascii="Impact" w:hAnsi="Impact" w:eastAsia="隶书" w:cs="Impact"/>
      <w:bCs w:val="0"/>
      <w:sz w:val="36"/>
      <w:szCs w:val="36"/>
      <w14:shadow w14:blurRad="50800" w14:dist="38100" w14:dir="2700000" w14:sx="100000" w14:sy="100000" w14:kx="0" w14:ky="0" w14:algn="tl">
        <w14:srgbClr w14:val="000000">
          <w14:alpha w14:val="60000"/>
        </w14:srgbClr>
      </w14:shadow>
    </w:rPr>
  </w:style>
  <w:style w:type="paragraph" w:customStyle="1" w:styleId="2658">
    <w:name w:val="正本AM"/>
    <w:basedOn w:val="1"/>
    <w:qFormat/>
    <w:uiPriority w:val="0"/>
    <w:pPr>
      <w:adjustRightInd w:val="0"/>
      <w:snapToGrid w:val="0"/>
      <w:spacing w:line="360" w:lineRule="auto"/>
      <w:ind w:firstLine="576" w:firstLineChars="200"/>
      <w:jc w:val="left"/>
    </w:pPr>
    <w:rPr>
      <w:rFonts w:eastAsia="仿宋_GB2312"/>
      <w:spacing w:val="4"/>
      <w:kern w:val="18"/>
      <w:sz w:val="28"/>
      <w:szCs w:val="28"/>
    </w:rPr>
  </w:style>
  <w:style w:type="paragraph" w:customStyle="1" w:styleId="2659">
    <w:name w:val="华2，标题2，黑体3号"/>
    <w:basedOn w:val="2660"/>
    <w:next w:val="2660"/>
    <w:qFormat/>
    <w:uiPriority w:val="0"/>
    <w:pPr>
      <w:spacing w:before="60"/>
      <w:jc w:val="left"/>
      <w:outlineLvl w:val="1"/>
    </w:pPr>
    <w:rPr>
      <w:rFonts w:ascii="黑体" w:hAnsi="Arial" w:eastAsia="黑体"/>
      <w:lang w:val="en-US"/>
    </w:rPr>
  </w:style>
  <w:style w:type="paragraph" w:customStyle="1" w:styleId="2660">
    <w:name w:val="夏1，正文仿3"/>
    <w:basedOn w:val="1"/>
    <w:qFormat/>
    <w:uiPriority w:val="0"/>
    <w:pPr>
      <w:snapToGrid w:val="0"/>
      <w:spacing w:before="20" w:line="288" w:lineRule="auto"/>
      <w:ind w:firstLine="675"/>
    </w:pPr>
    <w:rPr>
      <w:rFonts w:ascii="仿宋_GB2312" w:eastAsia="仿宋_GB2312"/>
      <w:snapToGrid w:val="0"/>
      <w:spacing w:val="4"/>
      <w:kern w:val="0"/>
      <w:sz w:val="32"/>
      <w:lang w:val="eu-ES"/>
    </w:rPr>
  </w:style>
  <w:style w:type="paragraph" w:customStyle="1" w:styleId="2661">
    <w:name w:val="样式 正文缩进1 + 首行缩进:  2 字符"/>
    <w:basedOn w:val="22"/>
    <w:qFormat/>
    <w:uiPriority w:val="0"/>
    <w:pPr>
      <w:spacing w:line="360" w:lineRule="auto"/>
      <w:ind w:firstLine="480"/>
    </w:pPr>
    <w:rPr>
      <w:rFonts w:ascii="宋体" w:cs="宋体"/>
      <w:szCs w:val="20"/>
    </w:rPr>
  </w:style>
  <w:style w:type="paragraph" w:customStyle="1" w:styleId="2662">
    <w:name w:val="表格正文AECOM"/>
    <w:basedOn w:val="1"/>
    <w:qFormat/>
    <w:uiPriority w:val="0"/>
    <w:pPr>
      <w:jc w:val="center"/>
    </w:pPr>
    <w:rPr>
      <w:szCs w:val="21"/>
    </w:rPr>
  </w:style>
  <w:style w:type="paragraph" w:customStyle="1" w:styleId="2663">
    <w:name w:val="样式 表格2 + 首行缩进:  2 字符"/>
    <w:basedOn w:val="1"/>
    <w:qFormat/>
    <w:uiPriority w:val="0"/>
    <w:pPr>
      <w:autoSpaceDE w:val="0"/>
      <w:autoSpaceDN w:val="0"/>
      <w:adjustRightInd w:val="0"/>
      <w:ind w:firstLine="200" w:firstLineChars="200"/>
      <w:jc w:val="center"/>
      <w:textAlignment w:val="baseline"/>
    </w:pPr>
    <w:rPr>
      <w:rFonts w:ascii="宋体" w:hAnsi="Impact"/>
      <w:kern w:val="24"/>
      <w:position w:val="-28"/>
      <w:sz w:val="24"/>
      <w:szCs w:val="20"/>
    </w:rPr>
  </w:style>
  <w:style w:type="paragraph" w:customStyle="1" w:styleId="2664">
    <w:name w:val="样式 4标 + 小四 段前: 0.5 行 段后: 0.5 行"/>
    <w:basedOn w:val="1"/>
    <w:qFormat/>
    <w:uiPriority w:val="0"/>
    <w:pPr>
      <w:keepNext/>
      <w:keepLines/>
      <w:spacing w:beforeLines="50" w:afterLines="50"/>
      <w:outlineLvl w:val="3"/>
    </w:pPr>
    <w:rPr>
      <w:rFonts w:cs="宋体"/>
      <w:b/>
      <w:spacing w:val="12"/>
      <w:sz w:val="30"/>
      <w:szCs w:val="20"/>
    </w:rPr>
  </w:style>
  <w:style w:type="paragraph" w:customStyle="1" w:styleId="2665">
    <w:name w:val="xl1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color w:val="000000"/>
      <w:kern w:val="0"/>
      <w:sz w:val="24"/>
    </w:rPr>
  </w:style>
  <w:style w:type="paragraph" w:customStyle="1" w:styleId="2666">
    <w:name w:val="样式 表标题 + 宋体 五号 非加粗"/>
    <w:basedOn w:val="8"/>
    <w:qFormat/>
    <w:uiPriority w:val="0"/>
    <w:pPr>
      <w:keepNext w:val="0"/>
      <w:keepLines w:val="0"/>
      <w:numPr>
        <w:ilvl w:val="0"/>
        <w:numId w:val="0"/>
      </w:numPr>
      <w:spacing w:before="0" w:after="0" w:line="240" w:lineRule="auto"/>
      <w:ind w:right="-307" w:rightChars="-128"/>
      <w:jc w:val="center"/>
      <w:outlineLvl w:val="9"/>
    </w:pPr>
    <w:rPr>
      <w:rFonts w:ascii="宋体" w:hAnsi="宋体"/>
      <w:snapToGrid w:val="0"/>
      <w:color w:val="auto"/>
      <w:kern w:val="0"/>
      <w:sz w:val="24"/>
      <w:szCs w:val="24"/>
    </w:rPr>
  </w:style>
  <w:style w:type="paragraph" w:customStyle="1" w:styleId="2667">
    <w:name w:val="样式 标题 2 + 仿宋_GB2312 小三 行距: 1.5 倍行距"/>
    <w:basedOn w:val="4"/>
    <w:qFormat/>
    <w:uiPriority w:val="0"/>
    <w:pPr>
      <w:numPr>
        <w:numId w:val="0"/>
      </w:numPr>
      <w:tabs>
        <w:tab w:val="left" w:pos="720"/>
      </w:tabs>
      <w:adjustRightInd/>
      <w:snapToGrid/>
      <w:spacing w:before="260" w:after="260" w:line="415" w:lineRule="auto"/>
    </w:pPr>
    <w:rPr>
      <w:rFonts w:ascii="仿宋_GB2312" w:hAnsi="宋体" w:eastAsia="仿宋_GB2312"/>
      <w:b/>
      <w:szCs w:val="30"/>
      <w:lang w:val="en-US"/>
    </w:rPr>
  </w:style>
  <w:style w:type="paragraph" w:customStyle="1" w:styleId="2668">
    <w:name w:val="样式 左侧:  0.93 厘米"/>
    <w:basedOn w:val="1"/>
    <w:qFormat/>
    <w:uiPriority w:val="0"/>
    <w:pPr>
      <w:snapToGrid w:val="0"/>
      <w:spacing w:line="360" w:lineRule="auto"/>
      <w:ind w:left="527"/>
    </w:pPr>
    <w:rPr>
      <w:rFonts w:cs="宋体"/>
      <w:sz w:val="24"/>
      <w:szCs w:val="20"/>
    </w:rPr>
  </w:style>
  <w:style w:type="paragraph" w:customStyle="1" w:styleId="2669">
    <w:name w:val="二号标题样式"/>
    <w:basedOn w:val="1"/>
    <w:qFormat/>
    <w:uiPriority w:val="0"/>
    <w:pPr>
      <w:keepNext/>
      <w:keepLines/>
      <w:spacing w:beforeLines="50" w:afterLines="50" w:line="520" w:lineRule="exact"/>
      <w:outlineLvl w:val="2"/>
    </w:pPr>
    <w:rPr>
      <w:rFonts w:ascii="Arial" w:hAnsi="Arial" w:eastAsia="黑体"/>
      <w:sz w:val="28"/>
      <w:szCs w:val="20"/>
    </w:rPr>
  </w:style>
  <w:style w:type="paragraph" w:customStyle="1" w:styleId="2670">
    <w:name w:val="样式 报告 Char Char1 + 首行缩进:  2 字符1"/>
    <w:basedOn w:val="1"/>
    <w:qFormat/>
    <w:uiPriority w:val="0"/>
    <w:pPr>
      <w:widowControl/>
      <w:overflowPunct w:val="0"/>
      <w:autoSpaceDE w:val="0"/>
      <w:autoSpaceDN w:val="0"/>
      <w:adjustRightInd w:val="0"/>
      <w:spacing w:before="120" w:after="120" w:line="460" w:lineRule="atLeast"/>
      <w:ind w:firstLine="200" w:firstLineChars="200"/>
      <w:textAlignment w:val="baseline"/>
    </w:pPr>
    <w:rPr>
      <w:rFonts w:cs="宋体"/>
      <w:kern w:val="0"/>
      <w:sz w:val="24"/>
      <w:szCs w:val="20"/>
    </w:rPr>
  </w:style>
  <w:style w:type="paragraph" w:customStyle="1" w:styleId="2671">
    <w:name w:val="样式 报告 + 左  0 字符"/>
    <w:basedOn w:val="1"/>
    <w:qFormat/>
    <w:uiPriority w:val="0"/>
    <w:pPr>
      <w:overflowPunct w:val="0"/>
      <w:autoSpaceDE w:val="0"/>
      <w:autoSpaceDN w:val="0"/>
      <w:adjustRightInd w:val="0"/>
      <w:spacing w:line="360" w:lineRule="auto"/>
      <w:ind w:firstLine="200" w:firstLineChars="200"/>
      <w:textAlignment w:val="baseline"/>
    </w:pPr>
    <w:rPr>
      <w:rFonts w:cs="宋体"/>
      <w:kern w:val="0"/>
      <w:sz w:val="24"/>
      <w:szCs w:val="20"/>
    </w:rPr>
  </w:style>
  <w:style w:type="paragraph" w:customStyle="1" w:styleId="2672">
    <w:name w:val="样式 正文首行缩进 2 + 首行缩进:  2 字符1 Char"/>
    <w:basedOn w:val="87"/>
    <w:qFormat/>
    <w:uiPriority w:val="0"/>
    <w:pPr>
      <w:widowControl w:val="0"/>
      <w:adjustRightInd/>
      <w:snapToGrid/>
      <w:spacing w:after="120"/>
      <w:ind w:firstLine="480"/>
      <w:jc w:val="both"/>
    </w:pPr>
    <w:rPr>
      <w:rFonts w:ascii="Times New Roman" w:hAnsi="Times New Roman" w:cs="宋体"/>
      <w:snapToGrid/>
      <w:color w:val="auto"/>
      <w:kern w:val="2"/>
    </w:rPr>
  </w:style>
  <w:style w:type="paragraph" w:customStyle="1" w:styleId="2673">
    <w:name w:val="风险评价正文"/>
    <w:basedOn w:val="1"/>
    <w:qFormat/>
    <w:uiPriority w:val="0"/>
    <w:pPr>
      <w:spacing w:line="324" w:lineRule="auto"/>
      <w:ind w:firstLine="512" w:firstLineChars="200"/>
    </w:pPr>
    <w:rPr>
      <w:color w:val="000000"/>
      <w:spacing w:val="8"/>
      <w:sz w:val="24"/>
      <w:szCs w:val="20"/>
    </w:rPr>
  </w:style>
  <w:style w:type="paragraph" w:customStyle="1" w:styleId="2674">
    <w:name w:val="样式 样式 样式 样式 小四 行距: 固定值 23 磅 + 左侧:  0.74 厘米 首行缩进:  0.85 厘米 + 首行缩进..."/>
    <w:basedOn w:val="1"/>
    <w:qFormat/>
    <w:uiPriority w:val="0"/>
    <w:pPr>
      <w:spacing w:line="360" w:lineRule="auto"/>
      <w:ind w:firstLine="200" w:firstLineChars="200"/>
    </w:pPr>
    <w:rPr>
      <w:rFonts w:cs="宋体"/>
      <w:sz w:val="24"/>
      <w:szCs w:val="20"/>
    </w:rPr>
  </w:style>
  <w:style w:type="paragraph" w:customStyle="1" w:styleId="2675">
    <w:name w:val="样式 沥青表 + 宋体 小四"/>
    <w:basedOn w:val="1"/>
    <w:qFormat/>
    <w:uiPriority w:val="0"/>
    <w:pPr>
      <w:adjustRightInd w:val="0"/>
      <w:spacing w:line="0" w:lineRule="atLeast"/>
      <w:jc w:val="center"/>
      <w:textAlignment w:val="baseline"/>
    </w:pPr>
    <w:rPr>
      <w:rFonts w:ascii="宋体" w:hAnsi="宋体"/>
      <w:spacing w:val="10"/>
      <w:sz w:val="24"/>
      <w:szCs w:val="20"/>
    </w:rPr>
  </w:style>
  <w:style w:type="paragraph" w:customStyle="1" w:styleId="2676">
    <w:name w:val="列表段落2"/>
    <w:basedOn w:val="1"/>
    <w:qFormat/>
    <w:uiPriority w:val="99"/>
    <w:pPr>
      <w:ind w:firstLine="420" w:firstLineChars="200"/>
    </w:pPr>
    <w:rPr>
      <w:rFonts w:ascii="Calibri" w:hAnsi="Calibri"/>
      <w:kern w:val="0"/>
      <w:sz w:val="24"/>
    </w:rPr>
  </w:style>
  <w:style w:type="paragraph" w:customStyle="1" w:styleId="2677">
    <w:name w:val="样式 四号 居中"/>
    <w:basedOn w:val="1"/>
    <w:qFormat/>
    <w:uiPriority w:val="0"/>
    <w:pPr>
      <w:spacing w:line="240" w:lineRule="atLeast"/>
      <w:ind w:firstLine="198"/>
      <w:jc w:val="center"/>
    </w:pPr>
    <w:rPr>
      <w:rFonts w:ascii="宋体"/>
      <w:szCs w:val="20"/>
    </w:rPr>
  </w:style>
  <w:style w:type="paragraph" w:customStyle="1" w:styleId="2678">
    <w:name w:val="退格正文"/>
    <w:basedOn w:val="1"/>
    <w:semiHidden/>
    <w:qFormat/>
    <w:uiPriority w:val="0"/>
    <w:pPr>
      <w:adjustRightInd w:val="0"/>
      <w:snapToGrid w:val="0"/>
      <w:spacing w:line="360" w:lineRule="auto"/>
      <w:ind w:firstLine="538" w:firstLineChars="192"/>
    </w:pPr>
    <w:rPr>
      <w:bCs/>
      <w:sz w:val="24"/>
    </w:rPr>
  </w:style>
  <w:style w:type="paragraph" w:customStyle="1" w:styleId="2679">
    <w:name w:val="样式 样式 标题 3 + 右侧:  0.42 厘米 + 右侧:  1 字符"/>
    <w:basedOn w:val="1"/>
    <w:qFormat/>
    <w:uiPriority w:val="0"/>
    <w:pPr>
      <w:keepNext/>
      <w:keepLines/>
      <w:tabs>
        <w:tab w:val="left" w:pos="180"/>
      </w:tabs>
      <w:autoSpaceDE w:val="0"/>
      <w:autoSpaceDN w:val="0"/>
      <w:adjustRightInd w:val="0"/>
      <w:snapToGrid w:val="0"/>
      <w:spacing w:before="240" w:after="120" w:line="300" w:lineRule="auto"/>
      <w:ind w:left="180" w:leftChars="-42" w:right="238" w:hanging="281" w:hangingChars="100"/>
      <w:jc w:val="left"/>
      <w:outlineLvl w:val="2"/>
    </w:pPr>
    <w:rPr>
      <w:rFonts w:ascii="宋体" w:hAnsi="宋体"/>
      <w:b/>
      <w:bCs/>
      <w:sz w:val="28"/>
      <w:szCs w:val="20"/>
    </w:rPr>
  </w:style>
  <w:style w:type="paragraph" w:customStyle="1" w:styleId="2680">
    <w:name w:val="报告样式 Char Char"/>
    <w:basedOn w:val="1"/>
    <w:next w:val="198"/>
    <w:qFormat/>
    <w:uiPriority w:val="0"/>
    <w:rPr>
      <w:sz w:val="24"/>
      <w:szCs w:val="20"/>
    </w:rPr>
  </w:style>
  <w:style w:type="paragraph" w:customStyle="1" w:styleId="2681">
    <w:name w:val="小点"/>
    <w:qFormat/>
    <w:uiPriority w:val="0"/>
    <w:pPr>
      <w:tabs>
        <w:tab w:val="left" w:pos="1830"/>
      </w:tabs>
      <w:adjustRightInd w:val="0"/>
      <w:snapToGrid w:val="0"/>
      <w:spacing w:line="360" w:lineRule="auto"/>
      <w:ind w:left="1830" w:hanging="510"/>
    </w:pPr>
    <w:rPr>
      <w:rFonts w:ascii="宋体" w:hAnsi="宋体" w:eastAsia="宋体" w:cs="Times New Roman"/>
      <w:sz w:val="24"/>
      <w:szCs w:val="24"/>
      <w:lang w:val="en-US" w:eastAsia="zh-CN" w:bidi="ar-SA"/>
    </w:rPr>
  </w:style>
  <w:style w:type="paragraph" w:customStyle="1" w:styleId="2682">
    <w:name w:val="普通(网站)31"/>
    <w:basedOn w:val="1"/>
    <w:semiHidden/>
    <w:qFormat/>
    <w:uiPriority w:val="0"/>
    <w:pPr>
      <w:widowControl/>
      <w:spacing w:before="100" w:beforeAutospacing="1" w:after="100" w:afterAutospacing="1" w:line="360" w:lineRule="auto"/>
      <w:ind w:firstLine="200" w:firstLineChars="200"/>
      <w:jc w:val="left"/>
    </w:pPr>
    <w:rPr>
      <w:rFonts w:ascii="宋体" w:hAnsi="宋体"/>
      <w:kern w:val="0"/>
      <w:sz w:val="24"/>
    </w:rPr>
  </w:style>
  <w:style w:type="paragraph" w:customStyle="1" w:styleId="2683">
    <w:name w:val="华1，标题1，标宋"/>
    <w:basedOn w:val="2660"/>
    <w:next w:val="2660"/>
    <w:qFormat/>
    <w:uiPriority w:val="0"/>
    <w:pPr>
      <w:spacing w:before="360" w:after="300"/>
      <w:ind w:firstLine="0"/>
      <w:jc w:val="center"/>
      <w:outlineLvl w:val="0"/>
    </w:pPr>
    <w:rPr>
      <w:rFonts w:ascii="方正大标宋_GBK" w:hAnsi="Arial" w:eastAsia="方正大标宋_GBK"/>
      <w:spacing w:val="20"/>
      <w:sz w:val="44"/>
      <w:lang w:val="en-US"/>
    </w:rPr>
  </w:style>
  <w:style w:type="paragraph" w:customStyle="1" w:styleId="2684">
    <w:name w:val="麦志勤图标题"/>
    <w:basedOn w:val="1"/>
    <w:qFormat/>
    <w:uiPriority w:val="0"/>
    <w:pPr>
      <w:adjustRightInd w:val="0"/>
      <w:snapToGrid w:val="0"/>
      <w:spacing w:beforeLines="50" w:line="300" w:lineRule="auto"/>
      <w:ind w:firstLine="480" w:firstLineChars="200"/>
    </w:pPr>
    <w:rPr>
      <w:rFonts w:ascii="宋体" w:hAnsi="宋体"/>
      <w:sz w:val="24"/>
    </w:rPr>
  </w:style>
  <w:style w:type="paragraph" w:customStyle="1" w:styleId="2685">
    <w:name w:val="样式 样式 小四 行距: 固定值 23 磅 + 段前: 7.8 磅"/>
    <w:basedOn w:val="2686"/>
    <w:qFormat/>
    <w:uiPriority w:val="0"/>
  </w:style>
  <w:style w:type="paragraph" w:customStyle="1" w:styleId="2686">
    <w:name w:val="样式 小四 行距: 固定值 23 磅"/>
    <w:basedOn w:val="1"/>
    <w:qFormat/>
    <w:uiPriority w:val="0"/>
    <w:pPr>
      <w:spacing w:line="360" w:lineRule="auto"/>
      <w:ind w:firstLine="471"/>
    </w:pPr>
    <w:rPr>
      <w:rFonts w:cs="宋体"/>
      <w:sz w:val="24"/>
      <w:szCs w:val="20"/>
    </w:rPr>
  </w:style>
  <w:style w:type="paragraph" w:customStyle="1" w:styleId="2687">
    <w:name w:val="样式 样式 标题 1 + 居中 + 段前: 12 磅"/>
    <w:basedOn w:val="1"/>
    <w:qFormat/>
    <w:uiPriority w:val="0"/>
    <w:pPr>
      <w:keepNext/>
      <w:keepLines/>
      <w:adjustRightInd w:val="0"/>
      <w:spacing w:before="240" w:after="240" w:line="576" w:lineRule="auto"/>
      <w:jc w:val="center"/>
      <w:textAlignment w:val="baseline"/>
      <w:outlineLvl w:val="0"/>
    </w:pPr>
    <w:rPr>
      <w:rFonts w:ascii="Arial" w:hAnsi="Arial" w:eastAsia="黑体" w:cs="Arial"/>
      <w:b/>
      <w:bCs/>
      <w:kern w:val="44"/>
      <w:sz w:val="32"/>
      <w:szCs w:val="32"/>
    </w:rPr>
  </w:style>
  <w:style w:type="paragraph" w:customStyle="1" w:styleId="2688">
    <w:name w:val="正文22"/>
    <w:basedOn w:val="110"/>
    <w:qFormat/>
    <w:uiPriority w:val="0"/>
    <w:pPr>
      <w:framePr w:wrap="around" w:vAnchor="text" w:hAnchor="text" w:y="1"/>
      <w:spacing w:line="360" w:lineRule="auto"/>
      <w:ind w:firstLine="200" w:firstLineChars="200"/>
      <w:jc w:val="left"/>
    </w:pPr>
    <w:rPr>
      <w:kern w:val="0"/>
    </w:rPr>
  </w:style>
  <w:style w:type="paragraph" w:customStyle="1" w:styleId="2689">
    <w:name w:val="样式 正文文本缩进2 + 首行缩进:  2 字符"/>
    <w:basedOn w:val="1"/>
    <w:qFormat/>
    <w:uiPriority w:val="0"/>
    <w:pPr>
      <w:spacing w:before="120" w:after="120" w:line="460" w:lineRule="exact"/>
      <w:ind w:firstLine="200" w:firstLineChars="200"/>
    </w:pPr>
    <w:rPr>
      <w:rFonts w:cs="宋体"/>
      <w:sz w:val="24"/>
      <w:szCs w:val="20"/>
    </w:rPr>
  </w:style>
  <w:style w:type="paragraph" w:customStyle="1" w:styleId="2690">
    <w:name w:val="tt1"/>
    <w:basedOn w:val="1"/>
    <w:qFormat/>
    <w:uiPriority w:val="0"/>
    <w:pPr>
      <w:widowControl/>
      <w:spacing w:before="100" w:beforeAutospacing="1" w:after="100" w:afterAutospacing="1"/>
      <w:jc w:val="left"/>
    </w:pPr>
    <w:rPr>
      <w:rFonts w:ascii="Arial Unicode MS" w:hAnsi="Arial Unicode MS"/>
      <w:kern w:val="0"/>
      <w:sz w:val="24"/>
    </w:rPr>
  </w:style>
  <w:style w:type="paragraph" w:customStyle="1" w:styleId="2691">
    <w:name w:val="样式 正文首行缩进 + 段后: 0 磅 行距: 固定值 24 磅"/>
    <w:basedOn w:val="86"/>
    <w:qFormat/>
    <w:uiPriority w:val="0"/>
    <w:pPr>
      <w:widowControl w:val="0"/>
      <w:adjustRightInd/>
      <w:snapToGrid/>
      <w:spacing w:line="324" w:lineRule="auto"/>
      <w:ind w:firstLine="194" w:firstLineChars="194"/>
    </w:pPr>
    <w:rPr>
      <w:snapToGrid/>
      <w:color w:val="auto"/>
      <w:spacing w:val="8"/>
      <w:kern w:val="2"/>
    </w:rPr>
  </w:style>
  <w:style w:type="paragraph" w:customStyle="1" w:styleId="2692">
    <w:name w:val="表格 21"/>
    <w:qFormat/>
    <w:uiPriority w:val="0"/>
    <w:pPr>
      <w:widowControl w:val="0"/>
      <w:autoSpaceDE w:val="0"/>
      <w:autoSpaceDN w:val="0"/>
      <w:adjustRightInd w:val="0"/>
      <w:jc w:val="center"/>
      <w:textAlignment w:val="baseline"/>
    </w:pPr>
    <w:rPr>
      <w:rFonts w:ascii="Times New Roman" w:hAnsi="Times New Roman" w:eastAsia="仿宋体" w:cs="Times New Roman"/>
      <w:sz w:val="28"/>
      <w:lang w:val="en-US" w:eastAsia="zh-CN" w:bidi="ar-SA"/>
    </w:rPr>
  </w:style>
  <w:style w:type="paragraph" w:customStyle="1" w:styleId="2693">
    <w:name w:val="样式 样式 样式 表格文字 + 段前: 0.2 行 段后: 0.2 行 + 加粗 + 段前: 0.2 行 段后: 0.2 行..."/>
    <w:basedOn w:val="1"/>
    <w:next w:val="1"/>
    <w:qFormat/>
    <w:uiPriority w:val="99"/>
    <w:pPr>
      <w:tabs>
        <w:tab w:val="left" w:pos="-2848"/>
      </w:tabs>
      <w:spacing w:beforeLines="10" w:afterLines="10" w:line="360" w:lineRule="auto"/>
    </w:pPr>
    <w:rPr>
      <w:rFonts w:ascii="Calibri" w:hAnsi="Calibri" w:cs="宋体"/>
      <w:position w:val="-10"/>
      <w:szCs w:val="20"/>
    </w:rPr>
  </w:style>
  <w:style w:type="paragraph" w:customStyle="1" w:styleId="2694">
    <w:name w:val="样式 标题 4H4heading 4 + Indent: Left 0.5 in标题3a1.1.1.1 Heading ...1"/>
    <w:basedOn w:val="7"/>
    <w:qFormat/>
    <w:uiPriority w:val="0"/>
    <w:pPr>
      <w:numPr>
        <w:ilvl w:val="0"/>
        <w:numId w:val="0"/>
      </w:numPr>
      <w:tabs>
        <w:tab w:val="left" w:pos="720"/>
      </w:tabs>
      <w:snapToGrid w:val="0"/>
      <w:spacing w:beforeAutospacing="1" w:afterAutospacing="1"/>
      <w:textAlignment w:val="baseline"/>
    </w:pPr>
    <w:rPr>
      <w:rFonts w:hAnsi="宋体" w:eastAsia="宋体" w:cs="宋体"/>
      <w:b/>
      <w:kern w:val="0"/>
      <w:szCs w:val="20"/>
    </w:rPr>
  </w:style>
  <w:style w:type="paragraph" w:customStyle="1" w:styleId="2695">
    <w:name w:val="表头5"/>
    <w:basedOn w:val="1"/>
    <w:qFormat/>
    <w:uiPriority w:val="0"/>
    <w:pPr>
      <w:tabs>
        <w:tab w:val="left" w:pos="720"/>
      </w:tabs>
      <w:adjustRightInd w:val="0"/>
      <w:snapToGrid w:val="0"/>
      <w:spacing w:beforeLines="100" w:afterLines="50" w:line="240" w:lineRule="atLeast"/>
      <w:ind w:left="950" w:leftChars="250"/>
    </w:pPr>
    <w:rPr>
      <w:b/>
      <w:sz w:val="24"/>
    </w:rPr>
  </w:style>
  <w:style w:type="paragraph" w:customStyle="1" w:styleId="2696">
    <w:name w:val="麦志勤表格式"/>
    <w:basedOn w:val="1"/>
    <w:qFormat/>
    <w:uiPriority w:val="0"/>
    <w:pPr>
      <w:adjustRightInd w:val="0"/>
      <w:snapToGrid w:val="0"/>
      <w:spacing w:line="0" w:lineRule="atLeast"/>
      <w:jc w:val="center"/>
    </w:pPr>
    <w:rPr>
      <w:rFonts w:ascii="宋体" w:hAnsi="宋体"/>
      <w:sz w:val="24"/>
      <w:szCs w:val="20"/>
    </w:rPr>
  </w:style>
  <w:style w:type="paragraph" w:customStyle="1" w:styleId="2697">
    <w:name w:val="正文2002"/>
    <w:basedOn w:val="1"/>
    <w:qFormat/>
    <w:uiPriority w:val="0"/>
  </w:style>
  <w:style w:type="paragraph" w:customStyle="1" w:styleId="2698">
    <w:name w:val="主题"/>
    <w:basedOn w:val="1"/>
    <w:next w:val="1"/>
    <w:qFormat/>
    <w:uiPriority w:val="99"/>
    <w:pPr>
      <w:autoSpaceDE w:val="0"/>
      <w:autoSpaceDN w:val="0"/>
      <w:adjustRightInd w:val="0"/>
      <w:spacing w:line="468" w:lineRule="atLeast"/>
      <w:jc w:val="left"/>
    </w:pPr>
    <w:rPr>
      <w:rFonts w:ascii="仿宋_GB2312" w:hAnsi="Calibri" w:eastAsia="黑体"/>
      <w:kern w:val="0"/>
      <w:szCs w:val="21"/>
    </w:rPr>
  </w:style>
  <w:style w:type="paragraph" w:customStyle="1" w:styleId="2699">
    <w:name w:val="样式 样式 样式 标题 3标题 33 + 段前: 0.5 行 + 段前: 0.5 行 + 段前: 6 磅 段后: 0.5 行"/>
    <w:basedOn w:val="1"/>
    <w:qFormat/>
    <w:uiPriority w:val="99"/>
    <w:pPr>
      <w:keepNext/>
      <w:keepLines/>
      <w:spacing w:line="360" w:lineRule="auto"/>
      <w:ind w:firstLine="480" w:firstLineChars="200"/>
      <w:outlineLvl w:val="2"/>
    </w:pPr>
    <w:rPr>
      <w:rFonts w:ascii="黑体" w:hAnsi="宋体" w:eastAsia="黑体"/>
      <w:snapToGrid w:val="0"/>
      <w:color w:val="000000"/>
      <w:kern w:val="0"/>
      <w:sz w:val="24"/>
      <w:szCs w:val="20"/>
    </w:rPr>
  </w:style>
  <w:style w:type="paragraph" w:customStyle="1" w:styleId="2700">
    <w:name w:val="样式 样式 报告 + 左  0 字符 + 段后: 7.8 磅"/>
    <w:basedOn w:val="2671"/>
    <w:qFormat/>
    <w:uiPriority w:val="0"/>
  </w:style>
  <w:style w:type="paragraph" w:customStyle="1" w:styleId="2701">
    <w:name w:val="样式 表格 + 左侧:  1 字符"/>
    <w:basedOn w:val="1"/>
    <w:qFormat/>
    <w:uiPriority w:val="0"/>
    <w:pPr>
      <w:widowControl/>
      <w:spacing w:line="360" w:lineRule="auto"/>
    </w:pPr>
    <w:rPr>
      <w:rFonts w:ascii="Arial" w:hAnsi="Arial" w:cs="宋体"/>
      <w:kern w:val="0"/>
      <w:sz w:val="28"/>
      <w:szCs w:val="20"/>
    </w:rPr>
  </w:style>
  <w:style w:type="paragraph" w:customStyle="1" w:styleId="2702">
    <w:name w:val="xl1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cs="宋体"/>
      <w:b/>
      <w:bCs/>
      <w:color w:val="000000"/>
      <w:kern w:val="0"/>
      <w:sz w:val="20"/>
      <w:szCs w:val="20"/>
    </w:rPr>
  </w:style>
  <w:style w:type="paragraph" w:customStyle="1" w:styleId="2703">
    <w:name w:val="样式 小四 黑色 首行缩进:  0.85 厘米 行距: 固定值 22 磅"/>
    <w:basedOn w:val="1"/>
    <w:qFormat/>
    <w:uiPriority w:val="0"/>
    <w:pPr>
      <w:spacing w:line="440" w:lineRule="exact"/>
      <w:ind w:firstLine="482"/>
    </w:pPr>
    <w:rPr>
      <w:rFonts w:cs="宋体"/>
      <w:color w:val="000000"/>
      <w:sz w:val="24"/>
      <w:szCs w:val="20"/>
    </w:rPr>
  </w:style>
  <w:style w:type="paragraph" w:customStyle="1" w:styleId="2704">
    <w:name w:val="表格3"/>
    <w:basedOn w:val="1"/>
    <w:next w:val="1"/>
    <w:qFormat/>
    <w:uiPriority w:val="0"/>
    <w:pPr>
      <w:adjustRightInd w:val="0"/>
      <w:jc w:val="center"/>
      <w:textAlignment w:val="baseline"/>
    </w:pPr>
    <w:rPr>
      <w:kern w:val="0"/>
      <w:sz w:val="24"/>
      <w:szCs w:val="20"/>
    </w:rPr>
  </w:style>
  <w:style w:type="paragraph" w:customStyle="1" w:styleId="2705">
    <w:name w:val="报告2"/>
    <w:basedOn w:val="1"/>
    <w:qFormat/>
    <w:uiPriority w:val="99"/>
    <w:pPr>
      <w:overflowPunct w:val="0"/>
      <w:autoSpaceDE w:val="0"/>
      <w:autoSpaceDN w:val="0"/>
      <w:adjustRightInd w:val="0"/>
      <w:snapToGrid w:val="0"/>
      <w:spacing w:before="120" w:after="120" w:line="400" w:lineRule="atLeast"/>
      <w:ind w:left="1200" w:leftChars="400" w:hanging="360" w:hangingChars="150"/>
      <w:textAlignment w:val="baseline"/>
    </w:pPr>
    <w:rPr>
      <w:rFonts w:hAnsi="宋体" w:cs="宋体"/>
      <w:color w:val="000000"/>
      <w:kern w:val="0"/>
      <w:szCs w:val="20"/>
      <w:lang w:val="zh-CN"/>
    </w:rPr>
  </w:style>
  <w:style w:type="paragraph" w:customStyle="1" w:styleId="2706">
    <w:name w:val="小五"/>
    <w:basedOn w:val="1"/>
    <w:qFormat/>
    <w:uiPriority w:val="0"/>
    <w:pPr>
      <w:jc w:val="center"/>
    </w:pPr>
    <w:rPr>
      <w:sz w:val="18"/>
    </w:rPr>
  </w:style>
  <w:style w:type="paragraph" w:customStyle="1" w:styleId="2707">
    <w:name w:val="样式 题注 + 仿宋_GB2312 小四 加粗 居中"/>
    <w:basedOn w:val="23"/>
    <w:qFormat/>
    <w:uiPriority w:val="0"/>
    <w:pPr>
      <w:spacing w:before="120" w:line="480" w:lineRule="exact"/>
      <w:ind w:firstLine="471"/>
      <w:jc w:val="center"/>
    </w:pPr>
    <w:rPr>
      <w:rFonts w:ascii="黑体" w:cs="宋体"/>
      <w:sz w:val="24"/>
      <w:szCs w:val="24"/>
    </w:rPr>
  </w:style>
  <w:style w:type="paragraph" w:customStyle="1" w:styleId="2708">
    <w:name w:val="表中文字yan"/>
    <w:basedOn w:val="1"/>
    <w:qFormat/>
    <w:uiPriority w:val="0"/>
    <w:pPr>
      <w:jc w:val="center"/>
    </w:pPr>
    <w:rPr>
      <w:rFonts w:ascii="Trebuchet MS" w:hAnsi="Trebuchet MS" w:cs="Trebuchet MS"/>
      <w:szCs w:val="21"/>
    </w:rPr>
  </w:style>
  <w:style w:type="paragraph" w:customStyle="1" w:styleId="2709">
    <w:name w:val="标题D"/>
    <w:qFormat/>
    <w:uiPriority w:val="99"/>
    <w:pPr>
      <w:adjustRightInd w:val="0"/>
      <w:snapToGrid w:val="0"/>
      <w:spacing w:before="240" w:line="360" w:lineRule="auto"/>
      <w:outlineLvl w:val="3"/>
    </w:pPr>
    <w:rPr>
      <w:rFonts w:ascii="Times New Roman" w:hAnsi="Times New Roman" w:eastAsia="宋体" w:cs="Times New Roman"/>
      <w:b/>
      <w:sz w:val="24"/>
      <w:lang w:val="en-US" w:eastAsia="zh-CN" w:bidi="ar-SA"/>
    </w:rPr>
  </w:style>
  <w:style w:type="paragraph" w:customStyle="1" w:styleId="2710">
    <w:name w:val="参考书"/>
    <w:basedOn w:val="1"/>
    <w:qFormat/>
    <w:uiPriority w:val="0"/>
    <w:pPr>
      <w:tabs>
        <w:tab w:val="left" w:pos="980"/>
        <w:tab w:val="left" w:pos="1140"/>
      </w:tabs>
      <w:adjustRightInd w:val="0"/>
      <w:spacing w:before="60" w:after="60" w:line="264" w:lineRule="auto"/>
      <w:ind w:left="1140" w:hanging="420"/>
      <w:jc w:val="left"/>
      <w:textAlignment w:val="baseline"/>
    </w:pPr>
    <w:rPr>
      <w:spacing w:val="8"/>
      <w:kern w:val="0"/>
      <w:sz w:val="24"/>
      <w:szCs w:val="20"/>
    </w:rPr>
  </w:style>
  <w:style w:type="paragraph" w:customStyle="1" w:styleId="2711">
    <w:name w:val="样式 表格（hwl) + + 11 磅 + 左侧:  -0.35 字符"/>
    <w:basedOn w:val="2331"/>
    <w:qFormat/>
    <w:uiPriority w:val="0"/>
    <w:pPr>
      <w:ind w:left="-84"/>
    </w:pPr>
    <w:rPr>
      <w:rFonts w:cs="宋体"/>
      <w:szCs w:val="22"/>
    </w:rPr>
  </w:style>
  <w:style w:type="paragraph" w:customStyle="1" w:styleId="2712">
    <w:name w:val="标题 23"/>
    <w:basedOn w:val="1"/>
    <w:qFormat/>
    <w:uiPriority w:val="0"/>
  </w:style>
  <w:style w:type="paragraph" w:customStyle="1" w:styleId="2713">
    <w:name w:val="修改"/>
    <w:basedOn w:val="1"/>
    <w:qFormat/>
    <w:uiPriority w:val="0"/>
    <w:pPr>
      <w:overflowPunct w:val="0"/>
      <w:autoSpaceDE w:val="0"/>
      <w:autoSpaceDN w:val="0"/>
      <w:adjustRightInd w:val="0"/>
      <w:spacing w:before="120" w:after="120" w:line="400" w:lineRule="atLeast"/>
      <w:ind w:firstLine="480" w:firstLineChars="200"/>
      <w:textAlignment w:val="baseline"/>
    </w:pPr>
    <w:rPr>
      <w:i/>
      <w:kern w:val="0"/>
      <w:sz w:val="24"/>
      <w:szCs w:val="20"/>
      <w:u w:val="wave"/>
    </w:rPr>
  </w:style>
  <w:style w:type="paragraph" w:customStyle="1" w:styleId="2714">
    <w:name w:val="中文表标题"/>
    <w:basedOn w:val="1"/>
    <w:next w:val="1"/>
    <w:qFormat/>
    <w:uiPriority w:val="0"/>
    <w:pPr>
      <w:keepNext/>
      <w:widowControl/>
      <w:overflowPunct w:val="0"/>
      <w:adjustRightInd w:val="0"/>
      <w:snapToGrid w:val="0"/>
      <w:spacing w:before="480" w:after="360" w:line="500" w:lineRule="exact"/>
      <w:ind w:firstLine="200" w:firstLineChars="200"/>
      <w:jc w:val="center"/>
      <w:textAlignment w:val="baseline"/>
    </w:pPr>
    <w:rPr>
      <w:rFonts w:eastAsia="仿宋_GB2312"/>
      <w:kern w:val="0"/>
      <w:sz w:val="28"/>
      <w:szCs w:val="20"/>
    </w:rPr>
  </w:style>
  <w:style w:type="paragraph" w:customStyle="1" w:styleId="2715">
    <w:name w:val="封面2"/>
    <w:basedOn w:val="1"/>
    <w:qFormat/>
    <w:uiPriority w:val="99"/>
    <w:pPr>
      <w:jc w:val="center"/>
    </w:pPr>
    <w:rPr>
      <w:b/>
      <w:sz w:val="44"/>
    </w:rPr>
  </w:style>
  <w:style w:type="paragraph" w:customStyle="1" w:styleId="2716">
    <w:name w:val="样式 标题 3公路3江门样式3标题 13ReHead 3 WSAh3H3B Head小标题小节标题H31..."/>
    <w:basedOn w:val="5"/>
    <w:qFormat/>
    <w:uiPriority w:val="0"/>
    <w:pPr>
      <w:widowControl w:val="0"/>
      <w:numPr>
        <w:ilvl w:val="0"/>
        <w:numId w:val="0"/>
      </w:numPr>
      <w:tabs>
        <w:tab w:val="left" w:pos="683"/>
        <w:tab w:val="left" w:pos="720"/>
      </w:tabs>
      <w:adjustRightInd/>
      <w:spacing w:before="120" w:after="60"/>
      <w:ind w:left="683" w:hanging="323"/>
      <w:jc w:val="both"/>
      <w:textAlignment w:val="auto"/>
    </w:pPr>
    <w:rPr>
      <w:rFonts w:eastAsia="宋体" w:cs="宋体"/>
      <w:b/>
      <w:bCs/>
      <w:color w:val="auto"/>
      <w:kern w:val="2"/>
      <w:lang w:val="zh-CN"/>
    </w:rPr>
  </w:style>
  <w:style w:type="paragraph" w:customStyle="1" w:styleId="2717">
    <w:name w:val="样式 标题 1一、1.标题 1H1标题 1 CharHead 1wsah1Chapter Headline章c..."/>
    <w:basedOn w:val="3"/>
    <w:qFormat/>
    <w:uiPriority w:val="0"/>
    <w:pPr>
      <w:widowControl/>
      <w:numPr>
        <w:numId w:val="0"/>
      </w:numPr>
      <w:spacing w:line="480" w:lineRule="auto"/>
    </w:pPr>
    <w:rPr>
      <w:rFonts w:ascii="宋体" w:hAnsi="宋体" w:eastAsia="宋体" w:cs="宋体"/>
      <w:bCs w:val="0"/>
      <w:color w:val="000000"/>
      <w:sz w:val="40"/>
      <w:lang w:val="en-GB"/>
    </w:rPr>
  </w:style>
  <w:style w:type="paragraph" w:customStyle="1" w:styleId="2718">
    <w:name w:val="样式61"/>
    <w:basedOn w:val="1309"/>
    <w:qFormat/>
    <w:uiPriority w:val="0"/>
    <w:pPr>
      <w:widowControl/>
      <w:spacing w:line="240" w:lineRule="auto"/>
    </w:pPr>
    <w:rPr>
      <w:rFonts w:cs="Times New Roman"/>
      <w:color w:val="auto"/>
      <w:kern w:val="0"/>
      <w:szCs w:val="20"/>
    </w:rPr>
  </w:style>
  <w:style w:type="paragraph" w:customStyle="1" w:styleId="2719">
    <w:name w:val="样式 表标题 + 首行缩进:  2 字符 段后: 0.2 行"/>
    <w:basedOn w:val="8"/>
    <w:qFormat/>
    <w:uiPriority w:val="0"/>
    <w:pPr>
      <w:keepNext w:val="0"/>
      <w:keepLines w:val="0"/>
      <w:numPr>
        <w:ilvl w:val="0"/>
        <w:numId w:val="0"/>
      </w:numPr>
      <w:spacing w:before="120" w:afterLines="20" w:line="360" w:lineRule="auto"/>
      <w:ind w:firstLine="480" w:firstLineChars="200"/>
      <w:jc w:val="center"/>
      <w:outlineLvl w:val="9"/>
    </w:pPr>
    <w:rPr>
      <w:rFonts w:ascii="宋体" w:hAnsi="宋体" w:eastAsia="黑体" w:cs="宋体"/>
      <w:bCs w:val="0"/>
      <w:color w:val="auto"/>
      <w:kern w:val="0"/>
      <w:sz w:val="24"/>
      <w:szCs w:val="20"/>
    </w:rPr>
  </w:style>
  <w:style w:type="paragraph" w:customStyle="1" w:styleId="2720">
    <w:name w:val="标题3（杨）"/>
    <w:basedOn w:val="5"/>
    <w:qFormat/>
    <w:uiPriority w:val="0"/>
    <w:pPr>
      <w:widowControl w:val="0"/>
      <w:numPr>
        <w:ilvl w:val="0"/>
        <w:numId w:val="0"/>
      </w:numPr>
      <w:tabs>
        <w:tab w:val="left" w:pos="720"/>
      </w:tabs>
      <w:adjustRightInd/>
      <w:textAlignment w:val="auto"/>
    </w:pPr>
    <w:rPr>
      <w:b/>
      <w:bCs/>
      <w:color w:val="auto"/>
      <w:kern w:val="2"/>
      <w:szCs w:val="32"/>
    </w:rPr>
  </w:style>
  <w:style w:type="paragraph" w:customStyle="1" w:styleId="2721">
    <w:name w:val="样式 标题 3 + (西文) 黑体 小四 段前: 7.8 磅 段后: 7.8 磅 行距: 1.5 倍行距"/>
    <w:basedOn w:val="5"/>
    <w:qFormat/>
    <w:uiPriority w:val="99"/>
    <w:pPr>
      <w:widowControl w:val="0"/>
      <w:numPr>
        <w:numId w:val="0"/>
      </w:numPr>
      <w:tabs>
        <w:tab w:val="left" w:pos="720"/>
      </w:tabs>
      <w:adjustRightInd/>
      <w:snapToGrid w:val="0"/>
      <w:spacing w:before="260" w:beforeLines="100" w:after="156"/>
      <w:ind w:firstLine="480" w:firstLineChars="200"/>
      <w:jc w:val="both"/>
      <w:textAlignment w:val="auto"/>
    </w:pPr>
    <w:rPr>
      <w:rFonts w:ascii="黑体" w:hAnsi="Calibri" w:eastAsia="宋体" w:cs="宋体"/>
      <w:b/>
      <w:color w:val="auto"/>
      <w:kern w:val="2"/>
      <w:szCs w:val="32"/>
    </w:rPr>
  </w:style>
  <w:style w:type="paragraph" w:customStyle="1" w:styleId="2722">
    <w:name w:val="xl1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b/>
      <w:bCs/>
      <w:color w:val="000000"/>
      <w:kern w:val="0"/>
      <w:sz w:val="22"/>
      <w:szCs w:val="22"/>
    </w:rPr>
  </w:style>
  <w:style w:type="paragraph" w:customStyle="1" w:styleId="2723">
    <w:name w:val="样式 报告 Char Char + 段前: 1 行"/>
    <w:basedOn w:val="1"/>
    <w:qFormat/>
    <w:uiPriority w:val="0"/>
    <w:pPr>
      <w:overflowPunct w:val="0"/>
      <w:autoSpaceDE w:val="0"/>
      <w:autoSpaceDN w:val="0"/>
      <w:adjustRightInd w:val="0"/>
      <w:spacing w:line="360" w:lineRule="auto"/>
      <w:ind w:firstLine="200" w:firstLineChars="200"/>
      <w:textAlignment w:val="baseline"/>
    </w:pPr>
    <w:rPr>
      <w:rFonts w:cs="宋体"/>
      <w:kern w:val="0"/>
      <w:sz w:val="24"/>
      <w:szCs w:val="20"/>
    </w:rPr>
  </w:style>
  <w:style w:type="paragraph" w:customStyle="1" w:styleId="2724">
    <w:name w:val="日期4"/>
    <w:basedOn w:val="1"/>
    <w:next w:val="1"/>
    <w:qFormat/>
    <w:uiPriority w:val="0"/>
    <w:pPr>
      <w:adjustRightInd w:val="0"/>
      <w:spacing w:line="360" w:lineRule="auto"/>
      <w:textAlignment w:val="baseline"/>
    </w:pPr>
    <w:rPr>
      <w:sz w:val="24"/>
      <w:szCs w:val="20"/>
    </w:rPr>
  </w:style>
  <w:style w:type="paragraph" w:customStyle="1" w:styleId="2725">
    <w:name w:val="正文61"/>
    <w:basedOn w:val="1"/>
    <w:semiHidden/>
    <w:qFormat/>
    <w:uiPriority w:val="0"/>
    <w:pPr>
      <w:adjustRightInd w:val="0"/>
      <w:spacing w:line="315" w:lineRule="atLeast"/>
      <w:jc w:val="left"/>
    </w:pPr>
    <w:rPr>
      <w:kern w:val="0"/>
      <w:szCs w:val="20"/>
    </w:rPr>
  </w:style>
  <w:style w:type="paragraph" w:customStyle="1" w:styleId="2726">
    <w:name w:val="样式 正文文本缩进 + 左侧:  2 字符1"/>
    <w:basedOn w:val="36"/>
    <w:qFormat/>
    <w:uiPriority w:val="99"/>
    <w:pPr>
      <w:widowControl/>
      <w:spacing w:line="360" w:lineRule="auto"/>
      <w:ind w:left="0" w:leftChars="0" w:firstLine="420"/>
      <w:jc w:val="left"/>
    </w:pPr>
    <w:rPr>
      <w:rFonts w:cs="宋体"/>
      <w:sz w:val="24"/>
    </w:rPr>
  </w:style>
  <w:style w:type="paragraph" w:customStyle="1" w:styleId="2727">
    <w:name w:val="样式 标题 4Subsection + 首行缩进:  2 字符"/>
    <w:basedOn w:val="7"/>
    <w:qFormat/>
    <w:uiPriority w:val="0"/>
    <w:pPr>
      <w:numPr>
        <w:numId w:val="0"/>
      </w:numPr>
      <w:tabs>
        <w:tab w:val="left" w:pos="720"/>
        <w:tab w:val="left" w:pos="2100"/>
      </w:tabs>
      <w:adjustRightInd/>
      <w:snapToGrid w:val="0"/>
      <w:spacing w:before="156" w:beforeLines="50" w:after="156" w:afterLines="50"/>
      <w:ind w:left="2100" w:hanging="420"/>
    </w:pPr>
    <w:rPr>
      <w:rFonts w:ascii="Arial" w:hAnsi="Arial"/>
      <w:b/>
      <w:sz w:val="28"/>
      <w:lang w:val="zh-CN"/>
    </w:rPr>
  </w:style>
  <w:style w:type="paragraph" w:customStyle="1" w:styleId="2728">
    <w:name w:val="样式 标题 3 + 段前: 6 磅 段后: 0 磅2"/>
    <w:basedOn w:val="5"/>
    <w:qFormat/>
    <w:uiPriority w:val="0"/>
    <w:pPr>
      <w:widowControl w:val="0"/>
      <w:numPr>
        <w:numId w:val="0"/>
      </w:numPr>
      <w:tabs>
        <w:tab w:val="left" w:pos="180"/>
        <w:tab w:val="left" w:pos="720"/>
      </w:tabs>
      <w:autoSpaceDE w:val="0"/>
      <w:autoSpaceDN w:val="0"/>
      <w:spacing w:line="300" w:lineRule="auto"/>
      <w:ind w:left="357" w:right="240" w:rightChars="100" w:hanging="357"/>
      <w:jc w:val="both"/>
      <w:textAlignment w:val="auto"/>
    </w:pPr>
    <w:rPr>
      <w:rFonts w:ascii="宋体" w:hAnsi="宋体" w:eastAsia="宋体"/>
      <w:b/>
      <w:bCs/>
      <w:color w:val="auto"/>
      <w:spacing w:val="8"/>
      <w:kern w:val="2"/>
      <w:lang w:val="zh-CN"/>
    </w:rPr>
  </w:style>
  <w:style w:type="paragraph" w:customStyle="1" w:styleId="2729">
    <w:name w:val="封面单位"/>
    <w:basedOn w:val="1"/>
    <w:qFormat/>
    <w:uiPriority w:val="0"/>
    <w:pPr>
      <w:tabs>
        <w:tab w:val="right" w:leader="middleDot" w:pos="8222"/>
      </w:tabs>
      <w:spacing w:line="360" w:lineRule="auto"/>
      <w:jc w:val="center"/>
    </w:pPr>
    <w:rPr>
      <w:rFonts w:ascii="楷体_GB2312" w:eastAsia="楷体_GB2312"/>
      <w:b/>
      <w:sz w:val="36"/>
      <w:szCs w:val="20"/>
    </w:rPr>
  </w:style>
  <w:style w:type="paragraph" w:customStyle="1" w:styleId="2730">
    <w:name w:val="样式 标题 4H4Subsection + 黑色"/>
    <w:basedOn w:val="7"/>
    <w:qFormat/>
    <w:uiPriority w:val="0"/>
    <w:pPr>
      <w:keepNext w:val="0"/>
      <w:keepLines w:val="0"/>
      <w:numPr>
        <w:numId w:val="0"/>
      </w:numPr>
      <w:tabs>
        <w:tab w:val="left" w:pos="-480"/>
        <w:tab w:val="left" w:pos="720"/>
        <w:tab w:val="left" w:pos="858"/>
      </w:tabs>
      <w:snapToGrid w:val="0"/>
      <w:ind w:left="858" w:firstLine="482" w:firstLineChars="200"/>
    </w:pPr>
    <w:rPr>
      <w:rFonts w:eastAsia="宋体"/>
      <w:b/>
      <w:color w:val="000000"/>
      <w:sz w:val="28"/>
      <w:lang w:val="zh-CN"/>
    </w:rPr>
  </w:style>
  <w:style w:type="paragraph" w:customStyle="1" w:styleId="2731">
    <w:name w:val="样式 标题 4 + 段前: 5 磅 段后: 5 磅"/>
    <w:basedOn w:val="7"/>
    <w:qFormat/>
    <w:uiPriority w:val="0"/>
    <w:pPr>
      <w:numPr>
        <w:ilvl w:val="0"/>
        <w:numId w:val="0"/>
      </w:numPr>
      <w:tabs>
        <w:tab w:val="left" w:pos="624"/>
        <w:tab w:val="left" w:pos="720"/>
      </w:tabs>
      <w:spacing w:before="100" w:after="100" w:afterAutospacing="1"/>
      <w:ind w:left="624" w:hanging="864"/>
    </w:pPr>
    <w:rPr>
      <w:rFonts w:hAnsi="Arial" w:eastAsia="宋体"/>
      <w:b/>
      <w:kern w:val="0"/>
      <w:szCs w:val="24"/>
    </w:rPr>
  </w:style>
  <w:style w:type="paragraph" w:customStyle="1" w:styleId="2732">
    <w:name w:val="空行"/>
    <w:basedOn w:val="1"/>
    <w:qFormat/>
    <w:uiPriority w:val="0"/>
    <w:pPr>
      <w:adjustRightInd w:val="0"/>
      <w:snapToGrid w:val="0"/>
      <w:spacing w:before="40" w:after="40" w:line="288" w:lineRule="auto"/>
      <w:ind w:left="454" w:firstLine="200" w:firstLineChars="200"/>
    </w:pPr>
    <w:rPr>
      <w:bCs/>
      <w:sz w:val="10"/>
      <w:szCs w:val="20"/>
    </w:rPr>
  </w:style>
  <w:style w:type="paragraph" w:customStyle="1" w:styleId="2733">
    <w:name w:val="居中正文"/>
    <w:basedOn w:val="86"/>
    <w:qFormat/>
    <w:uiPriority w:val="0"/>
    <w:pPr>
      <w:widowControl w:val="0"/>
      <w:snapToGrid/>
      <w:spacing w:beforeLines="50" w:line="360" w:lineRule="auto"/>
      <w:ind w:firstLine="0" w:firstLineChars="0"/>
      <w:jc w:val="center"/>
    </w:pPr>
    <w:rPr>
      <w:rFonts w:hint="eastAsia" w:hAnsi="Times New Roman" w:eastAsia="仿宋_GB2312"/>
      <w:snapToGrid/>
      <w:color w:val="auto"/>
      <w:kern w:val="28"/>
      <w:lang w:val="zh-CN"/>
    </w:rPr>
  </w:style>
  <w:style w:type="paragraph" w:customStyle="1" w:styleId="2734">
    <w:name w:val="宝安表文"/>
    <w:basedOn w:val="1"/>
    <w:qFormat/>
    <w:uiPriority w:val="0"/>
    <w:pPr>
      <w:tabs>
        <w:tab w:val="left" w:pos="2880"/>
      </w:tabs>
      <w:spacing w:line="340" w:lineRule="exact"/>
      <w:ind w:firstLine="200" w:firstLineChars="200"/>
    </w:pPr>
    <w:rPr>
      <w:sz w:val="24"/>
    </w:rPr>
  </w:style>
  <w:style w:type="paragraph" w:customStyle="1" w:styleId="2735">
    <w:name w:val="样式 样式 首行缩进:  2 字符 + 首行缩进:  2 字符"/>
    <w:basedOn w:val="1"/>
    <w:qFormat/>
    <w:uiPriority w:val="0"/>
    <w:pPr>
      <w:snapToGrid w:val="0"/>
      <w:spacing w:line="360" w:lineRule="auto"/>
      <w:ind w:firstLine="502" w:firstLineChars="200"/>
    </w:pPr>
    <w:rPr>
      <w:sz w:val="24"/>
    </w:rPr>
  </w:style>
  <w:style w:type="paragraph" w:customStyle="1" w:styleId="2736">
    <w:name w:val="xl1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b/>
      <w:bCs/>
      <w:color w:val="000000"/>
      <w:kern w:val="0"/>
      <w:sz w:val="24"/>
    </w:rPr>
  </w:style>
  <w:style w:type="paragraph" w:customStyle="1" w:styleId="2737">
    <w:name w:val="页面 6"/>
    <w:basedOn w:val="2738"/>
    <w:qFormat/>
    <w:uiPriority w:val="0"/>
    <w:rPr>
      <w:sz w:val="36"/>
    </w:rPr>
  </w:style>
  <w:style w:type="paragraph" w:customStyle="1" w:styleId="2738">
    <w:name w:val="页面"/>
    <w:qFormat/>
    <w:uiPriority w:val="0"/>
    <w:pPr>
      <w:widowControl w:val="0"/>
      <w:adjustRightInd w:val="0"/>
      <w:jc w:val="center"/>
    </w:pPr>
    <w:rPr>
      <w:rFonts w:ascii="Times New Roman" w:hAnsi="Times New Roman" w:eastAsia="宋体" w:cs="Times New Roman"/>
      <w:sz w:val="28"/>
      <w:lang w:val="en-US" w:eastAsia="zh-CN" w:bidi="ar-SA"/>
    </w:rPr>
  </w:style>
  <w:style w:type="paragraph" w:customStyle="1" w:styleId="2739">
    <w:name w:val="正文32"/>
    <w:basedOn w:val="36"/>
    <w:qFormat/>
    <w:uiPriority w:val="0"/>
    <w:pPr>
      <w:spacing w:line="324" w:lineRule="auto"/>
      <w:ind w:left="0" w:leftChars="0" w:firstLine="480" w:firstLineChars="200"/>
    </w:pPr>
    <w:rPr>
      <w:rFonts w:ascii="Arial" w:hAnsi="Arial"/>
      <w:bCs/>
      <w:snapToGrid w:val="0"/>
      <w:sz w:val="24"/>
      <w:lang w:val="eu-ES"/>
    </w:rPr>
  </w:style>
  <w:style w:type="paragraph" w:customStyle="1" w:styleId="2740">
    <w:name w:val="正文34"/>
    <w:basedOn w:val="36"/>
    <w:semiHidden/>
    <w:qFormat/>
    <w:uiPriority w:val="0"/>
    <w:pPr>
      <w:adjustRightInd w:val="0"/>
      <w:snapToGrid w:val="0"/>
      <w:spacing w:line="360" w:lineRule="auto"/>
      <w:ind w:firstLine="200" w:firstLineChars="200"/>
    </w:pPr>
    <w:rPr>
      <w:sz w:val="24"/>
    </w:rPr>
  </w:style>
  <w:style w:type="paragraph" w:customStyle="1" w:styleId="2741">
    <w:name w:val="表格标题—小四"/>
    <w:basedOn w:val="1"/>
    <w:qFormat/>
    <w:uiPriority w:val="0"/>
    <w:pPr>
      <w:spacing w:before="100" w:beforeAutospacing="1" w:after="100" w:afterAutospacing="1" w:line="312" w:lineRule="auto"/>
      <w:jc w:val="center"/>
    </w:pPr>
    <w:rPr>
      <w:b/>
      <w:sz w:val="24"/>
    </w:rPr>
  </w:style>
  <w:style w:type="paragraph" w:customStyle="1" w:styleId="2742">
    <w:name w:val="xl1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b/>
      <w:bCs/>
      <w:color w:val="000000"/>
      <w:kern w:val="0"/>
      <w:sz w:val="24"/>
    </w:rPr>
  </w:style>
  <w:style w:type="paragraph" w:customStyle="1" w:styleId="2743">
    <w:name w:val="样式 表格（hwl) + + 11 磅 + 五号 左侧:  -0.35 字符"/>
    <w:basedOn w:val="2331"/>
    <w:qFormat/>
    <w:uiPriority w:val="0"/>
    <w:pPr>
      <w:ind w:left="0" w:leftChars="0"/>
    </w:pPr>
    <w:rPr>
      <w:rFonts w:cs="宋体"/>
      <w:sz w:val="21"/>
      <w:szCs w:val="20"/>
    </w:rPr>
  </w:style>
  <w:style w:type="paragraph" w:customStyle="1" w:styleId="2744">
    <w:name w:val="标题 2 + 首行缩进:  2 字符"/>
    <w:basedOn w:val="4"/>
    <w:qFormat/>
    <w:uiPriority w:val="0"/>
    <w:pPr>
      <w:keepNext w:val="0"/>
      <w:numPr>
        <w:ilvl w:val="0"/>
        <w:numId w:val="0"/>
      </w:numPr>
      <w:tabs>
        <w:tab w:val="left" w:pos="720"/>
      </w:tabs>
      <w:adjustRightInd/>
      <w:snapToGrid/>
      <w:spacing w:line="300" w:lineRule="auto"/>
      <w:ind w:firstLine="200" w:firstLineChars="200"/>
      <w:jc w:val="center"/>
    </w:pPr>
    <w:rPr>
      <w:rFonts w:ascii="Arial" w:hAnsi="Arial" w:cs="宋体"/>
    </w:rPr>
  </w:style>
  <w:style w:type="paragraph" w:customStyle="1" w:styleId="2745">
    <w:name w:val="封面署名"/>
    <w:basedOn w:val="1"/>
    <w:qFormat/>
    <w:uiPriority w:val="0"/>
    <w:pPr>
      <w:tabs>
        <w:tab w:val="left" w:pos="-120"/>
      </w:tabs>
      <w:spacing w:before="60" w:line="310" w:lineRule="atLeast"/>
      <w:jc w:val="center"/>
    </w:pPr>
    <w:rPr>
      <w:spacing w:val="20"/>
      <w:sz w:val="30"/>
      <w:szCs w:val="20"/>
    </w:rPr>
  </w:style>
  <w:style w:type="paragraph" w:customStyle="1" w:styleId="2746">
    <w:name w:val="正文文本 25"/>
    <w:basedOn w:val="1"/>
    <w:qFormat/>
    <w:uiPriority w:val="0"/>
    <w:pPr>
      <w:widowControl/>
      <w:overflowPunct w:val="0"/>
      <w:autoSpaceDE w:val="0"/>
      <w:autoSpaceDN w:val="0"/>
      <w:adjustRightInd w:val="0"/>
      <w:spacing w:line="360" w:lineRule="auto"/>
      <w:ind w:left="992" w:hanging="567"/>
      <w:jc w:val="left"/>
      <w:textAlignment w:val="baseline"/>
    </w:pPr>
    <w:rPr>
      <w:rFonts w:ascii="宋体" w:hAnsi="MS Sans Serif"/>
      <w:kern w:val="0"/>
      <w:sz w:val="28"/>
      <w:szCs w:val="20"/>
    </w:rPr>
  </w:style>
  <w:style w:type="paragraph" w:customStyle="1" w:styleId="2747">
    <w:name w:val="标题33"/>
    <w:basedOn w:val="5"/>
    <w:qFormat/>
    <w:uiPriority w:val="0"/>
    <w:pPr>
      <w:widowControl w:val="0"/>
      <w:numPr>
        <w:ilvl w:val="0"/>
        <w:numId w:val="0"/>
      </w:numPr>
      <w:tabs>
        <w:tab w:val="left" w:pos="720"/>
      </w:tabs>
      <w:adjustRightInd/>
      <w:textAlignment w:val="auto"/>
    </w:pPr>
    <w:rPr>
      <w:rFonts w:ascii="宋体" w:hAnsi="宋体" w:eastAsia="宋体" w:cs="宋体"/>
      <w:b/>
      <w:bCs/>
      <w:color w:val="auto"/>
      <w:kern w:val="2"/>
    </w:rPr>
  </w:style>
  <w:style w:type="paragraph" w:customStyle="1" w:styleId="2748">
    <w:name w:val="表格01"/>
    <w:basedOn w:val="1"/>
    <w:semiHidden/>
    <w:qFormat/>
    <w:uiPriority w:val="0"/>
    <w:pPr>
      <w:adjustRightInd w:val="0"/>
      <w:snapToGrid w:val="0"/>
      <w:spacing w:line="360" w:lineRule="auto"/>
      <w:ind w:firstLine="480" w:firstLineChars="200"/>
      <w:jc w:val="center"/>
    </w:pPr>
    <w:rPr>
      <w:bCs/>
      <w:sz w:val="24"/>
      <w:szCs w:val="20"/>
    </w:rPr>
  </w:style>
  <w:style w:type="paragraph" w:customStyle="1" w:styleId="2749">
    <w:name w:val="样式 段前: 5.25 磅 段后: 5.25 磅 行距: 固定值 22 磅"/>
    <w:basedOn w:val="1"/>
    <w:qFormat/>
    <w:uiPriority w:val="0"/>
    <w:pPr>
      <w:spacing w:before="100" w:beforeAutospacing="1" w:after="100" w:afterAutospacing="1" w:line="440" w:lineRule="exact"/>
      <w:ind w:firstLine="210" w:firstLineChars="210"/>
    </w:pPr>
    <w:rPr>
      <w:rFonts w:cs="宋体"/>
      <w:sz w:val="24"/>
      <w:szCs w:val="20"/>
    </w:rPr>
  </w:style>
  <w:style w:type="paragraph" w:customStyle="1" w:styleId="2750">
    <w:name w:val="样式 标题 3条标题1.1.13h33rd levelH3l3CTReHead 3 WSA标题 3 Char..."/>
    <w:basedOn w:val="5"/>
    <w:qFormat/>
    <w:uiPriority w:val="0"/>
    <w:pPr>
      <w:widowControl w:val="0"/>
      <w:numPr>
        <w:numId w:val="0"/>
      </w:numPr>
      <w:tabs>
        <w:tab w:val="left" w:pos="0"/>
        <w:tab w:val="left" w:pos="720"/>
      </w:tabs>
      <w:adjustRightInd/>
      <w:spacing w:after="120"/>
      <w:ind w:left="1797" w:hanging="720"/>
      <w:textAlignment w:val="auto"/>
    </w:pPr>
    <w:rPr>
      <w:rFonts w:eastAsia="宋体"/>
      <w:b/>
      <w:bCs/>
      <w:color w:val="auto"/>
      <w:kern w:val="2"/>
      <w:sz w:val="30"/>
      <w:szCs w:val="32"/>
    </w:rPr>
  </w:style>
  <w:style w:type="paragraph" w:customStyle="1" w:styleId="2751">
    <w:name w:val="样式 样式 报告 + 首行缩进:  2 字符 段前: 0.3 行 段后: 0.3 行2 + 首行缩进:  2 字符"/>
    <w:basedOn w:val="2752"/>
    <w:qFormat/>
    <w:uiPriority w:val="0"/>
    <w:pPr>
      <w:spacing w:before="0" w:after="0" w:line="360" w:lineRule="auto"/>
    </w:pPr>
  </w:style>
  <w:style w:type="paragraph" w:customStyle="1" w:styleId="2752">
    <w:name w:val="样式 报告 + 首行缩进:  2 字符 段前: 0.3 行 段后: 0.3 行2"/>
    <w:basedOn w:val="1"/>
    <w:qFormat/>
    <w:uiPriority w:val="99"/>
    <w:pPr>
      <w:spacing w:before="120" w:after="120" w:line="460" w:lineRule="atLeast"/>
      <w:ind w:firstLine="200" w:firstLineChars="200"/>
    </w:pPr>
    <w:rPr>
      <w:rFonts w:cs="宋体"/>
      <w:sz w:val="24"/>
      <w:szCs w:val="20"/>
    </w:rPr>
  </w:style>
  <w:style w:type="paragraph" w:customStyle="1" w:styleId="2753">
    <w:name w:val="样式 楷体_GB2312 三号 加粗 首行缩进:  2 字符 行距: 单倍行距"/>
    <w:basedOn w:val="1"/>
    <w:qFormat/>
    <w:uiPriority w:val="0"/>
    <w:pPr>
      <w:snapToGrid w:val="0"/>
    </w:pPr>
    <w:rPr>
      <w:rFonts w:ascii="楷体_GB2312" w:eastAsia="楷体_GB2312" w:cs="宋体"/>
      <w:b/>
      <w:bCs/>
      <w:sz w:val="32"/>
      <w:szCs w:val="20"/>
    </w:rPr>
  </w:style>
  <w:style w:type="paragraph" w:customStyle="1" w:styleId="2754">
    <w:name w:val="图表 标题（hwl）"/>
    <w:basedOn w:val="1"/>
    <w:qFormat/>
    <w:uiPriority w:val="0"/>
    <w:pPr>
      <w:adjustRightInd w:val="0"/>
      <w:snapToGrid w:val="0"/>
      <w:spacing w:line="360" w:lineRule="auto"/>
      <w:jc w:val="center"/>
    </w:pPr>
    <w:rPr>
      <w:b/>
      <w:bCs/>
      <w:szCs w:val="21"/>
    </w:rPr>
  </w:style>
  <w:style w:type="paragraph" w:customStyle="1" w:styleId="2755">
    <w:name w:val="标题 3w"/>
    <w:basedOn w:val="1"/>
    <w:qFormat/>
    <w:uiPriority w:val="0"/>
    <w:pPr>
      <w:keepLines/>
      <w:spacing w:before="120" w:after="120" w:line="360" w:lineRule="auto"/>
      <w:ind w:firstLine="100" w:firstLineChars="100"/>
      <w:outlineLvl w:val="2"/>
    </w:pPr>
    <w:rPr>
      <w:rFonts w:ascii="宋体" w:hAnsi="黑体" w:eastAsia="黑体" w:cs="宋体"/>
      <w:b/>
      <w:sz w:val="28"/>
      <w:szCs w:val="20"/>
    </w:rPr>
  </w:style>
  <w:style w:type="paragraph" w:customStyle="1" w:styleId="2756">
    <w:name w:val="表序号"/>
    <w:basedOn w:val="3"/>
    <w:next w:val="1"/>
    <w:qFormat/>
    <w:uiPriority w:val="0"/>
    <w:pPr>
      <w:numPr>
        <w:numId w:val="0"/>
      </w:numPr>
      <w:tabs>
        <w:tab w:val="left" w:pos="360"/>
      </w:tabs>
      <w:ind w:left="1134" w:hanging="1134"/>
    </w:pPr>
    <w:rPr>
      <w:rFonts w:ascii="仿宋_GB2312" w:hAnsi="宋体" w:eastAsia="仿宋_GB2312"/>
      <w:bCs w:val="0"/>
      <w:sz w:val="28"/>
      <w:szCs w:val="24"/>
    </w:rPr>
  </w:style>
  <w:style w:type="paragraph" w:customStyle="1" w:styleId="2757">
    <w:name w:val="样式 标题 21SeHead wsa2ChapterChapter TitleH2标题 1.1.Major节...3"/>
    <w:basedOn w:val="4"/>
    <w:qFormat/>
    <w:uiPriority w:val="0"/>
    <w:pPr>
      <w:keepLines w:val="0"/>
      <w:numPr>
        <w:ilvl w:val="0"/>
        <w:numId w:val="0"/>
      </w:numPr>
      <w:tabs>
        <w:tab w:val="left" w:pos="720"/>
      </w:tabs>
      <w:snapToGrid/>
      <w:spacing w:before="480"/>
      <w:textAlignment w:val="baseline"/>
    </w:pPr>
    <w:rPr>
      <w:rFonts w:eastAsia="宋体" w:cs="宋体"/>
      <w:b/>
      <w:kern w:val="0"/>
      <w:szCs w:val="20"/>
      <w:lang w:val="en-US"/>
    </w:rPr>
  </w:style>
  <w:style w:type="paragraph" w:customStyle="1" w:styleId="2758">
    <w:name w:val="封面书名"/>
    <w:basedOn w:val="1"/>
    <w:qFormat/>
    <w:uiPriority w:val="0"/>
    <w:pPr>
      <w:tabs>
        <w:tab w:val="left" w:pos="-120"/>
      </w:tabs>
      <w:spacing w:line="24" w:lineRule="atLeast"/>
      <w:jc w:val="center"/>
    </w:pPr>
    <w:rPr>
      <w:rFonts w:eastAsia="黑体"/>
      <w:b/>
      <w:color w:val="000000"/>
      <w:spacing w:val="32"/>
      <w:sz w:val="72"/>
      <w:szCs w:val="20"/>
    </w:rPr>
  </w:style>
  <w:style w:type="paragraph" w:customStyle="1" w:styleId="2759">
    <w:name w:val="样式 标题 3 + (西文) 宋体"/>
    <w:basedOn w:val="5"/>
    <w:next w:val="1"/>
    <w:qFormat/>
    <w:uiPriority w:val="0"/>
    <w:pPr>
      <w:widowControl w:val="0"/>
      <w:numPr>
        <w:numId w:val="0"/>
      </w:numPr>
      <w:tabs>
        <w:tab w:val="left" w:pos="720"/>
      </w:tabs>
      <w:autoSpaceDN w:val="0"/>
      <w:spacing w:before="260" w:beforeLines="100" w:after="260" w:afterLines="50" w:line="520" w:lineRule="exact"/>
      <w:ind w:firstLine="471"/>
      <w:contextualSpacing/>
      <w:jc w:val="both"/>
    </w:pPr>
    <w:rPr>
      <w:rFonts w:ascii="宋体" w:hAnsi="宋体" w:cs="宋体"/>
      <w:snapToGrid w:val="0"/>
      <w:color w:val="0000FF"/>
      <w:kern w:val="2"/>
      <w:szCs w:val="24"/>
      <w:lang w:val="eu-ES"/>
    </w:rPr>
  </w:style>
  <w:style w:type="paragraph" w:customStyle="1" w:styleId="2760">
    <w:name w:val="正文-仿宋小四行23"/>
    <w:basedOn w:val="1"/>
    <w:qFormat/>
    <w:uiPriority w:val="0"/>
    <w:pPr>
      <w:adjustRightInd w:val="0"/>
      <w:spacing w:line="500" w:lineRule="exact"/>
      <w:ind w:firstLine="567"/>
      <w:textAlignment w:val="baseline"/>
    </w:pPr>
    <w:rPr>
      <w:rFonts w:eastAsia="仿宋_GB2312"/>
      <w:kern w:val="0"/>
      <w:sz w:val="28"/>
      <w:szCs w:val="20"/>
    </w:rPr>
  </w:style>
  <w:style w:type="paragraph" w:customStyle="1" w:styleId="2761">
    <w:name w:val="样式 样式 标题 3w + 首行缩进:  1 字符 + 首行缩进:  1 字符"/>
    <w:basedOn w:val="2762"/>
    <w:qFormat/>
    <w:uiPriority w:val="0"/>
    <w:pPr>
      <w:spacing w:before="0" w:after="0"/>
    </w:pPr>
  </w:style>
  <w:style w:type="paragraph" w:customStyle="1" w:styleId="2762">
    <w:name w:val="样式 标题 3w + 首行缩进:  1 字符"/>
    <w:basedOn w:val="1"/>
    <w:qFormat/>
    <w:uiPriority w:val="0"/>
    <w:pPr>
      <w:keepNext/>
      <w:keepLines/>
      <w:adjustRightInd w:val="0"/>
      <w:spacing w:before="60" w:after="60" w:line="360" w:lineRule="auto"/>
      <w:ind w:firstLine="100" w:firstLineChars="100"/>
      <w:outlineLvl w:val="2"/>
    </w:pPr>
    <w:rPr>
      <w:rFonts w:cs="宋体"/>
      <w:b/>
      <w:bCs/>
      <w:sz w:val="24"/>
      <w:szCs w:val="20"/>
    </w:rPr>
  </w:style>
  <w:style w:type="paragraph" w:customStyle="1" w:styleId="2763">
    <w:name w:val="标题3李"/>
    <w:basedOn w:val="5"/>
    <w:qFormat/>
    <w:uiPriority w:val="0"/>
    <w:pPr>
      <w:widowControl w:val="0"/>
      <w:numPr>
        <w:ilvl w:val="0"/>
        <w:numId w:val="0"/>
      </w:numPr>
      <w:tabs>
        <w:tab w:val="left" w:pos="720"/>
      </w:tabs>
      <w:snapToGrid w:val="0"/>
      <w:spacing w:line="240" w:lineRule="auto"/>
      <w:ind w:firstLine="200" w:firstLineChars="200"/>
      <w:jc w:val="both"/>
      <w:textAlignment w:val="auto"/>
    </w:pPr>
    <w:rPr>
      <w:bCs/>
      <w:color w:val="auto"/>
      <w:kern w:val="2"/>
      <w:szCs w:val="28"/>
    </w:rPr>
  </w:style>
  <w:style w:type="paragraph" w:customStyle="1" w:styleId="2764">
    <w:name w:val="T表格"/>
    <w:qFormat/>
    <w:uiPriority w:val="0"/>
    <w:pPr>
      <w:jc w:val="center"/>
    </w:pPr>
    <w:rPr>
      <w:rFonts w:ascii="Times New Roman" w:hAnsi="Times New Roman" w:eastAsia="宋体" w:cs="Times New Roman"/>
      <w:sz w:val="21"/>
      <w:lang w:val="en-US" w:eastAsia="zh-CN" w:bidi="ar-SA"/>
    </w:rPr>
  </w:style>
  <w:style w:type="paragraph" w:customStyle="1" w:styleId="2765">
    <w:name w:val="隔行"/>
    <w:basedOn w:val="1"/>
    <w:qFormat/>
    <w:uiPriority w:val="0"/>
    <w:pPr>
      <w:spacing w:line="200" w:lineRule="exact"/>
      <w:ind w:firstLine="200" w:firstLineChars="200"/>
    </w:pPr>
    <w:rPr>
      <w:spacing w:val="6"/>
      <w:kern w:val="44"/>
      <w:sz w:val="24"/>
    </w:rPr>
  </w:style>
  <w:style w:type="paragraph" w:customStyle="1" w:styleId="2766">
    <w:name w:val="样式 标题 3 + 段前: 0 磅 段后: 0 磅 行距: 单倍行距"/>
    <w:basedOn w:val="5"/>
    <w:qFormat/>
    <w:uiPriority w:val="0"/>
    <w:pPr>
      <w:widowControl w:val="0"/>
      <w:numPr>
        <w:numId w:val="0"/>
      </w:numPr>
      <w:tabs>
        <w:tab w:val="left" w:pos="720"/>
      </w:tabs>
      <w:adjustRightInd/>
      <w:spacing w:before="260" w:beforeLines="50" w:line="240" w:lineRule="auto"/>
      <w:jc w:val="both"/>
      <w:textAlignment w:val="auto"/>
    </w:pPr>
    <w:rPr>
      <w:bCs/>
      <w:color w:val="auto"/>
      <w:kern w:val="2"/>
    </w:rPr>
  </w:style>
  <w:style w:type="paragraph" w:customStyle="1" w:styleId="2767">
    <w:name w:val="纯文本11"/>
    <w:basedOn w:val="1"/>
    <w:qFormat/>
    <w:uiPriority w:val="0"/>
    <w:pPr>
      <w:adjustRightInd w:val="0"/>
      <w:jc w:val="center"/>
      <w:textAlignment w:val="baseline"/>
    </w:pPr>
    <w:rPr>
      <w:rFonts w:ascii="宋体" w:hAnsi="Courier New"/>
      <w:sz w:val="24"/>
      <w:szCs w:val="20"/>
    </w:rPr>
  </w:style>
  <w:style w:type="paragraph" w:customStyle="1" w:styleId="2768">
    <w:name w:val="自定义3"/>
    <w:basedOn w:val="1"/>
    <w:next w:val="32"/>
    <w:qFormat/>
    <w:uiPriority w:val="0"/>
    <w:pPr>
      <w:spacing w:beforeLines="50" w:line="560" w:lineRule="exact"/>
      <w:ind w:firstLine="562" w:firstLineChars="200"/>
    </w:pPr>
    <w:rPr>
      <w:rFonts w:eastAsia="黑体"/>
      <w:b/>
      <w:bCs/>
      <w:sz w:val="28"/>
    </w:rPr>
  </w:style>
  <w:style w:type="paragraph" w:customStyle="1" w:styleId="2769">
    <w:name w:val="附录1级"/>
    <w:basedOn w:val="1"/>
    <w:qFormat/>
    <w:uiPriority w:val="0"/>
    <w:pPr>
      <w:spacing w:beforeLines="50" w:line="400" w:lineRule="exact"/>
    </w:pPr>
    <w:rPr>
      <w:rFonts w:eastAsia="仿宋_GB2312"/>
      <w:b/>
      <w:sz w:val="30"/>
    </w:rPr>
  </w:style>
  <w:style w:type="paragraph" w:customStyle="1" w:styleId="2770">
    <w:name w:val="采子山表格"/>
    <w:basedOn w:val="1"/>
    <w:next w:val="35"/>
    <w:qFormat/>
    <w:uiPriority w:val="0"/>
    <w:pPr>
      <w:adjustRightInd w:val="0"/>
      <w:snapToGrid w:val="0"/>
      <w:spacing w:line="0" w:lineRule="atLeast"/>
      <w:jc w:val="center"/>
      <w:textAlignment w:val="baseline"/>
    </w:pPr>
    <w:rPr>
      <w:rFonts w:ascii="宋体" w:hAnsi="宋体"/>
      <w:bCs/>
      <w:kern w:val="10"/>
      <w:szCs w:val="21"/>
    </w:rPr>
  </w:style>
  <w:style w:type="paragraph" w:customStyle="1" w:styleId="2771">
    <w:name w:val="胡奔流-标题6"/>
    <w:basedOn w:val="1"/>
    <w:qFormat/>
    <w:uiPriority w:val="0"/>
    <w:pPr>
      <w:adjustRightInd w:val="0"/>
      <w:spacing w:line="360" w:lineRule="auto"/>
      <w:textAlignment w:val="baseline"/>
    </w:pPr>
    <w:rPr>
      <w:rFonts w:ascii="宋体"/>
      <w:spacing w:val="10"/>
      <w:kern w:val="21"/>
      <w:sz w:val="24"/>
      <w:szCs w:val="20"/>
    </w:rPr>
  </w:style>
  <w:style w:type="paragraph" w:customStyle="1" w:styleId="2772">
    <w:name w:val="标题4（杨）"/>
    <w:basedOn w:val="7"/>
    <w:qFormat/>
    <w:uiPriority w:val="0"/>
    <w:pPr>
      <w:numPr>
        <w:ilvl w:val="0"/>
        <w:numId w:val="0"/>
      </w:numPr>
      <w:tabs>
        <w:tab w:val="left" w:pos="720"/>
      </w:tabs>
      <w:adjustRightInd/>
      <w:spacing w:beforeLines="50" w:afterLines="50" w:line="312" w:lineRule="auto"/>
    </w:pPr>
    <w:rPr>
      <w:rFonts w:hAnsi="Arial"/>
      <w:b/>
    </w:rPr>
  </w:style>
  <w:style w:type="paragraph" w:customStyle="1" w:styleId="2773">
    <w:name w:val="正文 + (西文) 宋体"/>
    <w:basedOn w:val="1"/>
    <w:qFormat/>
    <w:uiPriority w:val="0"/>
    <w:pPr>
      <w:tabs>
        <w:tab w:val="left" w:pos="1140"/>
      </w:tabs>
      <w:spacing w:line="360" w:lineRule="auto"/>
      <w:ind w:firstLine="510"/>
    </w:pPr>
    <w:rPr>
      <w:rFonts w:ascii="宋体" w:hAnsi="宋体" w:eastAsia="仿宋_GB2312"/>
      <w:sz w:val="24"/>
    </w:rPr>
  </w:style>
  <w:style w:type="paragraph" w:customStyle="1" w:styleId="2774">
    <w:name w:val="样式 注解 + 首行缩进:  8.34 厘米"/>
    <w:basedOn w:val="285"/>
    <w:qFormat/>
    <w:uiPriority w:val="0"/>
    <w:pPr>
      <w:tabs>
        <w:tab w:val="left" w:pos="720"/>
      </w:tabs>
      <w:wordWrap w:val="0"/>
      <w:topLinePunct/>
      <w:adjustRightInd/>
      <w:snapToGrid/>
      <w:ind w:left="0" w:right="0" w:firstLine="471"/>
    </w:pPr>
    <w:rPr>
      <w:rFonts w:ascii="Times New Roman" w:hAnsi="Times New Roman" w:cs="宋体"/>
      <w:spacing w:val="-2"/>
      <w:sz w:val="21"/>
    </w:rPr>
  </w:style>
  <w:style w:type="paragraph" w:customStyle="1" w:styleId="2775">
    <w:name w:val="样式 (中文) 宋体 三号 加粗 段前: 7.8 磅 段后: 7.8 磅 行距: 单倍行距"/>
    <w:basedOn w:val="1"/>
    <w:qFormat/>
    <w:uiPriority w:val="0"/>
    <w:pPr>
      <w:adjustRightInd w:val="0"/>
      <w:snapToGrid w:val="0"/>
      <w:spacing w:before="120" w:line="360" w:lineRule="auto"/>
    </w:pPr>
    <w:rPr>
      <w:rFonts w:cs="宋体"/>
      <w:b/>
      <w:bCs/>
      <w:sz w:val="32"/>
      <w:szCs w:val="20"/>
    </w:rPr>
  </w:style>
  <w:style w:type="paragraph" w:customStyle="1" w:styleId="2776">
    <w:name w:val="样式-方格突出"/>
    <w:basedOn w:val="1"/>
    <w:qFormat/>
    <w:uiPriority w:val="0"/>
    <w:pPr>
      <w:widowControl/>
      <w:tabs>
        <w:tab w:val="left" w:pos="851"/>
      </w:tabs>
      <w:spacing w:line="360" w:lineRule="auto"/>
      <w:ind w:left="805" w:hanging="323"/>
      <w:jc w:val="left"/>
    </w:pPr>
    <w:rPr>
      <w:sz w:val="24"/>
    </w:rPr>
  </w:style>
  <w:style w:type="paragraph" w:customStyle="1" w:styleId="2777">
    <w:name w:val="style3"/>
    <w:basedOn w:val="1"/>
    <w:qFormat/>
    <w:uiPriority w:val="0"/>
    <w:pPr>
      <w:widowControl/>
      <w:spacing w:before="100" w:beforeAutospacing="1" w:after="100" w:afterAutospacing="1"/>
      <w:jc w:val="left"/>
    </w:pPr>
    <w:rPr>
      <w:rFonts w:ascii="宋体" w:hAnsi="宋体"/>
      <w:kern w:val="0"/>
      <w:sz w:val="26"/>
      <w:szCs w:val="20"/>
    </w:rPr>
  </w:style>
  <w:style w:type="paragraph" w:customStyle="1" w:styleId="2778">
    <w:name w:val="样式 标题 4 +"/>
    <w:basedOn w:val="7"/>
    <w:qFormat/>
    <w:uiPriority w:val="0"/>
    <w:pPr>
      <w:numPr>
        <w:ilvl w:val="0"/>
        <w:numId w:val="0"/>
      </w:numPr>
      <w:tabs>
        <w:tab w:val="left" w:pos="720"/>
        <w:tab w:val="left" w:pos="2160"/>
      </w:tabs>
      <w:snapToGrid w:val="0"/>
      <w:ind w:left="2160" w:hanging="420"/>
    </w:pPr>
    <w:rPr>
      <w:rFonts w:ascii="Arial" w:hAnsi="Arial"/>
      <w:b/>
      <w:kern w:val="0"/>
      <w:sz w:val="28"/>
    </w:rPr>
  </w:style>
  <w:style w:type="paragraph" w:customStyle="1" w:styleId="2779">
    <w:name w:val="样式 四号 黑色 行距: 1.5 倍行距 首行缩进:  2 字符"/>
    <w:basedOn w:val="1"/>
    <w:qFormat/>
    <w:uiPriority w:val="99"/>
    <w:pPr>
      <w:spacing w:line="360" w:lineRule="auto"/>
      <w:ind w:firstLine="560" w:firstLineChars="200"/>
      <w:jc w:val="center"/>
    </w:pPr>
    <w:rPr>
      <w:rFonts w:eastAsia="仿宋_GB2312" w:cs="宋体"/>
      <w:b/>
      <w:bCs/>
      <w:color w:val="000000"/>
      <w:kern w:val="0"/>
      <w:sz w:val="28"/>
      <w:szCs w:val="20"/>
    </w:rPr>
  </w:style>
  <w:style w:type="paragraph" w:customStyle="1" w:styleId="2780">
    <w:name w:val="样式 标题 3 + 首行缩进:  2 字符"/>
    <w:basedOn w:val="5"/>
    <w:qFormat/>
    <w:uiPriority w:val="0"/>
    <w:pPr>
      <w:keepNext w:val="0"/>
      <w:widowControl w:val="0"/>
      <w:numPr>
        <w:numId w:val="18"/>
      </w:numPr>
      <w:tabs>
        <w:tab w:val="left" w:pos="720"/>
        <w:tab w:val="left" w:pos="1571"/>
        <w:tab w:val="left" w:pos="2839"/>
      </w:tabs>
      <w:adjustRightInd/>
      <w:spacing w:line="300" w:lineRule="auto"/>
      <w:jc w:val="both"/>
      <w:textAlignment w:val="auto"/>
    </w:pPr>
    <w:rPr>
      <w:rFonts w:cs="宋体"/>
      <w:bCs/>
      <w:color w:val="auto"/>
      <w:kern w:val="2"/>
      <w:szCs w:val="24"/>
      <w:lang w:val="zh-CN"/>
    </w:rPr>
  </w:style>
  <w:style w:type="paragraph" w:customStyle="1" w:styleId="2781">
    <w:name w:val="正文文本缩进 23"/>
    <w:basedOn w:val="1"/>
    <w:semiHidden/>
    <w:qFormat/>
    <w:uiPriority w:val="0"/>
    <w:pPr>
      <w:adjustRightInd w:val="0"/>
      <w:spacing w:after="120" w:line="400" w:lineRule="exact"/>
      <w:ind w:firstLine="525" w:firstLineChars="200"/>
      <w:jc w:val="left"/>
    </w:pPr>
    <w:rPr>
      <w:rFonts w:ascii="宋体"/>
      <w:spacing w:val="16"/>
      <w:sz w:val="24"/>
      <w:szCs w:val="20"/>
    </w:rPr>
  </w:style>
  <w:style w:type="paragraph" w:customStyle="1" w:styleId="2782">
    <w:name w:val="样式 黑体"/>
    <w:basedOn w:val="1"/>
    <w:qFormat/>
    <w:uiPriority w:val="0"/>
    <w:pPr>
      <w:spacing w:line="520" w:lineRule="exact"/>
    </w:pPr>
    <w:rPr>
      <w:rFonts w:ascii="黑体" w:hAnsi="黑体" w:eastAsia="黑体" w:cs="Arial"/>
      <w:kern w:val="0"/>
      <w:sz w:val="24"/>
      <w:szCs w:val="48"/>
    </w:rPr>
  </w:style>
  <w:style w:type="paragraph" w:customStyle="1" w:styleId="2783">
    <w:name w:val="样式52"/>
    <w:basedOn w:val="1"/>
    <w:qFormat/>
    <w:uiPriority w:val="0"/>
    <w:pPr>
      <w:keepNext/>
      <w:keepLines/>
      <w:spacing w:before="120" w:after="120" w:line="520" w:lineRule="exact"/>
      <w:outlineLvl w:val="1"/>
    </w:pPr>
    <w:rPr>
      <w:rFonts w:eastAsia="黑体"/>
      <w:b/>
      <w:sz w:val="28"/>
      <w:szCs w:val="20"/>
    </w:rPr>
  </w:style>
  <w:style w:type="paragraph" w:customStyle="1" w:styleId="2784">
    <w:name w:val="样式 标题 3ReHead 3 WSAh3 + 黑色"/>
    <w:basedOn w:val="5"/>
    <w:qFormat/>
    <w:uiPriority w:val="0"/>
    <w:pPr>
      <w:keepLines w:val="0"/>
      <w:numPr>
        <w:ilvl w:val="0"/>
        <w:numId w:val="0"/>
      </w:numPr>
      <w:tabs>
        <w:tab w:val="left" w:pos="0"/>
        <w:tab w:val="left" w:pos="480"/>
        <w:tab w:val="left" w:pos="720"/>
        <w:tab w:val="left" w:pos="960"/>
        <w:tab w:val="left" w:pos="1134"/>
        <w:tab w:val="left" w:pos="1740"/>
      </w:tabs>
      <w:adjustRightInd/>
      <w:snapToGrid w:val="0"/>
      <w:spacing w:before="120" w:after="120"/>
      <w:textAlignment w:val="auto"/>
    </w:pPr>
    <w:rPr>
      <w:rFonts w:ascii="黑体" w:hAnsi="宋体" w:cs="宋体"/>
      <w:b/>
      <w:bCs/>
      <w:szCs w:val="28"/>
    </w:rPr>
  </w:style>
  <w:style w:type="paragraph" w:customStyle="1" w:styleId="2785">
    <w:name w:val="样式 样式 小四 首行缩进:  0.95 厘米 段前: 3 磅 行距: 固定值 23 磅 + 首行缩进:  0.99 厘米"/>
    <w:basedOn w:val="2786"/>
    <w:qFormat/>
    <w:uiPriority w:val="0"/>
  </w:style>
  <w:style w:type="paragraph" w:customStyle="1" w:styleId="2786">
    <w:name w:val="样式 小四 首行缩进:  0.95 厘米 段前: 3 磅 行距: 固定值 23 磅"/>
    <w:basedOn w:val="1"/>
    <w:qFormat/>
    <w:uiPriority w:val="0"/>
    <w:pPr>
      <w:spacing w:before="120" w:after="120" w:line="460" w:lineRule="exact"/>
      <w:ind w:firstLine="539"/>
    </w:pPr>
    <w:rPr>
      <w:rFonts w:cs="宋体"/>
      <w:sz w:val="24"/>
      <w:szCs w:val="20"/>
    </w:rPr>
  </w:style>
  <w:style w:type="paragraph" w:customStyle="1" w:styleId="2787">
    <w:name w:val="表（杨）"/>
    <w:basedOn w:val="1"/>
    <w:qFormat/>
    <w:uiPriority w:val="0"/>
    <w:pPr>
      <w:overflowPunct w:val="0"/>
      <w:autoSpaceDE w:val="0"/>
      <w:autoSpaceDN w:val="0"/>
      <w:jc w:val="center"/>
    </w:pPr>
    <w:rPr>
      <w:rFonts w:ascii="宋体" w:hAnsi="宋体"/>
      <w:color w:val="FF0000"/>
      <w:kern w:val="0"/>
    </w:rPr>
  </w:style>
  <w:style w:type="paragraph" w:customStyle="1" w:styleId="2788">
    <w:name w:val="样式 报告 + 黑色"/>
    <w:basedOn w:val="1"/>
    <w:qFormat/>
    <w:uiPriority w:val="0"/>
    <w:pPr>
      <w:spacing w:before="120" w:after="120" w:line="460" w:lineRule="atLeast"/>
      <w:ind w:firstLine="200" w:firstLineChars="200"/>
    </w:pPr>
    <w:rPr>
      <w:color w:val="000000"/>
      <w:sz w:val="24"/>
    </w:rPr>
  </w:style>
  <w:style w:type="paragraph" w:customStyle="1" w:styleId="2789">
    <w:name w:val="表格 22"/>
    <w:basedOn w:val="2692"/>
    <w:qFormat/>
    <w:uiPriority w:val="0"/>
    <w:rPr>
      <w:sz w:val="24"/>
    </w:rPr>
  </w:style>
  <w:style w:type="paragraph" w:customStyle="1" w:styleId="2790">
    <w:name w:val="样式 宋体 小四 行距: 多倍行距 1.3 字行"/>
    <w:basedOn w:val="1"/>
    <w:qFormat/>
    <w:uiPriority w:val="0"/>
    <w:pPr>
      <w:spacing w:line="312" w:lineRule="auto"/>
      <w:ind w:firstLine="200" w:firstLineChars="200"/>
    </w:pPr>
    <w:rPr>
      <w:rFonts w:ascii="宋体" w:hAnsi="宋体"/>
      <w:sz w:val="24"/>
      <w:szCs w:val="20"/>
    </w:rPr>
  </w:style>
  <w:style w:type="paragraph" w:customStyle="1" w:styleId="2791">
    <w:name w:val="样式 小初 加粗 阴影 居中 段前: 7.8 磅 段后: 7.8 磅"/>
    <w:basedOn w:val="1"/>
    <w:qFormat/>
    <w:uiPriority w:val="0"/>
    <w:pPr>
      <w:jc w:val="center"/>
    </w:pPr>
    <w:rPr>
      <w:rFonts w:cs="宋体"/>
      <w:b/>
      <w:bCs/>
      <w:sz w:val="72"/>
      <w:szCs w:val="20"/>
    </w:rPr>
  </w:style>
  <w:style w:type="paragraph" w:customStyle="1" w:styleId="2792">
    <w:name w:val="样式 样式 标题 2 + Times New Roman + (中文) 楷体_GB2312 四号 段前: 0 磅 段后: ..."/>
    <w:basedOn w:val="2793"/>
    <w:qFormat/>
    <w:uiPriority w:val="0"/>
    <w:pPr>
      <w:keepLines w:val="0"/>
      <w:numPr>
        <w:ilvl w:val="0"/>
      </w:numPr>
      <w:tabs>
        <w:tab w:val="left" w:pos="720"/>
        <w:tab w:val="left" w:pos="1320"/>
      </w:tabs>
      <w:suppressAutoHyphens w:val="0"/>
      <w:spacing w:beforeLines="100" w:line="360" w:lineRule="auto"/>
      <w:ind w:left="1320" w:hanging="420"/>
      <w:jc w:val="both"/>
    </w:pPr>
    <w:rPr>
      <w:rFonts w:eastAsia="楷体_GB2312" w:cs="宋体"/>
      <w:b w:val="0"/>
      <w:kern w:val="2"/>
      <w:sz w:val="28"/>
      <w:szCs w:val="20"/>
      <w:lang w:eastAsia="zh-CN"/>
    </w:rPr>
  </w:style>
  <w:style w:type="paragraph" w:customStyle="1" w:styleId="2793">
    <w:name w:val="样式 标题 2 + Times New Roman"/>
    <w:basedOn w:val="4"/>
    <w:qFormat/>
    <w:uiPriority w:val="99"/>
    <w:pPr>
      <w:numPr>
        <w:numId w:val="0"/>
      </w:numPr>
      <w:tabs>
        <w:tab w:val="left" w:pos="720"/>
      </w:tabs>
      <w:suppressAutoHyphens/>
      <w:adjustRightInd/>
      <w:snapToGrid/>
      <w:spacing w:line="540" w:lineRule="exact"/>
      <w:jc w:val="left"/>
    </w:pPr>
    <w:rPr>
      <w:rFonts w:eastAsia="宋体"/>
      <w:b/>
      <w:kern w:val="1"/>
      <w:sz w:val="24"/>
      <w:szCs w:val="32"/>
      <w:lang w:val="en-US" w:eastAsia="ar-SA"/>
    </w:rPr>
  </w:style>
  <w:style w:type="paragraph" w:customStyle="1" w:styleId="2794">
    <w:name w:val="字元 字元6"/>
    <w:basedOn w:val="1"/>
    <w:qFormat/>
    <w:uiPriority w:val="99"/>
    <w:pPr>
      <w:adjustRightInd w:val="0"/>
      <w:snapToGrid w:val="0"/>
      <w:ind w:firstLine="200" w:firstLineChars="200"/>
    </w:pPr>
    <w:rPr>
      <w:sz w:val="24"/>
    </w:rPr>
  </w:style>
  <w:style w:type="paragraph" w:customStyle="1" w:styleId="2795">
    <w:name w:val="正文 1.5 倍行距"/>
    <w:qFormat/>
    <w:uiPriority w:val="0"/>
    <w:pPr>
      <w:widowControl w:val="0"/>
      <w:spacing w:beforeLines="50" w:afterLines="50" w:line="360" w:lineRule="auto"/>
    </w:pPr>
    <w:rPr>
      <w:rFonts w:ascii="宋体" w:hAnsi="宋体" w:eastAsia="宋体" w:cs="Times New Roman"/>
      <w:sz w:val="24"/>
      <w:szCs w:val="24"/>
      <w:lang w:val="en-US" w:eastAsia="zh-CN" w:bidi="ar-SA"/>
    </w:rPr>
  </w:style>
  <w:style w:type="paragraph" w:customStyle="1" w:styleId="2796">
    <w:name w:val="样式 标题 3 + 段前: 0.5 行 段后: 0.5 行"/>
    <w:basedOn w:val="5"/>
    <w:qFormat/>
    <w:uiPriority w:val="0"/>
    <w:pPr>
      <w:widowControl w:val="0"/>
      <w:numPr>
        <w:ilvl w:val="0"/>
        <w:numId w:val="0"/>
      </w:numPr>
      <w:tabs>
        <w:tab w:val="left" w:pos="720"/>
      </w:tabs>
      <w:spacing w:before="260" w:beforeLines="100" w:after="260" w:afterLines="100" w:line="416" w:lineRule="atLeast"/>
      <w:jc w:val="both"/>
    </w:pPr>
    <w:rPr>
      <w:rFonts w:eastAsia="宋体" w:cs="宋体"/>
      <w:b/>
      <w:bCs/>
      <w:color w:val="auto"/>
      <w:sz w:val="32"/>
      <w:lang w:val="zh-CN"/>
    </w:rPr>
  </w:style>
  <w:style w:type="paragraph" w:customStyle="1" w:styleId="2797">
    <w:name w:val="样式 标题 1文章标题一、章节H1Otsikko 1Eia标题1－1 + 首行缩进:  0 厘米"/>
    <w:basedOn w:val="3"/>
    <w:next w:val="1"/>
    <w:qFormat/>
    <w:uiPriority w:val="0"/>
    <w:pPr>
      <w:keepLines w:val="0"/>
      <w:numPr>
        <w:numId w:val="0"/>
      </w:numPr>
      <w:tabs>
        <w:tab w:val="left" w:pos="425"/>
      </w:tabs>
      <w:autoSpaceDN w:val="0"/>
      <w:snapToGrid w:val="0"/>
      <w:spacing w:after="330" w:afterLines="50" w:line="520" w:lineRule="exact"/>
      <w:ind w:left="425" w:hanging="425"/>
      <w:contextualSpacing/>
      <w:textAlignment w:val="baseline"/>
    </w:pPr>
    <w:rPr>
      <w:rFonts w:ascii="黑体" w:hAnsi="Arial" w:cs="宋体"/>
      <w:b/>
      <w:bCs w:val="0"/>
      <w:snapToGrid w:val="0"/>
      <w:kern w:val="2"/>
      <w:sz w:val="36"/>
      <w:szCs w:val="20"/>
      <w:lang w:val="eu-ES"/>
    </w:rPr>
  </w:style>
  <w:style w:type="paragraph" w:customStyle="1" w:styleId="2798">
    <w:name w:val="样式 报告 + 左侧:  0 厘米 段前: 3.6 磅 段后: 3.6 磅 行距: 1.5 倍行距"/>
    <w:basedOn w:val="1"/>
    <w:qFormat/>
    <w:uiPriority w:val="99"/>
    <w:pPr>
      <w:overflowPunct w:val="0"/>
      <w:autoSpaceDE w:val="0"/>
      <w:autoSpaceDN w:val="0"/>
      <w:adjustRightInd w:val="0"/>
      <w:snapToGrid w:val="0"/>
      <w:spacing w:before="72" w:after="72"/>
      <w:ind w:right="238" w:firstLine="200" w:firstLineChars="200"/>
      <w:textAlignment w:val="baseline"/>
    </w:pPr>
    <w:rPr>
      <w:rFonts w:hAnsi="宋体" w:cs="宋体"/>
      <w:b/>
      <w:color w:val="000000"/>
      <w:kern w:val="0"/>
      <w:szCs w:val="20"/>
      <w:lang w:val="zh-CN"/>
    </w:rPr>
  </w:style>
  <w:style w:type="paragraph" w:customStyle="1" w:styleId="2799">
    <w:name w:val="xl19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 w:val="20"/>
      <w:szCs w:val="20"/>
    </w:rPr>
  </w:style>
  <w:style w:type="paragraph" w:customStyle="1" w:styleId="2800">
    <w:name w:val="样式 标题 3条标题1.1.1标题3H3h33rd level第二层条三级标题ReHead 3 WSA标题 ...1"/>
    <w:basedOn w:val="5"/>
    <w:qFormat/>
    <w:uiPriority w:val="0"/>
    <w:pPr>
      <w:numPr>
        <w:ilvl w:val="0"/>
        <w:numId w:val="0"/>
      </w:numPr>
      <w:tabs>
        <w:tab w:val="left" w:pos="720"/>
      </w:tabs>
      <w:adjustRightInd/>
      <w:textAlignment w:val="auto"/>
    </w:pPr>
    <w:rPr>
      <w:rFonts w:ascii="宋体" w:hAnsi="宋体" w:eastAsia="宋体" w:cs="宋体"/>
      <w:b/>
      <w:bCs/>
      <w:color w:val="auto"/>
    </w:rPr>
  </w:style>
  <w:style w:type="paragraph" w:customStyle="1" w:styleId="2801">
    <w:name w:val="样式 样式 报告正文 + 黑色 + 自动设置"/>
    <w:basedOn w:val="1"/>
    <w:qFormat/>
    <w:uiPriority w:val="0"/>
    <w:pPr>
      <w:spacing w:line="360" w:lineRule="auto"/>
      <w:ind w:firstLine="482"/>
    </w:pPr>
    <w:rPr>
      <w:rFonts w:cs="宋体"/>
      <w:sz w:val="24"/>
      <w:szCs w:val="20"/>
    </w:rPr>
  </w:style>
  <w:style w:type="paragraph" w:customStyle="1" w:styleId="2802">
    <w:name w:val="批注框文本5"/>
    <w:basedOn w:val="1"/>
    <w:qFormat/>
    <w:uiPriority w:val="0"/>
    <w:pPr>
      <w:spacing w:line="360" w:lineRule="auto"/>
    </w:pPr>
    <w:rPr>
      <w:sz w:val="18"/>
      <w:szCs w:val="18"/>
    </w:rPr>
  </w:style>
  <w:style w:type="paragraph" w:customStyle="1" w:styleId="2803">
    <w:name w:val="普通(网站)13"/>
    <w:basedOn w:val="1"/>
    <w:semiHidden/>
    <w:qFormat/>
    <w:uiPriority w:val="0"/>
    <w:pPr>
      <w:widowControl/>
      <w:spacing w:before="100" w:beforeAutospacing="1" w:after="100" w:afterAutospacing="1" w:line="360" w:lineRule="auto"/>
      <w:ind w:firstLine="200" w:firstLineChars="200"/>
      <w:jc w:val="left"/>
    </w:pPr>
    <w:rPr>
      <w:rFonts w:ascii="宋体" w:hAnsi="宋体"/>
      <w:kern w:val="0"/>
      <w:sz w:val="24"/>
    </w:rPr>
  </w:style>
  <w:style w:type="paragraph" w:customStyle="1" w:styleId="2804">
    <w:name w:val="样式 标题 1标题3，标题3Head 1wsa一、h1标题2标题 1 CharPart'Document1.标...1"/>
    <w:basedOn w:val="3"/>
    <w:qFormat/>
    <w:uiPriority w:val="0"/>
    <w:pPr>
      <w:widowControl/>
      <w:numPr>
        <w:numId w:val="0"/>
      </w:numPr>
      <w:tabs>
        <w:tab w:val="left" w:pos="1830"/>
      </w:tabs>
      <w:spacing w:before="300" w:after="300" w:line="520" w:lineRule="exact"/>
      <w:ind w:left="1830" w:hanging="510"/>
    </w:pPr>
    <w:rPr>
      <w:rFonts w:cs="宋体"/>
      <w:b/>
      <w:sz w:val="36"/>
      <w:szCs w:val="20"/>
    </w:rPr>
  </w:style>
  <w:style w:type="paragraph" w:customStyle="1" w:styleId="2805">
    <w:name w:val="字元 字元5"/>
    <w:basedOn w:val="1"/>
    <w:qFormat/>
    <w:uiPriority w:val="0"/>
    <w:pPr>
      <w:adjustRightInd w:val="0"/>
      <w:snapToGrid w:val="0"/>
      <w:spacing w:line="360" w:lineRule="auto"/>
      <w:ind w:firstLine="200" w:firstLineChars="200"/>
    </w:pPr>
    <w:rPr>
      <w:sz w:val="24"/>
    </w:rPr>
  </w:style>
  <w:style w:type="paragraph" w:customStyle="1" w:styleId="2806">
    <w:name w:val="编制依据"/>
    <w:basedOn w:val="22"/>
    <w:qFormat/>
    <w:uiPriority w:val="0"/>
    <w:pPr>
      <w:tabs>
        <w:tab w:val="left" w:pos="1304"/>
      </w:tabs>
      <w:spacing w:line="500" w:lineRule="exact"/>
      <w:ind w:left="1304" w:hanging="850" w:firstLineChars="0"/>
    </w:pPr>
    <w:rPr>
      <w:spacing w:val="-4"/>
      <w:sz w:val="28"/>
      <w:szCs w:val="20"/>
    </w:rPr>
  </w:style>
  <w:style w:type="paragraph" w:customStyle="1" w:styleId="2807">
    <w:name w:val="样式 标题 3标题3H3h33rd level第二层条标题 3 Char Char标题 31标题 3 Char ..."/>
    <w:basedOn w:val="5"/>
    <w:qFormat/>
    <w:uiPriority w:val="99"/>
    <w:pPr>
      <w:widowControl w:val="0"/>
      <w:numPr>
        <w:ilvl w:val="0"/>
        <w:numId w:val="0"/>
      </w:numPr>
      <w:tabs>
        <w:tab w:val="left" w:pos="720"/>
      </w:tabs>
      <w:spacing w:before="260" w:beforeLines="50" w:after="260" w:afterLines="50" w:line="416" w:lineRule="atLeast"/>
      <w:jc w:val="both"/>
    </w:pPr>
    <w:rPr>
      <w:rFonts w:ascii="Arial" w:hAnsi="Arial" w:eastAsia="宋体" w:cs="Arial"/>
      <w:b/>
      <w:bCs/>
      <w:color w:val="auto"/>
      <w:szCs w:val="28"/>
      <w:lang w:val="zh-CN"/>
    </w:rPr>
  </w:style>
  <w:style w:type="paragraph" w:customStyle="1" w:styleId="2808">
    <w:name w:val="样式 毕二级 + 段前: 0.5 行 段后: 0.5 行1"/>
    <w:basedOn w:val="1"/>
    <w:semiHidden/>
    <w:qFormat/>
    <w:uiPriority w:val="0"/>
    <w:pPr>
      <w:tabs>
        <w:tab w:val="left" w:pos="426"/>
      </w:tabs>
      <w:spacing w:before="120" w:beforeLines="50" w:after="120" w:afterLines="50" w:line="360" w:lineRule="auto"/>
      <w:ind w:left="426"/>
      <w:jc w:val="left"/>
    </w:pPr>
    <w:rPr>
      <w:rFonts w:eastAsia="黑体" w:cs="宋体"/>
      <w:sz w:val="30"/>
      <w:szCs w:val="20"/>
    </w:rPr>
  </w:style>
  <w:style w:type="paragraph" w:customStyle="1" w:styleId="2809">
    <w:name w:val="表标题5"/>
    <w:basedOn w:val="1"/>
    <w:qFormat/>
    <w:uiPriority w:val="0"/>
    <w:pPr>
      <w:keepNext/>
      <w:adjustRightInd w:val="0"/>
      <w:spacing w:before="180" w:after="120" w:line="408" w:lineRule="atLeast"/>
      <w:jc w:val="center"/>
      <w:textAlignment w:val="baseline"/>
    </w:pPr>
    <w:rPr>
      <w:b/>
      <w:spacing w:val="10"/>
      <w:kern w:val="0"/>
      <w:sz w:val="24"/>
      <w:szCs w:val="20"/>
    </w:rPr>
  </w:style>
  <w:style w:type="paragraph" w:customStyle="1" w:styleId="2810">
    <w:name w:val="字元 字元 Char Char 字元 字元12"/>
    <w:basedOn w:val="1"/>
    <w:qFormat/>
    <w:uiPriority w:val="0"/>
    <w:rPr>
      <w:sz w:val="24"/>
    </w:rPr>
  </w:style>
  <w:style w:type="paragraph" w:customStyle="1" w:styleId="2811">
    <w:name w:val="样式 电镀正文 + 首行缩进:  2 字符"/>
    <w:basedOn w:val="1"/>
    <w:qFormat/>
    <w:uiPriority w:val="0"/>
    <w:pPr>
      <w:spacing w:line="324" w:lineRule="auto"/>
      <w:ind w:firstLine="200" w:firstLineChars="200"/>
    </w:pPr>
    <w:rPr>
      <w:rFonts w:ascii="宋体" w:hAnsi="宋体"/>
      <w:sz w:val="24"/>
      <w:szCs w:val="20"/>
    </w:rPr>
  </w:style>
  <w:style w:type="paragraph" w:customStyle="1" w:styleId="2812">
    <w:name w:val="标题3，第二项"/>
    <w:basedOn w:val="4"/>
    <w:next w:val="1"/>
    <w:qFormat/>
    <w:uiPriority w:val="0"/>
    <w:pPr>
      <w:numPr>
        <w:ilvl w:val="0"/>
        <w:numId w:val="0"/>
      </w:numPr>
      <w:tabs>
        <w:tab w:val="left" w:pos="720"/>
      </w:tabs>
      <w:adjustRightInd/>
      <w:snapToGrid/>
      <w:spacing w:before="60" w:after="60" w:line="480" w:lineRule="auto"/>
      <w:ind w:left="1680" w:hanging="420"/>
      <w:jc w:val="left"/>
      <w:outlineLvl w:val="2"/>
    </w:pPr>
    <w:rPr>
      <w:rFonts w:eastAsia="宋体"/>
      <w:b/>
      <w:spacing w:val="6"/>
      <w:kern w:val="44"/>
      <w:sz w:val="24"/>
      <w:szCs w:val="32"/>
      <w:lang w:val="en-US"/>
    </w:rPr>
  </w:style>
  <w:style w:type="paragraph" w:customStyle="1" w:styleId="2813">
    <w:name w:val="样式 正文首行缩进 2 + 小四 首行缩进:  2 字符"/>
    <w:basedOn w:val="1"/>
    <w:qFormat/>
    <w:uiPriority w:val="0"/>
    <w:pPr>
      <w:tabs>
        <w:tab w:val="left" w:pos="0"/>
        <w:tab w:val="left" w:pos="1800"/>
      </w:tabs>
    </w:pPr>
    <w:rPr>
      <w:b/>
      <w:sz w:val="24"/>
    </w:rPr>
  </w:style>
  <w:style w:type="paragraph" w:customStyle="1" w:styleId="2814">
    <w:name w:val="xl162"/>
    <w:basedOn w:val="1"/>
    <w:qFormat/>
    <w:uiPriority w:val="0"/>
    <w:pPr>
      <w:widowControl/>
      <w:pBdr>
        <w:top w:val="single" w:color="auto" w:sz="4" w:space="0"/>
        <w:bottom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2815">
    <w:name w:val="样式 (符号) 宋体 二号 加粗 黑色 居中 行距: 1.5 倍行距"/>
    <w:basedOn w:val="1"/>
    <w:qFormat/>
    <w:uiPriority w:val="0"/>
    <w:pPr>
      <w:adjustRightInd w:val="0"/>
      <w:spacing w:before="240" w:after="60" w:line="360" w:lineRule="auto"/>
      <w:jc w:val="center"/>
      <w:textAlignment w:val="baseline"/>
      <w:outlineLvl w:val="0"/>
    </w:pPr>
    <w:rPr>
      <w:rFonts w:ascii="Arial" w:hAnsi="宋体" w:cs="宋体"/>
      <w:color w:val="000000"/>
      <w:sz w:val="44"/>
      <w:szCs w:val="32"/>
    </w:rPr>
  </w:style>
  <w:style w:type="paragraph" w:customStyle="1" w:styleId="2816">
    <w:name w:val="表头8"/>
    <w:basedOn w:val="2817"/>
    <w:qFormat/>
    <w:uiPriority w:val="0"/>
    <w:pPr>
      <w:tabs>
        <w:tab w:val="left" w:pos="840"/>
        <w:tab w:val="left" w:pos="1335"/>
      </w:tabs>
      <w:ind w:left="1335" w:hanging="720"/>
    </w:pPr>
  </w:style>
  <w:style w:type="paragraph" w:customStyle="1" w:styleId="2817">
    <w:name w:val="表头6"/>
    <w:basedOn w:val="2695"/>
    <w:qFormat/>
    <w:uiPriority w:val="0"/>
    <w:pPr>
      <w:tabs>
        <w:tab w:val="left" w:pos="840"/>
        <w:tab w:val="clear" w:pos="720"/>
      </w:tabs>
      <w:ind w:left="840" w:leftChars="0" w:hanging="360"/>
      <w:jc w:val="center"/>
    </w:pPr>
  </w:style>
  <w:style w:type="paragraph" w:customStyle="1" w:styleId="2818">
    <w:name w:val="reader-word-layer reader-word-s6-0"/>
    <w:basedOn w:val="1"/>
    <w:qFormat/>
    <w:uiPriority w:val="0"/>
    <w:pPr>
      <w:widowControl/>
      <w:spacing w:before="100" w:beforeAutospacing="1" w:after="100" w:afterAutospacing="1"/>
      <w:jc w:val="left"/>
    </w:pPr>
    <w:rPr>
      <w:rFonts w:ascii="宋体" w:hAnsi="宋体" w:cs="宋体"/>
      <w:kern w:val="0"/>
      <w:sz w:val="24"/>
    </w:rPr>
  </w:style>
  <w:style w:type="paragraph" w:customStyle="1" w:styleId="2819">
    <w:name w:val="样式 样式 四号 黑色 行距: 1.5 倍行距 首行缩进:  2 字符 + (中文) 宋体 16 磅 首行缩进:  2 字符"/>
    <w:basedOn w:val="2779"/>
    <w:qFormat/>
    <w:uiPriority w:val="0"/>
    <w:pPr>
      <w:ind w:firstLine="640"/>
      <w:jc w:val="both"/>
    </w:pPr>
    <w:rPr>
      <w:rFonts w:eastAsia="宋体" w:cs="PMingLiU"/>
      <w:b w:val="0"/>
      <w:bCs w:val="0"/>
      <w:kern w:val="2"/>
      <w:sz w:val="32"/>
    </w:rPr>
  </w:style>
  <w:style w:type="paragraph" w:customStyle="1" w:styleId="2820">
    <w:name w:val="表格文字（韶关规划）"/>
    <w:basedOn w:val="1"/>
    <w:qFormat/>
    <w:uiPriority w:val="0"/>
    <w:pPr>
      <w:tabs>
        <w:tab w:val="left" w:pos="7996"/>
      </w:tabs>
      <w:autoSpaceDE w:val="0"/>
      <w:autoSpaceDN w:val="0"/>
      <w:adjustRightInd w:val="0"/>
      <w:snapToGrid w:val="0"/>
      <w:spacing w:line="264" w:lineRule="auto"/>
      <w:jc w:val="center"/>
    </w:pPr>
    <w:rPr>
      <w:kern w:val="0"/>
      <w:szCs w:val="21"/>
      <w:lang w:val="zh-CN"/>
    </w:rPr>
  </w:style>
  <w:style w:type="paragraph" w:customStyle="1" w:styleId="2821">
    <w:name w:val="插图编号"/>
    <w:basedOn w:val="8"/>
    <w:qFormat/>
    <w:uiPriority w:val="0"/>
    <w:pPr>
      <w:keepNext w:val="0"/>
      <w:keepLines w:val="0"/>
      <w:widowControl/>
      <w:numPr>
        <w:ilvl w:val="0"/>
        <w:numId w:val="0"/>
      </w:numPr>
      <w:tabs>
        <w:tab w:val="left" w:pos="432"/>
        <w:tab w:val="left" w:pos="840"/>
        <w:tab w:val="left" w:pos="900"/>
        <w:tab w:val="left" w:pos="995"/>
        <w:tab w:val="left" w:pos="1200"/>
        <w:tab w:val="left" w:pos="1620"/>
      </w:tabs>
      <w:adjustRightInd w:val="0"/>
      <w:snapToGrid w:val="0"/>
      <w:spacing w:before="0" w:after="0" w:line="240" w:lineRule="auto"/>
      <w:ind w:left="600" w:leftChars="600" w:firstLine="200" w:firstLineChars="200"/>
      <w:jc w:val="center"/>
      <w:outlineLvl w:val="9"/>
    </w:pPr>
    <w:rPr>
      <w:rFonts w:ascii="Calibri" w:hAnsi="Calibri"/>
      <w:color w:val="auto"/>
    </w:rPr>
  </w:style>
  <w:style w:type="paragraph" w:customStyle="1" w:styleId="2822">
    <w:name w:val="正文文本 213"/>
    <w:basedOn w:val="1"/>
    <w:semiHidden/>
    <w:qFormat/>
    <w:uiPriority w:val="0"/>
    <w:pPr>
      <w:widowControl/>
      <w:overflowPunct w:val="0"/>
      <w:autoSpaceDE w:val="0"/>
      <w:autoSpaceDN w:val="0"/>
      <w:adjustRightInd w:val="0"/>
      <w:ind w:left="992" w:hanging="567"/>
      <w:jc w:val="left"/>
    </w:pPr>
    <w:rPr>
      <w:rFonts w:ascii="宋体" w:hAnsi="MS Sans Serif"/>
      <w:kern w:val="0"/>
      <w:sz w:val="28"/>
      <w:szCs w:val="20"/>
    </w:rPr>
  </w:style>
  <w:style w:type="paragraph" w:customStyle="1" w:styleId="2823">
    <w:name w:val="标题111"/>
    <w:basedOn w:val="3"/>
    <w:next w:val="1"/>
    <w:qFormat/>
    <w:uiPriority w:val="0"/>
    <w:pPr>
      <w:keepLines w:val="0"/>
      <w:numPr>
        <w:numId w:val="0"/>
      </w:numPr>
      <w:autoSpaceDN w:val="0"/>
      <w:adjustRightInd w:val="0"/>
      <w:snapToGrid w:val="0"/>
      <w:spacing w:after="330" w:afterLines="50" w:line="520" w:lineRule="exact"/>
      <w:ind w:firstLine="471"/>
      <w:contextualSpacing/>
      <w:textAlignment w:val="baseline"/>
    </w:pPr>
    <w:rPr>
      <w:rFonts w:ascii="黑体" w:hAnsi="Arial"/>
      <w:b/>
      <w:bCs w:val="0"/>
      <w:snapToGrid w:val="0"/>
      <w:kern w:val="2"/>
      <w:sz w:val="36"/>
      <w:szCs w:val="20"/>
      <w:lang w:val="eu-ES"/>
    </w:rPr>
  </w:style>
  <w:style w:type="paragraph" w:customStyle="1" w:styleId="2824">
    <w:name w:val="段落 Char"/>
    <w:basedOn w:val="1"/>
    <w:qFormat/>
    <w:uiPriority w:val="0"/>
    <w:pPr>
      <w:topLinePunct/>
      <w:snapToGrid w:val="0"/>
      <w:spacing w:line="360" w:lineRule="auto"/>
      <w:ind w:firstLine="200" w:firstLineChars="200"/>
    </w:pPr>
    <w:rPr>
      <w:sz w:val="24"/>
    </w:rPr>
  </w:style>
  <w:style w:type="paragraph" w:customStyle="1" w:styleId="2825">
    <w:name w:val="表名A"/>
    <w:basedOn w:val="1"/>
    <w:qFormat/>
    <w:uiPriority w:val="99"/>
    <w:pPr>
      <w:widowControl/>
      <w:tabs>
        <w:tab w:val="left" w:pos="0"/>
      </w:tabs>
      <w:adjustRightInd w:val="0"/>
      <w:snapToGrid w:val="0"/>
      <w:spacing w:beforeLines="80" w:afterLines="20"/>
      <w:jc w:val="center"/>
    </w:pPr>
    <w:rPr>
      <w:b/>
      <w:snapToGrid w:val="0"/>
      <w:kern w:val="0"/>
      <w:sz w:val="24"/>
      <w:szCs w:val="20"/>
    </w:rPr>
  </w:style>
  <w:style w:type="paragraph" w:customStyle="1" w:styleId="2826">
    <w:name w:val="样式 样式4 + 段后: 0.5 行"/>
    <w:basedOn w:val="1"/>
    <w:qFormat/>
    <w:uiPriority w:val="0"/>
    <w:pPr>
      <w:keepNext/>
      <w:keepLines/>
      <w:overflowPunct w:val="0"/>
      <w:topLinePunct/>
      <w:autoSpaceDE w:val="0"/>
      <w:adjustRightInd w:val="0"/>
      <w:snapToGrid w:val="0"/>
      <w:spacing w:before="120" w:afterLines="50"/>
      <w:outlineLvl w:val="3"/>
    </w:pPr>
    <w:rPr>
      <w:rFonts w:ascii="Arial" w:hAnsi="Arial"/>
      <w:spacing w:val="20"/>
      <w:sz w:val="24"/>
      <w:szCs w:val="20"/>
    </w:rPr>
  </w:style>
  <w:style w:type="paragraph" w:customStyle="1" w:styleId="2827">
    <w:name w:val="表图名"/>
    <w:basedOn w:val="1"/>
    <w:qFormat/>
    <w:uiPriority w:val="99"/>
    <w:pPr>
      <w:spacing w:before="120" w:after="120" w:line="360" w:lineRule="auto"/>
    </w:pPr>
    <w:rPr>
      <w:rFonts w:ascii="Calibri" w:hAnsi="Calibri"/>
      <w:b/>
      <w:bCs/>
      <w:szCs w:val="18"/>
    </w:rPr>
  </w:style>
  <w:style w:type="paragraph" w:customStyle="1" w:styleId="2828">
    <w:name w:val="样式 题注题注 Char + 宋体"/>
    <w:basedOn w:val="23"/>
    <w:qFormat/>
    <w:uiPriority w:val="0"/>
    <w:pPr>
      <w:keepNext/>
      <w:adjustRightInd w:val="0"/>
      <w:snapToGrid w:val="0"/>
      <w:spacing w:before="120" w:after="120" w:line="480" w:lineRule="exact"/>
      <w:ind w:firstLine="480" w:firstLineChars="200"/>
      <w:jc w:val="center"/>
    </w:pPr>
    <w:rPr>
      <w:rFonts w:ascii="宋体" w:hAnsi="Times New Roman" w:eastAsia="宋体"/>
      <w:bCs/>
      <w:sz w:val="24"/>
    </w:rPr>
  </w:style>
  <w:style w:type="paragraph" w:customStyle="1" w:styleId="2829">
    <w:name w:val="样式 目录 2 + 左侧:  2 字符 首行缩进:  2 字符3"/>
    <w:basedOn w:val="75"/>
    <w:qFormat/>
    <w:uiPriority w:val="0"/>
    <w:pPr>
      <w:ind w:left="200"/>
      <w:jc w:val="both"/>
    </w:pPr>
    <w:rPr>
      <w:rFonts w:cs="宋体"/>
      <w:lang w:val="zh-CN"/>
    </w:rPr>
  </w:style>
  <w:style w:type="paragraph" w:customStyle="1" w:styleId="2830">
    <w:name w:val="表格 23"/>
    <w:basedOn w:val="1"/>
    <w:qFormat/>
    <w:uiPriority w:val="0"/>
    <w:pPr>
      <w:autoSpaceDE w:val="0"/>
      <w:autoSpaceDN w:val="0"/>
      <w:adjustRightInd w:val="0"/>
      <w:jc w:val="center"/>
    </w:pPr>
    <w:rPr>
      <w:rFonts w:eastAsia="仿宋体"/>
      <w:kern w:val="0"/>
      <w:szCs w:val="21"/>
    </w:rPr>
  </w:style>
  <w:style w:type="paragraph" w:customStyle="1" w:styleId="2831">
    <w:name w:val="表名2008"/>
    <w:basedOn w:val="1093"/>
    <w:qFormat/>
    <w:uiPriority w:val="99"/>
    <w:pPr>
      <w:adjustRightInd/>
      <w:snapToGrid/>
      <w:spacing w:before="0" w:beforeLines="50" w:afterLines="50" w:line="360" w:lineRule="auto"/>
      <w:jc w:val="both"/>
    </w:pPr>
    <w:rPr>
      <w:rFonts w:hAnsi="宋体" w:cs="Times New Roman"/>
      <w:kern w:val="2"/>
      <w:szCs w:val="22"/>
    </w:rPr>
  </w:style>
  <w:style w:type="paragraph" w:customStyle="1" w:styleId="2832">
    <w:name w:val="标题 33"/>
    <w:basedOn w:val="1"/>
    <w:qFormat/>
    <w:uiPriority w:val="0"/>
    <w:rPr>
      <w:rFonts w:ascii="Calibri" w:hAnsi="Calibri"/>
      <w:b/>
      <w:bCs/>
      <w:sz w:val="32"/>
      <w:szCs w:val="32"/>
    </w:rPr>
  </w:style>
  <w:style w:type="paragraph" w:customStyle="1" w:styleId="2833">
    <w:name w:val="正文新 Char Char1"/>
    <w:basedOn w:val="1"/>
    <w:qFormat/>
    <w:uiPriority w:val="0"/>
    <w:pPr>
      <w:spacing w:line="360" w:lineRule="auto"/>
      <w:ind w:firstLine="480" w:firstLineChars="200"/>
    </w:pPr>
    <w:rPr>
      <w:sz w:val="24"/>
      <w:szCs w:val="20"/>
    </w:rPr>
  </w:style>
  <w:style w:type="paragraph" w:customStyle="1" w:styleId="2834">
    <w:name w:val="xl127"/>
    <w:basedOn w:val="1"/>
    <w:qFormat/>
    <w:uiPriority w:val="0"/>
    <w:pPr>
      <w:widowControl/>
      <w:pBdr>
        <w:top w:val="single" w:color="auto" w:sz="4" w:space="0"/>
        <w:left w:val="single" w:color="auto" w:sz="4" w:space="0"/>
        <w:right w:val="single" w:color="auto" w:sz="4" w:space="0"/>
      </w:pBdr>
      <w:shd w:val="clear" w:color="auto" w:fill="FFFFFF"/>
      <w:spacing w:before="100" w:beforeAutospacing="1" w:after="100" w:afterAutospacing="1"/>
      <w:jc w:val="left"/>
      <w:textAlignment w:val="center"/>
    </w:pPr>
    <w:rPr>
      <w:rFonts w:ascii="宋体" w:hAnsi="宋体" w:cs="宋体"/>
      <w:color w:val="000000"/>
      <w:kern w:val="0"/>
      <w:sz w:val="18"/>
      <w:szCs w:val="18"/>
    </w:rPr>
  </w:style>
  <w:style w:type="paragraph" w:customStyle="1" w:styleId="2835">
    <w:name w:val="xl1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color w:val="000000"/>
      <w:kern w:val="0"/>
      <w:sz w:val="22"/>
      <w:szCs w:val="22"/>
    </w:rPr>
  </w:style>
  <w:style w:type="paragraph" w:customStyle="1" w:styleId="2836">
    <w:name w:val="样式 标题 2 + 四号"/>
    <w:basedOn w:val="1"/>
    <w:qFormat/>
    <w:uiPriority w:val="0"/>
    <w:pPr>
      <w:spacing w:line="360" w:lineRule="auto"/>
    </w:pPr>
    <w:rPr>
      <w:sz w:val="24"/>
    </w:rPr>
  </w:style>
  <w:style w:type="paragraph" w:customStyle="1" w:styleId="2837">
    <w:name w:val="样式 正文缩进 +"/>
    <w:basedOn w:val="22"/>
    <w:qFormat/>
    <w:uiPriority w:val="0"/>
    <w:pPr>
      <w:adjustRightInd w:val="0"/>
      <w:spacing w:after="120" w:line="360" w:lineRule="auto"/>
      <w:ind w:firstLine="567" w:firstLineChars="0"/>
      <w:textAlignment w:val="baseline"/>
    </w:pPr>
  </w:style>
  <w:style w:type="paragraph" w:customStyle="1" w:styleId="2838">
    <w:name w:val="样式 段前: 7.8 磅 段后: 7.8 磅"/>
    <w:basedOn w:val="1"/>
    <w:qFormat/>
    <w:uiPriority w:val="0"/>
    <w:pPr>
      <w:spacing w:before="156" w:after="156" w:line="460" w:lineRule="exact"/>
      <w:ind w:firstLine="200" w:firstLineChars="200"/>
    </w:pPr>
    <w:rPr>
      <w:rFonts w:cs="宋体"/>
      <w:sz w:val="24"/>
    </w:rPr>
  </w:style>
  <w:style w:type="paragraph" w:customStyle="1" w:styleId="2839">
    <w:name w:val="本文标题1"/>
    <w:basedOn w:val="2840"/>
    <w:qFormat/>
    <w:uiPriority w:val="0"/>
    <w:pPr>
      <w:spacing w:before="0" w:after="0"/>
      <w:jc w:val="center"/>
    </w:pPr>
    <w:rPr>
      <w:rFonts w:ascii="方正大标宋简体" w:cs="Times New Roman"/>
      <w:sz w:val="36"/>
      <w:szCs w:val="36"/>
    </w:rPr>
  </w:style>
  <w:style w:type="paragraph" w:customStyle="1" w:styleId="2840">
    <w:name w:val="样式 标题 1Head 1wsa一、h1标题2标题 1 CharPart'Document1.标题 1标1章..."/>
    <w:basedOn w:val="3"/>
    <w:qFormat/>
    <w:uiPriority w:val="0"/>
    <w:pPr>
      <w:numPr>
        <w:numId w:val="0"/>
      </w:numPr>
      <w:adjustRightInd w:val="0"/>
      <w:spacing w:before="156" w:after="156" w:line="440" w:lineRule="exact"/>
      <w:jc w:val="both"/>
      <w:textAlignment w:val="baseline"/>
    </w:pPr>
    <w:rPr>
      <w:rFonts w:eastAsia="方正大标宋简体" w:cs="宋体"/>
      <w:b/>
      <w:szCs w:val="20"/>
    </w:rPr>
  </w:style>
  <w:style w:type="paragraph" w:customStyle="1" w:styleId="2841">
    <w:name w:val="样式 小四 加粗 黑色 首行缩进:  0.77 厘米 段前: 7.8 磅 段后: 7.8 磅"/>
    <w:basedOn w:val="1"/>
    <w:qFormat/>
    <w:uiPriority w:val="0"/>
    <w:pPr>
      <w:spacing w:before="240" w:after="156" w:line="360" w:lineRule="auto"/>
      <w:ind w:firstLine="437"/>
    </w:pPr>
    <w:rPr>
      <w:rFonts w:cs="宋体"/>
      <w:b/>
      <w:bCs/>
      <w:color w:val="000000"/>
      <w:sz w:val="24"/>
      <w:szCs w:val="20"/>
    </w:rPr>
  </w:style>
  <w:style w:type="paragraph" w:customStyle="1" w:styleId="2842">
    <w:name w:val="样式 行距: 固定值 23 磅 首行缩进:  2.25 字符"/>
    <w:basedOn w:val="1"/>
    <w:qFormat/>
    <w:uiPriority w:val="99"/>
    <w:pPr>
      <w:spacing w:line="360" w:lineRule="auto"/>
      <w:ind w:firstLine="225" w:firstLineChars="225"/>
      <w:jc w:val="left"/>
    </w:pPr>
    <w:rPr>
      <w:rFonts w:ascii="Calibri" w:hAnsi="Calibri" w:cs="宋体"/>
      <w:szCs w:val="20"/>
    </w:rPr>
  </w:style>
  <w:style w:type="paragraph" w:customStyle="1" w:styleId="2843">
    <w:name w:val="正文25"/>
    <w:basedOn w:val="110"/>
    <w:semiHidden/>
    <w:qFormat/>
    <w:uiPriority w:val="0"/>
    <w:pPr>
      <w:framePr w:wrap="around" w:vAnchor="text" w:hAnchor="text" w:y="1"/>
      <w:adjustRightInd w:val="0"/>
      <w:spacing w:beforeLines="50" w:after="120"/>
      <w:ind w:firstLine="200" w:firstLineChars="200"/>
      <w:jc w:val="left"/>
    </w:pPr>
    <w:rPr>
      <w:rFonts w:hAnsi="宋体"/>
      <w:b/>
      <w:kern w:val="0"/>
    </w:rPr>
  </w:style>
  <w:style w:type="paragraph" w:customStyle="1" w:styleId="2844">
    <w:name w:val="样式 宋体 左侧:  0 厘米 悬挂缩进: 3 字符"/>
    <w:basedOn w:val="1"/>
    <w:qFormat/>
    <w:uiPriority w:val="99"/>
    <w:pPr>
      <w:spacing w:line="360" w:lineRule="auto"/>
      <w:ind w:left="720" w:hanging="720" w:hangingChars="300"/>
    </w:pPr>
    <w:rPr>
      <w:rFonts w:ascii="宋体" w:hAnsi="宋体" w:cs="宋体"/>
      <w:sz w:val="28"/>
      <w:szCs w:val="20"/>
    </w:rPr>
  </w:style>
  <w:style w:type="paragraph" w:customStyle="1" w:styleId="2845">
    <w:name w:val="样式 报告 + 首行缩进:  2 字符 段前: 0.3 行 段后: 0.3 行"/>
    <w:basedOn w:val="1"/>
    <w:qFormat/>
    <w:uiPriority w:val="99"/>
    <w:pPr>
      <w:spacing w:before="200" w:after="200" w:line="400" w:lineRule="atLeast"/>
      <w:ind w:firstLine="482"/>
    </w:pPr>
    <w:rPr>
      <w:rFonts w:ascii="宋体" w:hAnsi="宋体" w:cs="宋体"/>
      <w:sz w:val="24"/>
      <w:szCs w:val="20"/>
    </w:rPr>
  </w:style>
  <w:style w:type="paragraph" w:customStyle="1" w:styleId="2846">
    <w:name w:val="样式 列表 + 居中"/>
    <w:basedOn w:val="67"/>
    <w:qFormat/>
    <w:uiPriority w:val="0"/>
    <w:pPr>
      <w:snapToGrid w:val="0"/>
      <w:ind w:left="0" w:firstLine="0" w:firstLineChars="0"/>
      <w:jc w:val="center"/>
    </w:pPr>
    <w:rPr>
      <w:szCs w:val="21"/>
    </w:rPr>
  </w:style>
  <w:style w:type="paragraph" w:customStyle="1" w:styleId="2847">
    <w:name w:val="图片题注"/>
    <w:basedOn w:val="23"/>
    <w:next w:val="1"/>
    <w:qFormat/>
    <w:uiPriority w:val="0"/>
    <w:pPr>
      <w:spacing w:after="100" w:afterAutospacing="1"/>
      <w:jc w:val="center"/>
    </w:pPr>
    <w:rPr>
      <w:rFonts w:ascii="Times New Roman" w:hAnsi="Times New Roman" w:eastAsia="宋体" w:cs="Times New Roman"/>
      <w:bCs/>
      <w:sz w:val="24"/>
      <w:szCs w:val="22"/>
    </w:rPr>
  </w:style>
  <w:style w:type="paragraph" w:customStyle="1" w:styleId="2848">
    <w:name w:val="表头编号"/>
    <w:basedOn w:val="1"/>
    <w:qFormat/>
    <w:uiPriority w:val="0"/>
    <w:pPr>
      <w:adjustRightInd w:val="0"/>
      <w:snapToGrid w:val="0"/>
      <w:spacing w:line="360" w:lineRule="auto"/>
      <w:ind w:right="-3" w:rightChars="-1" w:firstLine="420" w:firstLineChars="200"/>
      <w:jc w:val="center"/>
      <w:textAlignment w:val="baseline"/>
    </w:pPr>
    <w:rPr>
      <w:rFonts w:ascii="宋体" w:hAnsi="宋体"/>
      <w:color w:val="000000"/>
      <w:kern w:val="0"/>
      <w:sz w:val="24"/>
      <w:szCs w:val="20"/>
    </w:rPr>
  </w:style>
  <w:style w:type="paragraph" w:customStyle="1" w:styleId="2849">
    <w:name w:val="xl126"/>
    <w:basedOn w:val="1"/>
    <w:qFormat/>
    <w:uiPriority w:val="0"/>
    <w:pPr>
      <w:widowControl/>
      <w:pBdr>
        <w:top w:val="single" w:color="auto" w:sz="4" w:space="0"/>
        <w:left w:val="single" w:color="auto" w:sz="4" w:space="0"/>
        <w:right w:val="single" w:color="auto" w:sz="4" w:space="0"/>
      </w:pBdr>
      <w:shd w:val="clear" w:color="auto" w:fill="FFFFFF"/>
      <w:spacing w:before="100" w:beforeAutospacing="1" w:after="100" w:afterAutospacing="1"/>
      <w:jc w:val="center"/>
      <w:textAlignment w:val="center"/>
    </w:pPr>
    <w:rPr>
      <w:rFonts w:ascii="宋体" w:hAnsi="宋体" w:cs="宋体"/>
      <w:kern w:val="0"/>
      <w:sz w:val="20"/>
      <w:szCs w:val="20"/>
    </w:rPr>
  </w:style>
  <w:style w:type="paragraph" w:customStyle="1" w:styleId="2850">
    <w:name w:val="封2"/>
    <w:basedOn w:val="1"/>
    <w:qFormat/>
    <w:uiPriority w:val="0"/>
    <w:pPr>
      <w:tabs>
        <w:tab w:val="left" w:pos="-120"/>
      </w:tabs>
      <w:spacing w:before="120" w:after="120" w:line="24" w:lineRule="atLeast"/>
      <w:jc w:val="left"/>
    </w:pPr>
    <w:rPr>
      <w:rFonts w:eastAsia="黑体"/>
      <w:spacing w:val="20"/>
      <w:sz w:val="28"/>
      <w:szCs w:val="20"/>
    </w:rPr>
  </w:style>
  <w:style w:type="paragraph" w:customStyle="1" w:styleId="2851">
    <w:name w:val="银洲湖规划表标题"/>
    <w:basedOn w:val="1"/>
    <w:qFormat/>
    <w:uiPriority w:val="0"/>
    <w:pPr>
      <w:spacing w:beforeLines="50" w:afterLines="50"/>
      <w:jc w:val="center"/>
    </w:pPr>
    <w:rPr>
      <w:b/>
      <w:bCs/>
      <w:kern w:val="0"/>
      <w:sz w:val="24"/>
      <w:lang w:val="en-GB"/>
    </w:rPr>
  </w:style>
  <w:style w:type="paragraph" w:customStyle="1" w:styleId="2852">
    <w:name w:val="图名称 Char Char Char Char Char Char Char Char Char Char"/>
    <w:basedOn w:val="1"/>
    <w:qFormat/>
    <w:uiPriority w:val="0"/>
    <w:pPr>
      <w:tabs>
        <w:tab w:val="left" w:pos="-120"/>
      </w:tabs>
      <w:spacing w:line="240" w:lineRule="atLeast"/>
      <w:jc w:val="center"/>
    </w:pPr>
    <w:rPr>
      <w:b/>
      <w:bCs/>
      <w:kern w:val="0"/>
      <w:sz w:val="24"/>
      <w:szCs w:val="28"/>
    </w:rPr>
  </w:style>
  <w:style w:type="paragraph" w:customStyle="1" w:styleId="2853">
    <w:name w:val="opsom1"/>
    <w:basedOn w:val="25"/>
    <w:qFormat/>
    <w:uiPriority w:val="0"/>
    <w:pPr>
      <w:widowControl/>
      <w:adjustRightInd/>
      <w:spacing w:line="360" w:lineRule="auto"/>
      <w:ind w:left="284" w:hanging="284"/>
      <w:textAlignment w:val="auto"/>
    </w:pPr>
    <w:rPr>
      <w:rFonts w:ascii="Arial" w:hAnsi="Arial" w:eastAsia="Times New Roman"/>
      <w:sz w:val="22"/>
      <w:lang w:val="nl" w:eastAsia="en-US"/>
    </w:rPr>
  </w:style>
  <w:style w:type="paragraph" w:customStyle="1" w:styleId="2854">
    <w:name w:val="报告正文3"/>
    <w:basedOn w:val="1"/>
    <w:qFormat/>
    <w:uiPriority w:val="0"/>
    <w:pPr>
      <w:spacing w:line="360" w:lineRule="auto"/>
      <w:ind w:firstLine="482"/>
    </w:pPr>
    <w:rPr>
      <w:rFonts w:cs="宋体"/>
      <w:sz w:val="24"/>
      <w:szCs w:val="20"/>
    </w:rPr>
  </w:style>
  <w:style w:type="paragraph" w:customStyle="1" w:styleId="2855">
    <w:name w:val="样式 三号 加粗 段前: 6 磅 段后: 6 磅"/>
    <w:basedOn w:val="1"/>
    <w:qFormat/>
    <w:uiPriority w:val="0"/>
    <w:pPr>
      <w:spacing w:before="100" w:beforeAutospacing="1" w:after="100" w:afterAutospacing="1" w:line="460" w:lineRule="exact"/>
    </w:pPr>
    <w:rPr>
      <w:rFonts w:cs="宋体"/>
      <w:b/>
      <w:bCs/>
      <w:sz w:val="32"/>
      <w:szCs w:val="20"/>
    </w:rPr>
  </w:style>
  <w:style w:type="paragraph" w:customStyle="1" w:styleId="2856">
    <w:name w:val="样式 标题 2 + 小三 加粗"/>
    <w:basedOn w:val="4"/>
    <w:qFormat/>
    <w:uiPriority w:val="0"/>
    <w:pPr>
      <w:numPr>
        <w:numId w:val="0"/>
      </w:numPr>
      <w:tabs>
        <w:tab w:val="left" w:pos="720"/>
      </w:tabs>
      <w:adjustRightInd/>
      <w:snapToGrid/>
      <w:spacing w:before="260" w:beforeLines="50" w:after="260" w:afterLines="50"/>
      <w:jc w:val="left"/>
    </w:pPr>
    <w:rPr>
      <w:rFonts w:ascii="Arial" w:hAnsi="Arial"/>
      <w:b/>
      <w:szCs w:val="32"/>
      <w:lang w:val="en-US"/>
    </w:rPr>
  </w:style>
  <w:style w:type="paragraph" w:customStyle="1" w:styleId="2857">
    <w:name w:val="样式 标题 2H22nd levelh22Header 21SeHead wsa2Chapter Title..."/>
    <w:basedOn w:val="4"/>
    <w:qFormat/>
    <w:uiPriority w:val="0"/>
    <w:pPr>
      <w:numPr>
        <w:numId w:val="0"/>
      </w:numPr>
      <w:tabs>
        <w:tab w:val="left" w:pos="720"/>
        <w:tab w:val="left" w:pos="1134"/>
      </w:tabs>
      <w:adjustRightInd/>
      <w:snapToGrid/>
      <w:spacing w:before="100" w:beforeLines="50" w:beforeAutospacing="1" w:after="100" w:afterAutospacing="1"/>
      <w:ind w:right="240" w:rightChars="100"/>
      <w:jc w:val="left"/>
    </w:pPr>
    <w:rPr>
      <w:rFonts w:cs="宋体"/>
      <w:b/>
      <w:kern w:val="0"/>
      <w:sz w:val="32"/>
      <w:szCs w:val="32"/>
    </w:rPr>
  </w:style>
  <w:style w:type="paragraph" w:customStyle="1" w:styleId="2858">
    <w:name w:val="样式 样式 宋体 首行缩进:  2 字符 + 首行缩进:  2 字符"/>
    <w:basedOn w:val="1"/>
    <w:qFormat/>
    <w:uiPriority w:val="99"/>
    <w:pPr>
      <w:spacing w:line="360" w:lineRule="auto"/>
      <w:ind w:firstLine="200" w:firstLineChars="200"/>
    </w:pPr>
    <w:rPr>
      <w:rFonts w:ascii="宋体" w:hAnsi="宋体" w:cs="宋体"/>
      <w:sz w:val="28"/>
      <w:szCs w:val="20"/>
    </w:rPr>
  </w:style>
  <w:style w:type="paragraph" w:customStyle="1" w:styleId="2859">
    <w:name w:val="样式 标题 21标题2H2h2第一层条1.1标题 2节标题 1.11.1标题2节标题 1.1 Char1.1..."/>
    <w:basedOn w:val="4"/>
    <w:qFormat/>
    <w:uiPriority w:val="0"/>
    <w:pPr>
      <w:numPr>
        <w:ilvl w:val="0"/>
        <w:numId w:val="0"/>
      </w:numPr>
      <w:tabs>
        <w:tab w:val="left" w:pos="720"/>
      </w:tabs>
      <w:adjustRightInd/>
      <w:snapToGrid/>
      <w:spacing w:before="156" w:after="62"/>
      <w:jc w:val="left"/>
    </w:pPr>
    <w:rPr>
      <w:rFonts w:eastAsia="Times New Roman" w:cs="宋体"/>
      <w:sz w:val="32"/>
      <w:szCs w:val="20"/>
    </w:rPr>
  </w:style>
  <w:style w:type="paragraph" w:customStyle="1" w:styleId="2860">
    <w:name w:val="表格（hwl) + 11 磅"/>
    <w:basedOn w:val="2861"/>
    <w:qFormat/>
    <w:uiPriority w:val="0"/>
    <w:rPr>
      <w:szCs w:val="22"/>
    </w:rPr>
  </w:style>
  <w:style w:type="paragraph" w:customStyle="1" w:styleId="2861">
    <w:name w:val="样式 样式 表格（hwl) + 11 磅 两端对齐 首行缩进:  0.75 厘米 + 左侧:  -0.35 字符"/>
    <w:basedOn w:val="2862"/>
    <w:qFormat/>
    <w:uiPriority w:val="0"/>
    <w:pPr>
      <w:jc w:val="center"/>
    </w:pPr>
  </w:style>
  <w:style w:type="paragraph" w:customStyle="1" w:styleId="2862">
    <w:name w:val="样式 表格（hwl) + 11 磅 两端对齐 首行缩进:  0.75 厘米"/>
    <w:basedOn w:val="1937"/>
    <w:qFormat/>
    <w:uiPriority w:val="0"/>
    <w:rPr>
      <w:rFonts w:cs="宋体"/>
      <w:kern w:val="2"/>
      <w:sz w:val="22"/>
      <w:szCs w:val="20"/>
    </w:rPr>
  </w:style>
  <w:style w:type="paragraph" w:customStyle="1" w:styleId="2863">
    <w:name w:val="样式 宋体 五"/>
    <w:basedOn w:val="1"/>
    <w:qFormat/>
    <w:uiPriority w:val="0"/>
    <w:pPr>
      <w:widowControl/>
      <w:snapToGrid w:val="0"/>
      <w:jc w:val="left"/>
    </w:pPr>
    <w:rPr>
      <w:rFonts w:ascii="宋体" w:hAnsi="宋体" w:cs="宋体"/>
      <w:kern w:val="0"/>
      <w:szCs w:val="20"/>
    </w:rPr>
  </w:style>
  <w:style w:type="paragraph" w:customStyle="1" w:styleId="2864">
    <w:name w:val="缺省文本"/>
    <w:basedOn w:val="1"/>
    <w:qFormat/>
    <w:uiPriority w:val="0"/>
    <w:pPr>
      <w:autoSpaceDE w:val="0"/>
      <w:autoSpaceDN w:val="0"/>
      <w:adjustRightInd w:val="0"/>
      <w:jc w:val="left"/>
    </w:pPr>
    <w:rPr>
      <w:kern w:val="0"/>
      <w:sz w:val="24"/>
    </w:rPr>
  </w:style>
  <w:style w:type="paragraph" w:customStyle="1" w:styleId="2865">
    <w:name w:val="正文 + 仿宋_GB2312"/>
    <w:basedOn w:val="1"/>
    <w:qFormat/>
    <w:uiPriority w:val="0"/>
    <w:rPr>
      <w:rFonts w:ascii="仿宋_GB2312" w:eastAsia="仿宋_GB2312"/>
      <w:b/>
      <w:color w:val="000000"/>
      <w:sz w:val="28"/>
      <w:szCs w:val="28"/>
    </w:rPr>
  </w:style>
  <w:style w:type="paragraph" w:customStyle="1" w:styleId="2866">
    <w:name w:val="第4级标题"/>
    <w:basedOn w:val="7"/>
    <w:next w:val="1"/>
    <w:qFormat/>
    <w:uiPriority w:val="99"/>
    <w:pPr>
      <w:keepNext w:val="0"/>
      <w:keepLines w:val="0"/>
      <w:numPr>
        <w:numId w:val="18"/>
      </w:numPr>
      <w:tabs>
        <w:tab w:val="left" w:pos="720"/>
        <w:tab w:val="left" w:pos="864"/>
        <w:tab w:val="left" w:pos="2356"/>
      </w:tabs>
      <w:adjustRightInd/>
      <w:spacing w:before="100" w:beforeAutospacing="1" w:after="100" w:afterAutospacing="1" w:line="460" w:lineRule="exact"/>
      <w:ind w:left="864" w:hanging="864"/>
    </w:pPr>
    <w:rPr>
      <w:rFonts w:eastAsia="华文中宋"/>
      <w:b/>
      <w:sz w:val="28"/>
      <w:lang w:val="zh-CN"/>
    </w:rPr>
  </w:style>
  <w:style w:type="paragraph" w:customStyle="1" w:styleId="2867">
    <w:name w:val="xl180"/>
    <w:basedOn w:val="1"/>
    <w:qFormat/>
    <w:uiPriority w:val="0"/>
    <w:pPr>
      <w:widowControl/>
      <w:pBdr>
        <w:top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 w:val="20"/>
      <w:szCs w:val="20"/>
    </w:rPr>
  </w:style>
  <w:style w:type="paragraph" w:customStyle="1" w:styleId="2868">
    <w:name w:val="正式文本"/>
    <w:basedOn w:val="1"/>
    <w:qFormat/>
    <w:uiPriority w:val="0"/>
    <w:pPr>
      <w:ind w:firstLine="199" w:firstLineChars="71"/>
    </w:pPr>
    <w:rPr>
      <w:rFonts w:ascii="仿宋_GB2312" w:eastAsia="仿宋_GB2312"/>
      <w:sz w:val="28"/>
      <w:szCs w:val="21"/>
    </w:rPr>
  </w:style>
  <w:style w:type="paragraph" w:customStyle="1" w:styleId="2869">
    <w:name w:val="样式 四号 行距: 1.5 倍行距"/>
    <w:basedOn w:val="1"/>
    <w:qFormat/>
    <w:uiPriority w:val="0"/>
    <w:pPr>
      <w:spacing w:line="360" w:lineRule="auto"/>
      <w:ind w:firstLine="560" w:firstLineChars="200"/>
    </w:pPr>
    <w:rPr>
      <w:sz w:val="24"/>
      <w:szCs w:val="20"/>
    </w:rPr>
  </w:style>
  <w:style w:type="paragraph" w:customStyle="1" w:styleId="2870">
    <w:name w:val="样式 正文文本缩进 3 + 四号"/>
    <w:basedOn w:val="71"/>
    <w:qFormat/>
    <w:uiPriority w:val="0"/>
    <w:pPr>
      <w:ind w:firstLine="658" w:firstLineChars="235"/>
    </w:pPr>
    <w:rPr>
      <w:rFonts w:cs="宋体"/>
      <w:sz w:val="28"/>
      <w:szCs w:val="20"/>
    </w:rPr>
  </w:style>
  <w:style w:type="paragraph" w:customStyle="1" w:styleId="2871">
    <w:name w:val="xl142"/>
    <w:basedOn w:val="1"/>
    <w:qFormat/>
    <w:uiPriority w:val="0"/>
    <w:pPr>
      <w:widowControl/>
      <w:pBdr>
        <w:top w:val="single" w:color="auto" w:sz="4" w:space="0"/>
        <w:bottom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2872">
    <w:name w:val="有关文件"/>
    <w:basedOn w:val="2873"/>
    <w:qFormat/>
    <w:uiPriority w:val="0"/>
    <w:pPr>
      <w:tabs>
        <w:tab w:val="left" w:pos="1006"/>
      </w:tabs>
    </w:pPr>
  </w:style>
  <w:style w:type="paragraph" w:customStyle="1" w:styleId="2873">
    <w:name w:val="法规列表"/>
    <w:qFormat/>
    <w:uiPriority w:val="0"/>
    <w:pPr>
      <w:tabs>
        <w:tab w:val="left" w:pos="1006"/>
      </w:tabs>
      <w:spacing w:line="360" w:lineRule="auto"/>
      <w:ind w:firstLine="480" w:firstLineChars="200"/>
    </w:pPr>
    <w:rPr>
      <w:rFonts w:ascii="Times New Roman" w:hAnsi="Times New Roman" w:eastAsia="宋体" w:cs="Times New Roman"/>
      <w:sz w:val="24"/>
      <w:lang w:val="en-US" w:eastAsia="zh-CN" w:bidi="ar-SA"/>
    </w:rPr>
  </w:style>
  <w:style w:type="paragraph" w:customStyle="1" w:styleId="2874">
    <w:name w:val="表头10"/>
    <w:basedOn w:val="2816"/>
    <w:qFormat/>
    <w:uiPriority w:val="0"/>
    <w:pPr>
      <w:tabs>
        <w:tab w:val="left" w:pos="420"/>
        <w:tab w:val="clear" w:pos="1335"/>
      </w:tabs>
      <w:spacing w:before="240" w:after="120"/>
      <w:ind w:left="420" w:hanging="420"/>
    </w:pPr>
    <w:rPr>
      <w:bCs/>
    </w:rPr>
  </w:style>
  <w:style w:type="paragraph" w:customStyle="1" w:styleId="2875">
    <w:name w:val="样式 标题 2H2SeHead wsa21标题 1.1.Chapter TitleChapter节标题 1.1..."/>
    <w:basedOn w:val="4"/>
    <w:qFormat/>
    <w:uiPriority w:val="0"/>
    <w:pPr>
      <w:keepNext w:val="0"/>
      <w:keepLines w:val="0"/>
      <w:widowControl/>
      <w:numPr>
        <w:ilvl w:val="0"/>
        <w:numId w:val="0"/>
      </w:numPr>
      <w:tabs>
        <w:tab w:val="left" w:pos="576"/>
        <w:tab w:val="left" w:pos="720"/>
      </w:tabs>
      <w:adjustRightInd/>
      <w:snapToGrid/>
      <w:spacing w:line="240" w:lineRule="auto"/>
      <w:ind w:left="576" w:hanging="576"/>
      <w:jc w:val="left"/>
    </w:pPr>
    <w:rPr>
      <w:rFonts w:eastAsia="宋体"/>
      <w:b/>
      <w:kern w:val="44"/>
      <w:sz w:val="32"/>
      <w:szCs w:val="36"/>
    </w:rPr>
  </w:style>
  <w:style w:type="paragraph" w:customStyle="1" w:styleId="2876">
    <w:name w:val="段落 Char Char"/>
    <w:basedOn w:val="1"/>
    <w:qFormat/>
    <w:uiPriority w:val="0"/>
    <w:pPr>
      <w:topLinePunct/>
      <w:snapToGrid w:val="0"/>
      <w:spacing w:line="360" w:lineRule="auto"/>
      <w:ind w:firstLine="200" w:firstLineChars="200"/>
    </w:pPr>
    <w:rPr>
      <w:sz w:val="24"/>
    </w:rPr>
  </w:style>
  <w:style w:type="paragraph" w:customStyle="1" w:styleId="2877">
    <w:name w:val="white-arial-9px"/>
    <w:basedOn w:val="1"/>
    <w:qFormat/>
    <w:uiPriority w:val="0"/>
    <w:pPr>
      <w:widowControl/>
      <w:adjustRightInd w:val="0"/>
      <w:snapToGrid w:val="0"/>
      <w:spacing w:before="100" w:beforeAutospacing="1" w:after="100" w:afterAutospacing="1" w:line="360" w:lineRule="auto"/>
      <w:ind w:firstLine="538" w:firstLineChars="192"/>
      <w:jc w:val="left"/>
    </w:pPr>
    <w:rPr>
      <w:rFonts w:ascii="Arial" w:hAnsi="Arial" w:cs="Arial"/>
      <w:bCs/>
      <w:color w:val="FFFFFF"/>
      <w:kern w:val="0"/>
      <w:sz w:val="14"/>
      <w:szCs w:val="14"/>
    </w:rPr>
  </w:style>
  <w:style w:type="paragraph" w:customStyle="1" w:styleId="2878">
    <w:name w:val="xl15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cs="宋体"/>
      <w:b/>
      <w:bCs/>
      <w:color w:val="000000"/>
      <w:kern w:val="0"/>
      <w:sz w:val="20"/>
      <w:szCs w:val="20"/>
    </w:rPr>
  </w:style>
  <w:style w:type="paragraph" w:customStyle="1" w:styleId="2879">
    <w:name w:val="正文0"/>
    <w:basedOn w:val="1"/>
    <w:qFormat/>
    <w:uiPriority w:val="0"/>
    <w:pPr>
      <w:autoSpaceDE w:val="0"/>
      <w:autoSpaceDN w:val="0"/>
      <w:adjustRightInd w:val="0"/>
      <w:spacing w:line="360" w:lineRule="auto"/>
      <w:ind w:firstLine="567"/>
      <w:jc w:val="left"/>
      <w:textAlignment w:val="baseline"/>
    </w:pPr>
    <w:rPr>
      <w:rFonts w:eastAsia="仿宋体"/>
      <w:kern w:val="0"/>
      <w:sz w:val="24"/>
      <w:szCs w:val="20"/>
    </w:rPr>
  </w:style>
  <w:style w:type="paragraph" w:customStyle="1" w:styleId="2880">
    <w:name w:val="图底"/>
    <w:basedOn w:val="1"/>
    <w:qFormat/>
    <w:uiPriority w:val="0"/>
    <w:pPr>
      <w:kinsoku w:val="0"/>
      <w:wordWrap w:val="0"/>
      <w:overflowPunct w:val="0"/>
      <w:autoSpaceDE w:val="0"/>
      <w:autoSpaceDN w:val="0"/>
      <w:adjustRightInd w:val="0"/>
      <w:jc w:val="center"/>
      <w:textAlignment w:val="baseline"/>
    </w:pPr>
    <w:rPr>
      <w:b/>
      <w:kern w:val="0"/>
      <w:sz w:val="24"/>
      <w:szCs w:val="20"/>
    </w:rPr>
  </w:style>
  <w:style w:type="paragraph" w:customStyle="1" w:styleId="2881">
    <w:name w:val="样式 样式 小四 行距: 固定值 23 磅 + 左侧:  0.74 厘米 首行缩进:  0.85 厘米"/>
    <w:basedOn w:val="2686"/>
    <w:qFormat/>
    <w:uiPriority w:val="0"/>
  </w:style>
  <w:style w:type="paragraph" w:customStyle="1" w:styleId="2882">
    <w:name w:val="selinna标3"/>
    <w:basedOn w:val="1"/>
    <w:qFormat/>
    <w:uiPriority w:val="0"/>
    <w:pPr>
      <w:adjustRightInd w:val="0"/>
      <w:snapToGrid w:val="0"/>
      <w:spacing w:beforeLines="50" w:line="300" w:lineRule="auto"/>
      <w:ind w:firstLine="200" w:firstLineChars="200"/>
      <w:outlineLvl w:val="2"/>
    </w:pPr>
    <w:rPr>
      <w:rFonts w:ascii="宋体" w:hAnsi="宋体"/>
      <w:b/>
      <w:bCs/>
      <w:sz w:val="32"/>
      <w:szCs w:val="32"/>
    </w:rPr>
  </w:style>
  <w:style w:type="paragraph" w:customStyle="1" w:styleId="2883">
    <w:name w:val="样式 目录 2 + 左侧:  2 字符 首行缩进:  2 字符4"/>
    <w:basedOn w:val="75"/>
    <w:qFormat/>
    <w:uiPriority w:val="0"/>
    <w:pPr>
      <w:ind w:left="200" w:firstLine="200" w:firstLineChars="200"/>
      <w:jc w:val="both"/>
    </w:pPr>
    <w:rPr>
      <w:rFonts w:cs="宋体"/>
      <w:lang w:val="zh-CN"/>
    </w:rPr>
  </w:style>
  <w:style w:type="paragraph" w:customStyle="1" w:styleId="2884">
    <w:name w:val="公式1"/>
    <w:basedOn w:val="1"/>
    <w:qFormat/>
    <w:uiPriority w:val="0"/>
    <w:pPr>
      <w:spacing w:beforeLines="50" w:line="400" w:lineRule="exact"/>
      <w:ind w:firstLine="480" w:firstLineChars="200"/>
    </w:pPr>
    <w:rPr>
      <w:rFonts w:ascii="Century Gothic" w:hAnsi="Century Gothic"/>
      <w:sz w:val="24"/>
      <w:szCs w:val="20"/>
    </w:rPr>
  </w:style>
  <w:style w:type="paragraph" w:customStyle="1" w:styleId="2885">
    <w:name w:val="xl15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b/>
      <w:bCs/>
      <w:kern w:val="0"/>
      <w:sz w:val="20"/>
      <w:szCs w:val="20"/>
    </w:rPr>
  </w:style>
  <w:style w:type="paragraph" w:customStyle="1" w:styleId="2886">
    <w:name w:val="法规"/>
    <w:basedOn w:val="1"/>
    <w:qFormat/>
    <w:uiPriority w:val="99"/>
    <w:pPr>
      <w:tabs>
        <w:tab w:val="left" w:pos="360"/>
      </w:tabs>
      <w:spacing w:line="440" w:lineRule="exact"/>
      <w:ind w:left="-40" w:firstLine="400"/>
    </w:pPr>
    <w:rPr>
      <w:sz w:val="25"/>
      <w:szCs w:val="20"/>
    </w:rPr>
  </w:style>
  <w:style w:type="paragraph" w:customStyle="1" w:styleId="2887">
    <w:name w:val="表内五中"/>
    <w:qFormat/>
    <w:uiPriority w:val="0"/>
    <w:pPr>
      <w:tabs>
        <w:tab w:val="left" w:pos="900"/>
      </w:tabs>
      <w:adjustRightInd w:val="0"/>
      <w:ind w:left="-50"/>
      <w:jc w:val="center"/>
    </w:pPr>
    <w:rPr>
      <w:rFonts w:ascii="Times New Roman" w:hAnsi="Times New Roman" w:eastAsia="宋体" w:cs="Times New Roman"/>
      <w:sz w:val="21"/>
      <w:lang w:val="en-US" w:eastAsia="zh-CN" w:bidi="ar-SA"/>
    </w:rPr>
  </w:style>
  <w:style w:type="paragraph" w:customStyle="1" w:styleId="2888">
    <w:name w:val="xl14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rFonts w:ascii="宋体" w:hAnsi="宋体" w:cs="宋体"/>
      <w:b/>
      <w:bCs/>
      <w:color w:val="000000"/>
      <w:kern w:val="0"/>
      <w:sz w:val="20"/>
      <w:szCs w:val="20"/>
    </w:rPr>
  </w:style>
  <w:style w:type="paragraph" w:customStyle="1" w:styleId="2889">
    <w:name w:val="样式 四号 加粗 段前: 6 磅 段后: 5 磅 行距: 固定值 23 磅"/>
    <w:basedOn w:val="7"/>
    <w:qFormat/>
    <w:uiPriority w:val="0"/>
    <w:pPr>
      <w:keepNext w:val="0"/>
      <w:keepLines w:val="0"/>
      <w:widowControl/>
      <w:numPr>
        <w:ilvl w:val="0"/>
        <w:numId w:val="0"/>
      </w:numPr>
      <w:tabs>
        <w:tab w:val="left" w:pos="720"/>
      </w:tabs>
      <w:adjustRightInd/>
      <w:spacing w:after="60" w:line="460" w:lineRule="exact"/>
    </w:pPr>
    <w:rPr>
      <w:rFonts w:eastAsia="宋体" w:cs="宋体"/>
      <w:b/>
      <w:bCs w:val="0"/>
      <w:color w:val="993366"/>
      <w:kern w:val="28"/>
      <w:sz w:val="28"/>
      <w:szCs w:val="20"/>
      <w:lang w:val="zh-CN"/>
    </w:rPr>
  </w:style>
  <w:style w:type="paragraph" w:customStyle="1" w:styleId="2890">
    <w:name w:val="样式 标题 2节H2Heading 2 HiddenHeading 2 CCBSheading 2h2节标题 + ..."/>
    <w:basedOn w:val="4"/>
    <w:qFormat/>
    <w:uiPriority w:val="0"/>
    <w:pPr>
      <w:numPr>
        <w:numId w:val="0"/>
      </w:numPr>
      <w:tabs>
        <w:tab w:val="left" w:pos="720"/>
      </w:tabs>
      <w:adjustRightInd/>
      <w:snapToGrid/>
      <w:spacing w:before="260" w:beforeLines="50"/>
    </w:pPr>
    <w:rPr>
      <w:b/>
      <w:szCs w:val="20"/>
      <w:lang w:val="en-US"/>
    </w:rPr>
  </w:style>
  <w:style w:type="paragraph" w:customStyle="1" w:styleId="2891">
    <w:name w:val="xl137"/>
    <w:basedOn w:val="1"/>
    <w:qFormat/>
    <w:uiPriority w:val="0"/>
    <w:pPr>
      <w:widowControl/>
      <w:pBdr>
        <w:top w:val="single" w:color="auto" w:sz="8" w:space="0"/>
        <w:left w:val="single" w:color="auto" w:sz="8" w:space="0"/>
        <w:bottom w:val="single" w:color="auto" w:sz="4" w:space="0"/>
        <w:right w:val="single" w:color="auto" w:sz="4" w:space="0"/>
      </w:pBdr>
      <w:shd w:val="clear" w:color="auto" w:fill="FFFFFF"/>
      <w:spacing w:before="100" w:beforeAutospacing="1" w:after="100" w:afterAutospacing="1"/>
      <w:jc w:val="center"/>
      <w:textAlignment w:val="center"/>
    </w:pPr>
    <w:rPr>
      <w:rFonts w:ascii="宋体" w:hAnsi="宋体" w:cs="宋体"/>
      <w:b/>
      <w:bCs/>
      <w:color w:val="000000"/>
      <w:kern w:val="0"/>
      <w:sz w:val="18"/>
      <w:szCs w:val="18"/>
    </w:rPr>
  </w:style>
  <w:style w:type="paragraph" w:customStyle="1" w:styleId="2892">
    <w:name w:val="戚-正文"/>
    <w:qFormat/>
    <w:uiPriority w:val="0"/>
    <w:pPr>
      <w:spacing w:line="480" w:lineRule="exact"/>
      <w:ind w:firstLine="482"/>
    </w:pPr>
    <w:rPr>
      <w:rFonts w:ascii="宋体" w:hAnsi="宋体" w:eastAsia="仿宋_GB2312" w:cs="宋体"/>
      <w:kern w:val="2"/>
      <w:sz w:val="24"/>
      <w:lang w:val="en-US" w:eastAsia="zh-CN" w:bidi="ar-SA"/>
    </w:rPr>
  </w:style>
  <w:style w:type="paragraph" w:customStyle="1" w:styleId="2893">
    <w:name w:val="样式 五号 居中 首行缩进:  0.74 厘米 行距: 单倍行距"/>
    <w:basedOn w:val="1"/>
    <w:qFormat/>
    <w:uiPriority w:val="0"/>
    <w:pPr>
      <w:tabs>
        <w:tab w:val="left" w:pos="480"/>
      </w:tabs>
      <w:jc w:val="center"/>
    </w:pPr>
    <w:rPr>
      <w:rFonts w:cs="宋体"/>
      <w:szCs w:val="20"/>
    </w:rPr>
  </w:style>
  <w:style w:type="paragraph" w:customStyle="1" w:styleId="2894">
    <w:name w:val="标题 32"/>
    <w:basedOn w:val="1"/>
    <w:qFormat/>
    <w:uiPriority w:val="0"/>
  </w:style>
  <w:style w:type="paragraph" w:customStyle="1" w:styleId="2895">
    <w:name w:val="正文71"/>
    <w:semiHidden/>
    <w:qFormat/>
    <w:uiPriority w:val="0"/>
    <w:pPr>
      <w:widowControl w:val="0"/>
      <w:adjustRightInd w:val="0"/>
      <w:spacing w:line="360" w:lineRule="atLeast"/>
    </w:pPr>
    <w:rPr>
      <w:rFonts w:ascii="宋体" w:hAnsi="Times New Roman" w:eastAsia="宋体" w:cs="Times New Roman"/>
      <w:sz w:val="34"/>
      <w:lang w:val="en-US" w:eastAsia="zh-CN" w:bidi="ar-SA"/>
    </w:rPr>
  </w:style>
  <w:style w:type="paragraph" w:customStyle="1" w:styleId="2896">
    <w:name w:val="段落A"/>
    <w:basedOn w:val="1"/>
    <w:qFormat/>
    <w:uiPriority w:val="0"/>
    <w:pPr>
      <w:spacing w:line="400" w:lineRule="exact"/>
      <w:ind w:firstLine="480" w:firstLineChars="200"/>
    </w:pPr>
    <w:rPr>
      <w:sz w:val="24"/>
    </w:rPr>
  </w:style>
  <w:style w:type="paragraph" w:customStyle="1" w:styleId="2897">
    <w:name w:val="样式 目录 2 + 左侧:  2 字符 首行缩进:  2 字符5"/>
    <w:basedOn w:val="75"/>
    <w:qFormat/>
    <w:uiPriority w:val="0"/>
    <w:pPr>
      <w:ind w:left="480" w:firstLine="420" w:firstLineChars="200"/>
      <w:jc w:val="both"/>
    </w:pPr>
    <w:rPr>
      <w:rFonts w:cs="宋体"/>
      <w:szCs w:val="21"/>
      <w:lang w:val="zh-CN"/>
    </w:rPr>
  </w:style>
  <w:style w:type="paragraph" w:customStyle="1" w:styleId="2898">
    <w:name w:val="样式 样式 样式 样式 表格文字 + 段前: 0.2 行 段后: 0.2 行 + 加粗 + 段前: 0.2 行 段后: 0.2 ...5"/>
    <w:basedOn w:val="2693"/>
    <w:qFormat/>
    <w:uiPriority w:val="99"/>
  </w:style>
  <w:style w:type="paragraph" w:customStyle="1" w:styleId="2899">
    <w:name w:val="样式 (中文) 宋体 三号 加粗 段前: 7.8 磅 段后: 7.8 磅 行距: 单倍行距1"/>
    <w:basedOn w:val="1"/>
    <w:qFormat/>
    <w:uiPriority w:val="0"/>
    <w:pPr>
      <w:adjustRightInd w:val="0"/>
      <w:snapToGrid w:val="0"/>
      <w:spacing w:before="120" w:after="120" w:line="360" w:lineRule="auto"/>
    </w:pPr>
    <w:rPr>
      <w:rFonts w:cs="宋体"/>
      <w:b/>
      <w:bCs/>
      <w:sz w:val="32"/>
      <w:szCs w:val="20"/>
    </w:rPr>
  </w:style>
  <w:style w:type="paragraph" w:customStyle="1" w:styleId="2900">
    <w:name w:val="北郊正文"/>
    <w:basedOn w:val="1"/>
    <w:qFormat/>
    <w:uiPriority w:val="99"/>
    <w:pPr>
      <w:spacing w:line="360" w:lineRule="auto"/>
      <w:ind w:firstLine="560" w:firstLineChars="200"/>
    </w:pPr>
    <w:rPr>
      <w:sz w:val="28"/>
      <w:szCs w:val="20"/>
    </w:rPr>
  </w:style>
  <w:style w:type="paragraph" w:customStyle="1" w:styleId="2901">
    <w:name w:val="表文左对齐"/>
    <w:basedOn w:val="1"/>
    <w:qFormat/>
    <w:uiPriority w:val="0"/>
    <w:pPr>
      <w:jc w:val="left"/>
    </w:pPr>
    <w:rPr>
      <w:rFonts w:eastAsia="仿宋_GB2312"/>
      <w:b/>
      <w:szCs w:val="20"/>
    </w:rPr>
  </w:style>
  <w:style w:type="paragraph" w:customStyle="1" w:styleId="2902">
    <w:name w:val="标题44"/>
    <w:basedOn w:val="22"/>
    <w:qFormat/>
    <w:uiPriority w:val="0"/>
    <w:pPr>
      <w:snapToGrid w:val="0"/>
      <w:spacing w:line="120" w:lineRule="auto"/>
      <w:ind w:firstLine="0" w:firstLineChars="0"/>
    </w:pPr>
    <w:rPr>
      <w:rFonts w:ascii="Calibri" w:hAnsi="Calibri"/>
      <w:bCs/>
      <w:szCs w:val="32"/>
    </w:rPr>
  </w:style>
  <w:style w:type="paragraph" w:customStyle="1" w:styleId="2903">
    <w:name w:val="样式 样式 样式 宋体 小四 左 + 首行缩进:  2 字符 + 首行缩进:  2 字符1"/>
    <w:basedOn w:val="2904"/>
    <w:qFormat/>
    <w:uiPriority w:val="0"/>
    <w:pPr>
      <w:ind w:firstLine="0" w:firstLineChars="0"/>
    </w:pPr>
    <w:rPr>
      <w:rFonts w:ascii="宋体"/>
    </w:rPr>
  </w:style>
  <w:style w:type="paragraph" w:customStyle="1" w:styleId="2904">
    <w:name w:val="样式 样式 宋体 小四 左 + 首行缩进:  2 字符"/>
    <w:basedOn w:val="1"/>
    <w:qFormat/>
    <w:uiPriority w:val="0"/>
    <w:pPr>
      <w:spacing w:line="360" w:lineRule="auto"/>
      <w:ind w:firstLine="200" w:firstLineChars="200"/>
      <w:jc w:val="left"/>
    </w:pPr>
    <w:rPr>
      <w:rFonts w:cs="宋体"/>
      <w:kern w:val="0"/>
      <w:sz w:val="24"/>
      <w:szCs w:val="20"/>
    </w:rPr>
  </w:style>
  <w:style w:type="paragraph" w:customStyle="1" w:styleId="2905">
    <w:name w:val="基准页眉样式"/>
    <w:basedOn w:val="35"/>
    <w:qFormat/>
    <w:uiPriority w:val="0"/>
    <w:pPr>
      <w:keepLines/>
      <w:widowControl/>
      <w:tabs>
        <w:tab w:val="center" w:pos="-18551"/>
        <w:tab w:val="right" w:pos="4320"/>
      </w:tabs>
      <w:spacing w:after="0" w:line="240" w:lineRule="atLeast"/>
      <w:jc w:val="center"/>
    </w:pPr>
    <w:rPr>
      <w:rFonts w:ascii="Garamond" w:hAnsi="Garamond"/>
      <w:smallCaps/>
      <w:spacing w:val="15"/>
      <w:kern w:val="0"/>
      <w:szCs w:val="20"/>
    </w:rPr>
  </w:style>
  <w:style w:type="paragraph" w:customStyle="1" w:styleId="2906">
    <w:name w:val="样式 标题 2 + 宋体"/>
    <w:basedOn w:val="4"/>
    <w:qFormat/>
    <w:uiPriority w:val="0"/>
    <w:pPr>
      <w:keepLines w:val="0"/>
      <w:widowControl/>
      <w:numPr>
        <w:numId w:val="0"/>
      </w:numPr>
      <w:tabs>
        <w:tab w:val="left" w:pos="720"/>
        <w:tab w:val="left" w:pos="992"/>
        <w:tab w:val="right" w:pos="8640"/>
      </w:tabs>
      <w:overflowPunct w:val="0"/>
      <w:autoSpaceDE w:val="0"/>
      <w:autoSpaceDN w:val="0"/>
      <w:snapToGrid/>
      <w:spacing w:before="156" w:beforeLines="50" w:after="240"/>
      <w:ind w:left="992" w:right="482" w:hanging="567"/>
      <w:jc w:val="left"/>
      <w:textAlignment w:val="baseline"/>
    </w:pPr>
    <w:rPr>
      <w:rFonts w:ascii="宋体" w:hAnsi="宋体" w:eastAsia="宋体"/>
      <w:bCs w:val="0"/>
      <w:kern w:val="28"/>
      <w:szCs w:val="20"/>
    </w:rPr>
  </w:style>
  <w:style w:type="paragraph" w:customStyle="1" w:styleId="2907">
    <w:name w:val="表头及插图文字"/>
    <w:basedOn w:val="1"/>
    <w:qFormat/>
    <w:uiPriority w:val="99"/>
    <w:pPr>
      <w:spacing w:line="312" w:lineRule="auto"/>
      <w:ind w:left="342" w:leftChars="342" w:firstLine="718" w:firstLineChars="342"/>
    </w:pPr>
    <w:rPr>
      <w:rFonts w:ascii="黑体" w:eastAsia="黑体"/>
      <w:szCs w:val="21"/>
    </w:rPr>
  </w:style>
  <w:style w:type="paragraph" w:customStyle="1" w:styleId="2908">
    <w:name w:val="中文报告书"/>
    <w:basedOn w:val="1"/>
    <w:qFormat/>
    <w:uiPriority w:val="0"/>
    <w:pPr>
      <w:adjustRightInd w:val="0"/>
      <w:spacing w:after="80" w:line="420" w:lineRule="atLeast"/>
      <w:jc w:val="left"/>
      <w:textAlignment w:val="baseline"/>
    </w:pPr>
    <w:rPr>
      <w:kern w:val="0"/>
      <w:sz w:val="24"/>
      <w:szCs w:val="20"/>
    </w:rPr>
  </w:style>
  <w:style w:type="paragraph" w:customStyle="1" w:styleId="2909">
    <w:name w:val="段落1"/>
    <w:basedOn w:val="1"/>
    <w:qFormat/>
    <w:uiPriority w:val="0"/>
    <w:pPr>
      <w:adjustRightInd w:val="0"/>
      <w:spacing w:line="440" w:lineRule="exact"/>
      <w:ind w:firstLine="592" w:firstLineChars="200"/>
    </w:pPr>
    <w:rPr>
      <w:spacing w:val="8"/>
      <w:sz w:val="28"/>
      <w:szCs w:val="20"/>
    </w:rPr>
  </w:style>
  <w:style w:type="paragraph" w:customStyle="1" w:styleId="2910">
    <w:name w:val="样式 [正文格式] + 小四 首行缩进:  2 字符"/>
    <w:basedOn w:val="1"/>
    <w:qFormat/>
    <w:uiPriority w:val="0"/>
    <w:pPr>
      <w:spacing w:line="440" w:lineRule="exact"/>
      <w:ind w:firstLine="480" w:firstLineChars="200"/>
    </w:pPr>
    <w:rPr>
      <w:rFonts w:cs="宋体"/>
      <w:sz w:val="24"/>
      <w:szCs w:val="20"/>
    </w:rPr>
  </w:style>
  <w:style w:type="paragraph" w:customStyle="1" w:styleId="2911">
    <w:name w:val="表题 2"/>
    <w:basedOn w:val="2912"/>
    <w:qFormat/>
    <w:uiPriority w:val="0"/>
    <w:rPr>
      <w:sz w:val="28"/>
    </w:rPr>
  </w:style>
  <w:style w:type="paragraph" w:customStyle="1" w:styleId="2912">
    <w:name w:val="表题 1"/>
    <w:qFormat/>
    <w:uiPriority w:val="0"/>
    <w:pPr>
      <w:widowControl w:val="0"/>
      <w:adjustRightInd w:val="0"/>
      <w:spacing w:before="120" w:after="120"/>
      <w:jc w:val="center"/>
      <w:textAlignment w:val="baseline"/>
    </w:pPr>
    <w:rPr>
      <w:rFonts w:ascii="Times New Roman" w:hAnsi="Times New Roman" w:eastAsia="宋体" w:cs="Times New Roman"/>
      <w:sz w:val="30"/>
      <w:lang w:val="en-US" w:eastAsia="zh-CN" w:bidi="ar-SA"/>
    </w:rPr>
  </w:style>
  <w:style w:type="paragraph" w:customStyle="1" w:styleId="2913">
    <w:name w:val="样式 样式 报告 + 左侧:  0 厘米 段前: 3.6 磅 段后: 3.6 磅 行距: 1.5 倍行距 + 黑色 行距: 最..."/>
    <w:basedOn w:val="1"/>
    <w:qFormat/>
    <w:uiPriority w:val="0"/>
    <w:pPr>
      <w:overflowPunct w:val="0"/>
      <w:autoSpaceDE w:val="0"/>
      <w:autoSpaceDN w:val="0"/>
      <w:adjustRightInd w:val="0"/>
      <w:spacing w:before="120" w:after="120" w:line="460" w:lineRule="atLeast"/>
      <w:ind w:firstLine="200" w:firstLineChars="200"/>
      <w:textAlignment w:val="baseline"/>
    </w:pPr>
    <w:rPr>
      <w:rFonts w:cs="宋体"/>
      <w:color w:val="000000"/>
      <w:kern w:val="0"/>
      <w:sz w:val="24"/>
      <w:szCs w:val="20"/>
    </w:rPr>
  </w:style>
  <w:style w:type="paragraph" w:customStyle="1" w:styleId="2914">
    <w:name w:val="正文文本缩进 22"/>
    <w:basedOn w:val="1"/>
    <w:qFormat/>
    <w:uiPriority w:val="0"/>
    <w:pPr>
      <w:adjustRightInd w:val="0"/>
      <w:spacing w:after="120" w:line="400" w:lineRule="exact"/>
      <w:ind w:firstLine="525" w:firstLineChars="200"/>
      <w:jc w:val="left"/>
      <w:textAlignment w:val="baseline"/>
    </w:pPr>
    <w:rPr>
      <w:rFonts w:ascii="宋体"/>
      <w:spacing w:val="16"/>
      <w:sz w:val="24"/>
      <w:szCs w:val="20"/>
    </w:rPr>
  </w:style>
  <w:style w:type="paragraph" w:customStyle="1" w:styleId="2915">
    <w:name w:val="正文52"/>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2916">
    <w:name w:val="页面 7"/>
    <w:basedOn w:val="1"/>
    <w:qFormat/>
    <w:uiPriority w:val="0"/>
    <w:pPr>
      <w:autoSpaceDE w:val="0"/>
      <w:autoSpaceDN w:val="0"/>
      <w:adjustRightInd w:val="0"/>
      <w:spacing w:before="120" w:after="120"/>
      <w:jc w:val="center"/>
      <w:textAlignment w:val="baseline"/>
    </w:pPr>
    <w:rPr>
      <w:kern w:val="0"/>
      <w:sz w:val="32"/>
      <w:szCs w:val="20"/>
    </w:rPr>
  </w:style>
  <w:style w:type="paragraph" w:customStyle="1" w:styleId="2917">
    <w:name w:val="样式 标题 3标题2条标题1.1.1标题 3 Char Charh3H3level_3PIM 3Level 3 ... +......"/>
    <w:basedOn w:val="1"/>
    <w:qFormat/>
    <w:uiPriority w:val="0"/>
    <w:pPr>
      <w:keepNext/>
      <w:keepLines/>
      <w:spacing w:before="120" w:after="120" w:line="600" w:lineRule="exact"/>
      <w:ind w:firstLine="560" w:firstLineChars="200"/>
      <w:outlineLvl w:val="2"/>
    </w:pPr>
    <w:rPr>
      <w:rFonts w:ascii="黑体" w:hAnsi="Calibri" w:eastAsia="黑体" w:cs="宋体"/>
      <w:sz w:val="28"/>
      <w:szCs w:val="20"/>
    </w:rPr>
  </w:style>
  <w:style w:type="paragraph" w:customStyle="1" w:styleId="2918">
    <w:name w:val="样式 标题 2 + 首行缩进"/>
    <w:basedOn w:val="4"/>
    <w:qFormat/>
    <w:uiPriority w:val="0"/>
    <w:pPr>
      <w:keepNext w:val="0"/>
      <w:widowControl/>
      <w:numPr>
        <w:numId w:val="0"/>
      </w:numPr>
      <w:tabs>
        <w:tab w:val="left" w:pos="720"/>
      </w:tabs>
      <w:spacing w:before="312" w:beforeLines="100" w:after="312" w:afterLines="100" w:line="440" w:lineRule="atLeast"/>
      <w:ind w:firstLine="629" w:firstLineChars="209"/>
    </w:pPr>
    <w:rPr>
      <w:rFonts w:hAnsi="Calibri"/>
      <w:b/>
      <w:bCs w:val="0"/>
      <w:kern w:val="0"/>
      <w:szCs w:val="20"/>
    </w:rPr>
  </w:style>
  <w:style w:type="paragraph" w:customStyle="1" w:styleId="2919">
    <w:name w:val="text1"/>
    <w:basedOn w:val="1"/>
    <w:qFormat/>
    <w:uiPriority w:val="0"/>
    <w:pPr>
      <w:widowControl/>
      <w:spacing w:before="100" w:beforeAutospacing="1" w:after="100" w:afterAutospacing="1"/>
      <w:jc w:val="left"/>
    </w:pPr>
    <w:rPr>
      <w:rFonts w:ascii="宋体" w:hAnsi="宋体" w:cs="宋体"/>
      <w:snapToGrid w:val="0"/>
      <w:kern w:val="0"/>
      <w:sz w:val="24"/>
      <w:lang w:val="eu-ES"/>
    </w:rPr>
  </w:style>
  <w:style w:type="paragraph" w:customStyle="1" w:styleId="2920">
    <w:name w:val="海南化工城正文"/>
    <w:basedOn w:val="1"/>
    <w:qFormat/>
    <w:uiPriority w:val="0"/>
    <w:pPr>
      <w:spacing w:line="324" w:lineRule="auto"/>
      <w:ind w:firstLine="480" w:firstLineChars="200"/>
    </w:pPr>
    <w:rPr>
      <w:rFonts w:ascii="宋体" w:hAnsi="宋体" w:cs="宋体"/>
      <w:sz w:val="24"/>
      <w:szCs w:val="20"/>
    </w:rPr>
  </w:style>
  <w:style w:type="paragraph" w:customStyle="1" w:styleId="2921">
    <w:name w:val="图号"/>
    <w:basedOn w:val="86"/>
    <w:qFormat/>
    <w:uiPriority w:val="0"/>
    <w:pPr>
      <w:widowControl w:val="0"/>
      <w:tabs>
        <w:tab w:val="left" w:pos="-120"/>
      </w:tabs>
      <w:adjustRightInd/>
      <w:snapToGrid/>
      <w:spacing w:line="288" w:lineRule="auto"/>
    </w:pPr>
    <w:rPr>
      <w:rFonts w:ascii="Calibri" w:hAnsi="Calibri"/>
      <w:b/>
      <w:bCs/>
      <w:snapToGrid/>
      <w:color w:val="auto"/>
      <w:spacing w:val="16"/>
      <w:kern w:val="2"/>
      <w:szCs w:val="24"/>
    </w:rPr>
  </w:style>
  <w:style w:type="paragraph" w:customStyle="1" w:styleId="2922">
    <w:name w:val="正文文本缩进 24"/>
    <w:basedOn w:val="1"/>
    <w:qFormat/>
    <w:uiPriority w:val="0"/>
    <w:pPr>
      <w:adjustRightInd w:val="0"/>
      <w:spacing w:after="120" w:line="400" w:lineRule="exact"/>
      <w:ind w:firstLine="525" w:firstLineChars="200"/>
      <w:jc w:val="left"/>
      <w:textAlignment w:val="baseline"/>
    </w:pPr>
    <w:rPr>
      <w:rFonts w:ascii="宋体"/>
      <w:spacing w:val="16"/>
      <w:sz w:val="24"/>
      <w:szCs w:val="20"/>
    </w:rPr>
  </w:style>
  <w:style w:type="paragraph" w:customStyle="1" w:styleId="2923">
    <w:name w:val="样式 标题 4 + (西文) Times New Roman (中文) 宋体 小四 非加粗 段前: 7.8 磅 段后:..."/>
    <w:basedOn w:val="7"/>
    <w:qFormat/>
    <w:uiPriority w:val="0"/>
    <w:pPr>
      <w:numPr>
        <w:numId w:val="0"/>
      </w:numPr>
      <w:tabs>
        <w:tab w:val="left" w:pos="720"/>
      </w:tabs>
      <w:adjustRightInd/>
    </w:pPr>
    <w:rPr>
      <w:rFonts w:eastAsia="宋体"/>
      <w:b/>
      <w:bCs w:val="0"/>
      <w:sz w:val="28"/>
      <w:szCs w:val="20"/>
    </w:rPr>
  </w:style>
  <w:style w:type="paragraph" w:customStyle="1" w:styleId="2924">
    <w:name w:val="字元 字元1 Char Char 字元 字元"/>
    <w:basedOn w:val="1"/>
    <w:qFormat/>
    <w:uiPriority w:val="0"/>
    <w:rPr>
      <w:sz w:val="24"/>
    </w:rPr>
  </w:style>
  <w:style w:type="paragraph" w:customStyle="1" w:styleId="2925">
    <w:name w:val="样式 标题 2 + 左侧:  1.38 厘米 首行缩进:  0 厘米2"/>
    <w:basedOn w:val="4"/>
    <w:qFormat/>
    <w:uiPriority w:val="99"/>
    <w:pPr>
      <w:numPr>
        <w:numId w:val="0"/>
      </w:numPr>
      <w:tabs>
        <w:tab w:val="left" w:pos="720"/>
      </w:tabs>
      <w:adjustRightInd/>
      <w:snapToGrid/>
      <w:spacing w:before="260" w:beforeLines="100" w:line="415" w:lineRule="auto"/>
      <w:ind w:left="284"/>
    </w:pPr>
    <w:rPr>
      <w:rFonts w:ascii="黑体"/>
      <w:b/>
      <w:szCs w:val="20"/>
      <w:lang w:val="en-US"/>
    </w:rPr>
  </w:style>
  <w:style w:type="paragraph" w:customStyle="1" w:styleId="2926">
    <w:name w:val="页眉单"/>
    <w:basedOn w:val="58"/>
    <w:qFormat/>
    <w:uiPriority w:val="99"/>
    <w:pPr>
      <w:tabs>
        <w:tab w:val="left" w:pos="-120"/>
      </w:tabs>
      <w:spacing w:before="60" w:line="310" w:lineRule="atLeast"/>
      <w:jc w:val="right"/>
    </w:pPr>
    <w:rPr>
      <w:rFonts w:eastAsia="幼圆"/>
      <w:snapToGrid w:val="0"/>
      <w:color w:val="000000"/>
      <w:kern w:val="0"/>
      <w:sz w:val="21"/>
      <w:szCs w:val="20"/>
    </w:rPr>
  </w:style>
  <w:style w:type="paragraph" w:customStyle="1" w:styleId="2927">
    <w:name w:val="样式 报告 + 首行缩进:  0.58 字符 Char"/>
    <w:basedOn w:val="1"/>
    <w:qFormat/>
    <w:uiPriority w:val="99"/>
    <w:pPr>
      <w:overflowPunct w:val="0"/>
      <w:autoSpaceDE w:val="0"/>
      <w:autoSpaceDN w:val="0"/>
      <w:adjustRightInd w:val="0"/>
      <w:spacing w:beforeLines="10" w:afterLines="10" w:line="440" w:lineRule="atLeast"/>
      <w:ind w:firstLine="200" w:firstLineChars="200"/>
      <w:textAlignment w:val="baseline"/>
    </w:pPr>
    <w:rPr>
      <w:rFonts w:cs="宋体"/>
      <w:kern w:val="0"/>
      <w:sz w:val="24"/>
      <w:szCs w:val="20"/>
    </w:rPr>
  </w:style>
  <w:style w:type="paragraph" w:customStyle="1" w:styleId="2928">
    <w:name w:val="表格间距"/>
    <w:basedOn w:val="1"/>
    <w:qFormat/>
    <w:uiPriority w:val="0"/>
    <w:pPr>
      <w:spacing w:line="240" w:lineRule="exact"/>
      <w:ind w:firstLine="420" w:firstLineChars="200"/>
    </w:pPr>
    <w:rPr>
      <w:szCs w:val="20"/>
    </w:rPr>
  </w:style>
  <w:style w:type="paragraph" w:customStyle="1" w:styleId="2929">
    <w:name w:val="正文 03"/>
    <w:basedOn w:val="1"/>
    <w:qFormat/>
    <w:uiPriority w:val="0"/>
    <w:pPr>
      <w:autoSpaceDE w:val="0"/>
      <w:autoSpaceDN w:val="0"/>
      <w:adjustRightInd w:val="0"/>
      <w:textAlignment w:val="baseline"/>
    </w:pPr>
    <w:rPr>
      <w:kern w:val="0"/>
      <w:sz w:val="24"/>
      <w:szCs w:val="20"/>
    </w:rPr>
  </w:style>
  <w:style w:type="paragraph" w:customStyle="1" w:styleId="2930">
    <w:name w:val="表题B"/>
    <w:basedOn w:val="1"/>
    <w:qFormat/>
    <w:uiPriority w:val="99"/>
    <w:pPr>
      <w:spacing w:beforeLines="50" w:line="360" w:lineRule="auto"/>
    </w:pPr>
    <w:rPr>
      <w:rFonts w:ascii="Calibri" w:hAnsi="Calibri" w:eastAsia="Times New Roman"/>
      <w:b/>
      <w:szCs w:val="21"/>
    </w:rPr>
  </w:style>
  <w:style w:type="paragraph" w:customStyle="1" w:styleId="2931">
    <w:name w:val="样式 标题 1 + 小三 段前: 6 磅 段后: 6 磅"/>
    <w:basedOn w:val="3"/>
    <w:qFormat/>
    <w:uiPriority w:val="0"/>
    <w:pPr>
      <w:numPr>
        <w:numId w:val="0"/>
      </w:numPr>
      <w:spacing w:before="300" w:beforeLines="200" w:after="300" w:afterLines="200"/>
      <w:jc w:val="left"/>
    </w:pPr>
    <w:rPr>
      <w:rFonts w:cs="宋体"/>
      <w:b/>
      <w:sz w:val="30"/>
      <w:szCs w:val="20"/>
    </w:rPr>
  </w:style>
  <w:style w:type="paragraph" w:customStyle="1" w:styleId="2932">
    <w:name w:val="样式 正文首行缩进正文首行缩进 Char + 首行缩进:  1 字符1"/>
    <w:basedOn w:val="86"/>
    <w:qFormat/>
    <w:uiPriority w:val="99"/>
    <w:pPr>
      <w:adjustRightInd/>
      <w:snapToGrid/>
      <w:spacing w:after="120" w:line="360" w:lineRule="auto"/>
      <w:ind w:firstLine="100" w:firstLineChars="100"/>
      <w:jc w:val="left"/>
    </w:pPr>
    <w:rPr>
      <w:rFonts w:ascii="Calibri" w:hAnsi="Calibri" w:cs="宋体"/>
      <w:snapToGrid/>
      <w:color w:val="auto"/>
      <w:sz w:val="21"/>
    </w:rPr>
  </w:style>
  <w:style w:type="paragraph" w:customStyle="1" w:styleId="2933">
    <w:name w:val="标题2（杨）"/>
    <w:basedOn w:val="1"/>
    <w:qFormat/>
    <w:uiPriority w:val="0"/>
    <w:pPr>
      <w:spacing w:beforeLines="50" w:afterLines="50" w:line="312" w:lineRule="auto"/>
      <w:jc w:val="left"/>
    </w:pPr>
    <w:rPr>
      <w:rFonts w:ascii="宋体" w:eastAsia="黑体" w:cs="宋体"/>
      <w:b/>
      <w:color w:val="000000"/>
      <w:kern w:val="0"/>
      <w:sz w:val="28"/>
      <w:szCs w:val="20"/>
    </w:rPr>
  </w:style>
  <w:style w:type="paragraph" w:customStyle="1" w:styleId="2934">
    <w:name w:val="unnamed2"/>
    <w:basedOn w:val="1"/>
    <w:qFormat/>
    <w:uiPriority w:val="0"/>
    <w:pPr>
      <w:widowControl/>
      <w:spacing w:before="100" w:beforeAutospacing="1" w:after="100" w:afterAutospacing="1" w:line="360" w:lineRule="auto"/>
      <w:ind w:left="-2" w:leftChars="-1" w:firstLine="456" w:firstLineChars="190"/>
      <w:jc w:val="left"/>
    </w:pPr>
    <w:rPr>
      <w:rFonts w:ascii="宋体" w:hAnsi="宋体" w:cs="宋体"/>
      <w:kern w:val="0"/>
      <w:sz w:val="24"/>
    </w:rPr>
  </w:style>
  <w:style w:type="paragraph" w:customStyle="1" w:styleId="2935">
    <w:name w:val="表格文字3"/>
    <w:basedOn w:val="313"/>
    <w:qFormat/>
    <w:uiPriority w:val="0"/>
    <w:pPr>
      <w:tabs>
        <w:tab w:val="clear" w:pos="277"/>
        <w:tab w:val="clear" w:pos="600"/>
        <w:tab w:val="clear" w:pos="780"/>
        <w:tab w:val="clear" w:pos="2517"/>
      </w:tabs>
      <w:autoSpaceDE w:val="0"/>
      <w:autoSpaceDN w:val="0"/>
      <w:spacing w:before="0" w:beforeLines="10" w:afterLines="10"/>
      <w:jc w:val="both"/>
      <w:textAlignment w:val="auto"/>
    </w:pPr>
    <w:rPr>
      <w:rFonts w:ascii="Calibri" w:hAnsi="Calibri"/>
      <w:bCs/>
      <w:szCs w:val="24"/>
    </w:rPr>
  </w:style>
  <w:style w:type="paragraph" w:customStyle="1" w:styleId="2936">
    <w:name w:val="环评（段2）"/>
    <w:basedOn w:val="1"/>
    <w:qFormat/>
    <w:uiPriority w:val="0"/>
    <w:pPr>
      <w:tabs>
        <w:tab w:val="left" w:pos="-2625"/>
      </w:tabs>
      <w:autoSpaceDE w:val="0"/>
      <w:autoSpaceDN w:val="0"/>
      <w:adjustRightInd w:val="0"/>
      <w:spacing w:before="120" w:line="300" w:lineRule="auto"/>
      <w:ind w:left="851"/>
    </w:pPr>
    <w:rPr>
      <w:rFonts w:ascii="宋体"/>
      <w:kern w:val="0"/>
      <w:sz w:val="24"/>
      <w:szCs w:val="20"/>
    </w:rPr>
  </w:style>
  <w:style w:type="paragraph" w:customStyle="1" w:styleId="2937">
    <w:name w:val="表内593"/>
    <w:basedOn w:val="1"/>
    <w:qFormat/>
    <w:uiPriority w:val="0"/>
    <w:pPr>
      <w:adjustRightInd w:val="0"/>
      <w:snapToGrid w:val="0"/>
      <w:spacing w:line="300" w:lineRule="auto"/>
      <w:jc w:val="center"/>
    </w:pPr>
    <w:rPr>
      <w:rFonts w:ascii="宋体"/>
      <w:szCs w:val="21"/>
    </w:rPr>
  </w:style>
  <w:style w:type="paragraph" w:customStyle="1" w:styleId="2938">
    <w:name w:val="样式 正文 首行缩进:  2 字符"/>
    <w:basedOn w:val="1"/>
    <w:qFormat/>
    <w:uiPriority w:val="0"/>
    <w:pPr>
      <w:spacing w:line="360" w:lineRule="auto"/>
      <w:ind w:firstLine="480" w:firstLineChars="200"/>
    </w:pPr>
    <w:rPr>
      <w:rFonts w:cs="宋体"/>
      <w:sz w:val="24"/>
      <w:szCs w:val="20"/>
    </w:rPr>
  </w:style>
  <w:style w:type="paragraph" w:customStyle="1" w:styleId="2939">
    <w:name w:val="表题 12"/>
    <w:basedOn w:val="1"/>
    <w:qFormat/>
    <w:uiPriority w:val="0"/>
    <w:pPr>
      <w:adjustRightInd w:val="0"/>
      <w:spacing w:before="120" w:after="120"/>
      <w:jc w:val="center"/>
      <w:textAlignment w:val="baseline"/>
    </w:pPr>
    <w:rPr>
      <w:kern w:val="0"/>
      <w:sz w:val="28"/>
      <w:szCs w:val="20"/>
    </w:rPr>
  </w:style>
  <w:style w:type="paragraph" w:customStyle="1" w:styleId="2940">
    <w:name w:val="标题 2w"/>
    <w:basedOn w:val="4"/>
    <w:qFormat/>
    <w:uiPriority w:val="0"/>
    <w:pPr>
      <w:keepNext w:val="0"/>
      <w:numPr>
        <w:ilvl w:val="0"/>
        <w:numId w:val="0"/>
      </w:numPr>
      <w:tabs>
        <w:tab w:val="left" w:pos="720"/>
      </w:tabs>
      <w:adjustRightInd/>
      <w:snapToGrid/>
      <w:spacing w:beforeLines="50" w:afterLines="50"/>
      <w:ind w:left="942" w:firstLine="471"/>
      <w:jc w:val="left"/>
    </w:pPr>
    <w:rPr>
      <w:rFonts w:ascii="仿宋_GB2312" w:eastAsia="宋体" w:cs="宋体"/>
      <w:b/>
      <w:kern w:val="11"/>
      <w:szCs w:val="20"/>
      <w:lang w:val="en-US"/>
    </w:rPr>
  </w:style>
  <w:style w:type="paragraph" w:customStyle="1" w:styleId="2941">
    <w:name w:val="标题71"/>
    <w:basedOn w:val="22"/>
    <w:qFormat/>
    <w:uiPriority w:val="0"/>
    <w:pPr>
      <w:spacing w:line="360" w:lineRule="auto"/>
      <w:ind w:firstLine="1304" w:firstLineChars="0"/>
      <w:outlineLvl w:val="6"/>
    </w:pPr>
    <w:rPr>
      <w:rFonts w:eastAsia="楷体_GB2312"/>
      <w:sz w:val="28"/>
      <w:szCs w:val="20"/>
    </w:rPr>
  </w:style>
  <w:style w:type="paragraph" w:customStyle="1" w:styleId="2942">
    <w:name w:val="生物中文名"/>
    <w:basedOn w:val="1"/>
    <w:qFormat/>
    <w:uiPriority w:val="0"/>
    <w:pPr>
      <w:tabs>
        <w:tab w:val="left" w:pos="-120"/>
      </w:tabs>
      <w:adjustRightInd w:val="0"/>
      <w:snapToGrid w:val="0"/>
      <w:spacing w:before="60" w:line="0" w:lineRule="atLeast"/>
      <w:ind w:firstLine="480" w:firstLineChars="200"/>
      <w:jc w:val="left"/>
    </w:pPr>
    <w:rPr>
      <w:bCs/>
      <w:spacing w:val="20"/>
      <w:sz w:val="24"/>
      <w:szCs w:val="20"/>
    </w:rPr>
  </w:style>
  <w:style w:type="paragraph" w:customStyle="1" w:styleId="2943">
    <w:name w:val="图框文"/>
    <w:basedOn w:val="1"/>
    <w:qFormat/>
    <w:uiPriority w:val="0"/>
    <w:pPr>
      <w:kinsoku w:val="0"/>
      <w:wordWrap w:val="0"/>
      <w:overflowPunct w:val="0"/>
      <w:autoSpaceDE w:val="0"/>
      <w:autoSpaceDN w:val="0"/>
      <w:spacing w:line="0" w:lineRule="atLeast"/>
      <w:jc w:val="center"/>
    </w:pPr>
    <w:rPr>
      <w:rFonts w:ascii="仿宋_GB2312"/>
      <w:sz w:val="24"/>
      <w:szCs w:val="20"/>
    </w:rPr>
  </w:style>
  <w:style w:type="paragraph" w:customStyle="1" w:styleId="2944">
    <w:name w:val="样式 (符号) Bookman Old Style 小四 行距: 1.5 倍行距"/>
    <w:basedOn w:val="1"/>
    <w:qFormat/>
    <w:uiPriority w:val="0"/>
    <w:pPr>
      <w:spacing w:line="360" w:lineRule="auto"/>
    </w:pPr>
    <w:rPr>
      <w:rFonts w:hAnsi="Bookman Old Style" w:cs="宋体"/>
      <w:sz w:val="24"/>
      <w:szCs w:val="20"/>
    </w:rPr>
  </w:style>
  <w:style w:type="paragraph" w:customStyle="1" w:styleId="2945">
    <w:name w:val="样式 标题 3ReHead 3 WSAh3h3 CharH3B Head..标2条标题1.1.1小标题头..."/>
    <w:basedOn w:val="5"/>
    <w:qFormat/>
    <w:uiPriority w:val="0"/>
    <w:pPr>
      <w:widowControl w:val="0"/>
      <w:numPr>
        <w:ilvl w:val="0"/>
        <w:numId w:val="0"/>
      </w:numPr>
      <w:tabs>
        <w:tab w:val="left" w:pos="720"/>
      </w:tabs>
      <w:spacing w:before="100" w:beforeAutospacing="1" w:after="100" w:afterAutospacing="1"/>
      <w:jc w:val="both"/>
    </w:pPr>
    <w:rPr>
      <w:rFonts w:eastAsia="宋体" w:cs="宋体"/>
      <w:b/>
      <w:bCs/>
      <w:color w:val="auto"/>
    </w:rPr>
  </w:style>
  <w:style w:type="paragraph" w:customStyle="1" w:styleId="2946">
    <w:name w:val="样式 正文首行缩进 2 + 首行缩进:  2 字符1"/>
    <w:basedOn w:val="87"/>
    <w:qFormat/>
    <w:uiPriority w:val="0"/>
    <w:pPr>
      <w:widowControl w:val="0"/>
      <w:snapToGrid/>
      <w:spacing w:after="120"/>
      <w:ind w:firstLine="480"/>
      <w:jc w:val="both"/>
      <w:textAlignment w:val="baseline"/>
    </w:pPr>
    <w:rPr>
      <w:rFonts w:ascii="Times New Roman" w:hAnsi="Times New Roman" w:cs="宋体"/>
      <w:snapToGrid/>
      <w:color w:val="auto"/>
      <w:lang w:val="zh-CN"/>
    </w:rPr>
  </w:style>
  <w:style w:type="paragraph" w:customStyle="1" w:styleId="2947">
    <w:name w:val="正文6"/>
    <w:basedOn w:val="1"/>
    <w:qFormat/>
    <w:uiPriority w:val="0"/>
    <w:pPr>
      <w:adjustRightInd w:val="0"/>
      <w:snapToGrid w:val="0"/>
      <w:spacing w:line="315" w:lineRule="atLeast"/>
      <w:jc w:val="left"/>
      <w:textAlignment w:val="baseline"/>
    </w:pPr>
    <w:rPr>
      <w:rFonts w:ascii="宋体"/>
      <w:kern w:val="0"/>
      <w:szCs w:val="20"/>
    </w:rPr>
  </w:style>
  <w:style w:type="paragraph" w:customStyle="1" w:styleId="2948">
    <w:name w:val="敏感表"/>
    <w:basedOn w:val="1"/>
    <w:next w:val="1"/>
    <w:qFormat/>
    <w:uiPriority w:val="0"/>
    <w:pPr>
      <w:topLinePunct/>
      <w:adjustRightInd w:val="0"/>
      <w:spacing w:line="240" w:lineRule="atLeast"/>
      <w:jc w:val="center"/>
    </w:pPr>
    <w:rPr>
      <w:kern w:val="0"/>
      <w:szCs w:val="20"/>
    </w:rPr>
  </w:style>
  <w:style w:type="paragraph" w:customStyle="1" w:styleId="2949">
    <w:name w:val="表格1 Char Char Char"/>
    <w:basedOn w:val="1"/>
    <w:qFormat/>
    <w:uiPriority w:val="99"/>
    <w:pPr>
      <w:spacing w:line="340" w:lineRule="exact"/>
      <w:jc w:val="center"/>
    </w:pPr>
    <w:rPr>
      <w:rFonts w:ascii="宋体" w:cs="宋体"/>
      <w:sz w:val="18"/>
    </w:rPr>
  </w:style>
  <w:style w:type="paragraph" w:customStyle="1" w:styleId="2950">
    <w:name w:val="样式 标题 4 + Times New Roman 黑色"/>
    <w:basedOn w:val="7"/>
    <w:qFormat/>
    <w:uiPriority w:val="0"/>
    <w:pPr>
      <w:widowControl/>
      <w:numPr>
        <w:ilvl w:val="0"/>
        <w:numId w:val="0"/>
      </w:numPr>
      <w:tabs>
        <w:tab w:val="left" w:pos="720"/>
        <w:tab w:val="left" w:pos="1680"/>
      </w:tabs>
      <w:adjustRightInd/>
      <w:spacing w:line="240" w:lineRule="auto"/>
      <w:ind w:left="1680" w:hanging="420"/>
    </w:pPr>
    <w:rPr>
      <w:rFonts w:eastAsia="宋体"/>
      <w:color w:val="000000"/>
      <w:kern w:val="0"/>
      <w:sz w:val="28"/>
    </w:rPr>
  </w:style>
  <w:style w:type="paragraph" w:customStyle="1" w:styleId="2951">
    <w:name w:val="标题正4"/>
    <w:basedOn w:val="1"/>
    <w:qFormat/>
    <w:uiPriority w:val="0"/>
    <w:pPr>
      <w:jc w:val="center"/>
    </w:pPr>
    <w:rPr>
      <w:color w:val="008000"/>
      <w:szCs w:val="21"/>
    </w:rPr>
  </w:style>
  <w:style w:type="paragraph" w:customStyle="1" w:styleId="2952">
    <w:name w:val="样式 标题 3 + 首行缩进:  2 字符 段前: 8.15 磅 段后: 8.15 磅"/>
    <w:basedOn w:val="5"/>
    <w:qFormat/>
    <w:uiPriority w:val="0"/>
    <w:pPr>
      <w:keepNext w:val="0"/>
      <w:widowControl w:val="0"/>
      <w:numPr>
        <w:ilvl w:val="0"/>
        <w:numId w:val="0"/>
      </w:numPr>
      <w:tabs>
        <w:tab w:val="left" w:pos="720"/>
        <w:tab w:val="left" w:pos="1571"/>
        <w:tab w:val="left" w:pos="2839"/>
      </w:tabs>
      <w:adjustRightInd/>
      <w:spacing w:before="163" w:after="163" w:line="0" w:lineRule="atLeast"/>
      <w:ind w:left="1418" w:firstLine="482" w:firstLineChars="200"/>
      <w:textAlignment w:val="auto"/>
    </w:pPr>
    <w:rPr>
      <w:rFonts w:ascii="Arial Unicode MS" w:hAnsi="Arial Unicode MS" w:cs="宋体"/>
      <w:b/>
      <w:bCs/>
      <w:color w:val="auto"/>
      <w:kern w:val="2"/>
      <w:szCs w:val="24"/>
      <w:lang w:val="zh-CN"/>
    </w:rPr>
  </w:style>
  <w:style w:type="paragraph" w:customStyle="1" w:styleId="2953">
    <w:name w:val="样式 标题 21SeHead wsa2ChapterChapter TitleH2标题 1.1.Major节...2"/>
    <w:basedOn w:val="4"/>
    <w:qFormat/>
    <w:uiPriority w:val="0"/>
    <w:pPr>
      <w:keepLines w:val="0"/>
      <w:numPr>
        <w:ilvl w:val="0"/>
        <w:numId w:val="0"/>
      </w:numPr>
      <w:tabs>
        <w:tab w:val="left" w:pos="720"/>
      </w:tabs>
      <w:snapToGrid/>
      <w:textAlignment w:val="baseline"/>
    </w:pPr>
    <w:rPr>
      <w:rFonts w:hAnsi="宋体" w:eastAsia="宋体" w:cs="宋体"/>
      <w:b/>
      <w:kern w:val="0"/>
      <w:szCs w:val="20"/>
      <w:lang w:val="en-US"/>
    </w:rPr>
  </w:style>
  <w:style w:type="paragraph" w:customStyle="1" w:styleId="2954">
    <w:name w:val="样式 标题 2SeHead wsa2ChapterChapter Title + 四号 段后: 2.5 磅 行距: ..."/>
    <w:basedOn w:val="4"/>
    <w:next w:val="77"/>
    <w:qFormat/>
    <w:uiPriority w:val="0"/>
    <w:pPr>
      <w:numPr>
        <w:numId w:val="0"/>
      </w:numPr>
      <w:tabs>
        <w:tab w:val="left" w:pos="720"/>
        <w:tab w:val="left" w:pos="756"/>
      </w:tabs>
      <w:snapToGrid/>
      <w:spacing w:before="240" w:after="50"/>
      <w:ind w:left="756" w:hanging="576"/>
      <w:textAlignment w:val="baseline"/>
    </w:pPr>
    <w:rPr>
      <w:rFonts w:ascii="宋体" w:hAnsi="宋体" w:eastAsia="宋体" w:cs="黑体"/>
      <w:b/>
      <w:kern w:val="0"/>
      <w:szCs w:val="20"/>
      <w:lang w:val="en-US"/>
    </w:rPr>
  </w:style>
  <w:style w:type="paragraph" w:customStyle="1" w:styleId="2955">
    <w:name w:val="样式 标题 2标题 2 Char + 红色"/>
    <w:basedOn w:val="4"/>
    <w:qFormat/>
    <w:uiPriority w:val="99"/>
    <w:pPr>
      <w:numPr>
        <w:numId w:val="0"/>
      </w:numPr>
      <w:tabs>
        <w:tab w:val="left" w:pos="426"/>
        <w:tab w:val="left" w:pos="709"/>
        <w:tab w:val="left" w:pos="720"/>
      </w:tabs>
      <w:adjustRightInd/>
      <w:snapToGrid/>
      <w:spacing w:before="260" w:beforeLines="50" w:after="260" w:afterLines="50"/>
      <w:ind w:left="993" w:hanging="993"/>
    </w:pPr>
    <w:rPr>
      <w:b/>
      <w:sz w:val="32"/>
      <w:szCs w:val="32"/>
      <w:lang w:val="en-US"/>
    </w:rPr>
  </w:style>
  <w:style w:type="paragraph" w:customStyle="1" w:styleId="2956">
    <w:name w:val="第一章（不上页眉）"/>
    <w:basedOn w:val="1"/>
    <w:qFormat/>
    <w:uiPriority w:val="99"/>
    <w:pPr>
      <w:spacing w:beforeLines="50" w:afterLines="50" w:line="360" w:lineRule="auto"/>
    </w:pPr>
    <w:rPr>
      <w:rFonts w:ascii="黑体" w:hAnsi="Calibri" w:eastAsia="黑体"/>
      <w:b/>
      <w:bCs/>
      <w:sz w:val="44"/>
      <w:szCs w:val="44"/>
    </w:rPr>
  </w:style>
  <w:style w:type="paragraph" w:customStyle="1" w:styleId="2957">
    <w:name w:val="xl128"/>
    <w:basedOn w:val="1"/>
    <w:qFormat/>
    <w:uiPriority w:val="0"/>
    <w:pPr>
      <w:widowControl/>
      <w:pBdr>
        <w:top w:val="single" w:color="auto" w:sz="4" w:space="0"/>
        <w:left w:val="single" w:color="auto" w:sz="4" w:space="0"/>
        <w:right w:val="single" w:color="auto" w:sz="8" w:space="0"/>
      </w:pBdr>
      <w:shd w:val="clear" w:color="auto" w:fill="FFFFFF"/>
      <w:spacing w:before="100" w:beforeAutospacing="1" w:after="100" w:afterAutospacing="1"/>
      <w:jc w:val="left"/>
      <w:textAlignment w:val="center"/>
    </w:pPr>
    <w:rPr>
      <w:rFonts w:ascii="宋体" w:hAnsi="宋体" w:cs="宋体"/>
      <w:color w:val="000000"/>
      <w:kern w:val="0"/>
      <w:sz w:val="18"/>
      <w:szCs w:val="18"/>
    </w:rPr>
  </w:style>
  <w:style w:type="paragraph" w:customStyle="1" w:styleId="2958">
    <w:name w:val="样式 四号 红色"/>
    <w:basedOn w:val="1"/>
    <w:qFormat/>
    <w:uiPriority w:val="0"/>
    <w:pPr>
      <w:ind w:firstLine="200" w:firstLineChars="200"/>
    </w:pPr>
    <w:rPr>
      <w:rFonts w:ascii="宋体" w:cs="宋体"/>
      <w:sz w:val="28"/>
      <w:szCs w:val="20"/>
    </w:rPr>
  </w:style>
  <w:style w:type="paragraph" w:customStyle="1" w:styleId="2959">
    <w:name w:val="样式 正文缩进 + 首行缩进:  2 字符"/>
    <w:basedOn w:val="22"/>
    <w:qFormat/>
    <w:uiPriority w:val="0"/>
    <w:pPr>
      <w:spacing w:line="360" w:lineRule="auto"/>
      <w:ind w:firstLine="480"/>
    </w:pPr>
    <w:rPr>
      <w:rFonts w:ascii="宋体" w:hAnsi="宋体"/>
      <w:szCs w:val="20"/>
    </w:rPr>
  </w:style>
  <w:style w:type="paragraph" w:customStyle="1" w:styleId="2960">
    <w:name w:val="样式 列表 Char + 居中"/>
    <w:basedOn w:val="67"/>
    <w:qFormat/>
    <w:uiPriority w:val="0"/>
    <w:pPr>
      <w:snapToGrid w:val="0"/>
      <w:ind w:left="0" w:firstLine="0" w:firstLineChars="0"/>
    </w:pPr>
    <w:rPr>
      <w:rFonts w:cs="宋体"/>
      <w:szCs w:val="20"/>
    </w:rPr>
  </w:style>
  <w:style w:type="paragraph" w:customStyle="1" w:styleId="2961">
    <w:name w:val="样式 标题 2 + 段前: 6 磅 段后: 6 磅 行距: 1.5 倍行距"/>
    <w:basedOn w:val="4"/>
    <w:qFormat/>
    <w:uiPriority w:val="0"/>
    <w:pPr>
      <w:numPr>
        <w:ilvl w:val="0"/>
        <w:numId w:val="0"/>
      </w:numPr>
      <w:tabs>
        <w:tab w:val="left" w:pos="576"/>
        <w:tab w:val="left" w:pos="720"/>
      </w:tabs>
      <w:adjustRightInd/>
      <w:snapToGrid/>
      <w:spacing w:beforeLines="50" w:afterLines="50" w:line="312" w:lineRule="auto"/>
      <w:jc w:val="left"/>
    </w:pPr>
    <w:rPr>
      <w:rFonts w:ascii="Arial" w:hAnsi="Arial" w:cs="宋体"/>
      <w:b/>
      <w:szCs w:val="20"/>
      <w:lang w:val="en-US"/>
    </w:rPr>
  </w:style>
  <w:style w:type="paragraph" w:customStyle="1" w:styleId="2962">
    <w:name w:val="样式 标题 3 + 左侧:  0.5 字符1"/>
    <w:basedOn w:val="5"/>
    <w:qFormat/>
    <w:uiPriority w:val="0"/>
    <w:pPr>
      <w:keepNext w:val="0"/>
      <w:widowControl w:val="0"/>
      <w:numPr>
        <w:ilvl w:val="0"/>
        <w:numId w:val="0"/>
      </w:numPr>
      <w:tabs>
        <w:tab w:val="left" w:pos="720"/>
        <w:tab w:val="left" w:pos="1571"/>
        <w:tab w:val="left" w:pos="2839"/>
      </w:tabs>
      <w:adjustRightInd/>
      <w:spacing w:before="120" w:after="120" w:line="415" w:lineRule="auto"/>
      <w:ind w:left="50" w:leftChars="50" w:hanging="567"/>
      <w:textAlignment w:val="auto"/>
    </w:pPr>
    <w:rPr>
      <w:rFonts w:ascii="Arial" w:hAnsi="Arial"/>
      <w:bCs/>
      <w:color w:val="auto"/>
      <w:kern w:val="2"/>
      <w:szCs w:val="24"/>
      <w:lang w:val="zh-CN"/>
    </w:rPr>
  </w:style>
  <w:style w:type="paragraph" w:customStyle="1" w:styleId="2963">
    <w:name w:val="样式 标题 2SeHead wsa2ChapterChapter Title + 黑体 段前: 6 磅"/>
    <w:basedOn w:val="4"/>
    <w:qFormat/>
    <w:uiPriority w:val="0"/>
    <w:pPr>
      <w:widowControl/>
      <w:numPr>
        <w:numId w:val="0"/>
      </w:numPr>
      <w:tabs>
        <w:tab w:val="left" w:pos="720"/>
      </w:tabs>
      <w:adjustRightInd/>
      <w:snapToGrid/>
      <w:spacing w:before="120" w:after="120"/>
      <w:jc w:val="left"/>
    </w:pPr>
    <w:rPr>
      <w:rFonts w:hAnsi="Arial" w:eastAsia="宋体"/>
      <w:bCs w:val="0"/>
      <w:szCs w:val="30"/>
      <w:lang w:val="en-US"/>
    </w:rPr>
  </w:style>
  <w:style w:type="paragraph" w:customStyle="1" w:styleId="2964">
    <w:name w:val="标题附件2"/>
    <w:basedOn w:val="36"/>
    <w:qFormat/>
    <w:uiPriority w:val="0"/>
    <w:pPr>
      <w:spacing w:beforeLines="50" w:afterLines="50"/>
      <w:ind w:left="0" w:leftChars="0" w:firstLine="171" w:firstLineChars="171"/>
    </w:pPr>
    <w:rPr>
      <w:rFonts w:eastAsia="黑体"/>
      <w:sz w:val="28"/>
      <w:szCs w:val="20"/>
    </w:rPr>
  </w:style>
  <w:style w:type="paragraph" w:customStyle="1" w:styleId="2965">
    <w:name w:val="普通(网站)14"/>
    <w:basedOn w:val="1"/>
    <w:semiHidden/>
    <w:qFormat/>
    <w:uiPriority w:val="0"/>
    <w:pPr>
      <w:widowControl/>
      <w:spacing w:before="100" w:beforeAutospacing="1" w:after="100" w:afterAutospacing="1" w:line="360" w:lineRule="auto"/>
      <w:ind w:firstLine="200" w:firstLineChars="200"/>
      <w:jc w:val="left"/>
    </w:pPr>
    <w:rPr>
      <w:rFonts w:ascii="宋体" w:hAnsi="宋体"/>
      <w:kern w:val="0"/>
      <w:sz w:val="24"/>
    </w:rPr>
  </w:style>
  <w:style w:type="paragraph" w:customStyle="1" w:styleId="2966">
    <w:name w:val="样式 样式 LNG－标题1 + 段前: 0.5 行 段后: 0.5 行 + 段前: 0.5 行 段后: 0.5 行"/>
    <w:basedOn w:val="1"/>
    <w:qFormat/>
    <w:uiPriority w:val="0"/>
    <w:pPr>
      <w:tabs>
        <w:tab w:val="left" w:pos="2345"/>
      </w:tabs>
      <w:adjustRightInd w:val="0"/>
      <w:spacing w:beforeLines="50" w:afterLines="50" w:line="360" w:lineRule="auto"/>
      <w:ind w:left="1330" w:hanging="425"/>
      <w:jc w:val="center"/>
      <w:textAlignment w:val="center"/>
      <w:outlineLvl w:val="0"/>
    </w:pPr>
    <w:rPr>
      <w:b/>
      <w:bCs/>
      <w:kern w:val="0"/>
      <w:sz w:val="32"/>
      <w:szCs w:val="20"/>
    </w:rPr>
  </w:style>
  <w:style w:type="paragraph" w:customStyle="1" w:styleId="2967">
    <w:name w:val="重点文字321"/>
    <w:basedOn w:val="1"/>
    <w:qFormat/>
    <w:uiPriority w:val="0"/>
    <w:pPr>
      <w:tabs>
        <w:tab w:val="left" w:pos="2880"/>
        <w:tab w:val="left" w:pos="3120"/>
      </w:tabs>
      <w:spacing w:line="360" w:lineRule="auto"/>
      <w:ind w:left="360" w:leftChars="150" w:firstLine="480" w:firstLineChars="200"/>
      <w:outlineLvl w:val="0"/>
    </w:pPr>
    <w:rPr>
      <w:rFonts w:eastAsia="黑体"/>
      <w:color w:val="FF00FF"/>
      <w:sz w:val="24"/>
    </w:rPr>
  </w:style>
  <w:style w:type="paragraph" w:customStyle="1" w:styleId="2968">
    <w:name w:val="样式 样式 标题 4 + + 段前: 12 磅 段后: 7.8 磅"/>
    <w:basedOn w:val="2778"/>
    <w:qFormat/>
    <w:uiPriority w:val="0"/>
    <w:pPr>
      <w:tabs>
        <w:tab w:val="clear" w:pos="2160"/>
      </w:tabs>
      <w:spacing w:before="240" w:after="156"/>
      <w:ind w:left="0" w:firstLine="0"/>
    </w:pPr>
    <w:rPr>
      <w:rFonts w:eastAsia="宋体" w:cs="宋体"/>
      <w:b w:val="0"/>
    </w:rPr>
  </w:style>
  <w:style w:type="paragraph" w:customStyle="1" w:styleId="2969">
    <w:name w:val="样式 标题 2本文标题2.MVA2Heading 2 CCB！标题 2(C+F2)(F3)Title2head..."/>
    <w:basedOn w:val="4"/>
    <w:qFormat/>
    <w:uiPriority w:val="0"/>
    <w:pPr>
      <w:numPr>
        <w:ilvl w:val="0"/>
        <w:numId w:val="0"/>
      </w:numPr>
      <w:tabs>
        <w:tab w:val="left" w:pos="720"/>
      </w:tabs>
      <w:adjustRightInd/>
      <w:snapToGrid/>
      <w:spacing w:beforeLines="50" w:afterLines="50"/>
      <w:ind w:left="1320" w:hanging="420"/>
      <w:jc w:val="left"/>
    </w:pPr>
    <w:rPr>
      <w:rFonts w:eastAsia="宋体" w:cs="宋体"/>
      <w:b/>
      <w:sz w:val="24"/>
      <w:szCs w:val="20"/>
      <w:lang w:val="en-US"/>
    </w:rPr>
  </w:style>
  <w:style w:type="paragraph" w:customStyle="1" w:styleId="2970">
    <w:name w:val="样式 标题 2节 + 小三 黑色 左 段前: 0 磅 段后: 5 磅 行距: 2 倍行距"/>
    <w:basedOn w:val="4"/>
    <w:qFormat/>
    <w:uiPriority w:val="0"/>
    <w:pPr>
      <w:widowControl/>
      <w:numPr>
        <w:numId w:val="0"/>
      </w:numPr>
      <w:tabs>
        <w:tab w:val="left" w:pos="189"/>
        <w:tab w:val="left" w:pos="720"/>
      </w:tabs>
      <w:snapToGrid/>
      <w:spacing w:after="100" w:line="480" w:lineRule="auto"/>
      <w:ind w:left="992" w:hanging="567"/>
      <w:jc w:val="left"/>
      <w:textAlignment w:val="baseline"/>
    </w:pPr>
    <w:rPr>
      <w:rFonts w:ascii="Arial" w:hAnsi="Arial" w:cs="宋体"/>
      <w:bCs w:val="0"/>
      <w:color w:val="000000"/>
      <w:kern w:val="0"/>
      <w:sz w:val="24"/>
      <w:szCs w:val="20"/>
      <w:lang w:val="en-US"/>
    </w:rPr>
  </w:style>
  <w:style w:type="paragraph" w:customStyle="1" w:styleId="2971">
    <w:name w:val="表头文字10"/>
    <w:basedOn w:val="1"/>
    <w:qFormat/>
    <w:uiPriority w:val="0"/>
    <w:pPr>
      <w:widowControl/>
      <w:adjustRightInd w:val="0"/>
      <w:spacing w:line="360" w:lineRule="atLeast"/>
      <w:jc w:val="center"/>
    </w:pPr>
    <w:rPr>
      <w:rFonts w:ascii="宋体"/>
      <w:b/>
      <w:kern w:val="0"/>
    </w:rPr>
  </w:style>
  <w:style w:type="paragraph" w:customStyle="1" w:styleId="2972">
    <w:name w:val="样式 标题 6（1） + 五号 加粗"/>
    <w:basedOn w:val="9"/>
    <w:qFormat/>
    <w:uiPriority w:val="0"/>
    <w:pPr>
      <w:keepNext w:val="0"/>
      <w:keepLines w:val="0"/>
      <w:numPr>
        <w:numId w:val="0"/>
      </w:numPr>
      <w:tabs>
        <w:tab w:val="left" w:pos="3064"/>
      </w:tabs>
      <w:adjustRightInd w:val="0"/>
      <w:snapToGrid w:val="0"/>
      <w:spacing w:before="0" w:after="0" w:line="500" w:lineRule="exact"/>
      <w:ind w:left="3064" w:hanging="420"/>
      <w:jc w:val="left"/>
      <w:textAlignment w:val="baseline"/>
    </w:pPr>
    <w:rPr>
      <w:rFonts w:ascii="宋体" w:eastAsia="宋体"/>
      <w:b w:val="0"/>
      <w:color w:val="auto"/>
      <w:sz w:val="21"/>
      <w:lang w:val="zh-CN"/>
    </w:rPr>
  </w:style>
  <w:style w:type="paragraph" w:customStyle="1" w:styleId="2973">
    <w:name w:val="样式 正文文本缩进"/>
    <w:basedOn w:val="36"/>
    <w:qFormat/>
    <w:uiPriority w:val="0"/>
    <w:pPr>
      <w:spacing w:after="0" w:line="240" w:lineRule="atLeast"/>
      <w:ind w:left="0" w:leftChars="0" w:firstLine="1575" w:firstLineChars="750"/>
      <w:jc w:val="center"/>
    </w:pPr>
    <w:rPr>
      <w:rFonts w:cs="宋体"/>
    </w:rPr>
  </w:style>
  <w:style w:type="paragraph" w:customStyle="1" w:styleId="2974">
    <w:name w:val="样式 表格 32 + 首行缩进:  2 字符"/>
    <w:basedOn w:val="114"/>
    <w:qFormat/>
    <w:uiPriority w:val="0"/>
    <w:pPr>
      <w:spacing w:line="0" w:lineRule="atLeast"/>
    </w:pPr>
    <w:rPr>
      <w:rFonts w:ascii="Calibri" w:hAnsi="Calibri"/>
      <w:sz w:val="21"/>
      <w:szCs w:val="21"/>
    </w:rPr>
  </w:style>
  <w:style w:type="paragraph" w:customStyle="1" w:styleId="2975">
    <w:name w:val="罗3"/>
    <w:basedOn w:val="5"/>
    <w:qFormat/>
    <w:uiPriority w:val="0"/>
    <w:pPr>
      <w:keepNext w:val="0"/>
      <w:widowControl w:val="0"/>
      <w:numPr>
        <w:ilvl w:val="0"/>
        <w:numId w:val="0"/>
      </w:numPr>
      <w:tabs>
        <w:tab w:val="left" w:pos="0"/>
        <w:tab w:val="left" w:pos="720"/>
      </w:tabs>
      <w:adjustRightInd/>
      <w:spacing w:before="260" w:after="260"/>
      <w:textAlignment w:val="auto"/>
    </w:pPr>
    <w:rPr>
      <w:rFonts w:eastAsia="宋体"/>
      <w:b/>
      <w:bCs/>
      <w:color w:val="auto"/>
      <w:kern w:val="2"/>
      <w:szCs w:val="24"/>
    </w:rPr>
  </w:style>
  <w:style w:type="paragraph" w:customStyle="1" w:styleId="2976">
    <w:name w:val="报告表格内中"/>
    <w:basedOn w:val="1"/>
    <w:qFormat/>
    <w:uiPriority w:val="0"/>
    <w:pPr>
      <w:spacing w:before="100" w:beforeAutospacing="1"/>
      <w:jc w:val="center"/>
    </w:pPr>
    <w:rPr>
      <w:sz w:val="24"/>
    </w:rPr>
  </w:style>
  <w:style w:type="paragraph" w:customStyle="1" w:styleId="2977">
    <w:name w:val="xl11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Cs w:val="21"/>
    </w:rPr>
  </w:style>
  <w:style w:type="paragraph" w:customStyle="1" w:styleId="2978">
    <w:name w:val="样式五 Char Char"/>
    <w:basedOn w:val="1"/>
    <w:qFormat/>
    <w:uiPriority w:val="0"/>
    <w:pPr>
      <w:widowControl/>
      <w:jc w:val="center"/>
    </w:pPr>
    <w:rPr>
      <w:rFonts w:hAnsi="宋体"/>
      <w:kern w:val="0"/>
    </w:rPr>
  </w:style>
  <w:style w:type="paragraph" w:customStyle="1" w:styleId="2979">
    <w:name w:val="样式 目录 2 + 左侧:  2 字符 首行缩进:  2 字符1"/>
    <w:basedOn w:val="75"/>
    <w:qFormat/>
    <w:uiPriority w:val="0"/>
    <w:pPr>
      <w:ind w:left="480" w:firstLine="480" w:firstLineChars="200"/>
      <w:jc w:val="both"/>
    </w:pPr>
    <w:rPr>
      <w:rFonts w:cs="宋体"/>
      <w:lang w:val="zh-CN"/>
    </w:rPr>
  </w:style>
  <w:style w:type="paragraph" w:customStyle="1" w:styleId="2980">
    <w:name w:val="页眉双"/>
    <w:basedOn w:val="58"/>
    <w:qFormat/>
    <w:uiPriority w:val="0"/>
    <w:pPr>
      <w:tabs>
        <w:tab w:val="left" w:pos="-120"/>
      </w:tabs>
      <w:spacing w:before="60" w:line="400" w:lineRule="exact"/>
      <w:jc w:val="left"/>
    </w:pPr>
    <w:rPr>
      <w:rFonts w:eastAsia="幼圆"/>
      <w:snapToGrid w:val="0"/>
      <w:color w:val="000000"/>
      <w:kern w:val="44"/>
      <w:sz w:val="15"/>
      <w:szCs w:val="20"/>
    </w:rPr>
  </w:style>
  <w:style w:type="paragraph" w:customStyle="1" w:styleId="2981">
    <w:name w:val="样式 行距: 1.5 倍行距1"/>
    <w:basedOn w:val="1"/>
    <w:qFormat/>
    <w:uiPriority w:val="0"/>
    <w:pPr>
      <w:spacing w:line="360" w:lineRule="auto"/>
      <w:ind w:firstLine="480" w:firstLineChars="200"/>
    </w:pPr>
    <w:rPr>
      <w:sz w:val="24"/>
    </w:rPr>
  </w:style>
  <w:style w:type="paragraph" w:customStyle="1" w:styleId="2982">
    <w:name w:val="样式 首行缩进:  0 厘米"/>
    <w:basedOn w:val="1"/>
    <w:qFormat/>
    <w:uiPriority w:val="0"/>
    <w:pPr>
      <w:spacing w:line="480" w:lineRule="exact"/>
      <w:ind w:firstLine="471"/>
    </w:pPr>
    <w:rPr>
      <w:rFonts w:cs="宋体"/>
      <w:bCs/>
      <w:sz w:val="24"/>
      <w:szCs w:val="20"/>
    </w:rPr>
  </w:style>
  <w:style w:type="paragraph" w:customStyle="1" w:styleId="2983">
    <w:name w:val="章标题(不加入目录内)"/>
    <w:basedOn w:val="1"/>
    <w:qFormat/>
    <w:uiPriority w:val="0"/>
    <w:pPr>
      <w:keepLines/>
      <w:pageBreakBefore/>
      <w:spacing w:before="240" w:after="120"/>
      <w:jc w:val="center"/>
    </w:pPr>
    <w:rPr>
      <w:rFonts w:eastAsia="黑体"/>
      <w:b/>
      <w:sz w:val="36"/>
      <w:szCs w:val="20"/>
    </w:rPr>
  </w:style>
  <w:style w:type="paragraph" w:customStyle="1" w:styleId="2984">
    <w:name w:val="表注文"/>
    <w:basedOn w:val="1"/>
    <w:qFormat/>
    <w:uiPriority w:val="0"/>
    <w:pPr>
      <w:adjustRightInd w:val="0"/>
      <w:snapToGrid w:val="0"/>
      <w:spacing w:after="100" w:line="314" w:lineRule="atLeast"/>
      <w:ind w:left="180" w:hanging="180" w:firstLineChars="200"/>
      <w:jc w:val="left"/>
    </w:pPr>
    <w:rPr>
      <w:bCs/>
      <w:kern w:val="0"/>
      <w:sz w:val="18"/>
      <w:szCs w:val="20"/>
    </w:rPr>
  </w:style>
  <w:style w:type="paragraph" w:customStyle="1" w:styleId="2985">
    <w:name w:val="样式 标题 1 + 段前: 0.5 行 段后: 0.5 行"/>
    <w:basedOn w:val="3"/>
    <w:qFormat/>
    <w:uiPriority w:val="0"/>
    <w:pPr>
      <w:keepLines w:val="0"/>
      <w:pageBreakBefore/>
      <w:widowControl/>
      <w:numPr>
        <w:numId w:val="0"/>
      </w:numPr>
      <w:tabs>
        <w:tab w:val="left" w:pos="420"/>
      </w:tabs>
      <w:spacing w:before="156" w:after="156" w:line="480" w:lineRule="auto"/>
      <w:ind w:left="431" w:hanging="431"/>
    </w:pPr>
    <w:rPr>
      <w:b/>
      <w:bCs w:val="0"/>
      <w:sz w:val="30"/>
      <w:szCs w:val="30"/>
    </w:rPr>
  </w:style>
  <w:style w:type="paragraph" w:customStyle="1" w:styleId="2986">
    <w:name w:val="表格（杨丹菁）"/>
    <w:basedOn w:val="113"/>
    <w:qFormat/>
    <w:uiPriority w:val="0"/>
    <w:pPr>
      <w:widowControl w:val="0"/>
      <w:adjustRightInd w:val="0"/>
      <w:snapToGrid w:val="0"/>
      <w:spacing w:after="48"/>
    </w:pPr>
    <w:rPr>
      <w:rFonts w:ascii="宋体" w:hAnsi="宋体" w:cs="宋体"/>
      <w:color w:val="000000"/>
      <w:kern w:val="0"/>
      <w:sz w:val="18"/>
      <w:szCs w:val="18"/>
    </w:rPr>
  </w:style>
  <w:style w:type="paragraph" w:customStyle="1" w:styleId="2987">
    <w:name w:val="标题2李"/>
    <w:basedOn w:val="4"/>
    <w:qFormat/>
    <w:uiPriority w:val="0"/>
    <w:pPr>
      <w:numPr>
        <w:ilvl w:val="0"/>
        <w:numId w:val="0"/>
      </w:numPr>
      <w:tabs>
        <w:tab w:val="left" w:pos="720"/>
      </w:tabs>
      <w:ind w:firstLine="150" w:firstLineChars="150"/>
      <w:jc w:val="left"/>
    </w:pPr>
    <w:rPr>
      <w:bCs w:val="0"/>
      <w:sz w:val="32"/>
      <w:szCs w:val="32"/>
      <w:lang w:val="en-US"/>
    </w:rPr>
  </w:style>
  <w:style w:type="paragraph" w:customStyle="1" w:styleId="2988">
    <w:name w:val="样式 标题 4 + 段前: 0.5 行"/>
    <w:basedOn w:val="46"/>
    <w:next w:val="1"/>
    <w:qFormat/>
    <w:uiPriority w:val="0"/>
    <w:pPr>
      <w:spacing w:beforeLines="50" w:after="100" w:afterAutospacing="1"/>
    </w:pPr>
    <w:rPr>
      <w:rFonts w:cs="宋体"/>
      <w:bCs/>
      <w:color w:val="000000"/>
      <w:sz w:val="24"/>
      <w:szCs w:val="24"/>
    </w:rPr>
  </w:style>
  <w:style w:type="paragraph" w:customStyle="1" w:styleId="2989">
    <w:name w:val="样式 样式 样式 标题 4 + + 段前: 12 磅 段后: 7.8 磅 + 加粗"/>
    <w:basedOn w:val="2968"/>
    <w:qFormat/>
    <w:uiPriority w:val="0"/>
    <w:rPr>
      <w:b/>
    </w:rPr>
  </w:style>
  <w:style w:type="paragraph" w:customStyle="1" w:styleId="2990">
    <w:name w:val="样式 标题 2H2SeHead wsa21标题 1.1.CharChapter TitleChapter节标..."/>
    <w:basedOn w:val="4"/>
    <w:qFormat/>
    <w:uiPriority w:val="0"/>
    <w:pPr>
      <w:numPr>
        <w:numId w:val="0"/>
      </w:numPr>
      <w:tabs>
        <w:tab w:val="left" w:pos="720"/>
      </w:tabs>
      <w:adjustRightInd/>
      <w:spacing w:before="312" w:beforeLines="100"/>
    </w:pPr>
    <w:rPr>
      <w:rFonts w:ascii="宋体" w:hAnsi="宋体"/>
      <w:bCs w:val="0"/>
      <w:kern w:val="0"/>
      <w:szCs w:val="20"/>
    </w:rPr>
  </w:style>
  <w:style w:type="paragraph" w:customStyle="1" w:styleId="2991">
    <w:name w:val="样式 标题 2 + 宋体 段前: 0.5 行 段后: 0.5 行"/>
    <w:basedOn w:val="1"/>
    <w:qFormat/>
    <w:uiPriority w:val="99"/>
    <w:pPr>
      <w:autoSpaceDE w:val="0"/>
      <w:autoSpaceDN w:val="0"/>
      <w:adjustRightInd w:val="0"/>
      <w:jc w:val="left"/>
    </w:pPr>
    <w:rPr>
      <w:rFonts w:ascii="宋体" w:hAnsi="Calibri"/>
      <w:kern w:val="0"/>
      <w:sz w:val="24"/>
    </w:rPr>
  </w:style>
  <w:style w:type="paragraph" w:customStyle="1" w:styleId="2992">
    <w:name w:val="图名2008"/>
    <w:basedOn w:val="1093"/>
    <w:qFormat/>
    <w:uiPriority w:val="99"/>
    <w:pPr>
      <w:tabs>
        <w:tab w:val="left" w:pos="0"/>
      </w:tabs>
      <w:adjustRightInd/>
      <w:snapToGrid/>
      <w:spacing w:before="0" w:beforeLines="50" w:afterLines="50" w:line="360" w:lineRule="auto"/>
      <w:jc w:val="both"/>
    </w:pPr>
    <w:rPr>
      <w:rFonts w:ascii="Times New Roman" w:cs="宋体"/>
      <w:bCs w:val="0"/>
      <w:kern w:val="2"/>
      <w:sz w:val="21"/>
      <w:szCs w:val="21"/>
    </w:rPr>
  </w:style>
  <w:style w:type="paragraph" w:customStyle="1" w:styleId="2993">
    <w:name w:val="正文（韶关规划）"/>
    <w:basedOn w:val="87"/>
    <w:qFormat/>
    <w:uiPriority w:val="0"/>
    <w:pPr>
      <w:widowControl w:val="0"/>
      <w:tabs>
        <w:tab w:val="left" w:pos="7996"/>
      </w:tabs>
      <w:autoSpaceDE w:val="0"/>
      <w:autoSpaceDN w:val="0"/>
      <w:spacing w:beforeLines="50" w:after="120"/>
      <w:ind w:firstLine="480"/>
      <w:jc w:val="both"/>
    </w:pPr>
    <w:rPr>
      <w:rFonts w:ascii="Times New Roman" w:hAnsi="Times New Roman"/>
      <w:snapToGrid/>
      <w:kern w:val="2"/>
      <w:szCs w:val="24"/>
    </w:rPr>
  </w:style>
  <w:style w:type="paragraph" w:customStyle="1" w:styleId="2994">
    <w:name w:val="表注-西江"/>
    <w:basedOn w:val="2995"/>
    <w:qFormat/>
    <w:uiPriority w:val="0"/>
    <w:pPr>
      <w:widowControl w:val="0"/>
      <w:tabs>
        <w:tab w:val="left" w:pos="-120"/>
      </w:tabs>
      <w:overflowPunct w:val="0"/>
      <w:topLinePunct/>
      <w:autoSpaceDE w:val="0"/>
      <w:spacing w:before="0"/>
      <w:ind w:left="0"/>
      <w:textAlignment w:val="baseline"/>
    </w:pPr>
    <w:rPr>
      <w:color w:val="000000"/>
      <w:sz w:val="21"/>
      <w:szCs w:val="21"/>
    </w:rPr>
  </w:style>
  <w:style w:type="paragraph" w:customStyle="1" w:styleId="2995">
    <w:name w:val="表名称"/>
    <w:qFormat/>
    <w:uiPriority w:val="0"/>
    <w:pPr>
      <w:adjustRightInd w:val="0"/>
      <w:snapToGrid w:val="0"/>
      <w:spacing w:before="120"/>
      <w:ind w:left="567"/>
      <w:jc w:val="center"/>
    </w:pPr>
    <w:rPr>
      <w:rFonts w:ascii="Times New Roman" w:hAnsi="Times New Roman" w:eastAsia="宋体" w:cs="Times New Roman"/>
      <w:b/>
      <w:spacing w:val="16"/>
      <w:sz w:val="24"/>
      <w:lang w:val="en-US" w:eastAsia="zh-CN" w:bidi="ar-SA"/>
    </w:rPr>
  </w:style>
  <w:style w:type="paragraph" w:customStyle="1" w:styleId="2996">
    <w:name w:val="样式 hc 正文 + 段前: 0 磅"/>
    <w:basedOn w:val="1"/>
    <w:qFormat/>
    <w:uiPriority w:val="0"/>
    <w:pPr>
      <w:spacing w:before="156" w:beforeLines="30" w:line="360" w:lineRule="auto"/>
      <w:ind w:firstLine="200" w:firstLineChars="200"/>
    </w:pPr>
    <w:rPr>
      <w:rFonts w:ascii="宋体" w:cs="宋体"/>
      <w:sz w:val="28"/>
      <w:szCs w:val="21"/>
    </w:rPr>
  </w:style>
  <w:style w:type="paragraph" w:customStyle="1" w:styleId="2997">
    <w:name w:val="样式 标题 2H2título 2h2RN chapter段2nd levelTitre2l2Header 2..."/>
    <w:basedOn w:val="4"/>
    <w:qFormat/>
    <w:uiPriority w:val="99"/>
    <w:pPr>
      <w:numPr>
        <w:numId w:val="0"/>
      </w:numPr>
      <w:tabs>
        <w:tab w:val="left" w:pos="720"/>
      </w:tabs>
      <w:adjustRightInd/>
      <w:snapToGrid/>
      <w:spacing w:before="260" w:beforeLines="100" w:line="415" w:lineRule="auto"/>
      <w:ind w:left="284"/>
    </w:pPr>
    <w:rPr>
      <w:rFonts w:ascii="宋体" w:hAnsi="宋体" w:eastAsia="宋体"/>
      <w:szCs w:val="24"/>
      <w:lang w:val="en-US"/>
    </w:rPr>
  </w:style>
  <w:style w:type="paragraph" w:customStyle="1" w:styleId="2998">
    <w:name w:val="生物拉丁文类名"/>
    <w:basedOn w:val="1"/>
    <w:qFormat/>
    <w:uiPriority w:val="0"/>
    <w:pPr>
      <w:tabs>
        <w:tab w:val="left" w:pos="-120"/>
      </w:tabs>
      <w:spacing w:before="60" w:line="310" w:lineRule="atLeast"/>
      <w:jc w:val="left"/>
    </w:pPr>
    <w:rPr>
      <w:b/>
      <w:i/>
      <w:spacing w:val="20"/>
      <w:sz w:val="24"/>
      <w:szCs w:val="20"/>
    </w:rPr>
  </w:style>
  <w:style w:type="paragraph" w:customStyle="1" w:styleId="2999">
    <w:name w:val="样式 标题 3B HeadH3ReHead 3 WSAh3标题 3 Char..h3 CharSection..."/>
    <w:basedOn w:val="5"/>
    <w:qFormat/>
    <w:uiPriority w:val="0"/>
    <w:pPr>
      <w:widowControl w:val="0"/>
      <w:numPr>
        <w:ilvl w:val="0"/>
        <w:numId w:val="0"/>
      </w:numPr>
      <w:tabs>
        <w:tab w:val="left" w:pos="720"/>
      </w:tabs>
      <w:snapToGrid w:val="0"/>
      <w:spacing w:before="100" w:beforeAutospacing="1" w:after="100" w:afterAutospacing="1"/>
      <w:ind w:left="1680" w:hanging="420"/>
      <w:jc w:val="both"/>
    </w:pPr>
    <w:rPr>
      <w:rFonts w:ascii="宋体" w:eastAsia="宋体"/>
      <w:b/>
      <w:bCs/>
      <w:color w:val="auto"/>
    </w:rPr>
  </w:style>
  <w:style w:type="paragraph" w:customStyle="1" w:styleId="3000">
    <w:name w:val="条题"/>
    <w:basedOn w:val="1"/>
    <w:qFormat/>
    <w:uiPriority w:val="0"/>
    <w:pPr>
      <w:spacing w:line="420" w:lineRule="exact"/>
      <w:ind w:firstLine="480" w:firstLineChars="200"/>
    </w:pPr>
    <w:rPr>
      <w:bCs/>
      <w:sz w:val="24"/>
    </w:rPr>
  </w:style>
  <w:style w:type="paragraph" w:customStyle="1" w:styleId="3001">
    <w:name w:val="主体文字"/>
    <w:basedOn w:val="1"/>
    <w:qFormat/>
    <w:uiPriority w:val="0"/>
    <w:pPr>
      <w:suppressAutoHyphens/>
      <w:spacing w:line="360" w:lineRule="auto"/>
      <w:ind w:firstLine="480" w:firstLineChars="200"/>
    </w:pPr>
    <w:rPr>
      <w:rFonts w:hint="eastAsia" w:ascii="仿宋_GB2312" w:hAnsi="宋体" w:eastAsia="仿宋_GB2312" w:cs="Courier New"/>
      <w:sz w:val="20"/>
      <w:szCs w:val="21"/>
    </w:rPr>
  </w:style>
  <w:style w:type="paragraph" w:customStyle="1" w:styleId="3002">
    <w:name w:val="ST20_6"/>
    <w:basedOn w:val="1"/>
    <w:qFormat/>
    <w:uiPriority w:val="99"/>
    <w:pPr>
      <w:suppressLineNumbers/>
      <w:autoSpaceDE w:val="0"/>
      <w:autoSpaceDN w:val="0"/>
      <w:adjustRightInd w:val="0"/>
      <w:spacing w:beforeLines="50" w:afterLines="50" w:line="400" w:lineRule="atLeast"/>
      <w:ind w:left="851"/>
      <w:textAlignment w:val="baseline"/>
    </w:pPr>
    <w:rPr>
      <w:rFonts w:ascii="宋体" w:hAnsi="Tms Rmn"/>
      <w:kern w:val="0"/>
      <w:szCs w:val="20"/>
    </w:rPr>
  </w:style>
  <w:style w:type="paragraph" w:customStyle="1" w:styleId="3003">
    <w:name w:val="样式 标题 2 + 行距: 1.5 倍行距"/>
    <w:basedOn w:val="4"/>
    <w:qFormat/>
    <w:uiPriority w:val="0"/>
    <w:pPr>
      <w:numPr>
        <w:numId w:val="0"/>
      </w:numPr>
      <w:tabs>
        <w:tab w:val="left" w:pos="696"/>
        <w:tab w:val="left" w:pos="720"/>
      </w:tabs>
      <w:snapToGrid/>
      <w:spacing w:before="156" w:after="156"/>
    </w:pPr>
    <w:rPr>
      <w:rFonts w:ascii="宋体" w:hAnsi="宋体" w:eastAsia="宋体" w:cs="宋体"/>
      <w:b/>
      <w:color w:val="FF0000"/>
      <w:kern w:val="0"/>
      <w:szCs w:val="20"/>
      <w:lang w:val="en-US"/>
    </w:rPr>
  </w:style>
  <w:style w:type="paragraph" w:customStyle="1" w:styleId="3004">
    <w:name w:val="标题 1实例1"/>
    <w:basedOn w:val="3"/>
    <w:next w:val="1"/>
    <w:qFormat/>
    <w:uiPriority w:val="0"/>
    <w:pPr>
      <w:numPr>
        <w:numId w:val="0"/>
      </w:numPr>
      <w:spacing w:before="340" w:beforeLines="50" w:after="330" w:afterLines="50"/>
    </w:pPr>
    <w:rPr>
      <w:rFonts w:ascii="Arial" w:hAnsi="Arial" w:eastAsia="宋体" w:cs="宋体"/>
      <w:b/>
      <w:kern w:val="0"/>
      <w:sz w:val="28"/>
      <w:szCs w:val="20"/>
      <w:lang w:val="zh-CN"/>
    </w:rPr>
  </w:style>
  <w:style w:type="paragraph" w:customStyle="1" w:styleId="3005">
    <w:name w:val="xl176"/>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textAlignment w:val="center"/>
    </w:pPr>
    <w:rPr>
      <w:rFonts w:ascii="宋体" w:hAnsi="宋体" w:cs="宋体"/>
      <w:color w:val="000000"/>
      <w:kern w:val="0"/>
      <w:sz w:val="20"/>
      <w:szCs w:val="20"/>
    </w:rPr>
  </w:style>
  <w:style w:type="paragraph" w:customStyle="1" w:styleId="3006">
    <w:name w:val="wtext"/>
    <w:basedOn w:val="1"/>
    <w:qFormat/>
    <w:uiPriority w:val="0"/>
    <w:pPr>
      <w:widowControl/>
      <w:spacing w:before="100" w:beforeAutospacing="1" w:after="100" w:afterAutospacing="1"/>
      <w:ind w:firstLine="480"/>
      <w:jc w:val="left"/>
    </w:pPr>
    <w:rPr>
      <w:rFonts w:ascii="ˎ̥" w:hAnsi="ˎ̥" w:cs="宋体"/>
      <w:color w:val="000000"/>
      <w:kern w:val="0"/>
      <w:sz w:val="22"/>
      <w:szCs w:val="22"/>
    </w:rPr>
  </w:style>
  <w:style w:type="paragraph" w:customStyle="1" w:styleId="3007">
    <w:name w:val="样式 表格 32 + 首行缩进:  2 字符1"/>
    <w:basedOn w:val="114"/>
    <w:qFormat/>
    <w:uiPriority w:val="0"/>
    <w:rPr>
      <w:rFonts w:ascii="Calibri" w:hAnsi="Calibri" w:cs="宋体"/>
      <w:sz w:val="21"/>
      <w:szCs w:val="21"/>
    </w:rPr>
  </w:style>
  <w:style w:type="paragraph" w:customStyle="1" w:styleId="3008">
    <w:name w:val="xl149"/>
    <w:basedOn w:val="1"/>
    <w:qFormat/>
    <w:uiPriority w:val="0"/>
    <w:pPr>
      <w:widowControl/>
      <w:pBdr>
        <w:top w:val="single" w:color="auto" w:sz="4" w:space="0"/>
        <w:bottom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3009">
    <w:name w:val="字元 字元 Char Char 字元 字元17"/>
    <w:basedOn w:val="1"/>
    <w:qFormat/>
    <w:uiPriority w:val="0"/>
    <w:rPr>
      <w:sz w:val="24"/>
    </w:rPr>
  </w:style>
  <w:style w:type="paragraph" w:customStyle="1" w:styleId="3010">
    <w:name w:val="样式 0 + 黑体 加粗 紫罗兰"/>
    <w:basedOn w:val="1"/>
    <w:qFormat/>
    <w:uiPriority w:val="0"/>
    <w:pPr>
      <w:spacing w:line="440" w:lineRule="exact"/>
      <w:ind w:firstLine="200" w:firstLineChars="200"/>
    </w:pPr>
    <w:rPr>
      <w:rFonts w:ascii="黑体" w:hAnsi="黑体" w:eastAsia="黑体" w:cs="宋体"/>
      <w:b/>
      <w:bCs/>
      <w:color w:val="800080"/>
      <w:spacing w:val="10"/>
      <w:kern w:val="0"/>
      <w:sz w:val="24"/>
      <w:szCs w:val="20"/>
    </w:rPr>
  </w:style>
  <w:style w:type="paragraph" w:customStyle="1" w:styleId="3011">
    <w:name w:val="标书"/>
    <w:basedOn w:val="36"/>
    <w:qFormat/>
    <w:uiPriority w:val="99"/>
    <w:pPr>
      <w:spacing w:before="60" w:after="60" w:line="360" w:lineRule="atLeast"/>
      <w:ind w:left="0" w:leftChars="0" w:firstLine="420"/>
    </w:pPr>
    <w:rPr>
      <w:rFonts w:cs="宋体"/>
      <w:sz w:val="28"/>
    </w:rPr>
  </w:style>
  <w:style w:type="paragraph" w:customStyle="1" w:styleId="3012">
    <w:name w:val="三级标题1"/>
    <w:basedOn w:val="1"/>
    <w:semiHidden/>
    <w:qFormat/>
    <w:uiPriority w:val="0"/>
    <w:pPr>
      <w:adjustRightInd w:val="0"/>
      <w:snapToGrid w:val="0"/>
      <w:spacing w:beforeLines="50" w:line="360" w:lineRule="auto"/>
      <w:jc w:val="left"/>
      <w:outlineLvl w:val="2"/>
    </w:pPr>
    <w:rPr>
      <w:rFonts w:ascii="Calibri" w:hAnsi="Calibri"/>
      <w:b/>
      <w:bCs/>
      <w:sz w:val="32"/>
      <w:szCs w:val="20"/>
    </w:rPr>
  </w:style>
  <w:style w:type="paragraph" w:customStyle="1" w:styleId="3013">
    <w:name w:val="表标题6"/>
    <w:basedOn w:val="1"/>
    <w:qFormat/>
    <w:uiPriority w:val="0"/>
    <w:pPr>
      <w:keepNext/>
      <w:adjustRightInd w:val="0"/>
      <w:spacing w:before="180" w:after="120" w:line="397" w:lineRule="atLeast"/>
      <w:ind w:firstLine="200" w:firstLineChars="200"/>
      <w:jc w:val="center"/>
      <w:textAlignment w:val="baseline"/>
    </w:pPr>
    <w:rPr>
      <w:b/>
      <w:kern w:val="0"/>
      <w:sz w:val="24"/>
      <w:szCs w:val="20"/>
    </w:rPr>
  </w:style>
  <w:style w:type="paragraph" w:customStyle="1" w:styleId="3014">
    <w:name w:val="报告表格标题"/>
    <w:basedOn w:val="1"/>
    <w:semiHidden/>
    <w:qFormat/>
    <w:uiPriority w:val="0"/>
    <w:pPr>
      <w:keepNext/>
      <w:keepLines/>
      <w:snapToGrid w:val="0"/>
      <w:spacing w:beforeLines="50" w:line="360" w:lineRule="auto"/>
      <w:ind w:left="-600" w:leftChars="-250" w:firstLine="600" w:firstLineChars="250"/>
      <w:jc w:val="center"/>
    </w:pPr>
    <w:rPr>
      <w:rFonts w:eastAsia="黑体"/>
      <w:bCs/>
      <w:sz w:val="24"/>
    </w:rPr>
  </w:style>
  <w:style w:type="paragraph" w:customStyle="1" w:styleId="3015">
    <w:name w:val="样式 标题 1文章标题一、章节H1Otsikko 1Eia标题1－1 + 段前: 0.5 行 段后: 0.5 行"/>
    <w:basedOn w:val="3"/>
    <w:next w:val="1"/>
    <w:qFormat/>
    <w:uiPriority w:val="0"/>
    <w:pPr>
      <w:keepLines w:val="0"/>
      <w:numPr>
        <w:numId w:val="0"/>
      </w:numPr>
      <w:autoSpaceDN w:val="0"/>
      <w:snapToGrid w:val="0"/>
      <w:spacing w:after="330" w:afterLines="50" w:line="520" w:lineRule="exact"/>
      <w:ind w:firstLine="471"/>
      <w:contextualSpacing/>
      <w:jc w:val="left"/>
      <w:textAlignment w:val="baseline"/>
    </w:pPr>
    <w:rPr>
      <w:rFonts w:ascii="黑体" w:hAnsi="Arial" w:cs="宋体"/>
      <w:b/>
      <w:bCs w:val="0"/>
      <w:snapToGrid w:val="0"/>
      <w:kern w:val="2"/>
      <w:sz w:val="36"/>
      <w:szCs w:val="20"/>
      <w:lang w:val="eu-ES"/>
    </w:rPr>
  </w:style>
  <w:style w:type="paragraph" w:customStyle="1" w:styleId="3016">
    <w:name w:val="xl158"/>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3017">
    <w:name w:val="样式 标题 3节1一H3B Head标题 3 Char Char标题 3 Char Char Char Char标..."/>
    <w:basedOn w:val="5"/>
    <w:qFormat/>
    <w:uiPriority w:val="0"/>
    <w:pPr>
      <w:keepNext w:val="0"/>
      <w:keepLines w:val="0"/>
      <w:widowControl w:val="0"/>
      <w:numPr>
        <w:ilvl w:val="0"/>
        <w:numId w:val="0"/>
      </w:numPr>
      <w:tabs>
        <w:tab w:val="left" w:pos="720"/>
      </w:tabs>
      <w:snapToGrid w:val="0"/>
      <w:spacing w:after="48" w:line="560" w:lineRule="exact"/>
      <w:ind w:left="1694" w:right="720" w:rightChars="300" w:hanging="567"/>
      <w:textAlignment w:val="auto"/>
    </w:pPr>
    <w:rPr>
      <w:rFonts w:ascii="宋体" w:hAnsi="宋体" w:eastAsia="宋体"/>
      <w:b/>
      <w:color w:val="auto"/>
      <w:kern w:val="2"/>
      <w:szCs w:val="24"/>
    </w:rPr>
  </w:style>
  <w:style w:type="paragraph" w:customStyle="1" w:styleId="3018">
    <w:name w:val="正文文本缩进 214"/>
    <w:basedOn w:val="1"/>
    <w:semiHidden/>
    <w:qFormat/>
    <w:uiPriority w:val="0"/>
    <w:pPr>
      <w:adjustRightInd w:val="0"/>
      <w:spacing w:after="120" w:line="400" w:lineRule="exact"/>
      <w:ind w:firstLine="525" w:firstLineChars="200"/>
      <w:jc w:val="left"/>
    </w:pPr>
    <w:rPr>
      <w:rFonts w:ascii="宋体"/>
      <w:spacing w:val="16"/>
      <w:sz w:val="24"/>
      <w:szCs w:val="20"/>
    </w:rPr>
  </w:style>
  <w:style w:type="paragraph" w:customStyle="1" w:styleId="3019">
    <w:name w:val="题注3"/>
    <w:basedOn w:val="1"/>
    <w:next w:val="1"/>
    <w:qFormat/>
    <w:uiPriority w:val="0"/>
    <w:pPr>
      <w:jc w:val="center"/>
    </w:pPr>
    <w:rPr>
      <w:rFonts w:eastAsia="黑体"/>
      <w:kern w:val="0"/>
      <w:sz w:val="20"/>
      <w:szCs w:val="20"/>
    </w:rPr>
  </w:style>
  <w:style w:type="paragraph" w:customStyle="1" w:styleId="3020">
    <w:name w:val="样式 标题 4 + 左 段前: 7.8 磅 段后: 7.8 磅 行距: 1.5 倍行距"/>
    <w:basedOn w:val="7"/>
    <w:qFormat/>
    <w:uiPriority w:val="0"/>
    <w:pPr>
      <w:numPr>
        <w:ilvl w:val="0"/>
        <w:numId w:val="0"/>
      </w:numPr>
      <w:tabs>
        <w:tab w:val="left" w:pos="180"/>
        <w:tab w:val="left" w:pos="720"/>
      </w:tabs>
      <w:adjustRightInd/>
      <w:spacing w:beforeLines="50" w:afterLines="50"/>
    </w:pPr>
    <w:rPr>
      <w:rFonts w:ascii="Arial" w:hAnsi="Arial" w:cs="宋体"/>
      <w:b/>
      <w:szCs w:val="20"/>
    </w:rPr>
  </w:style>
  <w:style w:type="paragraph" w:customStyle="1" w:styleId="3021">
    <w:name w:val="样式 标题 2 + 非加粗"/>
    <w:basedOn w:val="4"/>
    <w:qFormat/>
    <w:uiPriority w:val="0"/>
    <w:pPr>
      <w:keepNext w:val="0"/>
      <w:numPr>
        <w:ilvl w:val="0"/>
        <w:numId w:val="0"/>
      </w:numPr>
      <w:tabs>
        <w:tab w:val="left" w:pos="720"/>
      </w:tabs>
      <w:adjustRightInd/>
      <w:snapToGrid/>
      <w:spacing w:before="260" w:after="260" w:line="312" w:lineRule="auto"/>
      <w:jc w:val="left"/>
    </w:pPr>
    <w:rPr>
      <w:b/>
      <w:sz w:val="24"/>
      <w:szCs w:val="32"/>
    </w:rPr>
  </w:style>
  <w:style w:type="paragraph" w:customStyle="1" w:styleId="3022">
    <w:name w:val="样式 标题 1文章标题标题 111Head 1wsa一、b1章标题 1H1PIM 1标书1h1标题 11..."/>
    <w:basedOn w:val="3"/>
    <w:qFormat/>
    <w:uiPriority w:val="99"/>
    <w:pPr>
      <w:pageBreakBefore/>
      <w:numPr>
        <w:numId w:val="0"/>
      </w:numPr>
      <w:spacing w:before="120" w:after="120"/>
    </w:pPr>
    <w:rPr>
      <w:rFonts w:eastAsia="宋体" w:cs="宋体"/>
      <w:sz w:val="36"/>
      <w:szCs w:val="20"/>
    </w:rPr>
  </w:style>
  <w:style w:type="paragraph" w:customStyle="1" w:styleId="3023">
    <w:name w:val="正文 1"/>
    <w:qFormat/>
    <w:uiPriority w:val="0"/>
    <w:pPr>
      <w:keepNext/>
      <w:widowControl w:val="0"/>
      <w:topLinePunct/>
      <w:autoSpaceDE w:val="0"/>
      <w:autoSpaceDN w:val="0"/>
      <w:adjustRightInd w:val="0"/>
      <w:ind w:firstLine="454"/>
      <w:textAlignment w:val="baseline"/>
    </w:pPr>
    <w:rPr>
      <w:rFonts w:ascii="Times New Roman" w:hAnsi="Times New Roman" w:eastAsia="宋体" w:cs="Times New Roman"/>
      <w:sz w:val="24"/>
      <w:lang w:val="en-US" w:eastAsia="zh-CN" w:bidi="ar-SA"/>
    </w:rPr>
  </w:style>
  <w:style w:type="paragraph" w:customStyle="1" w:styleId="3024">
    <w:name w:val="无缩正文"/>
    <w:basedOn w:val="1"/>
    <w:qFormat/>
    <w:uiPriority w:val="0"/>
    <w:pPr>
      <w:tabs>
        <w:tab w:val="left" w:pos="-120"/>
      </w:tabs>
      <w:spacing w:before="60" w:line="310" w:lineRule="atLeast"/>
      <w:jc w:val="center"/>
    </w:pPr>
    <w:rPr>
      <w:spacing w:val="20"/>
      <w:sz w:val="24"/>
      <w:szCs w:val="20"/>
    </w:rPr>
  </w:style>
  <w:style w:type="paragraph" w:customStyle="1" w:styleId="3025">
    <w:name w:val="王元的正文"/>
    <w:basedOn w:val="1"/>
    <w:qFormat/>
    <w:uiPriority w:val="0"/>
    <w:pPr>
      <w:widowControl/>
      <w:spacing w:after="200" w:line="360" w:lineRule="auto"/>
      <w:ind w:firstLine="480" w:firstLineChars="200"/>
      <w:jc w:val="left"/>
    </w:pPr>
    <w:rPr>
      <w:rFonts w:ascii="仿宋_GB2312" w:hAnsi="宋体" w:eastAsia="仿宋_GB2312" w:cs="宋体"/>
      <w:kern w:val="0"/>
      <w:sz w:val="24"/>
      <w:szCs w:val="21"/>
      <w:lang w:eastAsia="en-US" w:bidi="en-US"/>
    </w:rPr>
  </w:style>
  <w:style w:type="paragraph" w:customStyle="1" w:styleId="3026">
    <w:name w:val="第几节"/>
    <w:basedOn w:val="1"/>
    <w:qFormat/>
    <w:uiPriority w:val="0"/>
    <w:pPr>
      <w:widowControl/>
      <w:adjustRightInd w:val="0"/>
      <w:snapToGrid w:val="0"/>
      <w:spacing w:before="156" w:beforeLines="50" w:line="360" w:lineRule="auto"/>
      <w:ind w:firstLine="200" w:firstLineChars="200"/>
      <w:jc w:val="center"/>
    </w:pPr>
    <w:rPr>
      <w:rFonts w:eastAsia="黑体" w:cs="宋体"/>
      <w:b/>
      <w:bCs/>
      <w:color w:val="000000"/>
      <w:sz w:val="30"/>
      <w:szCs w:val="30"/>
    </w:rPr>
  </w:style>
  <w:style w:type="paragraph" w:customStyle="1" w:styleId="3027">
    <w:name w:val="ysh标3"/>
    <w:basedOn w:val="1"/>
    <w:qFormat/>
    <w:uiPriority w:val="0"/>
    <w:pPr>
      <w:tabs>
        <w:tab w:val="left" w:pos="720"/>
        <w:tab w:val="left" w:pos="1004"/>
      </w:tabs>
      <w:adjustRightInd w:val="0"/>
      <w:snapToGrid w:val="0"/>
      <w:spacing w:before="260" w:beforeLines="100" w:after="260" w:afterLines="100"/>
      <w:ind w:left="284"/>
      <w:jc w:val="left"/>
      <w:outlineLvl w:val="2"/>
    </w:pPr>
    <w:rPr>
      <w:rFonts w:ascii="宋体" w:hAnsi="宋体"/>
      <w:b/>
      <w:bCs/>
      <w:kern w:val="0"/>
      <w:sz w:val="28"/>
      <w:szCs w:val="28"/>
    </w:rPr>
  </w:style>
  <w:style w:type="paragraph" w:customStyle="1" w:styleId="3028">
    <w:name w:val="中大3级标题3"/>
    <w:basedOn w:val="2422"/>
    <w:qFormat/>
    <w:uiPriority w:val="0"/>
    <w:pPr>
      <w:tabs>
        <w:tab w:val="left" w:pos="426"/>
        <w:tab w:val="left" w:pos="709"/>
        <w:tab w:val="clear" w:pos="720"/>
        <w:tab w:val="clear" w:pos="1004"/>
      </w:tabs>
      <w:ind w:left="0"/>
    </w:pPr>
    <w:rPr>
      <w:bCs w:val="0"/>
      <w:szCs w:val="24"/>
    </w:rPr>
  </w:style>
  <w:style w:type="paragraph" w:customStyle="1" w:styleId="3029">
    <w:name w:val="selinna表标"/>
    <w:basedOn w:val="1"/>
    <w:qFormat/>
    <w:uiPriority w:val="0"/>
    <w:pPr>
      <w:adjustRightInd w:val="0"/>
      <w:snapToGrid w:val="0"/>
      <w:spacing w:beforeLines="50" w:afterLines="20" w:line="300" w:lineRule="auto"/>
      <w:ind w:firstLine="200" w:firstLineChars="200"/>
      <w:jc w:val="center"/>
    </w:pPr>
    <w:rPr>
      <w:rFonts w:ascii="宋体" w:hAnsi="宋体"/>
      <w:b/>
      <w:sz w:val="24"/>
      <w:szCs w:val="20"/>
    </w:rPr>
  </w:style>
  <w:style w:type="paragraph" w:customStyle="1" w:styleId="3030">
    <w:name w:val="样式 (符号) Bookman Old Style 小四 首行缩进:  0.63 厘米 行距: 1.5 倍行距"/>
    <w:basedOn w:val="1"/>
    <w:qFormat/>
    <w:uiPriority w:val="0"/>
    <w:pPr>
      <w:spacing w:line="360" w:lineRule="auto"/>
      <w:ind w:firstLine="357"/>
    </w:pPr>
    <w:rPr>
      <w:rFonts w:hAnsi="Bookman Old Style" w:cs="宋体"/>
      <w:sz w:val="24"/>
      <w:szCs w:val="20"/>
    </w:rPr>
  </w:style>
  <w:style w:type="paragraph" w:customStyle="1" w:styleId="3031">
    <w:name w:val="正文文本 212"/>
    <w:basedOn w:val="1"/>
    <w:qFormat/>
    <w:uiPriority w:val="0"/>
    <w:pPr>
      <w:widowControl/>
      <w:overflowPunct w:val="0"/>
      <w:autoSpaceDE w:val="0"/>
      <w:autoSpaceDN w:val="0"/>
      <w:adjustRightInd w:val="0"/>
      <w:spacing w:line="360" w:lineRule="auto"/>
      <w:ind w:left="992" w:hanging="567"/>
      <w:jc w:val="left"/>
      <w:textAlignment w:val="baseline"/>
    </w:pPr>
    <w:rPr>
      <w:rFonts w:ascii="宋体" w:hAnsi="MS Sans Serif"/>
      <w:kern w:val="0"/>
      <w:sz w:val="28"/>
      <w:szCs w:val="20"/>
    </w:rPr>
  </w:style>
  <w:style w:type="paragraph" w:customStyle="1" w:styleId="3032">
    <w:name w:val="selinna标2"/>
    <w:basedOn w:val="1"/>
    <w:qFormat/>
    <w:uiPriority w:val="0"/>
    <w:pPr>
      <w:keepNext/>
      <w:keepLines/>
      <w:adjustRightInd w:val="0"/>
      <w:snapToGrid w:val="0"/>
      <w:spacing w:beforeLines="50" w:line="300" w:lineRule="auto"/>
      <w:ind w:firstLine="200" w:firstLineChars="200"/>
      <w:outlineLvl w:val="0"/>
    </w:pPr>
    <w:rPr>
      <w:rFonts w:ascii="宋体" w:hAnsi="宋体" w:cs="Arial"/>
      <w:b/>
      <w:bCs/>
      <w:kern w:val="44"/>
      <w:sz w:val="36"/>
      <w:szCs w:val="44"/>
    </w:rPr>
  </w:style>
  <w:style w:type="paragraph" w:customStyle="1" w:styleId="3033">
    <w:name w:val="xl160"/>
    <w:basedOn w:val="1"/>
    <w:qFormat/>
    <w:uiPriority w:val="0"/>
    <w:pPr>
      <w:widowControl/>
      <w:pBdr>
        <w:bottom w:val="single" w:color="auto" w:sz="4" w:space="0"/>
      </w:pBdr>
      <w:spacing w:before="100" w:beforeAutospacing="1" w:after="100" w:afterAutospacing="1"/>
      <w:jc w:val="left"/>
      <w:textAlignment w:val="center"/>
    </w:pPr>
    <w:rPr>
      <w:rFonts w:ascii="宋体" w:hAnsi="宋体" w:cs="宋体"/>
      <w:kern w:val="0"/>
      <w:sz w:val="24"/>
    </w:rPr>
  </w:style>
  <w:style w:type="paragraph" w:customStyle="1" w:styleId="3034">
    <w:name w:val="样式 样式 标题 1章节标题章标题 1-*+h11st levelSection Headl1b1本标题不使用篇标...1 + ..."/>
    <w:basedOn w:val="1"/>
    <w:qFormat/>
    <w:uiPriority w:val="0"/>
    <w:pPr>
      <w:keepNext/>
      <w:keepLines/>
      <w:spacing w:before="240" w:after="120" w:line="360" w:lineRule="auto"/>
      <w:jc w:val="left"/>
      <w:outlineLvl w:val="0"/>
    </w:pPr>
    <w:rPr>
      <w:rFonts w:eastAsia="黑体" w:cs="宋体"/>
      <w:b/>
      <w:bCs/>
      <w:kern w:val="44"/>
      <w:sz w:val="28"/>
      <w:szCs w:val="28"/>
    </w:rPr>
  </w:style>
  <w:style w:type="paragraph" w:customStyle="1" w:styleId="3035">
    <w:name w:val="样式 标题 4 + 黑体 小四"/>
    <w:basedOn w:val="7"/>
    <w:qFormat/>
    <w:uiPriority w:val="0"/>
    <w:pPr>
      <w:numPr>
        <w:numId w:val="0"/>
      </w:numPr>
      <w:tabs>
        <w:tab w:val="left" w:pos="720"/>
        <w:tab w:val="left" w:pos="864"/>
      </w:tabs>
      <w:adjustRightInd/>
      <w:ind w:left="864" w:hanging="864"/>
    </w:pPr>
    <w:rPr>
      <w:rFonts w:ascii="宋体" w:hAnsi="黑体" w:eastAsia="宋体"/>
      <w:szCs w:val="24"/>
    </w:rPr>
  </w:style>
  <w:style w:type="paragraph" w:customStyle="1" w:styleId="3036">
    <w:name w:val="表格 2"/>
    <w:basedOn w:val="113"/>
    <w:qFormat/>
    <w:uiPriority w:val="0"/>
    <w:pPr>
      <w:widowControl w:val="0"/>
      <w:autoSpaceDE w:val="0"/>
      <w:autoSpaceDN w:val="0"/>
      <w:adjustRightInd w:val="0"/>
      <w:jc w:val="center"/>
      <w:textAlignment w:val="baseline"/>
    </w:pPr>
    <w:rPr>
      <w:rFonts w:eastAsia="楷体_GB2312"/>
      <w:kern w:val="0"/>
      <w:sz w:val="24"/>
    </w:rPr>
  </w:style>
  <w:style w:type="paragraph" w:customStyle="1" w:styleId="3037">
    <w:name w:val="隐形说明"/>
    <w:basedOn w:val="86"/>
    <w:next w:val="86"/>
    <w:qFormat/>
    <w:uiPriority w:val="0"/>
    <w:pPr>
      <w:widowControl w:val="0"/>
      <w:tabs>
        <w:tab w:val="left" w:pos="-120"/>
      </w:tabs>
      <w:adjustRightInd/>
      <w:snapToGrid/>
      <w:spacing w:line="288" w:lineRule="auto"/>
      <w:ind w:firstLine="0"/>
      <w:jc w:val="center"/>
    </w:pPr>
    <w:rPr>
      <w:rFonts w:ascii="Calibri" w:hAnsi="Calibri"/>
      <w:i/>
      <w:snapToGrid/>
      <w:color w:val="008080"/>
      <w:spacing w:val="16"/>
      <w:kern w:val="2"/>
      <w:szCs w:val="24"/>
    </w:rPr>
  </w:style>
  <w:style w:type="paragraph" w:customStyle="1" w:styleId="3038">
    <w:name w:val="样式 标题 2h2l2Courseware #H2HD2Level 2 Topic HeadingHeading ..."/>
    <w:basedOn w:val="4"/>
    <w:qFormat/>
    <w:uiPriority w:val="99"/>
    <w:pPr>
      <w:numPr>
        <w:numId w:val="0"/>
      </w:numPr>
      <w:tabs>
        <w:tab w:val="left" w:pos="720"/>
      </w:tabs>
      <w:adjustRightInd/>
      <w:snapToGrid/>
      <w:spacing w:before="260" w:beforeLines="50" w:after="260" w:afterLines="50"/>
      <w:ind w:left="284" w:firstLine="482" w:firstLineChars="200"/>
    </w:pPr>
    <w:rPr>
      <w:rFonts w:ascii="黑体" w:cs="宋体"/>
      <w:b/>
      <w:sz w:val="24"/>
      <w:szCs w:val="20"/>
      <w:lang w:val="en-US"/>
    </w:rPr>
  </w:style>
  <w:style w:type="paragraph" w:customStyle="1" w:styleId="3039">
    <w:name w:val="宗兴表格"/>
    <w:basedOn w:val="1"/>
    <w:qFormat/>
    <w:uiPriority w:val="99"/>
    <w:pPr>
      <w:snapToGrid w:val="0"/>
      <w:spacing w:beforeLines="20" w:afterLines="20" w:line="360" w:lineRule="auto"/>
      <w:jc w:val="center"/>
    </w:pPr>
    <w:rPr>
      <w:bCs/>
      <w:color w:val="0000FF"/>
      <w:sz w:val="24"/>
      <w:szCs w:val="21"/>
    </w:rPr>
  </w:style>
  <w:style w:type="paragraph" w:customStyle="1" w:styleId="3040">
    <w:name w:val="样式 标题 3 + 左侧:  0 厘米 首行缩进:  0 字符"/>
    <w:basedOn w:val="5"/>
    <w:qFormat/>
    <w:uiPriority w:val="99"/>
    <w:pPr>
      <w:widowControl w:val="0"/>
      <w:numPr>
        <w:numId w:val="0"/>
      </w:numPr>
      <w:tabs>
        <w:tab w:val="left" w:pos="720"/>
      </w:tabs>
      <w:adjustRightInd/>
      <w:spacing w:before="260" w:after="260" w:line="416" w:lineRule="auto"/>
      <w:jc w:val="both"/>
      <w:textAlignment w:val="auto"/>
    </w:pPr>
    <w:rPr>
      <w:rFonts w:hAnsi="Calibri" w:eastAsia="宋体" w:cs="宋体"/>
      <w:color w:val="auto"/>
      <w:kern w:val="2"/>
      <w:szCs w:val="32"/>
    </w:rPr>
  </w:style>
  <w:style w:type="paragraph" w:customStyle="1" w:styleId="3041">
    <w:name w:val="样式 样式 报告 + 首行缩进:  2 字符 段前: 0.5 行 段后: 7.8 磅 + 段前: 0.5 行2"/>
    <w:basedOn w:val="1"/>
    <w:qFormat/>
    <w:uiPriority w:val="99"/>
    <w:pPr>
      <w:spacing w:beforeLines="50" w:after="156" w:line="460" w:lineRule="atLeast"/>
      <w:ind w:firstLine="200" w:firstLineChars="200"/>
    </w:pPr>
    <w:rPr>
      <w:rFonts w:ascii="Calibri" w:hAnsi="Calibri" w:cs="宋体"/>
      <w:kern w:val="0"/>
      <w:szCs w:val="20"/>
    </w:rPr>
  </w:style>
  <w:style w:type="paragraph" w:customStyle="1" w:styleId="3042">
    <w:name w:val="样式 正文文本缩进 3 + 左侧:  2 字符1"/>
    <w:basedOn w:val="71"/>
    <w:qFormat/>
    <w:uiPriority w:val="99"/>
    <w:pPr>
      <w:widowControl/>
      <w:spacing w:line="360" w:lineRule="auto"/>
      <w:ind w:left="0" w:leftChars="0" w:firstLine="200" w:firstLineChars="200"/>
      <w:jc w:val="left"/>
    </w:pPr>
    <w:rPr>
      <w:rFonts w:ascii="Calibri" w:hAnsi="Calibri" w:cs="PMingLiU"/>
      <w:color w:val="000000"/>
      <w:sz w:val="24"/>
      <w:szCs w:val="20"/>
    </w:rPr>
  </w:style>
  <w:style w:type="paragraph" w:customStyle="1" w:styleId="3043">
    <w:name w:val="字元 字元 Char Char 字元 字元18"/>
    <w:basedOn w:val="1"/>
    <w:qFormat/>
    <w:uiPriority w:val="0"/>
    <w:pPr>
      <w:spacing w:line="360" w:lineRule="auto"/>
    </w:pPr>
    <w:rPr>
      <w:sz w:val="24"/>
    </w:rPr>
  </w:style>
  <w:style w:type="paragraph" w:customStyle="1" w:styleId="3044">
    <w:name w:val="样式 标题 2 + 段前: 0 磅 段后: 0 磅 行距: 单倍行距"/>
    <w:basedOn w:val="4"/>
    <w:qFormat/>
    <w:uiPriority w:val="0"/>
    <w:pPr>
      <w:keepNext w:val="0"/>
      <w:keepLines w:val="0"/>
      <w:numPr>
        <w:numId w:val="0"/>
      </w:numPr>
      <w:tabs>
        <w:tab w:val="left" w:pos="720"/>
      </w:tabs>
      <w:snapToGrid/>
      <w:spacing w:before="100" w:beforeAutospacing="1" w:after="100" w:afterAutospacing="1" w:line="500" w:lineRule="exact"/>
    </w:pPr>
    <w:rPr>
      <w:rFonts w:ascii="宋体" w:hAnsi="宋体"/>
      <w:b/>
      <w:szCs w:val="24"/>
      <w:lang w:val="en-US"/>
    </w:rPr>
  </w:style>
  <w:style w:type="paragraph" w:customStyle="1" w:styleId="3045">
    <w:name w:val="样式 宋体 小四 左"/>
    <w:basedOn w:val="1"/>
    <w:qFormat/>
    <w:uiPriority w:val="0"/>
    <w:pPr>
      <w:ind w:firstLine="200" w:firstLineChars="200"/>
      <w:jc w:val="left"/>
    </w:pPr>
    <w:rPr>
      <w:rFonts w:ascii="宋体" w:cs="宋体"/>
      <w:kern w:val="0"/>
      <w:sz w:val="24"/>
      <w:szCs w:val="20"/>
    </w:rPr>
  </w:style>
  <w:style w:type="paragraph" w:customStyle="1" w:styleId="3046">
    <w:name w:val="样式 标题 3 + Times New Roman Char Char Char"/>
    <w:basedOn w:val="5"/>
    <w:qFormat/>
    <w:uiPriority w:val="0"/>
    <w:pPr>
      <w:widowControl w:val="0"/>
      <w:numPr>
        <w:numId w:val="0"/>
      </w:numPr>
      <w:tabs>
        <w:tab w:val="left" w:pos="720"/>
      </w:tabs>
      <w:snapToGrid w:val="0"/>
      <w:spacing w:before="312" w:beforeLines="100" w:after="156" w:afterLines="50" w:line="415" w:lineRule="auto"/>
      <w:ind w:left="900" w:hanging="900" w:hangingChars="300"/>
      <w:jc w:val="both"/>
    </w:pPr>
    <w:rPr>
      <w:rFonts w:ascii="黑体" w:hAnsi="宋体" w:eastAsia="宋体"/>
      <w:b/>
      <w:color w:val="auto"/>
      <w:sz w:val="30"/>
      <w:szCs w:val="30"/>
      <w:lang w:val="zh-CN"/>
    </w:rPr>
  </w:style>
  <w:style w:type="paragraph" w:customStyle="1" w:styleId="3047">
    <w:name w:val="样式 (中文) 黑体 三号 加粗 居中 段前: 6 磅 行距: 1.5 倍行距"/>
    <w:basedOn w:val="1"/>
    <w:qFormat/>
    <w:uiPriority w:val="0"/>
    <w:pPr>
      <w:spacing w:before="120" w:line="360" w:lineRule="auto"/>
      <w:jc w:val="center"/>
    </w:pPr>
    <w:rPr>
      <w:rFonts w:eastAsia="黑体"/>
      <w:b/>
      <w:bCs/>
      <w:sz w:val="30"/>
      <w:szCs w:val="20"/>
    </w:rPr>
  </w:style>
  <w:style w:type="paragraph" w:customStyle="1" w:styleId="3048">
    <w:name w:val="xl193"/>
    <w:basedOn w:val="1"/>
    <w:qFormat/>
    <w:uiPriority w:val="0"/>
    <w:pPr>
      <w:widowControl/>
      <w:pBdr>
        <w:bottom w:val="single" w:color="auto" w:sz="4" w:space="0"/>
      </w:pBdr>
      <w:spacing w:before="100" w:beforeAutospacing="1" w:after="100" w:afterAutospacing="1"/>
      <w:jc w:val="left"/>
      <w:textAlignment w:val="center"/>
    </w:pPr>
    <w:rPr>
      <w:rFonts w:ascii="宋体" w:hAnsi="宋体" w:cs="宋体"/>
      <w:b/>
      <w:bCs/>
      <w:color w:val="000000"/>
      <w:kern w:val="0"/>
      <w:sz w:val="20"/>
      <w:szCs w:val="20"/>
    </w:rPr>
  </w:style>
  <w:style w:type="paragraph" w:customStyle="1" w:styleId="3049">
    <w:name w:val="批注框文本11"/>
    <w:basedOn w:val="1"/>
    <w:qFormat/>
    <w:uiPriority w:val="0"/>
    <w:pPr>
      <w:spacing w:line="360" w:lineRule="auto"/>
    </w:pPr>
    <w:rPr>
      <w:sz w:val="18"/>
      <w:szCs w:val="18"/>
    </w:rPr>
  </w:style>
  <w:style w:type="paragraph" w:customStyle="1" w:styleId="3050">
    <w:name w:val="站号"/>
    <w:basedOn w:val="1"/>
    <w:qFormat/>
    <w:uiPriority w:val="0"/>
    <w:pPr>
      <w:adjustRightInd w:val="0"/>
      <w:snapToGrid w:val="0"/>
      <w:spacing w:beforeLines="50" w:line="240" w:lineRule="atLeast"/>
      <w:jc w:val="center"/>
    </w:pPr>
    <w:rPr>
      <w:sz w:val="24"/>
      <w:szCs w:val="20"/>
    </w:rPr>
  </w:style>
  <w:style w:type="paragraph" w:customStyle="1" w:styleId="3051">
    <w:name w:val="样式 首行缩进:  2 字符 段后: 7.8 磅"/>
    <w:basedOn w:val="1"/>
    <w:qFormat/>
    <w:uiPriority w:val="0"/>
    <w:pPr>
      <w:widowControl/>
      <w:spacing w:after="156" w:line="500" w:lineRule="exact"/>
      <w:ind w:firstLine="560" w:firstLineChars="200"/>
      <w:jc w:val="left"/>
    </w:pPr>
    <w:rPr>
      <w:rFonts w:ascii="华文细黑" w:hAnsi="华文细黑" w:eastAsia="楷体_GB2312" w:cs="宋体"/>
      <w:color w:val="000000"/>
      <w:sz w:val="28"/>
      <w:szCs w:val="28"/>
    </w:rPr>
  </w:style>
  <w:style w:type="paragraph" w:customStyle="1" w:styleId="3052">
    <w:name w:val="样式 标题 5 + 加粗 右侧:  1 字符"/>
    <w:basedOn w:val="8"/>
    <w:qFormat/>
    <w:uiPriority w:val="0"/>
    <w:pPr>
      <w:widowControl/>
      <w:numPr>
        <w:ilvl w:val="0"/>
        <w:numId w:val="0"/>
      </w:numPr>
      <w:tabs>
        <w:tab w:val="left" w:pos="780"/>
      </w:tabs>
      <w:adjustRightInd w:val="0"/>
      <w:snapToGrid w:val="0"/>
      <w:spacing w:before="240" w:after="240" w:line="360" w:lineRule="auto"/>
      <w:ind w:left="780" w:right="210" w:rightChars="100" w:hanging="360"/>
      <w:jc w:val="left"/>
    </w:pPr>
    <w:rPr>
      <w:rFonts w:ascii="宋体" w:hAnsi="宋体" w:cs="宋体"/>
      <w:b w:val="0"/>
      <w:color w:val="auto"/>
      <w:kern w:val="0"/>
      <w:sz w:val="21"/>
      <w:szCs w:val="20"/>
    </w:rPr>
  </w:style>
  <w:style w:type="paragraph" w:customStyle="1" w:styleId="3053">
    <w:name w:val="xl1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 w:val="22"/>
      <w:szCs w:val="22"/>
    </w:rPr>
  </w:style>
  <w:style w:type="paragraph" w:customStyle="1" w:styleId="3054">
    <w:name w:val="样式 列表 + 首行缩进:  0.74 厘米"/>
    <w:basedOn w:val="1"/>
    <w:qFormat/>
    <w:uiPriority w:val="99"/>
    <w:pPr>
      <w:adjustRightInd w:val="0"/>
      <w:snapToGrid w:val="0"/>
    </w:pPr>
    <w:rPr>
      <w:rFonts w:ascii="Calibri" w:hAnsi="Calibri" w:cs="宋体"/>
      <w:szCs w:val="20"/>
    </w:rPr>
  </w:style>
  <w:style w:type="paragraph" w:customStyle="1" w:styleId="3055">
    <w:name w:val="样式 标题 3小标题 + (中文) 楷体_GB2312 四号 段前: 0 磅 段后: 0 磅 行距: 1.5 倍行距"/>
    <w:basedOn w:val="5"/>
    <w:qFormat/>
    <w:uiPriority w:val="0"/>
    <w:pPr>
      <w:widowControl w:val="0"/>
      <w:numPr>
        <w:numId w:val="0"/>
      </w:numPr>
      <w:tabs>
        <w:tab w:val="left" w:pos="720"/>
      </w:tabs>
      <w:adjustRightInd/>
      <w:spacing w:before="260" w:beforeLines="50"/>
      <w:jc w:val="both"/>
      <w:textAlignment w:val="auto"/>
    </w:pPr>
    <w:rPr>
      <w:b/>
      <w:bCs/>
      <w:color w:val="auto"/>
      <w:kern w:val="2"/>
    </w:rPr>
  </w:style>
  <w:style w:type="paragraph" w:customStyle="1" w:styleId="3056">
    <w:name w:val="注:"/>
    <w:qFormat/>
    <w:uiPriority w:val="0"/>
    <w:rPr>
      <w:rFonts w:ascii="Times New Roman" w:hAnsi="Times New Roman" w:eastAsia="宋体" w:cs="Times New Roman"/>
      <w:sz w:val="21"/>
      <w:szCs w:val="21"/>
      <w:lang w:val="en-US" w:eastAsia="zh-CN" w:bidi="ar-SA"/>
    </w:rPr>
  </w:style>
  <w:style w:type="paragraph" w:customStyle="1" w:styleId="3057">
    <w:name w:val="样式 标题 3 + 宋体 行距: 单倍行距"/>
    <w:basedOn w:val="5"/>
    <w:next w:val="1"/>
    <w:qFormat/>
    <w:uiPriority w:val="0"/>
    <w:pPr>
      <w:widowControl w:val="0"/>
      <w:numPr>
        <w:numId w:val="0"/>
      </w:numPr>
      <w:tabs>
        <w:tab w:val="left" w:pos="720"/>
        <w:tab w:val="left" w:pos="1004"/>
      </w:tabs>
      <w:adjustRightInd/>
      <w:spacing w:before="260" w:after="260" w:line="240" w:lineRule="auto"/>
      <w:ind w:left="284"/>
      <w:textAlignment w:val="auto"/>
    </w:pPr>
    <w:rPr>
      <w:rFonts w:ascii="宋体" w:hAnsi="宋体" w:eastAsia="宋体" w:cs="宋体"/>
      <w:b/>
      <w:bCs/>
      <w:color w:val="auto"/>
    </w:rPr>
  </w:style>
  <w:style w:type="paragraph" w:customStyle="1" w:styleId="3058">
    <w:name w:val="标题02"/>
    <w:basedOn w:val="1"/>
    <w:qFormat/>
    <w:uiPriority w:val="0"/>
    <w:pPr>
      <w:adjustRightInd w:val="0"/>
      <w:snapToGrid w:val="0"/>
      <w:spacing w:line="360" w:lineRule="auto"/>
      <w:ind w:firstLine="480" w:firstLineChars="200"/>
      <w:outlineLvl w:val="1"/>
    </w:pPr>
    <w:rPr>
      <w:b/>
      <w:bCs/>
      <w:sz w:val="24"/>
      <w:szCs w:val="20"/>
    </w:rPr>
  </w:style>
  <w:style w:type="paragraph" w:customStyle="1" w:styleId="3059">
    <w:name w:val="样式 正文（杨） + 首行缩进:  2 字符"/>
    <w:basedOn w:val="2097"/>
    <w:qFormat/>
    <w:uiPriority w:val="0"/>
    <w:pPr>
      <w:adjustRightInd w:val="0"/>
      <w:snapToGrid w:val="0"/>
      <w:spacing w:line="312" w:lineRule="auto"/>
      <w:jc w:val="both"/>
    </w:pPr>
    <w:rPr>
      <w:rFonts w:ascii="宋体" w:hAnsi="Times New Roman"/>
      <w:color w:val="auto"/>
      <w:szCs w:val="20"/>
    </w:rPr>
  </w:style>
  <w:style w:type="paragraph" w:customStyle="1" w:styleId="3060">
    <w:name w:val="标题 63"/>
    <w:basedOn w:val="9"/>
    <w:qFormat/>
    <w:uiPriority w:val="0"/>
    <w:pPr>
      <w:keepNext w:val="0"/>
      <w:keepLines w:val="0"/>
      <w:numPr>
        <w:ilvl w:val="0"/>
        <w:numId w:val="0"/>
      </w:numPr>
      <w:autoSpaceDE w:val="0"/>
      <w:autoSpaceDN w:val="0"/>
      <w:adjustRightInd w:val="0"/>
      <w:spacing w:before="120" w:after="120" w:line="240" w:lineRule="auto"/>
      <w:ind w:left="567"/>
      <w:jc w:val="left"/>
      <w:textAlignment w:val="baseline"/>
      <w:outlineLvl w:val="9"/>
    </w:pPr>
    <w:rPr>
      <w:rFonts w:ascii="Times New Roman" w:hAnsi="Times New Roman" w:eastAsia="隶书体"/>
      <w:b w:val="0"/>
      <w:bCs w:val="0"/>
      <w:color w:val="auto"/>
      <w:kern w:val="0"/>
    </w:rPr>
  </w:style>
  <w:style w:type="paragraph" w:customStyle="1" w:styleId="3061">
    <w:name w:val="标题6（杨）"/>
    <w:basedOn w:val="1"/>
    <w:qFormat/>
    <w:uiPriority w:val="0"/>
    <w:pPr>
      <w:tabs>
        <w:tab w:val="left" w:pos="0"/>
      </w:tabs>
      <w:spacing w:line="312" w:lineRule="auto"/>
      <w:jc w:val="left"/>
    </w:pPr>
    <w:rPr>
      <w:rFonts w:eastAsia="黑体"/>
      <w:b/>
      <w:sz w:val="24"/>
    </w:rPr>
  </w:style>
  <w:style w:type="paragraph" w:customStyle="1" w:styleId="3062">
    <w:name w:val="表题1"/>
    <w:next w:val="208"/>
    <w:qFormat/>
    <w:uiPriority w:val="0"/>
    <w:pPr>
      <w:keepNext/>
      <w:keepLines/>
      <w:widowControl w:val="0"/>
      <w:topLinePunct/>
      <w:autoSpaceDE w:val="0"/>
      <w:autoSpaceDN w:val="0"/>
      <w:adjustRightInd w:val="0"/>
      <w:spacing w:line="360" w:lineRule="auto"/>
      <w:jc w:val="center"/>
      <w:textAlignment w:val="baseline"/>
    </w:pPr>
    <w:rPr>
      <w:rFonts w:ascii="Times New Roman" w:hAnsi="Times New Roman" w:eastAsia="仿宋体" w:cs="Times New Roman"/>
      <w:sz w:val="28"/>
      <w:lang w:val="en-US" w:eastAsia="zh-CN" w:bidi="ar-SA"/>
    </w:rPr>
  </w:style>
  <w:style w:type="paragraph" w:customStyle="1" w:styleId="3063">
    <w:name w:val="页面 4"/>
    <w:basedOn w:val="2738"/>
    <w:qFormat/>
    <w:uiPriority w:val="0"/>
    <w:rPr>
      <w:rFonts w:eastAsia="隶书"/>
      <w:sz w:val="48"/>
    </w:rPr>
  </w:style>
  <w:style w:type="paragraph" w:customStyle="1" w:styleId="3064">
    <w:name w:val="小五居中"/>
    <w:basedOn w:val="1"/>
    <w:qFormat/>
    <w:uiPriority w:val="0"/>
    <w:pPr>
      <w:jc w:val="center"/>
    </w:pPr>
    <w:rPr>
      <w:sz w:val="18"/>
    </w:rPr>
  </w:style>
  <w:style w:type="paragraph" w:customStyle="1" w:styleId="3065">
    <w:name w:val="表格题目"/>
    <w:basedOn w:val="1"/>
    <w:link w:val="3066"/>
    <w:qFormat/>
    <w:uiPriority w:val="0"/>
    <w:pPr>
      <w:adjustRightInd w:val="0"/>
      <w:snapToGrid w:val="0"/>
      <w:spacing w:line="300" w:lineRule="auto"/>
      <w:jc w:val="center"/>
    </w:pPr>
    <w:rPr>
      <w:rFonts w:ascii="黑体" w:hAnsi="黑体" w:eastAsia="黑体"/>
      <w:sz w:val="24"/>
      <w:lang w:val="zh-CN"/>
    </w:rPr>
  </w:style>
  <w:style w:type="character" w:customStyle="1" w:styleId="3066">
    <w:name w:val="表格题目 Char"/>
    <w:link w:val="3065"/>
    <w:qFormat/>
    <w:uiPriority w:val="0"/>
    <w:rPr>
      <w:rFonts w:ascii="黑体" w:hAnsi="黑体" w:eastAsia="黑体"/>
      <w:kern w:val="2"/>
      <w:sz w:val="24"/>
      <w:szCs w:val="24"/>
      <w:lang w:val="zh-CN"/>
    </w:rPr>
  </w:style>
  <w:style w:type="character" w:customStyle="1" w:styleId="3067">
    <w:name w:val="表后注释 Char"/>
    <w:qFormat/>
    <w:uiPriority w:val="0"/>
    <w:rPr>
      <w:rFonts w:ascii="Times New Roman" w:hAnsi="Times New Roman" w:eastAsia="宋体" w:cs="Times New Roman"/>
      <w:spacing w:val="10"/>
      <w:kern w:val="24"/>
      <w:sz w:val="24"/>
      <w:szCs w:val="24"/>
    </w:rPr>
  </w:style>
  <w:style w:type="character" w:customStyle="1" w:styleId="3068">
    <w:name w:val="样式 标题 2章节标题节样式 2H2第一章 标题 2Heading 2 HiddenHeading 2 CCBS... Char"/>
    <w:qFormat/>
    <w:uiPriority w:val="0"/>
    <w:rPr>
      <w:rFonts w:ascii="Univers" w:hAnsi="Times New Roman" w:eastAsia="宋体" w:cs="Times New Roman"/>
      <w:b/>
      <w:bCs/>
      <w:snapToGrid w:val="0"/>
      <w:sz w:val="24"/>
      <w:szCs w:val="30"/>
    </w:rPr>
  </w:style>
  <w:style w:type="character" w:customStyle="1" w:styleId="3069">
    <w:name w:val="表格中的文字 Char"/>
    <w:qFormat/>
    <w:uiPriority w:val="0"/>
    <w:rPr>
      <w:rFonts w:ascii="宋体" w:hAnsi="宋体" w:eastAsia="宋体" w:cs="Times New Roman"/>
      <w:kern w:val="0"/>
      <w:szCs w:val="20"/>
    </w:rPr>
  </w:style>
  <w:style w:type="character" w:customStyle="1" w:styleId="3070">
    <w:name w:val="报告表正文 Char"/>
    <w:qFormat/>
    <w:uiPriority w:val="0"/>
    <w:rPr>
      <w:rFonts w:ascii="Times New Roman" w:hAnsi="Times New Roman" w:eastAsia="宋体" w:cs="Times New Roman"/>
      <w:kern w:val="0"/>
      <w:sz w:val="24"/>
      <w:szCs w:val="20"/>
    </w:rPr>
  </w:style>
  <w:style w:type="character" w:customStyle="1" w:styleId="3071">
    <w:name w:val="仿宋1 Char"/>
    <w:qFormat/>
    <w:uiPriority w:val="0"/>
    <w:rPr>
      <w:rFonts w:ascii="仿宋_GB2312" w:hAnsi="Times New Roman" w:eastAsia="仿宋_GB2312" w:cs="MS Gothic"/>
      <w:sz w:val="28"/>
      <w:szCs w:val="28"/>
    </w:rPr>
  </w:style>
  <w:style w:type="character" w:customStyle="1" w:styleId="3072">
    <w:name w:val="正文格式 Char Char"/>
    <w:qFormat/>
    <w:uiPriority w:val="0"/>
    <w:rPr>
      <w:sz w:val="24"/>
      <w:szCs w:val="24"/>
    </w:rPr>
  </w:style>
  <w:style w:type="paragraph" w:customStyle="1" w:styleId="3073">
    <w:name w:val="A表内文字"/>
    <w:basedOn w:val="1"/>
    <w:qFormat/>
    <w:uiPriority w:val="0"/>
    <w:pPr>
      <w:spacing w:line="280" w:lineRule="exact"/>
      <w:jc w:val="center"/>
    </w:pPr>
    <w:rPr>
      <w:kern w:val="0"/>
      <w:sz w:val="18"/>
      <w:szCs w:val="18"/>
    </w:rPr>
  </w:style>
  <w:style w:type="character" w:customStyle="1" w:styleId="3074">
    <w:name w:val="SSEC 正文 字符"/>
    <w:link w:val="3075"/>
    <w:qFormat/>
    <w:uiPriority w:val="0"/>
    <w:rPr>
      <w:rFonts w:ascii="宋体" w:hAnsi="宋体"/>
      <w:kern w:val="2"/>
      <w:sz w:val="24"/>
      <w:szCs w:val="24"/>
    </w:rPr>
  </w:style>
  <w:style w:type="paragraph" w:customStyle="1" w:styleId="3075">
    <w:name w:val="SSEC 正文"/>
    <w:link w:val="3074"/>
    <w:qFormat/>
    <w:uiPriority w:val="0"/>
    <w:pPr>
      <w:widowControl w:val="0"/>
      <w:adjustRightInd w:val="0"/>
      <w:snapToGrid w:val="0"/>
      <w:spacing w:line="360" w:lineRule="auto"/>
      <w:ind w:firstLine="200" w:firstLineChars="200"/>
      <w:jc w:val="both"/>
    </w:pPr>
    <w:rPr>
      <w:rFonts w:ascii="宋体" w:hAnsi="宋体" w:eastAsia="宋体" w:cs="Times New Roman"/>
      <w:kern w:val="2"/>
      <w:sz w:val="24"/>
      <w:szCs w:val="24"/>
      <w:lang w:val="en-US" w:eastAsia="zh-CN" w:bidi="ar-SA"/>
    </w:rPr>
  </w:style>
  <w:style w:type="character" w:customStyle="1" w:styleId="3076">
    <w:name w:val="已访问的超链接11"/>
    <w:qFormat/>
    <w:uiPriority w:val="99"/>
    <w:rPr>
      <w:color w:val="800080"/>
      <w:u w:val="single"/>
    </w:rPr>
  </w:style>
  <w:style w:type="paragraph" w:customStyle="1" w:styleId="3077">
    <w:name w:val="Re-表头"/>
    <w:basedOn w:val="1"/>
    <w:qFormat/>
    <w:uiPriority w:val="4"/>
    <w:pPr>
      <w:jc w:val="center"/>
    </w:pPr>
  </w:style>
  <w:style w:type="paragraph" w:customStyle="1" w:styleId="3078">
    <w:name w:val="5段落"/>
    <w:basedOn w:val="1"/>
    <w:qFormat/>
    <w:uiPriority w:val="0"/>
    <w:pPr>
      <w:spacing w:line="360" w:lineRule="auto"/>
      <w:ind w:firstLine="480" w:firstLineChars="200"/>
    </w:pPr>
    <w:rPr>
      <w:color w:val="000000"/>
      <w:sz w:val="24"/>
    </w:rPr>
  </w:style>
  <w:style w:type="paragraph" w:customStyle="1" w:styleId="3079">
    <w:name w:val="S表格标题"/>
    <w:basedOn w:val="1"/>
    <w:next w:val="1"/>
    <w:qFormat/>
    <w:uiPriority w:val="0"/>
    <w:pPr>
      <w:adjustRightInd w:val="0"/>
      <w:snapToGrid w:val="0"/>
      <w:jc w:val="center"/>
    </w:pPr>
    <w:rPr>
      <w:b/>
      <w:snapToGrid w:val="0"/>
      <w:sz w:val="22"/>
    </w:rPr>
  </w:style>
  <w:style w:type="paragraph" w:customStyle="1" w:styleId="3080">
    <w:name w:val="正文2"/>
    <w:basedOn w:val="1237"/>
    <w:qFormat/>
    <w:uiPriority w:val="0"/>
    <w:pPr>
      <w:adjustRightInd w:val="0"/>
      <w:spacing w:line="360" w:lineRule="atLeast"/>
      <w:textAlignment w:val="baseline"/>
    </w:pPr>
    <w:rPr>
      <w:szCs w:val="24"/>
    </w:rPr>
  </w:style>
  <w:style w:type="paragraph" w:customStyle="1" w:styleId="3081">
    <w:name w:val="报告表正文"/>
    <w:basedOn w:val="1"/>
    <w:qFormat/>
    <w:uiPriority w:val="0"/>
    <w:pPr>
      <w:adjustRightInd w:val="0"/>
      <w:spacing w:line="312" w:lineRule="auto"/>
      <w:ind w:left="113" w:right="113" w:firstLine="482"/>
      <w:textAlignment w:val="baseline"/>
    </w:pPr>
  </w:style>
  <w:style w:type="paragraph" w:customStyle="1" w:styleId="3082">
    <w:name w:val="5表名阳选清"/>
    <w:qFormat/>
    <w:uiPriority w:val="0"/>
    <w:pPr>
      <w:widowControl w:val="0"/>
      <w:adjustRightInd w:val="0"/>
      <w:snapToGrid w:val="0"/>
      <w:jc w:val="center"/>
    </w:pPr>
    <w:rPr>
      <w:rFonts w:ascii="Times New Roman" w:hAnsi="Times New Roman" w:eastAsia="宋体" w:cs="Times New Roman"/>
      <w:color w:val="000000"/>
      <w:kern w:val="2"/>
      <w:sz w:val="21"/>
      <w:szCs w:val="21"/>
      <w:lang w:val="en-US" w:eastAsia="zh-CN" w:bidi="ar-SA"/>
    </w:rPr>
  </w:style>
  <w:style w:type="paragraph" w:customStyle="1" w:styleId="3083">
    <w:name w:val="1表头"/>
    <w:basedOn w:val="1"/>
    <w:qFormat/>
    <w:uiPriority w:val="0"/>
    <w:pPr>
      <w:contextualSpacing/>
      <w:jc w:val="center"/>
    </w:pPr>
    <w:rPr>
      <w:rFonts w:eastAsia="黑体" w:cs="Calibri"/>
      <w:bCs/>
      <w:kern w:val="0"/>
      <w:sz w:val="22"/>
    </w:rPr>
  </w:style>
  <w:style w:type="paragraph" w:customStyle="1" w:styleId="3084">
    <w:name w:val="一级标题"/>
    <w:basedOn w:val="1"/>
    <w:qFormat/>
    <w:uiPriority w:val="0"/>
    <w:pPr>
      <w:spacing w:line="520" w:lineRule="exact"/>
    </w:pPr>
    <w:rPr>
      <w:rFonts w:ascii="Calibri" w:hAnsi="Calibri" w:eastAsia="仿宋_GB2312"/>
      <w:b/>
      <w:color w:val="000000"/>
    </w:rPr>
  </w:style>
  <w:style w:type="paragraph" w:customStyle="1" w:styleId="3085">
    <w:name w:val="@表内正文"/>
    <w:basedOn w:val="1"/>
    <w:qFormat/>
    <w:locked/>
    <w:uiPriority w:val="0"/>
    <w:pPr>
      <w:widowControl w:val="0"/>
      <w:spacing w:line="240" w:lineRule="auto"/>
      <w:jc w:val="center"/>
    </w:pPr>
    <w:rPr>
      <w:rFonts w:cs="Times New Roman"/>
      <w:sz w:val="21"/>
      <w:szCs w:val="24"/>
    </w:rPr>
  </w:style>
  <w:style w:type="paragraph" w:customStyle="1" w:styleId="3086">
    <w:name w:val="lei07-正文"/>
    <w:basedOn w:val="1"/>
    <w:qFormat/>
    <w:uiPriority w:val="0"/>
    <w:pPr>
      <w:spacing w:line="360" w:lineRule="auto"/>
      <w:ind w:firstLine="200" w:firstLineChars="200"/>
    </w:pPr>
    <w:rPr>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5" Type="http://schemas.openxmlformats.org/officeDocument/2006/relationships/fontTable" Target="fontTable.xml"/><Relationship Id="rId84" Type="http://schemas.openxmlformats.org/officeDocument/2006/relationships/customXml" Target="../customXml/item2.xml"/><Relationship Id="rId83" Type="http://schemas.openxmlformats.org/officeDocument/2006/relationships/numbering" Target="numbering.xml"/><Relationship Id="rId82" Type="http://schemas.openxmlformats.org/officeDocument/2006/relationships/customXml" Target="../customXml/item1.xml"/><Relationship Id="rId81" Type="http://schemas.openxmlformats.org/officeDocument/2006/relationships/image" Target="media/image63.png"/><Relationship Id="rId80" Type="http://schemas.openxmlformats.org/officeDocument/2006/relationships/image" Target="media/image62.png"/><Relationship Id="rId8" Type="http://schemas.openxmlformats.org/officeDocument/2006/relationships/footer" Target="footer3.xml"/><Relationship Id="rId79" Type="http://schemas.openxmlformats.org/officeDocument/2006/relationships/image" Target="media/image61.wmf"/><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png"/><Relationship Id="rId74" Type="http://schemas.openxmlformats.org/officeDocument/2006/relationships/image" Target="media/image56.png"/><Relationship Id="rId73" Type="http://schemas.openxmlformats.org/officeDocument/2006/relationships/image" Target="media/image55.png"/><Relationship Id="rId72" Type="http://schemas.openxmlformats.org/officeDocument/2006/relationships/image" Target="media/image54.png"/><Relationship Id="rId71" Type="http://schemas.openxmlformats.org/officeDocument/2006/relationships/chart" Target="charts/chart1.xml"/><Relationship Id="rId70" Type="http://schemas.openxmlformats.org/officeDocument/2006/relationships/image" Target="media/image53.png"/><Relationship Id="rId7" Type="http://schemas.openxmlformats.org/officeDocument/2006/relationships/footer" Target="footer2.xml"/><Relationship Id="rId69" Type="http://schemas.openxmlformats.org/officeDocument/2006/relationships/image" Target="media/image52.jpeg"/><Relationship Id="rId68" Type="http://schemas.openxmlformats.org/officeDocument/2006/relationships/image" Target="media/image51.jpeg"/><Relationship Id="rId67" Type="http://schemas.openxmlformats.org/officeDocument/2006/relationships/image" Target="media/image50.jpeg"/><Relationship Id="rId66" Type="http://schemas.openxmlformats.org/officeDocument/2006/relationships/image" Target="media/image49.jpeg"/><Relationship Id="rId65" Type="http://schemas.openxmlformats.org/officeDocument/2006/relationships/image" Target="media/image48.jpeg"/><Relationship Id="rId64" Type="http://schemas.openxmlformats.org/officeDocument/2006/relationships/image" Target="media/image47.jpeg"/><Relationship Id="rId63" Type="http://schemas.openxmlformats.org/officeDocument/2006/relationships/image" Target="media/image46.jpeg"/><Relationship Id="rId62" Type="http://schemas.openxmlformats.org/officeDocument/2006/relationships/image" Target="media/image45.jpeg"/><Relationship Id="rId61" Type="http://schemas.openxmlformats.org/officeDocument/2006/relationships/image" Target="media/image44.wmf"/><Relationship Id="rId60" Type="http://schemas.openxmlformats.org/officeDocument/2006/relationships/image" Target="media/image43.wmf"/><Relationship Id="rId6" Type="http://schemas.openxmlformats.org/officeDocument/2006/relationships/footer" Target="footer1.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emf"/><Relationship Id="rId51" Type="http://schemas.openxmlformats.org/officeDocument/2006/relationships/package" Target="embeddings/Microsoft_Visio___1.vsdx"/><Relationship Id="rId50" Type="http://schemas.openxmlformats.org/officeDocument/2006/relationships/image" Target="media/image34.png"/><Relationship Id="rId5" Type="http://schemas.openxmlformats.org/officeDocument/2006/relationships/header" Target="header3.xml"/><Relationship Id="rId49" Type="http://schemas.openxmlformats.org/officeDocument/2006/relationships/image" Target="media/image33.emf"/><Relationship Id="rId48" Type="http://schemas.openxmlformats.org/officeDocument/2006/relationships/oleObject" Target="embeddings/oleObject1.bin"/><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jpeg"/><Relationship Id="rId41" Type="http://schemas.openxmlformats.org/officeDocument/2006/relationships/image" Target="media/image26.png"/><Relationship Id="rId40" Type="http://schemas.openxmlformats.org/officeDocument/2006/relationships/image" Target="media/image25.jpeg"/><Relationship Id="rId4" Type="http://schemas.openxmlformats.org/officeDocument/2006/relationships/header" Target="header2.xml"/><Relationship Id="rId39" Type="http://schemas.openxmlformats.org/officeDocument/2006/relationships/image" Target="media/image24.jpe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header" Target="header1.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jpeg"/><Relationship Id="rId17" Type="http://schemas.openxmlformats.org/officeDocument/2006/relationships/image" Target="media/image2.png"/><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header" Target="header5.xml"/><Relationship Id="rId13" Type="http://schemas.openxmlformats.org/officeDocument/2006/relationships/footer" Target="footer7.xml"/><Relationship Id="rId12" Type="http://schemas.openxmlformats.org/officeDocument/2006/relationships/header" Target="header4.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24037;&#20316;&#31807;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delete val="1"/>
          </c:dLbls>
          <c:cat>
            <c:strRef>
              <c:f>[工作簿1]Sheet1!$C$23:$C$35</c:f>
              <c:strCache>
                <c:ptCount val="13"/>
                <c:pt idx="0">
                  <c:v>水田</c:v>
                </c:pt>
                <c:pt idx="1">
                  <c:v>旱地</c:v>
                </c:pt>
                <c:pt idx="2">
                  <c:v>果园</c:v>
                </c:pt>
                <c:pt idx="3">
                  <c:v>其他园地</c:v>
                </c:pt>
                <c:pt idx="4">
                  <c:v>乔木林地</c:v>
                </c:pt>
                <c:pt idx="5">
                  <c:v>灌木林地</c:v>
                </c:pt>
                <c:pt idx="6">
                  <c:v>其他林地</c:v>
                </c:pt>
                <c:pt idx="7">
                  <c:v>农村宅基地</c:v>
                </c:pt>
                <c:pt idx="8">
                  <c:v>工业用地</c:v>
                </c:pt>
                <c:pt idx="9">
                  <c:v>采矿用地</c:v>
                </c:pt>
                <c:pt idx="10">
                  <c:v>公路用地</c:v>
                </c:pt>
                <c:pt idx="11">
                  <c:v>农村道路</c:v>
                </c:pt>
                <c:pt idx="12">
                  <c:v>坑塘水面</c:v>
                </c:pt>
              </c:strCache>
            </c:strRef>
          </c:cat>
          <c:val>
            <c:numRef>
              <c:f>[工作簿1]Sheet1!$D$23:$D$35</c:f>
              <c:numCache>
                <c:formatCode>0.00%</c:formatCode>
                <c:ptCount val="13"/>
                <c:pt idx="0">
                  <c:v>0.1792</c:v>
                </c:pt>
                <c:pt idx="1">
                  <c:v>0.0706</c:v>
                </c:pt>
                <c:pt idx="2">
                  <c:v>0.001</c:v>
                </c:pt>
                <c:pt idx="3">
                  <c:v>0.0839</c:v>
                </c:pt>
                <c:pt idx="4">
                  <c:v>0.0627</c:v>
                </c:pt>
                <c:pt idx="5">
                  <c:v>0.0167</c:v>
                </c:pt>
                <c:pt idx="6">
                  <c:v>0.3467</c:v>
                </c:pt>
                <c:pt idx="7" c:formatCode="0%">
                  <c:v>0.14</c:v>
                </c:pt>
                <c:pt idx="8">
                  <c:v>0.0119</c:v>
                </c:pt>
                <c:pt idx="9">
                  <c:v>0.0467</c:v>
                </c:pt>
                <c:pt idx="10">
                  <c:v>0.0112</c:v>
                </c:pt>
                <c:pt idx="11">
                  <c:v>0.0117</c:v>
                </c:pt>
                <c:pt idx="12">
                  <c:v>0.0177</c:v>
                </c:pt>
              </c:numCache>
            </c:numRef>
          </c:val>
        </c:ser>
        <c:dLbls>
          <c:showLegendKey val="0"/>
          <c:showVal val="0"/>
          <c:showCatName val="0"/>
          <c:showSerName val="0"/>
          <c:showPercent val="0"/>
          <c:showBubbleSize val="0"/>
        </c:dLbls>
        <c:gapWidth val="246"/>
        <c:overlap val="-28"/>
        <c:axId val="328933004"/>
        <c:axId val="118945426"/>
      </c:barChart>
      <c:catAx>
        <c:axId val="32893300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18945426"/>
        <c:crosses val="autoZero"/>
        <c:auto val="1"/>
        <c:lblAlgn val="ctr"/>
        <c:lblOffset val="100"/>
        <c:noMultiLvlLbl val="0"/>
      </c:catAx>
      <c:valAx>
        <c:axId val="118945426"/>
        <c:scaling>
          <c:orientation val="minMax"/>
        </c:scaling>
        <c:delete val="0"/>
        <c:axPos val="l"/>
        <c:majorGridlines>
          <c:spPr>
            <a:ln w="9525" cap="flat" cmpd="sng" algn="ctr">
              <a:solidFill>
                <a:schemeClr val="lt1">
                  <a:lumMod val="902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289330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6C33282-91EC-4842-B9C6-5705C41C6205}">
  <ds:schemaRefs/>
</ds:datastoreItem>
</file>

<file path=docProps/app.xml><?xml version="1.0" encoding="utf-8"?>
<Properties xmlns="http://schemas.openxmlformats.org/officeDocument/2006/extended-properties" xmlns:vt="http://schemas.openxmlformats.org/officeDocument/2006/docPropsVTypes">
  <Template>Normal</Template>
  <Manager>cherry</Manager>
  <Company>lenovo</Company>
  <Pages>253</Pages>
  <Words>161780</Words>
  <Characters>183127</Characters>
  <Lines>1468</Lines>
  <Paragraphs>413</Paragraphs>
  <TotalTime>26</TotalTime>
  <ScaleCrop>false</ScaleCrop>
  <LinksUpToDate>false</LinksUpToDate>
  <CharactersWithSpaces>184895</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2022-07-18T06:37:00Z</dcterms:created>
  <dc:creator>cherry</dc:creator>
  <cp:lastModifiedBy>私家糖水铺</cp:lastModifiedBy>
  <cp:lastPrinted>2024-07-30T02:06:00Z</cp:lastPrinted>
  <dcterms:modified xsi:type="dcterms:W3CDTF">2024-09-13T04:45:41Z</dcterms:modified>
  <dc:title>报告书</dc:title>
  <cp:revision>302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390A53D5637745ACBB8F3A564CDE3CC4_13</vt:lpwstr>
  </property>
</Properties>
</file>